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76" w:rsidRPr="00940F07" w:rsidRDefault="00471676" w:rsidP="006914D6">
      <w:pPr>
        <w:pStyle w:val="Heading1"/>
      </w:pPr>
      <w:r w:rsidRPr="00940F07">
        <w:t>Chisholm Annual Report 2017</w:t>
      </w:r>
    </w:p>
    <w:p w:rsidR="00471676" w:rsidRPr="0055534E" w:rsidRDefault="00471676" w:rsidP="00471676">
      <w:pPr>
        <w:pStyle w:val="NoSpacing"/>
        <w:jc w:val="center"/>
        <w:rPr>
          <w:b/>
          <w:sz w:val="32"/>
          <w:szCs w:val="32"/>
        </w:rPr>
      </w:pPr>
    </w:p>
    <w:p w:rsidR="00471676" w:rsidRPr="0055534E" w:rsidRDefault="0055534E" w:rsidP="00471676">
      <w:pPr>
        <w:pStyle w:val="NoSpacing"/>
        <w:rPr>
          <w:sz w:val="24"/>
          <w:szCs w:val="24"/>
        </w:rPr>
      </w:pPr>
      <w:r w:rsidRPr="0055534E">
        <w:rPr>
          <w:sz w:val="24"/>
          <w:szCs w:val="24"/>
        </w:rPr>
        <w:t>1300 244 746 chisholm.edu.au</w:t>
      </w:r>
    </w:p>
    <w:p w:rsidR="0055534E" w:rsidRDefault="0055534E" w:rsidP="00471676">
      <w:pPr>
        <w:pStyle w:val="NoSpacing"/>
        <w:rPr>
          <w:rFonts w:cstheme="minorHAnsi"/>
          <w:sz w:val="24"/>
          <w:szCs w:val="24"/>
        </w:rPr>
      </w:pPr>
    </w:p>
    <w:p w:rsidR="00471676" w:rsidRPr="0055534E" w:rsidRDefault="0055534E" w:rsidP="00471676">
      <w:pPr>
        <w:pStyle w:val="NoSpacing"/>
        <w:rPr>
          <w:rFonts w:cstheme="minorHAnsi"/>
          <w:sz w:val="24"/>
          <w:szCs w:val="24"/>
        </w:rPr>
      </w:pPr>
      <w:r>
        <w:rPr>
          <w:rFonts w:cstheme="minorHAnsi"/>
          <w:sz w:val="24"/>
          <w:szCs w:val="24"/>
        </w:rPr>
        <w:t>OUR VISION</w:t>
      </w:r>
      <w:r w:rsidR="00471676" w:rsidRPr="0055534E">
        <w:rPr>
          <w:rFonts w:cstheme="minorHAnsi"/>
          <w:sz w:val="24"/>
          <w:szCs w:val="24"/>
        </w:rPr>
        <w:t xml:space="preserve"> </w:t>
      </w:r>
    </w:p>
    <w:p w:rsidR="00471676" w:rsidRPr="0055534E" w:rsidRDefault="00471676" w:rsidP="00471676">
      <w:pPr>
        <w:pStyle w:val="NoSpacing"/>
        <w:rPr>
          <w:rFonts w:cstheme="minorHAnsi"/>
          <w:sz w:val="24"/>
          <w:szCs w:val="24"/>
        </w:rPr>
      </w:pPr>
      <w:r w:rsidRPr="0055534E">
        <w:rPr>
          <w:rFonts w:cstheme="minorHAnsi"/>
          <w:sz w:val="24"/>
          <w:szCs w:val="24"/>
        </w:rPr>
        <w:t>Leading the way in Education and training to inspire success and transform lives</w:t>
      </w:r>
    </w:p>
    <w:p w:rsidR="00471676" w:rsidRPr="0055534E" w:rsidRDefault="00471676" w:rsidP="00471676">
      <w:pPr>
        <w:pStyle w:val="NoSpacing"/>
        <w:rPr>
          <w:rFonts w:cstheme="minorHAnsi"/>
          <w:sz w:val="24"/>
          <w:szCs w:val="24"/>
        </w:rPr>
      </w:pPr>
    </w:p>
    <w:p w:rsidR="00471676" w:rsidRPr="0055534E" w:rsidRDefault="0055534E" w:rsidP="00471676">
      <w:pPr>
        <w:pStyle w:val="NoSpacing"/>
        <w:rPr>
          <w:rFonts w:cstheme="minorHAnsi"/>
          <w:sz w:val="24"/>
          <w:szCs w:val="24"/>
        </w:rPr>
      </w:pPr>
      <w:r>
        <w:rPr>
          <w:rFonts w:cstheme="minorHAnsi"/>
          <w:sz w:val="24"/>
          <w:szCs w:val="24"/>
        </w:rPr>
        <w:t>OUR PURPOSE</w:t>
      </w:r>
    </w:p>
    <w:p w:rsidR="00471676" w:rsidRPr="0055534E" w:rsidRDefault="00471676" w:rsidP="00471676">
      <w:pPr>
        <w:pStyle w:val="NoSpacing"/>
        <w:rPr>
          <w:rFonts w:cstheme="minorHAnsi"/>
          <w:sz w:val="24"/>
          <w:szCs w:val="24"/>
        </w:rPr>
      </w:pPr>
      <w:r w:rsidRPr="0055534E">
        <w:rPr>
          <w:rFonts w:cstheme="minorHAnsi"/>
          <w:sz w:val="24"/>
          <w:szCs w:val="24"/>
        </w:rPr>
        <w:t>Chisholm Institute excels in education and training and is respected and valued for enhancing the social and economic futures of individuals, industry an communities</w:t>
      </w:r>
    </w:p>
    <w:p w:rsidR="00471676" w:rsidRPr="0055534E" w:rsidRDefault="00471676" w:rsidP="00471676">
      <w:pPr>
        <w:pStyle w:val="NoSpacing"/>
        <w:rPr>
          <w:rFonts w:cstheme="minorHAnsi"/>
          <w:sz w:val="24"/>
          <w:szCs w:val="24"/>
        </w:rPr>
      </w:pPr>
    </w:p>
    <w:p w:rsidR="00471676" w:rsidRPr="0055534E" w:rsidRDefault="0055534E" w:rsidP="00471676">
      <w:pPr>
        <w:pStyle w:val="NoSpacing"/>
        <w:rPr>
          <w:rFonts w:cstheme="minorHAnsi"/>
          <w:sz w:val="24"/>
          <w:szCs w:val="24"/>
        </w:rPr>
      </w:pPr>
      <w:r>
        <w:rPr>
          <w:rFonts w:cstheme="minorHAnsi"/>
          <w:sz w:val="24"/>
          <w:szCs w:val="24"/>
        </w:rPr>
        <w:t>OUR VALUES</w:t>
      </w:r>
    </w:p>
    <w:p w:rsidR="00471676" w:rsidRPr="0055534E" w:rsidRDefault="00471676" w:rsidP="00471676">
      <w:pPr>
        <w:pStyle w:val="NoSpacing"/>
        <w:rPr>
          <w:rFonts w:cstheme="minorHAnsi"/>
          <w:sz w:val="24"/>
          <w:szCs w:val="24"/>
        </w:rPr>
      </w:pPr>
      <w:r w:rsidRPr="0055534E">
        <w:rPr>
          <w:rFonts w:cstheme="minorHAnsi"/>
          <w:sz w:val="24"/>
          <w:szCs w:val="24"/>
        </w:rPr>
        <w:t>Our drive for commercial success is underpinned by our core values:</w:t>
      </w:r>
    </w:p>
    <w:p w:rsidR="00471676" w:rsidRPr="0055534E" w:rsidRDefault="00471676" w:rsidP="00471676">
      <w:pPr>
        <w:pStyle w:val="NoSpacing"/>
        <w:numPr>
          <w:ilvl w:val="0"/>
          <w:numId w:val="1"/>
        </w:numPr>
        <w:rPr>
          <w:rFonts w:cstheme="minorHAnsi"/>
          <w:sz w:val="24"/>
          <w:szCs w:val="24"/>
        </w:rPr>
      </w:pPr>
      <w:r w:rsidRPr="0055534E">
        <w:rPr>
          <w:rFonts w:cstheme="minorHAnsi"/>
          <w:sz w:val="24"/>
          <w:szCs w:val="24"/>
        </w:rPr>
        <w:t>Opportunity</w:t>
      </w:r>
    </w:p>
    <w:p w:rsidR="00471676" w:rsidRPr="0055534E" w:rsidRDefault="00471676" w:rsidP="00471676">
      <w:pPr>
        <w:pStyle w:val="NoSpacing"/>
        <w:numPr>
          <w:ilvl w:val="0"/>
          <w:numId w:val="1"/>
        </w:numPr>
        <w:rPr>
          <w:rFonts w:cstheme="minorHAnsi"/>
          <w:sz w:val="24"/>
          <w:szCs w:val="24"/>
        </w:rPr>
      </w:pPr>
      <w:r w:rsidRPr="0055534E">
        <w:rPr>
          <w:rFonts w:cstheme="minorHAnsi"/>
          <w:sz w:val="24"/>
          <w:szCs w:val="24"/>
        </w:rPr>
        <w:t>Integrity</w:t>
      </w:r>
    </w:p>
    <w:p w:rsidR="00471676" w:rsidRPr="0055534E" w:rsidRDefault="00471676" w:rsidP="00471676">
      <w:pPr>
        <w:pStyle w:val="NoSpacing"/>
        <w:numPr>
          <w:ilvl w:val="0"/>
          <w:numId w:val="1"/>
        </w:numPr>
        <w:rPr>
          <w:rFonts w:cstheme="minorHAnsi"/>
          <w:sz w:val="24"/>
          <w:szCs w:val="24"/>
        </w:rPr>
      </w:pPr>
      <w:r w:rsidRPr="0055534E">
        <w:rPr>
          <w:rFonts w:cstheme="minorHAnsi"/>
          <w:sz w:val="24"/>
          <w:szCs w:val="24"/>
        </w:rPr>
        <w:t>Collaboration</w:t>
      </w:r>
    </w:p>
    <w:p w:rsidR="00471676" w:rsidRPr="0055534E" w:rsidRDefault="00471676" w:rsidP="00471676">
      <w:pPr>
        <w:pStyle w:val="NoSpacing"/>
        <w:numPr>
          <w:ilvl w:val="0"/>
          <w:numId w:val="1"/>
        </w:numPr>
        <w:rPr>
          <w:rFonts w:cstheme="minorHAnsi"/>
          <w:sz w:val="24"/>
          <w:szCs w:val="24"/>
        </w:rPr>
      </w:pPr>
      <w:r w:rsidRPr="0055534E">
        <w:rPr>
          <w:rFonts w:cstheme="minorHAnsi"/>
          <w:sz w:val="24"/>
          <w:szCs w:val="24"/>
        </w:rPr>
        <w:t>Achievement</w:t>
      </w:r>
    </w:p>
    <w:p w:rsidR="00471676" w:rsidRPr="0055534E" w:rsidRDefault="00471676" w:rsidP="00471676">
      <w:pPr>
        <w:pStyle w:val="NoSpacing"/>
        <w:rPr>
          <w:rFonts w:cstheme="minorHAnsi"/>
          <w:sz w:val="24"/>
          <w:szCs w:val="24"/>
        </w:rPr>
      </w:pPr>
    </w:p>
    <w:p w:rsidR="00471676" w:rsidRPr="0055534E" w:rsidRDefault="00471676" w:rsidP="00471676">
      <w:pPr>
        <w:pStyle w:val="NoSpacing"/>
        <w:rPr>
          <w:rFonts w:cstheme="minorHAnsi"/>
          <w:sz w:val="24"/>
          <w:szCs w:val="24"/>
        </w:rPr>
      </w:pPr>
      <w:r w:rsidRPr="0055534E">
        <w:rPr>
          <w:rFonts w:cstheme="minorHAnsi"/>
          <w:sz w:val="24"/>
          <w:szCs w:val="24"/>
        </w:rPr>
        <w:t>&lt;Inside cover&gt;</w:t>
      </w:r>
    </w:p>
    <w:p w:rsidR="00471676" w:rsidRPr="0055534E" w:rsidRDefault="00471676" w:rsidP="00471676">
      <w:pPr>
        <w:pStyle w:val="NoSpacing"/>
        <w:rPr>
          <w:rFonts w:cstheme="minorHAnsi"/>
          <w:sz w:val="24"/>
          <w:szCs w:val="24"/>
        </w:rPr>
      </w:pPr>
    </w:p>
    <w:p w:rsidR="00471676" w:rsidRPr="00940F07" w:rsidRDefault="00471676" w:rsidP="006914D6">
      <w:pPr>
        <w:pStyle w:val="Heading2"/>
      </w:pPr>
      <w:r w:rsidRPr="00940F07">
        <w:t>Contents</w:t>
      </w:r>
    </w:p>
    <w:p w:rsidR="00940F07" w:rsidRPr="0055534E" w:rsidRDefault="00940F07" w:rsidP="0055534E">
      <w:pPr>
        <w:pStyle w:val="NoSpacing"/>
        <w:jc w:val="center"/>
        <w:rPr>
          <w:rFonts w:cstheme="minorHAnsi"/>
          <w:b/>
          <w:sz w:val="32"/>
          <w:szCs w:val="32"/>
        </w:rPr>
      </w:pPr>
    </w:p>
    <w:p w:rsidR="00471676" w:rsidRPr="0055534E" w:rsidRDefault="00471676" w:rsidP="00471676">
      <w:pPr>
        <w:pStyle w:val="NoSpacing"/>
        <w:rPr>
          <w:rFonts w:cstheme="minorHAnsi"/>
          <w:sz w:val="24"/>
          <w:szCs w:val="24"/>
        </w:rPr>
      </w:pPr>
      <w:r w:rsidRPr="0055534E">
        <w:rPr>
          <w:rFonts w:cstheme="minorHAnsi"/>
          <w:sz w:val="24"/>
          <w:szCs w:val="24"/>
        </w:rPr>
        <w:t xml:space="preserve">About this report </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0055534E">
        <w:rPr>
          <w:rFonts w:cstheme="minorHAnsi"/>
          <w:sz w:val="24"/>
          <w:szCs w:val="24"/>
        </w:rPr>
        <w:tab/>
      </w:r>
      <w:r w:rsidRPr="0055534E">
        <w:rPr>
          <w:rFonts w:cstheme="minorHAnsi"/>
          <w:sz w:val="24"/>
          <w:szCs w:val="24"/>
        </w:rPr>
        <w:t>2</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About Chisholm</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Pr="0055534E">
        <w:rPr>
          <w:rFonts w:cstheme="minorHAnsi"/>
          <w:sz w:val="24"/>
          <w:szCs w:val="24"/>
        </w:rPr>
        <w:tab/>
        <w:t>3</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Board Chair’s message</w:t>
      </w:r>
      <w:r w:rsidRPr="0055534E">
        <w:rPr>
          <w:rFonts w:cstheme="minorHAnsi"/>
          <w:sz w:val="24"/>
          <w:szCs w:val="24"/>
        </w:rPr>
        <w:tab/>
      </w:r>
      <w:r w:rsidRPr="0055534E">
        <w:rPr>
          <w:rFonts w:cstheme="minorHAnsi"/>
          <w:sz w:val="24"/>
          <w:szCs w:val="24"/>
        </w:rPr>
        <w:tab/>
      </w:r>
      <w:r w:rsidRPr="0055534E">
        <w:rPr>
          <w:rFonts w:cstheme="minorHAnsi"/>
          <w:sz w:val="24"/>
          <w:szCs w:val="24"/>
        </w:rPr>
        <w:tab/>
        <w:t>4</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CEO’s message</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Pr="0055534E">
        <w:rPr>
          <w:rFonts w:cstheme="minorHAnsi"/>
          <w:sz w:val="24"/>
          <w:szCs w:val="24"/>
        </w:rPr>
        <w:tab/>
        <w:t>5</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 xml:space="preserve">Awards and achievements </w:t>
      </w:r>
      <w:r w:rsidRPr="0055534E">
        <w:rPr>
          <w:rFonts w:cstheme="minorHAnsi"/>
          <w:sz w:val="24"/>
          <w:szCs w:val="24"/>
        </w:rPr>
        <w:tab/>
      </w:r>
      <w:r w:rsidRPr="0055534E">
        <w:rPr>
          <w:rFonts w:cstheme="minorHAnsi"/>
          <w:sz w:val="24"/>
          <w:szCs w:val="24"/>
        </w:rPr>
        <w:tab/>
      </w:r>
      <w:r w:rsidR="0055534E">
        <w:rPr>
          <w:rFonts w:cstheme="minorHAnsi"/>
          <w:sz w:val="24"/>
          <w:szCs w:val="24"/>
        </w:rPr>
        <w:tab/>
      </w:r>
      <w:r w:rsidRPr="0055534E">
        <w:rPr>
          <w:rFonts w:cstheme="minorHAnsi"/>
          <w:sz w:val="24"/>
          <w:szCs w:val="24"/>
        </w:rPr>
        <w:t>6</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Working with industry</w:t>
      </w:r>
      <w:r w:rsidRPr="0055534E">
        <w:rPr>
          <w:rFonts w:cstheme="minorHAnsi"/>
          <w:sz w:val="24"/>
          <w:szCs w:val="24"/>
        </w:rPr>
        <w:tab/>
      </w:r>
      <w:r w:rsidRPr="0055534E">
        <w:rPr>
          <w:rFonts w:cstheme="minorHAnsi"/>
          <w:sz w:val="24"/>
          <w:szCs w:val="24"/>
        </w:rPr>
        <w:tab/>
      </w:r>
      <w:r w:rsidRPr="0055534E">
        <w:rPr>
          <w:rFonts w:cstheme="minorHAnsi"/>
          <w:sz w:val="24"/>
          <w:szCs w:val="24"/>
        </w:rPr>
        <w:tab/>
        <w:t>10</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Community outreach</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0055534E">
        <w:rPr>
          <w:rFonts w:cstheme="minorHAnsi"/>
          <w:sz w:val="24"/>
          <w:szCs w:val="24"/>
        </w:rPr>
        <w:tab/>
      </w:r>
      <w:r w:rsidRPr="0055534E">
        <w:rPr>
          <w:rFonts w:cstheme="minorHAnsi"/>
          <w:sz w:val="24"/>
          <w:szCs w:val="24"/>
        </w:rPr>
        <w:t>12</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Educational excellence and innovation</w:t>
      </w:r>
      <w:r w:rsidRPr="0055534E">
        <w:rPr>
          <w:rFonts w:cstheme="minorHAnsi"/>
          <w:sz w:val="24"/>
          <w:szCs w:val="24"/>
        </w:rPr>
        <w:tab/>
        <w:t>14</w:t>
      </w:r>
      <w:r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Building for the future</w:t>
      </w:r>
      <w:r w:rsidRPr="0055534E">
        <w:rPr>
          <w:rFonts w:cstheme="minorHAnsi"/>
          <w:sz w:val="24"/>
          <w:szCs w:val="24"/>
        </w:rPr>
        <w:tab/>
      </w:r>
      <w:r w:rsidRPr="0055534E">
        <w:rPr>
          <w:rFonts w:cstheme="minorHAnsi"/>
          <w:sz w:val="24"/>
          <w:szCs w:val="24"/>
        </w:rPr>
        <w:tab/>
      </w:r>
      <w:r w:rsidRPr="0055534E">
        <w:rPr>
          <w:rFonts w:cstheme="minorHAnsi"/>
          <w:sz w:val="24"/>
          <w:szCs w:val="24"/>
        </w:rPr>
        <w:tab/>
        <w:t>16</w:t>
      </w:r>
      <w:r w:rsidR="00941859" w:rsidRPr="0055534E">
        <w:rPr>
          <w:rFonts w:cstheme="minorHAnsi"/>
          <w:sz w:val="24"/>
          <w:szCs w:val="24"/>
        </w:rPr>
        <w:tab/>
      </w:r>
    </w:p>
    <w:p w:rsidR="00941859" w:rsidRPr="0055534E" w:rsidRDefault="00471676" w:rsidP="00471676">
      <w:pPr>
        <w:pStyle w:val="NoSpacing"/>
        <w:rPr>
          <w:rFonts w:cstheme="minorHAnsi"/>
          <w:sz w:val="24"/>
          <w:szCs w:val="24"/>
        </w:rPr>
      </w:pPr>
      <w:r w:rsidRPr="0055534E">
        <w:rPr>
          <w:rFonts w:cstheme="minorHAnsi"/>
          <w:sz w:val="24"/>
          <w:szCs w:val="24"/>
        </w:rPr>
        <w:t>People and development</w:t>
      </w:r>
      <w:r w:rsidRPr="0055534E">
        <w:rPr>
          <w:rFonts w:cstheme="minorHAnsi"/>
          <w:sz w:val="24"/>
          <w:szCs w:val="24"/>
        </w:rPr>
        <w:tab/>
      </w:r>
      <w:r w:rsidRPr="0055534E">
        <w:rPr>
          <w:rFonts w:cstheme="minorHAnsi"/>
          <w:sz w:val="24"/>
          <w:szCs w:val="24"/>
        </w:rPr>
        <w:tab/>
      </w:r>
      <w:r w:rsidR="0055534E">
        <w:rPr>
          <w:rFonts w:cstheme="minorHAnsi"/>
          <w:sz w:val="24"/>
          <w:szCs w:val="24"/>
        </w:rPr>
        <w:tab/>
      </w:r>
      <w:r w:rsidRPr="0055534E">
        <w:rPr>
          <w:rFonts w:cstheme="minorHAnsi"/>
          <w:sz w:val="24"/>
          <w:szCs w:val="24"/>
        </w:rPr>
        <w:t>18</w:t>
      </w:r>
      <w:r w:rsidR="00941859"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Caroline Chisholm Education Foundation</w:t>
      </w:r>
      <w:r w:rsidR="0055534E">
        <w:rPr>
          <w:rFonts w:cstheme="minorHAnsi"/>
          <w:sz w:val="24"/>
          <w:szCs w:val="24"/>
        </w:rPr>
        <w:tab/>
      </w:r>
      <w:r w:rsidRPr="0055534E">
        <w:rPr>
          <w:rFonts w:cstheme="minorHAnsi"/>
          <w:sz w:val="24"/>
          <w:szCs w:val="24"/>
        </w:rPr>
        <w:t>19</w:t>
      </w:r>
      <w:r w:rsidR="00941859"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Workforce data</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Pr="0055534E">
        <w:rPr>
          <w:rFonts w:cstheme="minorHAnsi"/>
          <w:sz w:val="24"/>
          <w:szCs w:val="24"/>
        </w:rPr>
        <w:tab/>
        <w:t>20</w:t>
      </w:r>
      <w:r w:rsidR="00941859"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Work health, safety and wellbeing</w:t>
      </w:r>
      <w:r w:rsidRPr="0055534E">
        <w:rPr>
          <w:rFonts w:cstheme="minorHAnsi"/>
          <w:sz w:val="24"/>
          <w:szCs w:val="24"/>
        </w:rPr>
        <w:tab/>
      </w:r>
      <w:r w:rsidR="0055534E">
        <w:rPr>
          <w:rFonts w:cstheme="minorHAnsi"/>
          <w:sz w:val="24"/>
          <w:szCs w:val="24"/>
        </w:rPr>
        <w:tab/>
      </w:r>
      <w:r w:rsidRPr="0055534E">
        <w:rPr>
          <w:rFonts w:cstheme="minorHAnsi"/>
          <w:sz w:val="24"/>
          <w:szCs w:val="24"/>
        </w:rPr>
        <w:t>22</w:t>
      </w:r>
      <w:r w:rsidR="00941859" w:rsidRPr="0055534E">
        <w:rPr>
          <w:rFonts w:cstheme="minorHAnsi"/>
          <w:sz w:val="24"/>
          <w:szCs w:val="24"/>
        </w:rPr>
        <w:tab/>
      </w:r>
    </w:p>
    <w:p w:rsidR="00471676" w:rsidRPr="0055534E" w:rsidRDefault="00471676" w:rsidP="00471676">
      <w:pPr>
        <w:pStyle w:val="NoSpacing"/>
        <w:rPr>
          <w:rFonts w:cstheme="minorHAnsi"/>
          <w:sz w:val="24"/>
          <w:szCs w:val="24"/>
        </w:rPr>
      </w:pPr>
      <w:r w:rsidRPr="0055534E">
        <w:rPr>
          <w:rFonts w:cstheme="minorHAnsi"/>
          <w:sz w:val="24"/>
          <w:szCs w:val="24"/>
        </w:rPr>
        <w:t>Statistical overview</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0055534E">
        <w:rPr>
          <w:rFonts w:cstheme="minorHAnsi"/>
          <w:sz w:val="24"/>
          <w:szCs w:val="24"/>
        </w:rPr>
        <w:tab/>
      </w:r>
      <w:r w:rsidRPr="0055534E">
        <w:rPr>
          <w:rFonts w:cstheme="minorHAnsi"/>
          <w:sz w:val="24"/>
          <w:szCs w:val="24"/>
        </w:rPr>
        <w:t>24</w:t>
      </w:r>
    </w:p>
    <w:p w:rsidR="00941859" w:rsidRPr="0055534E" w:rsidRDefault="0055534E" w:rsidP="00471676">
      <w:pPr>
        <w:pStyle w:val="NoSpacing"/>
        <w:rPr>
          <w:rFonts w:cstheme="minorHAnsi"/>
          <w:sz w:val="24"/>
          <w:szCs w:val="24"/>
        </w:rPr>
      </w:pPr>
      <w:r w:rsidRPr="0055534E">
        <w:rPr>
          <w:rFonts w:cstheme="minorHAnsi"/>
          <w:sz w:val="24"/>
          <w:szCs w:val="24"/>
        </w:rPr>
        <w:t>International work</w:t>
      </w:r>
      <w:r w:rsidRPr="0055534E">
        <w:rPr>
          <w:rFonts w:cstheme="minorHAnsi"/>
          <w:sz w:val="24"/>
          <w:szCs w:val="24"/>
        </w:rPr>
        <w:tab/>
      </w:r>
      <w:r w:rsidRPr="0055534E">
        <w:rPr>
          <w:rFonts w:cstheme="minorHAnsi"/>
          <w:sz w:val="24"/>
          <w:szCs w:val="24"/>
        </w:rPr>
        <w:tab/>
      </w:r>
      <w:r w:rsidRPr="0055534E">
        <w:rPr>
          <w:rFonts w:cstheme="minorHAnsi"/>
          <w:sz w:val="24"/>
          <w:szCs w:val="24"/>
        </w:rPr>
        <w:tab/>
      </w:r>
      <w:r>
        <w:rPr>
          <w:rFonts w:cstheme="minorHAnsi"/>
          <w:sz w:val="24"/>
          <w:szCs w:val="24"/>
        </w:rPr>
        <w:tab/>
      </w:r>
      <w:r w:rsidRPr="0055534E">
        <w:rPr>
          <w:rFonts w:cstheme="minorHAnsi"/>
          <w:sz w:val="24"/>
          <w:szCs w:val="24"/>
        </w:rPr>
        <w:t>26</w:t>
      </w:r>
    </w:p>
    <w:p w:rsidR="0055534E" w:rsidRDefault="0055534E" w:rsidP="00471676">
      <w:pPr>
        <w:pStyle w:val="NoSpacing"/>
        <w:rPr>
          <w:rFonts w:cstheme="minorHAnsi"/>
          <w:sz w:val="24"/>
          <w:szCs w:val="24"/>
        </w:rPr>
      </w:pPr>
      <w:r w:rsidRPr="0055534E">
        <w:rPr>
          <w:rFonts w:cstheme="minorHAnsi"/>
          <w:sz w:val="24"/>
          <w:szCs w:val="24"/>
        </w:rPr>
        <w:t>Financial performance summary</w:t>
      </w:r>
      <w:r w:rsidRPr="0055534E">
        <w:rPr>
          <w:rFonts w:cstheme="minorHAnsi"/>
          <w:sz w:val="24"/>
          <w:szCs w:val="24"/>
        </w:rPr>
        <w:tab/>
      </w:r>
      <w:r>
        <w:rPr>
          <w:rFonts w:cstheme="minorHAnsi"/>
          <w:sz w:val="24"/>
          <w:szCs w:val="24"/>
        </w:rPr>
        <w:tab/>
      </w:r>
      <w:r w:rsidRPr="0055534E">
        <w:rPr>
          <w:rFonts w:cstheme="minorHAnsi"/>
          <w:sz w:val="24"/>
          <w:szCs w:val="24"/>
        </w:rPr>
        <w:t>29</w:t>
      </w:r>
    </w:p>
    <w:p w:rsidR="0055534E" w:rsidRDefault="0055534E" w:rsidP="00471676">
      <w:pPr>
        <w:pStyle w:val="NoSpacing"/>
        <w:rPr>
          <w:rFonts w:cstheme="minorHAnsi"/>
          <w:sz w:val="24"/>
          <w:szCs w:val="24"/>
        </w:rPr>
      </w:pPr>
      <w:r w:rsidRPr="0055534E">
        <w:rPr>
          <w:rFonts w:cstheme="minorHAnsi"/>
          <w:sz w:val="24"/>
          <w:szCs w:val="24"/>
        </w:rPr>
        <w:t>Board and committees</w:t>
      </w:r>
      <w:r w:rsidRPr="0055534E">
        <w:rPr>
          <w:rFonts w:cstheme="minorHAnsi"/>
          <w:sz w:val="24"/>
          <w:szCs w:val="24"/>
        </w:rPr>
        <w:tab/>
      </w:r>
      <w:r w:rsidRPr="0055534E">
        <w:rPr>
          <w:rFonts w:cstheme="minorHAnsi"/>
          <w:sz w:val="24"/>
          <w:szCs w:val="24"/>
        </w:rPr>
        <w:tab/>
      </w:r>
      <w:r w:rsidRPr="0055534E">
        <w:rPr>
          <w:rFonts w:cstheme="minorHAnsi"/>
          <w:sz w:val="24"/>
          <w:szCs w:val="24"/>
        </w:rPr>
        <w:tab/>
        <w:t>30</w:t>
      </w:r>
    </w:p>
    <w:p w:rsidR="0055534E" w:rsidRDefault="0055534E" w:rsidP="00471676">
      <w:pPr>
        <w:pStyle w:val="NoSpacing"/>
        <w:rPr>
          <w:rFonts w:cstheme="minorHAnsi"/>
          <w:sz w:val="24"/>
          <w:szCs w:val="24"/>
        </w:rPr>
      </w:pPr>
      <w:r w:rsidRPr="0055534E">
        <w:rPr>
          <w:rFonts w:cstheme="minorHAnsi"/>
          <w:sz w:val="24"/>
          <w:szCs w:val="24"/>
        </w:rPr>
        <w:t>Executive directors group</w:t>
      </w:r>
      <w:r w:rsidRPr="0055534E">
        <w:rPr>
          <w:rFonts w:cstheme="minorHAnsi"/>
          <w:sz w:val="24"/>
          <w:szCs w:val="24"/>
        </w:rPr>
        <w:tab/>
      </w:r>
      <w:r w:rsidRPr="0055534E">
        <w:rPr>
          <w:rFonts w:cstheme="minorHAnsi"/>
          <w:sz w:val="24"/>
          <w:szCs w:val="24"/>
        </w:rPr>
        <w:tab/>
      </w:r>
      <w:r>
        <w:rPr>
          <w:rFonts w:cstheme="minorHAnsi"/>
          <w:sz w:val="24"/>
          <w:szCs w:val="24"/>
        </w:rPr>
        <w:tab/>
      </w:r>
      <w:r w:rsidRPr="0055534E">
        <w:rPr>
          <w:rFonts w:cstheme="minorHAnsi"/>
          <w:sz w:val="24"/>
          <w:szCs w:val="24"/>
        </w:rPr>
        <w:t>33</w:t>
      </w:r>
    </w:p>
    <w:p w:rsidR="0055534E" w:rsidRDefault="0055534E" w:rsidP="00471676">
      <w:pPr>
        <w:pStyle w:val="NoSpacing"/>
        <w:rPr>
          <w:rFonts w:cstheme="minorHAnsi"/>
          <w:sz w:val="24"/>
          <w:szCs w:val="24"/>
        </w:rPr>
      </w:pPr>
      <w:r w:rsidRPr="0055534E">
        <w:rPr>
          <w:rFonts w:cstheme="minorHAnsi"/>
          <w:sz w:val="24"/>
          <w:szCs w:val="24"/>
        </w:rPr>
        <w:t xml:space="preserve">Corporate governance </w:t>
      </w:r>
      <w:r w:rsidRPr="0055534E">
        <w:rPr>
          <w:rFonts w:cstheme="minorHAnsi"/>
          <w:sz w:val="24"/>
          <w:szCs w:val="24"/>
        </w:rPr>
        <w:tab/>
      </w:r>
      <w:r w:rsidRPr="0055534E">
        <w:rPr>
          <w:rFonts w:cstheme="minorHAnsi"/>
          <w:sz w:val="24"/>
          <w:szCs w:val="24"/>
        </w:rPr>
        <w:tab/>
      </w:r>
      <w:r w:rsidRPr="0055534E">
        <w:rPr>
          <w:rFonts w:cstheme="minorHAnsi"/>
          <w:sz w:val="24"/>
          <w:szCs w:val="24"/>
        </w:rPr>
        <w:tab/>
        <w:t>34</w:t>
      </w:r>
    </w:p>
    <w:p w:rsidR="0055534E" w:rsidRDefault="0055534E" w:rsidP="00471676">
      <w:pPr>
        <w:pStyle w:val="NoSpacing"/>
        <w:rPr>
          <w:rFonts w:cstheme="minorHAnsi"/>
          <w:sz w:val="24"/>
          <w:szCs w:val="24"/>
        </w:rPr>
      </w:pPr>
      <w:r w:rsidRPr="0055534E">
        <w:rPr>
          <w:rFonts w:cstheme="minorHAnsi"/>
          <w:sz w:val="24"/>
          <w:szCs w:val="24"/>
        </w:rPr>
        <w:t>Attestations</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Pr="0055534E">
        <w:rPr>
          <w:rFonts w:cstheme="minorHAnsi"/>
          <w:sz w:val="24"/>
          <w:szCs w:val="24"/>
        </w:rPr>
        <w:tab/>
      </w:r>
      <w:r>
        <w:rPr>
          <w:rFonts w:cstheme="minorHAnsi"/>
          <w:sz w:val="24"/>
          <w:szCs w:val="24"/>
        </w:rPr>
        <w:tab/>
      </w:r>
      <w:r w:rsidRPr="0055534E">
        <w:rPr>
          <w:rFonts w:cstheme="minorHAnsi"/>
          <w:sz w:val="24"/>
          <w:szCs w:val="24"/>
        </w:rPr>
        <w:t>37</w:t>
      </w:r>
    </w:p>
    <w:p w:rsidR="0055534E" w:rsidRDefault="0055534E" w:rsidP="00471676">
      <w:pPr>
        <w:pStyle w:val="NoSpacing"/>
        <w:rPr>
          <w:rFonts w:cstheme="minorHAnsi"/>
          <w:sz w:val="24"/>
          <w:szCs w:val="24"/>
        </w:rPr>
      </w:pPr>
      <w:r w:rsidRPr="0055534E">
        <w:rPr>
          <w:rFonts w:cstheme="minorHAnsi"/>
          <w:sz w:val="24"/>
          <w:szCs w:val="24"/>
        </w:rPr>
        <w:t>Consolidated financial statements</w:t>
      </w:r>
      <w:r w:rsidRPr="0055534E">
        <w:rPr>
          <w:rFonts w:cstheme="minorHAnsi"/>
          <w:sz w:val="24"/>
          <w:szCs w:val="24"/>
        </w:rPr>
        <w:tab/>
      </w:r>
      <w:r>
        <w:rPr>
          <w:rFonts w:cstheme="minorHAnsi"/>
          <w:sz w:val="24"/>
          <w:szCs w:val="24"/>
        </w:rPr>
        <w:tab/>
      </w:r>
      <w:r w:rsidRPr="0055534E">
        <w:rPr>
          <w:rFonts w:cstheme="minorHAnsi"/>
          <w:sz w:val="24"/>
          <w:szCs w:val="24"/>
        </w:rPr>
        <w:t>38</w:t>
      </w:r>
    </w:p>
    <w:p w:rsidR="0055534E" w:rsidRDefault="0055534E" w:rsidP="00471676">
      <w:pPr>
        <w:pStyle w:val="NoSpacing"/>
        <w:rPr>
          <w:rFonts w:cstheme="minorHAnsi"/>
          <w:sz w:val="24"/>
          <w:szCs w:val="24"/>
        </w:rPr>
      </w:pPr>
      <w:r w:rsidRPr="0055534E">
        <w:rPr>
          <w:rFonts w:cstheme="minorHAnsi"/>
          <w:sz w:val="24"/>
          <w:szCs w:val="24"/>
        </w:rPr>
        <w:t xml:space="preserve">Notes to the financial statements </w:t>
      </w:r>
      <w:r w:rsidRPr="0055534E">
        <w:rPr>
          <w:rFonts w:cstheme="minorHAnsi"/>
          <w:sz w:val="24"/>
          <w:szCs w:val="24"/>
        </w:rPr>
        <w:tab/>
      </w:r>
      <w:r>
        <w:rPr>
          <w:rFonts w:cstheme="minorHAnsi"/>
          <w:sz w:val="24"/>
          <w:szCs w:val="24"/>
        </w:rPr>
        <w:tab/>
      </w:r>
      <w:r w:rsidRPr="0055534E">
        <w:rPr>
          <w:rFonts w:cstheme="minorHAnsi"/>
          <w:sz w:val="24"/>
          <w:szCs w:val="24"/>
        </w:rPr>
        <w:t>46</w:t>
      </w:r>
    </w:p>
    <w:p w:rsidR="0055534E" w:rsidRDefault="0055534E" w:rsidP="00471676">
      <w:pPr>
        <w:pStyle w:val="NoSpacing"/>
        <w:rPr>
          <w:rFonts w:cstheme="minorHAnsi"/>
          <w:sz w:val="24"/>
          <w:szCs w:val="24"/>
        </w:rPr>
      </w:pPr>
      <w:r w:rsidRPr="0055534E">
        <w:rPr>
          <w:rFonts w:cstheme="minorHAnsi"/>
          <w:sz w:val="24"/>
          <w:szCs w:val="24"/>
        </w:rPr>
        <w:t>Performance statement</w:t>
      </w:r>
      <w:r w:rsidRPr="0055534E">
        <w:rPr>
          <w:rFonts w:cstheme="minorHAnsi"/>
          <w:sz w:val="24"/>
          <w:szCs w:val="24"/>
        </w:rPr>
        <w:tab/>
      </w:r>
      <w:r w:rsidRPr="0055534E">
        <w:rPr>
          <w:rFonts w:cstheme="minorHAnsi"/>
          <w:sz w:val="24"/>
          <w:szCs w:val="24"/>
        </w:rPr>
        <w:tab/>
      </w:r>
      <w:r w:rsidRPr="0055534E">
        <w:rPr>
          <w:rFonts w:cstheme="minorHAnsi"/>
          <w:sz w:val="24"/>
          <w:szCs w:val="24"/>
        </w:rPr>
        <w:tab/>
        <w:t>92</w:t>
      </w:r>
    </w:p>
    <w:p w:rsidR="0055534E" w:rsidRDefault="0055534E" w:rsidP="00471676">
      <w:pPr>
        <w:pStyle w:val="NoSpacing"/>
        <w:rPr>
          <w:rFonts w:cstheme="minorHAnsi"/>
          <w:sz w:val="24"/>
          <w:szCs w:val="24"/>
        </w:rPr>
      </w:pPr>
      <w:r w:rsidRPr="0055534E">
        <w:rPr>
          <w:rFonts w:cstheme="minorHAnsi"/>
          <w:sz w:val="24"/>
          <w:szCs w:val="24"/>
        </w:rPr>
        <w:lastRenderedPageBreak/>
        <w:t>Disclosure index</w:t>
      </w:r>
      <w:r w:rsidRPr="0055534E">
        <w:rPr>
          <w:rFonts w:cstheme="minorHAnsi"/>
          <w:sz w:val="24"/>
          <w:szCs w:val="24"/>
        </w:rPr>
        <w:tab/>
      </w:r>
      <w:r w:rsidRPr="0055534E">
        <w:rPr>
          <w:rFonts w:cstheme="minorHAnsi"/>
          <w:sz w:val="24"/>
          <w:szCs w:val="24"/>
        </w:rPr>
        <w:tab/>
      </w:r>
      <w:r w:rsidRPr="0055534E">
        <w:rPr>
          <w:rFonts w:cstheme="minorHAnsi"/>
          <w:sz w:val="24"/>
          <w:szCs w:val="24"/>
        </w:rPr>
        <w:tab/>
      </w:r>
      <w:r>
        <w:rPr>
          <w:rFonts w:cstheme="minorHAnsi"/>
          <w:sz w:val="24"/>
          <w:szCs w:val="24"/>
        </w:rPr>
        <w:tab/>
      </w:r>
      <w:r w:rsidRPr="0055534E">
        <w:rPr>
          <w:rFonts w:cstheme="minorHAnsi"/>
          <w:sz w:val="24"/>
          <w:szCs w:val="24"/>
        </w:rPr>
        <w:t>93</w:t>
      </w:r>
    </w:p>
    <w:p w:rsidR="0055534E" w:rsidRDefault="0055534E" w:rsidP="00471676">
      <w:pPr>
        <w:pStyle w:val="NoSpacing"/>
        <w:rPr>
          <w:rFonts w:cstheme="minorHAnsi"/>
          <w:sz w:val="24"/>
          <w:szCs w:val="24"/>
        </w:rPr>
      </w:pPr>
      <w:r w:rsidRPr="0055534E">
        <w:rPr>
          <w:rFonts w:cstheme="minorHAnsi"/>
          <w:sz w:val="24"/>
          <w:szCs w:val="24"/>
        </w:rPr>
        <w:t>Additional compliance reports</w:t>
      </w:r>
      <w:r w:rsidRPr="0055534E">
        <w:rPr>
          <w:rFonts w:cstheme="minorHAnsi"/>
          <w:sz w:val="24"/>
          <w:szCs w:val="24"/>
        </w:rPr>
        <w:tab/>
      </w:r>
      <w:r w:rsidRPr="0055534E">
        <w:rPr>
          <w:rFonts w:cstheme="minorHAnsi"/>
          <w:sz w:val="24"/>
          <w:szCs w:val="24"/>
        </w:rPr>
        <w:tab/>
        <w:t>97</w:t>
      </w:r>
    </w:p>
    <w:p w:rsidR="0055534E" w:rsidRDefault="0055534E" w:rsidP="00471676">
      <w:pPr>
        <w:pStyle w:val="NoSpacing"/>
        <w:rPr>
          <w:rFonts w:cstheme="minorHAnsi"/>
          <w:sz w:val="24"/>
          <w:szCs w:val="24"/>
        </w:rPr>
      </w:pPr>
      <w:r w:rsidRPr="0055534E">
        <w:rPr>
          <w:rFonts w:cstheme="minorHAnsi"/>
          <w:sz w:val="24"/>
          <w:szCs w:val="24"/>
        </w:rPr>
        <w:t xml:space="preserve">Environmental performance </w:t>
      </w:r>
      <w:r w:rsidRPr="0055534E">
        <w:rPr>
          <w:rFonts w:cstheme="minorHAnsi"/>
          <w:sz w:val="24"/>
          <w:szCs w:val="24"/>
        </w:rPr>
        <w:tab/>
      </w:r>
      <w:r w:rsidRPr="0055534E">
        <w:rPr>
          <w:rFonts w:cstheme="minorHAnsi"/>
          <w:sz w:val="24"/>
          <w:szCs w:val="24"/>
        </w:rPr>
        <w:tab/>
      </w:r>
      <w:r>
        <w:rPr>
          <w:rFonts w:cstheme="minorHAnsi"/>
          <w:sz w:val="24"/>
          <w:szCs w:val="24"/>
        </w:rPr>
        <w:tab/>
      </w:r>
      <w:r w:rsidRPr="0055534E">
        <w:rPr>
          <w:rFonts w:cstheme="minorHAnsi"/>
          <w:sz w:val="24"/>
          <w:szCs w:val="24"/>
        </w:rPr>
        <w:t>103</w:t>
      </w:r>
    </w:p>
    <w:p w:rsidR="0055534E" w:rsidRDefault="0055534E" w:rsidP="00471676">
      <w:pPr>
        <w:pStyle w:val="NoSpacing"/>
        <w:rPr>
          <w:rFonts w:cstheme="minorHAnsi"/>
          <w:sz w:val="24"/>
          <w:szCs w:val="24"/>
        </w:rPr>
      </w:pPr>
      <w:r w:rsidRPr="0055534E">
        <w:rPr>
          <w:rFonts w:cstheme="minorHAnsi"/>
          <w:sz w:val="24"/>
          <w:szCs w:val="24"/>
        </w:rPr>
        <w:t>Acronyms</w:t>
      </w:r>
      <w:r w:rsidRPr="0055534E">
        <w:rPr>
          <w:rFonts w:cstheme="minorHAnsi"/>
          <w:sz w:val="24"/>
          <w:szCs w:val="24"/>
        </w:rPr>
        <w:tab/>
      </w:r>
      <w:r w:rsidRPr="0055534E">
        <w:rPr>
          <w:rFonts w:cstheme="minorHAnsi"/>
          <w:sz w:val="24"/>
          <w:szCs w:val="24"/>
        </w:rPr>
        <w:tab/>
      </w:r>
      <w:r w:rsidRPr="0055534E">
        <w:rPr>
          <w:rFonts w:cstheme="minorHAnsi"/>
          <w:sz w:val="24"/>
          <w:szCs w:val="24"/>
        </w:rPr>
        <w:tab/>
      </w:r>
      <w:r w:rsidRPr="0055534E">
        <w:rPr>
          <w:rFonts w:cstheme="minorHAnsi"/>
          <w:sz w:val="24"/>
          <w:szCs w:val="24"/>
        </w:rPr>
        <w:tab/>
      </w:r>
      <w:r>
        <w:rPr>
          <w:rFonts w:cstheme="minorHAnsi"/>
          <w:sz w:val="24"/>
          <w:szCs w:val="24"/>
        </w:rPr>
        <w:tab/>
      </w:r>
      <w:r w:rsidRPr="0055534E">
        <w:rPr>
          <w:rFonts w:cstheme="minorHAnsi"/>
          <w:sz w:val="24"/>
          <w:szCs w:val="24"/>
        </w:rPr>
        <w:t>108</w:t>
      </w:r>
    </w:p>
    <w:p w:rsidR="0055534E" w:rsidRDefault="0055534E" w:rsidP="00471676">
      <w:pPr>
        <w:pStyle w:val="NoSpacing"/>
        <w:rPr>
          <w:rFonts w:cstheme="minorHAnsi"/>
          <w:sz w:val="24"/>
          <w:szCs w:val="24"/>
        </w:rPr>
      </w:pPr>
    </w:p>
    <w:p w:rsidR="00941859" w:rsidRPr="0055534E" w:rsidRDefault="00941859" w:rsidP="00471676">
      <w:pPr>
        <w:pStyle w:val="NoSpacing"/>
        <w:rPr>
          <w:rFonts w:cstheme="minorHAnsi"/>
          <w:sz w:val="24"/>
          <w:szCs w:val="24"/>
        </w:rPr>
      </w:pPr>
      <w:r w:rsidRPr="0055534E">
        <w:rPr>
          <w:rFonts w:cstheme="minorHAnsi"/>
          <w:sz w:val="24"/>
          <w:szCs w:val="24"/>
        </w:rPr>
        <w:t>&lt;pp&gt;</w:t>
      </w:r>
      <w:r w:rsidR="00D02C09" w:rsidRPr="0055534E">
        <w:rPr>
          <w:rFonts w:cstheme="minorHAnsi"/>
          <w:sz w:val="24"/>
          <w:szCs w:val="24"/>
        </w:rPr>
        <w:t>1</w:t>
      </w:r>
    </w:p>
    <w:p w:rsidR="00941859" w:rsidRPr="0055534E" w:rsidRDefault="00941859" w:rsidP="00471676">
      <w:pPr>
        <w:pStyle w:val="NoSpacing"/>
        <w:rPr>
          <w:rFonts w:cstheme="minorHAnsi"/>
          <w:sz w:val="24"/>
          <w:szCs w:val="24"/>
        </w:rPr>
      </w:pPr>
    </w:p>
    <w:p w:rsidR="00941859" w:rsidRPr="0055534E" w:rsidRDefault="00941859" w:rsidP="006914D6">
      <w:pPr>
        <w:pStyle w:val="Heading2"/>
      </w:pPr>
      <w:r w:rsidRPr="0055534E">
        <w:t xml:space="preserve">About this report </w:t>
      </w:r>
    </w:p>
    <w:p w:rsidR="00941859" w:rsidRPr="0055534E" w:rsidRDefault="00941859" w:rsidP="00471676">
      <w:pPr>
        <w:pStyle w:val="NoSpacing"/>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The Chisholm Institute 2017 Annual Report is a report to the Parliament of Victoria required under Section 45 of the Financial Management Act 1994.</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This document reports on the 2017 operations of Chisholm Institute, TAFE Online (Trading as Chisholm Online), Chisholm Academy and the Caroline Chisholm Education Foundation.</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It provides a consolidated financial statement, performance statement and other information required under Standing Directions of the Minister for F</w:t>
      </w:r>
      <w:r w:rsidR="00940F07">
        <w:rPr>
          <w:rFonts w:cstheme="minorHAnsi"/>
          <w:sz w:val="24"/>
          <w:szCs w:val="24"/>
        </w:rPr>
        <w:t xml:space="preserve">inance under the Act (Section 5 </w:t>
      </w:r>
      <w:r w:rsidRPr="0055534E">
        <w:rPr>
          <w:rFonts w:cstheme="minorHAnsi"/>
          <w:sz w:val="24"/>
          <w:szCs w:val="24"/>
        </w:rPr>
        <w:t>Compliance and Reporting) and the Financial Reporting Directions given under that Act.</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This report was prepared according to the reporting guidelines issued by the Higher Education and Skills Group, Department of Education and Training. It is based on the model Annual Report issued with the guidelines, in accordance with the Financial Management Act, Australian Accounting Standards, Statement of Accounting concepts, authoritative pronouncements of the Australian Accounting Standards Board and other legislative requirements.</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All financial information presented in this report is consistent with the audited consolidated financial report for Chisholm Institute.</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Inquiries about this report can be addressed to:</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The Chief Operating Officer</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 Institute</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PO Box 684</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Dandenong Vic 3175</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E: grant.radford@chisholm.edu.au</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More information about Chisholm</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Institute is available at</w:t>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chisholm.edu.au</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GRANT RADFORD</w:t>
      </w:r>
      <w:r w:rsidRPr="0055534E">
        <w:rPr>
          <w:rFonts w:cstheme="minorHAnsi"/>
          <w:sz w:val="24"/>
          <w:szCs w:val="24"/>
        </w:rPr>
        <w:tab/>
      </w:r>
      <w:r w:rsidRPr="0055534E">
        <w:rPr>
          <w:rFonts w:cstheme="minorHAnsi"/>
          <w:sz w:val="24"/>
          <w:szCs w:val="24"/>
        </w:rPr>
        <w:tab/>
      </w:r>
      <w:r w:rsidRPr="0055534E">
        <w:rPr>
          <w:rFonts w:cstheme="minorHAnsi"/>
          <w:sz w:val="24"/>
          <w:szCs w:val="24"/>
        </w:rPr>
        <w:tab/>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Acting Chief Executive Officer</w:t>
      </w:r>
      <w:r w:rsidRPr="0055534E">
        <w:rPr>
          <w:rFonts w:cstheme="minorHAnsi"/>
          <w:sz w:val="24"/>
          <w:szCs w:val="24"/>
        </w:rPr>
        <w:tab/>
      </w:r>
      <w:r w:rsidRPr="0055534E">
        <w:rPr>
          <w:rFonts w:cstheme="minorHAnsi"/>
          <w:sz w:val="24"/>
          <w:szCs w:val="24"/>
        </w:rPr>
        <w:tab/>
      </w: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28 February 2018</w:t>
      </w:r>
      <w:r w:rsidRPr="0055534E">
        <w:rPr>
          <w:rFonts w:cstheme="minorHAnsi"/>
          <w:sz w:val="24"/>
          <w:szCs w:val="24"/>
        </w:rPr>
        <w:tab/>
      </w:r>
      <w:r w:rsidRPr="0055534E">
        <w:rPr>
          <w:rFonts w:cstheme="minorHAnsi"/>
          <w:sz w:val="24"/>
          <w:szCs w:val="24"/>
        </w:rPr>
        <w:tab/>
      </w:r>
      <w:r w:rsidRPr="0055534E">
        <w:rPr>
          <w:rFonts w:cstheme="minorHAnsi"/>
          <w:sz w:val="24"/>
          <w:szCs w:val="24"/>
        </w:rPr>
        <w:tab/>
      </w:r>
    </w:p>
    <w:p w:rsidR="0035022F" w:rsidRDefault="0035022F" w:rsidP="00941859">
      <w:pPr>
        <w:autoSpaceDE w:val="0"/>
        <w:autoSpaceDN w:val="0"/>
        <w:adjustRightInd w:val="0"/>
        <w:spacing w:after="0" w:line="240" w:lineRule="auto"/>
        <w:rPr>
          <w:rFonts w:cstheme="minorHAnsi"/>
          <w:sz w:val="24"/>
          <w:szCs w:val="24"/>
        </w:rPr>
      </w:pPr>
    </w:p>
    <w:p w:rsidR="00941859" w:rsidRPr="0055534E" w:rsidRDefault="0035022F" w:rsidP="00941859">
      <w:pPr>
        <w:autoSpaceDE w:val="0"/>
        <w:autoSpaceDN w:val="0"/>
        <w:adjustRightInd w:val="0"/>
        <w:spacing w:after="0" w:line="240" w:lineRule="auto"/>
        <w:rPr>
          <w:rFonts w:cstheme="minorHAnsi"/>
          <w:sz w:val="24"/>
          <w:szCs w:val="24"/>
        </w:rPr>
      </w:pPr>
      <w:r w:rsidRPr="0055534E">
        <w:rPr>
          <w:rFonts w:cstheme="minorHAnsi"/>
          <w:sz w:val="24"/>
          <w:szCs w:val="24"/>
        </w:rPr>
        <w:t>SHEHANI MENDIS</w:t>
      </w:r>
    </w:p>
    <w:p w:rsidR="0035022F" w:rsidRDefault="0035022F" w:rsidP="00941859">
      <w:pPr>
        <w:autoSpaceDE w:val="0"/>
        <w:autoSpaceDN w:val="0"/>
        <w:adjustRightInd w:val="0"/>
        <w:spacing w:after="0" w:line="240" w:lineRule="auto"/>
        <w:rPr>
          <w:rFonts w:cstheme="minorHAnsi"/>
          <w:sz w:val="24"/>
          <w:szCs w:val="24"/>
        </w:rPr>
      </w:pPr>
      <w:r w:rsidRPr="0055534E">
        <w:rPr>
          <w:rFonts w:cstheme="minorHAnsi"/>
          <w:sz w:val="24"/>
          <w:szCs w:val="24"/>
        </w:rPr>
        <w:t>Chief Finance Officer</w:t>
      </w:r>
    </w:p>
    <w:p w:rsidR="0035022F" w:rsidRDefault="0035022F" w:rsidP="00941859">
      <w:pPr>
        <w:autoSpaceDE w:val="0"/>
        <w:autoSpaceDN w:val="0"/>
        <w:adjustRightInd w:val="0"/>
        <w:spacing w:after="0" w:line="240" w:lineRule="auto"/>
        <w:rPr>
          <w:rFonts w:cstheme="minorHAnsi"/>
          <w:sz w:val="24"/>
          <w:szCs w:val="24"/>
        </w:rPr>
      </w:pPr>
      <w:r w:rsidRPr="0055534E">
        <w:rPr>
          <w:rFonts w:cstheme="minorHAnsi"/>
          <w:sz w:val="24"/>
          <w:szCs w:val="24"/>
        </w:rPr>
        <w:t>28 February 2018</w:t>
      </w:r>
    </w:p>
    <w:p w:rsidR="0035022F" w:rsidRDefault="0035022F"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lastRenderedPageBreak/>
        <w:t>&lt;pp&gt;</w:t>
      </w:r>
      <w:r w:rsidR="00D02C09" w:rsidRPr="0055534E">
        <w:rPr>
          <w:rFonts w:cstheme="minorHAnsi"/>
          <w:sz w:val="24"/>
          <w:szCs w:val="24"/>
        </w:rPr>
        <w:t>2</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6914D6">
      <w:pPr>
        <w:pStyle w:val="Heading2"/>
      </w:pPr>
      <w:r w:rsidRPr="0055534E">
        <w:t>About Chisholm</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 has been leading the way in providing quality education and training throughout Victoria, nationally and overseas since 1998.</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 is a Victorian Government-owned training and further education (TAFE) provider established under the Education and Training Reform Act 2006. The responsible minister is The Honourable Gayle Tierney MP, Minister for Training and Skills.</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 is multi-sectoral, delivering a broad range of education and training programs and services across VET and higher education.</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 offers certificate, diploma, advanced diploma and graduate certificate courses, short courses and degree programs. Chisholm also serves one of Victoria’s most culturally diverse and fastest growing regions in south-east metropolitan region of Melbourne – with campuses in Dandenong, Frankston, Berwick, Cranbourne, Melbourne City, Mornington Peninsula and Bass Coast, as well as online and in the workplace.</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Through Chisholm’s strategic partnership with La Trobe University, students are able to study a number of La Trobe degree courses at Chisholm locations with opportunities to pathway via Chisholm certificate and diploma level courses. This allows flexibility with entry and exit points at various levels for higher education across disciplinary areas such as health, business, IT and education.</w:t>
      </w:r>
    </w:p>
    <w:p w:rsidR="00941859" w:rsidRPr="0055534E" w:rsidRDefault="00941859" w:rsidP="00941859">
      <w:pPr>
        <w:autoSpaceDE w:val="0"/>
        <w:autoSpaceDN w:val="0"/>
        <w:adjustRightInd w:val="0"/>
        <w:spacing w:after="0" w:line="240" w:lineRule="auto"/>
        <w:rPr>
          <w:rFonts w:cstheme="minorHAnsi"/>
          <w:sz w:val="24"/>
          <w:szCs w:val="24"/>
        </w:rPr>
      </w:pPr>
    </w:p>
    <w:p w:rsidR="00941859" w:rsidRPr="0055534E" w:rsidRDefault="00941859" w:rsidP="00941859">
      <w:pPr>
        <w:autoSpaceDE w:val="0"/>
        <w:autoSpaceDN w:val="0"/>
        <w:adjustRightInd w:val="0"/>
        <w:spacing w:after="0" w:line="240" w:lineRule="auto"/>
        <w:rPr>
          <w:rFonts w:cstheme="minorHAnsi"/>
          <w:sz w:val="24"/>
          <w:szCs w:val="24"/>
        </w:rPr>
      </w:pPr>
      <w:r w:rsidRPr="0055534E">
        <w:rPr>
          <w:rFonts w:cstheme="minorHAnsi"/>
          <w:sz w:val="24"/>
          <w:szCs w:val="24"/>
        </w:rPr>
        <w:t>Chisholm is a proud public TAFE institute that aims to provide quality, practical education to enhance the social and economic futures of individuals, industry and communities.</w:t>
      </w:r>
    </w:p>
    <w:p w:rsidR="008D6056" w:rsidRPr="0055534E" w:rsidRDefault="008D6056" w:rsidP="00941859">
      <w:pPr>
        <w:autoSpaceDE w:val="0"/>
        <w:autoSpaceDN w:val="0"/>
        <w:adjustRightInd w:val="0"/>
        <w:spacing w:after="0" w:line="240" w:lineRule="auto"/>
        <w:rPr>
          <w:rFonts w:cstheme="minorHAnsi"/>
          <w:sz w:val="24"/>
          <w:szCs w:val="24"/>
        </w:rPr>
      </w:pPr>
    </w:p>
    <w:p w:rsidR="008D6056" w:rsidRPr="0055534E" w:rsidRDefault="008D6056" w:rsidP="00941859">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3</w:t>
      </w:r>
      <w:r w:rsidRPr="0055534E">
        <w:rPr>
          <w:rFonts w:cstheme="minorHAnsi"/>
          <w:sz w:val="24"/>
          <w:szCs w:val="24"/>
        </w:rPr>
        <w:t xml:space="preserve"> </w:t>
      </w:r>
    </w:p>
    <w:p w:rsidR="008D6056" w:rsidRPr="0055534E" w:rsidRDefault="008D6056" w:rsidP="00941859">
      <w:pPr>
        <w:autoSpaceDE w:val="0"/>
        <w:autoSpaceDN w:val="0"/>
        <w:adjustRightInd w:val="0"/>
        <w:spacing w:after="0" w:line="240" w:lineRule="auto"/>
        <w:rPr>
          <w:rFonts w:cstheme="minorHAnsi"/>
          <w:sz w:val="24"/>
          <w:szCs w:val="24"/>
        </w:rPr>
      </w:pPr>
    </w:p>
    <w:p w:rsidR="008D6056" w:rsidRPr="0055534E" w:rsidRDefault="008D6056" w:rsidP="006914D6">
      <w:pPr>
        <w:pStyle w:val="Heading2"/>
      </w:pPr>
      <w:r w:rsidRPr="0055534E">
        <w:t>Board Chair’s Message</w:t>
      </w:r>
    </w:p>
    <w:p w:rsidR="008D6056" w:rsidRPr="0055534E" w:rsidRDefault="008D6056" w:rsidP="00941859">
      <w:pPr>
        <w:autoSpaceDE w:val="0"/>
        <w:autoSpaceDN w:val="0"/>
        <w:adjustRightInd w:val="0"/>
        <w:spacing w:after="0" w:line="240" w:lineRule="auto"/>
        <w:rPr>
          <w:rFonts w:cstheme="minorHAnsi"/>
          <w:sz w:val="24"/>
          <w:szCs w:val="24"/>
        </w:rPr>
      </w:pPr>
    </w:p>
    <w:p w:rsidR="008D6056" w:rsidRPr="0055534E" w:rsidRDefault="008D6056" w:rsidP="00941859">
      <w:pPr>
        <w:autoSpaceDE w:val="0"/>
        <w:autoSpaceDN w:val="0"/>
        <w:adjustRightInd w:val="0"/>
        <w:spacing w:after="0" w:line="240" w:lineRule="auto"/>
        <w:rPr>
          <w:rFonts w:cstheme="minorHAnsi"/>
          <w:sz w:val="24"/>
          <w:szCs w:val="24"/>
        </w:rPr>
      </w:pPr>
      <w:r w:rsidRPr="0055534E">
        <w:rPr>
          <w:rFonts w:cstheme="minorHAnsi"/>
          <w:sz w:val="24"/>
          <w:szCs w:val="24"/>
        </w:rPr>
        <w:t>It is with pleasure that I present the Institute’s Annual Report for 2017. During the past year, Chisholm has continued its strong commitment to its students, industry and the community.</w:t>
      </w:r>
    </w:p>
    <w:p w:rsidR="008D6056" w:rsidRPr="0055534E" w:rsidRDefault="008D6056" w:rsidP="00941859">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The Chisholm Board reviewed its strategy this year and confirmed its focus on the strategic drivers to guide our efforts over the next few years. Strong governance and a clear vision for the future has seen Chisholm grow in the past year.</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Chisholm remains committed to providing a quality education and training experience that is relevant to today’s jobs and employment. In partnership with government, Chisholm continues to develop its campuses to provide infrastructure and industry-standard facilities. This enables us to provide a top-class education for our students and prepare them for the future of work and to meet the needs of industry and the Victorian economy.</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lastRenderedPageBreak/>
        <w:t>We value our partnerships with industry, our role in the community and the strength of our partnerships with other educational institutions in Australia and overseas. Our partnerships with regional schools and La Trobe University provide pathways for students they might otherwise not have.</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On behalf of the Board, I would like to acknowledge and thank our Chief Executive Officer, Maria Peters, who retired at the end of 2017. Maria is a true leader in education and training whose knowledge and passion for education has contributed significantly over many years to the success of the Institute. The Board was particularly pleased to see the recognition given to Maria when she received the Lynne Kosky Memorial Award for Lifetime Achievement, for her contribution to the VET system as a whole. Maria is highly respected by her colleagues and has shown an unwavering commitment and dedication to the success of Chisholm and its students.</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I would also like to thank Chisholm’s Executive Leadership Team who have all worked tirelessly to implement the Board’s strategy and achieve excellent outcomes for Chisholm’s students and clients.</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I particularly thank the Board members for their commitment and strong governance. Chisholm continues to be a market leader in education in Victoria. I am immensely proud of the achievements of 2017 and have confidence that Chisholm will meet the challenges and opportunities of the year ahead.</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STEPHEN G. MARKS</w:t>
      </w: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Board Chair</w:t>
      </w: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28 February 2018</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4</w:t>
      </w:r>
      <w:r w:rsidR="005F2D9D" w:rsidRPr="0055534E">
        <w:rPr>
          <w:rFonts w:cstheme="minorHAnsi"/>
          <w:sz w:val="24"/>
          <w:szCs w:val="24"/>
        </w:rPr>
        <w:t xml:space="preserve"> </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6914D6">
      <w:pPr>
        <w:pStyle w:val="Heading2"/>
      </w:pPr>
      <w:r w:rsidRPr="0055534E">
        <w:t>CEO’s Message</w:t>
      </w:r>
    </w:p>
    <w:p w:rsidR="008D6056" w:rsidRPr="0055534E" w:rsidRDefault="008D6056" w:rsidP="008D6056">
      <w:pPr>
        <w:autoSpaceDE w:val="0"/>
        <w:autoSpaceDN w:val="0"/>
        <w:adjustRightInd w:val="0"/>
        <w:spacing w:after="0" w:line="240" w:lineRule="auto"/>
        <w:rPr>
          <w:rFonts w:cstheme="minorHAnsi"/>
          <w:sz w:val="24"/>
          <w:szCs w:val="24"/>
        </w:rPr>
      </w:pPr>
    </w:p>
    <w:p w:rsidR="008D6056" w:rsidRPr="0055534E" w:rsidRDefault="008D6056" w:rsidP="008D6056">
      <w:pPr>
        <w:autoSpaceDE w:val="0"/>
        <w:autoSpaceDN w:val="0"/>
        <w:adjustRightInd w:val="0"/>
        <w:spacing w:after="0" w:line="240" w:lineRule="auto"/>
        <w:rPr>
          <w:rFonts w:cstheme="minorHAnsi"/>
          <w:sz w:val="24"/>
          <w:szCs w:val="24"/>
        </w:rPr>
      </w:pPr>
      <w:r w:rsidRPr="0055534E">
        <w:rPr>
          <w:rFonts w:cstheme="minorHAnsi"/>
          <w:sz w:val="24"/>
          <w:szCs w:val="24"/>
        </w:rPr>
        <w:t xml:space="preserve">Chisholm </w:t>
      </w:r>
      <w:r w:rsidR="00AA1609" w:rsidRPr="0055534E">
        <w:rPr>
          <w:rFonts w:cstheme="minorHAnsi"/>
          <w:sz w:val="24"/>
          <w:szCs w:val="24"/>
        </w:rPr>
        <w:t>achieved another solid year in 2017 to maintain its status as one of the strongest and most sustainable TAFE Institutes in Victoria’s public education sector.</w:t>
      </w:r>
    </w:p>
    <w:p w:rsidR="00AA1609" w:rsidRPr="0055534E" w:rsidRDefault="00AA1609" w:rsidP="008D6056">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 xml:space="preserve">Within its principle region of Melbourne’s south east, Chisholm has retained its quality work, commitment to industry, students and vitality in a changing training market. The introduction of the Skills First policy and sector reform by the Victorian Government has enabled TAFE institutes to increase market share and has brought some stability to the public’s perception of VET. This has elevated the quality, regard and durability of TAFE qualifications and awards. The TAFE education and training system is fundamental to meeting the needs of students, industry and communities, and is critical to our society and the Victorian economy. </w:t>
      </w:r>
    </w:p>
    <w:p w:rsidR="00AA1609" w:rsidRPr="0055534E" w:rsidRDefault="00AA1609"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Chisholm has definitely been on the move. In 2017, we were able to invest in our future. Working closely with industry, the Frankston redevelopment is quickly taking shape and construction of the</w:t>
      </w: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lastRenderedPageBreak/>
        <w:t>Centre for Health at Berwick is underway. When combined with the Casey Tech School, a Science, Technology, Engineering and Mathematics (STEM) innovation linking secondary students with vocational applications, these construction projects are a significant investment in regional education and training capability, and place Chisholm at the forefront of VET. New facilities will bring a new sense of life and vibrancy and our students and industry will benef</w:t>
      </w:r>
      <w:r w:rsidR="000C5F30" w:rsidRPr="0055534E">
        <w:rPr>
          <w:rFonts w:cstheme="minorHAnsi"/>
          <w:sz w:val="24"/>
          <w:szCs w:val="24"/>
        </w:rPr>
        <w:t xml:space="preserve">it from </w:t>
      </w:r>
      <w:r w:rsidRPr="0055534E">
        <w:rPr>
          <w:rFonts w:cstheme="minorHAnsi"/>
          <w:sz w:val="24"/>
          <w:szCs w:val="24"/>
        </w:rPr>
        <w:t>these d</w:t>
      </w:r>
      <w:r w:rsidR="000C5F30" w:rsidRPr="0055534E">
        <w:rPr>
          <w:rFonts w:cstheme="minorHAnsi"/>
          <w:sz w:val="24"/>
          <w:szCs w:val="24"/>
        </w:rPr>
        <w:t xml:space="preserve">evelopments as they support the </w:t>
      </w:r>
      <w:r w:rsidRPr="0055534E">
        <w:rPr>
          <w:rFonts w:cstheme="minorHAnsi"/>
          <w:sz w:val="24"/>
          <w:szCs w:val="24"/>
        </w:rPr>
        <w:t>type of r</w:t>
      </w:r>
      <w:r w:rsidR="000C5F30" w:rsidRPr="0055534E">
        <w:rPr>
          <w:rFonts w:cstheme="minorHAnsi"/>
          <w:sz w:val="24"/>
          <w:szCs w:val="24"/>
        </w:rPr>
        <w:t xml:space="preserve">elevant and innovative training </w:t>
      </w:r>
      <w:r w:rsidRPr="0055534E">
        <w:rPr>
          <w:rFonts w:cstheme="minorHAnsi"/>
          <w:sz w:val="24"/>
          <w:szCs w:val="24"/>
        </w:rPr>
        <w:t>that le</w:t>
      </w:r>
      <w:r w:rsidR="000C5F30" w:rsidRPr="0055534E">
        <w:rPr>
          <w:rFonts w:cstheme="minorHAnsi"/>
          <w:sz w:val="24"/>
          <w:szCs w:val="24"/>
        </w:rPr>
        <w:t xml:space="preserve">ads to employment opportunities </w:t>
      </w:r>
      <w:r w:rsidRPr="0055534E">
        <w:rPr>
          <w:rFonts w:cstheme="minorHAnsi"/>
          <w:sz w:val="24"/>
          <w:szCs w:val="24"/>
        </w:rPr>
        <w:t>and jobs in demand.</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The</w:t>
      </w:r>
      <w:r w:rsidR="000C5F30" w:rsidRPr="0055534E">
        <w:rPr>
          <w:rFonts w:cstheme="minorHAnsi"/>
          <w:sz w:val="24"/>
          <w:szCs w:val="24"/>
        </w:rPr>
        <w:t xml:space="preserve">re were so many initiatives and achievements in 2017. A sample </w:t>
      </w:r>
      <w:r w:rsidRPr="0055534E">
        <w:rPr>
          <w:rFonts w:cstheme="minorHAnsi"/>
          <w:sz w:val="24"/>
          <w:szCs w:val="24"/>
        </w:rPr>
        <w:t>incl</w:t>
      </w:r>
      <w:r w:rsidR="000C5F30" w:rsidRPr="0055534E">
        <w:rPr>
          <w:rFonts w:cstheme="minorHAnsi"/>
          <w:sz w:val="24"/>
          <w:szCs w:val="24"/>
        </w:rPr>
        <w:t xml:space="preserve">udes: commencing the Australian </w:t>
      </w:r>
      <w:r w:rsidRPr="0055534E">
        <w:rPr>
          <w:rFonts w:cstheme="minorHAnsi"/>
          <w:sz w:val="24"/>
          <w:szCs w:val="24"/>
        </w:rPr>
        <w:t>Governm</w:t>
      </w:r>
      <w:r w:rsidR="000C5F30" w:rsidRPr="0055534E">
        <w:rPr>
          <w:rFonts w:cstheme="minorHAnsi"/>
          <w:sz w:val="24"/>
          <w:szCs w:val="24"/>
        </w:rPr>
        <w:t xml:space="preserve">ent’s program for adult migrants (AMEP); commencing a </w:t>
      </w:r>
      <w:r w:rsidRPr="0055534E">
        <w:rPr>
          <w:rFonts w:cstheme="minorHAnsi"/>
          <w:sz w:val="24"/>
          <w:szCs w:val="24"/>
        </w:rPr>
        <w:t>traineeshi</w:t>
      </w:r>
      <w:r w:rsidR="000C5F30" w:rsidRPr="0055534E">
        <w:rPr>
          <w:rFonts w:cstheme="minorHAnsi"/>
          <w:sz w:val="24"/>
          <w:szCs w:val="24"/>
        </w:rPr>
        <w:t xml:space="preserve">p in cyber security; developing </w:t>
      </w:r>
      <w:r w:rsidRPr="0055534E">
        <w:rPr>
          <w:rFonts w:cstheme="minorHAnsi"/>
          <w:sz w:val="24"/>
          <w:szCs w:val="24"/>
        </w:rPr>
        <w:t>virtual real</w:t>
      </w:r>
      <w:r w:rsidR="000C5F30" w:rsidRPr="0055534E">
        <w:rPr>
          <w:rFonts w:cstheme="minorHAnsi"/>
          <w:sz w:val="24"/>
          <w:szCs w:val="24"/>
        </w:rPr>
        <w:t xml:space="preserve">ity learning tools; redesigning </w:t>
      </w:r>
      <w:r w:rsidRPr="0055534E">
        <w:rPr>
          <w:rFonts w:cstheme="minorHAnsi"/>
          <w:sz w:val="24"/>
          <w:szCs w:val="24"/>
        </w:rPr>
        <w:t>the p</w:t>
      </w:r>
      <w:r w:rsidR="000C5F30" w:rsidRPr="0055534E">
        <w:rPr>
          <w:rFonts w:cstheme="minorHAnsi"/>
          <w:sz w:val="24"/>
          <w:szCs w:val="24"/>
        </w:rPr>
        <w:t xml:space="preserve">lumbing delivery apprenticeship </w:t>
      </w:r>
      <w:r w:rsidRPr="0055534E">
        <w:rPr>
          <w:rFonts w:cstheme="minorHAnsi"/>
          <w:sz w:val="24"/>
          <w:szCs w:val="24"/>
        </w:rPr>
        <w:t xml:space="preserve">in </w:t>
      </w:r>
      <w:r w:rsidR="000C5F30" w:rsidRPr="0055534E">
        <w:rPr>
          <w:rFonts w:cstheme="minorHAnsi"/>
          <w:sz w:val="24"/>
          <w:szCs w:val="24"/>
        </w:rPr>
        <w:t xml:space="preserve">partnership with employers; and </w:t>
      </w:r>
      <w:r w:rsidRPr="0055534E">
        <w:rPr>
          <w:rFonts w:cstheme="minorHAnsi"/>
          <w:sz w:val="24"/>
          <w:szCs w:val="24"/>
        </w:rPr>
        <w:t>achievi</w:t>
      </w:r>
      <w:r w:rsidR="000C5F30" w:rsidRPr="0055534E">
        <w:rPr>
          <w:rFonts w:cstheme="minorHAnsi"/>
          <w:sz w:val="24"/>
          <w:szCs w:val="24"/>
        </w:rPr>
        <w:t xml:space="preserve">ng strong retention and student </w:t>
      </w:r>
      <w:r w:rsidRPr="0055534E">
        <w:rPr>
          <w:rFonts w:cstheme="minorHAnsi"/>
          <w:sz w:val="24"/>
          <w:szCs w:val="24"/>
        </w:rPr>
        <w:t>succe</w:t>
      </w:r>
      <w:r w:rsidR="000C5F30" w:rsidRPr="0055534E">
        <w:rPr>
          <w:rFonts w:cstheme="minorHAnsi"/>
          <w:sz w:val="24"/>
          <w:szCs w:val="24"/>
        </w:rPr>
        <w:t xml:space="preserve">ss in Chisholm Online. We </w:t>
      </w:r>
      <w:r w:rsidRPr="0055534E">
        <w:rPr>
          <w:rFonts w:cstheme="minorHAnsi"/>
          <w:sz w:val="24"/>
          <w:szCs w:val="24"/>
        </w:rPr>
        <w:t>con</w:t>
      </w:r>
      <w:r w:rsidR="000C5F30" w:rsidRPr="0055534E">
        <w:rPr>
          <w:rFonts w:cstheme="minorHAnsi"/>
          <w:sz w:val="24"/>
          <w:szCs w:val="24"/>
        </w:rPr>
        <w:t xml:space="preserve">tinued to work with industry on </w:t>
      </w:r>
      <w:r w:rsidRPr="0055534E">
        <w:rPr>
          <w:rFonts w:cstheme="minorHAnsi"/>
          <w:sz w:val="24"/>
          <w:szCs w:val="24"/>
        </w:rPr>
        <w:t>fut</w:t>
      </w:r>
      <w:r w:rsidR="000C5F30" w:rsidRPr="0055534E">
        <w:rPr>
          <w:rFonts w:cstheme="minorHAnsi"/>
          <w:sz w:val="24"/>
          <w:szCs w:val="24"/>
        </w:rPr>
        <w:t xml:space="preserve">ure workforce needs and new and </w:t>
      </w:r>
      <w:r w:rsidRPr="0055534E">
        <w:rPr>
          <w:rFonts w:cstheme="minorHAnsi"/>
          <w:sz w:val="24"/>
          <w:szCs w:val="24"/>
        </w:rPr>
        <w:t>emerging</w:t>
      </w:r>
      <w:r w:rsidR="000C5F30" w:rsidRPr="0055534E">
        <w:rPr>
          <w:rFonts w:cstheme="minorHAnsi"/>
          <w:sz w:val="24"/>
          <w:szCs w:val="24"/>
        </w:rPr>
        <w:t xml:space="preserve"> jobs and aligning our delivery </w:t>
      </w:r>
      <w:r w:rsidRPr="0055534E">
        <w:rPr>
          <w:rFonts w:cstheme="minorHAnsi"/>
          <w:sz w:val="24"/>
          <w:szCs w:val="24"/>
        </w:rPr>
        <w:t>accordin</w:t>
      </w:r>
      <w:r w:rsidR="000C5F30" w:rsidRPr="0055534E">
        <w:rPr>
          <w:rFonts w:cstheme="minorHAnsi"/>
          <w:sz w:val="24"/>
          <w:szCs w:val="24"/>
        </w:rPr>
        <w:t xml:space="preserve">gly. Chisholm is diverse and is </w:t>
      </w:r>
      <w:r w:rsidRPr="0055534E">
        <w:rPr>
          <w:rFonts w:cstheme="minorHAnsi"/>
          <w:sz w:val="24"/>
          <w:szCs w:val="24"/>
        </w:rPr>
        <w:t>continuin</w:t>
      </w:r>
      <w:r w:rsidR="000C5F30" w:rsidRPr="0055534E">
        <w:rPr>
          <w:rFonts w:cstheme="minorHAnsi"/>
          <w:sz w:val="24"/>
          <w:szCs w:val="24"/>
        </w:rPr>
        <w:t xml:space="preserve">g to invest in its capacity and </w:t>
      </w:r>
      <w:r w:rsidRPr="0055534E">
        <w:rPr>
          <w:rFonts w:cstheme="minorHAnsi"/>
          <w:sz w:val="24"/>
          <w:szCs w:val="24"/>
        </w:rPr>
        <w:t>capabil</w:t>
      </w:r>
      <w:r w:rsidR="000C5F30" w:rsidRPr="0055534E">
        <w:rPr>
          <w:rFonts w:cstheme="minorHAnsi"/>
          <w:sz w:val="24"/>
          <w:szCs w:val="24"/>
        </w:rPr>
        <w:t xml:space="preserve">ity through initiatives such as </w:t>
      </w:r>
      <w:r w:rsidRPr="0055534E">
        <w:rPr>
          <w:rFonts w:cstheme="minorHAnsi"/>
          <w:sz w:val="24"/>
          <w:szCs w:val="24"/>
        </w:rPr>
        <w:t>the E</w:t>
      </w:r>
      <w:r w:rsidR="000C5F30" w:rsidRPr="0055534E">
        <w:rPr>
          <w:rFonts w:cstheme="minorHAnsi"/>
          <w:sz w:val="24"/>
          <w:szCs w:val="24"/>
        </w:rPr>
        <w:t xml:space="preserve">ducational Excellence Framework </w:t>
      </w:r>
      <w:r w:rsidRPr="0055534E">
        <w:rPr>
          <w:rFonts w:cstheme="minorHAnsi"/>
          <w:sz w:val="24"/>
          <w:szCs w:val="24"/>
        </w:rPr>
        <w:t>a</w:t>
      </w:r>
      <w:r w:rsidR="000C5F30" w:rsidRPr="0055534E">
        <w:rPr>
          <w:rFonts w:cstheme="minorHAnsi"/>
          <w:sz w:val="24"/>
          <w:szCs w:val="24"/>
        </w:rPr>
        <w:t xml:space="preserve">nd the Professional Development Framework, the latter which now </w:t>
      </w:r>
      <w:r w:rsidRPr="0055534E">
        <w:rPr>
          <w:rFonts w:cstheme="minorHAnsi"/>
          <w:sz w:val="24"/>
          <w:szCs w:val="24"/>
        </w:rPr>
        <w:t>include</w:t>
      </w:r>
      <w:r w:rsidR="000C5F30" w:rsidRPr="0055534E">
        <w:rPr>
          <w:rFonts w:cstheme="minorHAnsi"/>
          <w:sz w:val="24"/>
          <w:szCs w:val="24"/>
        </w:rPr>
        <w:t xml:space="preserve">s a full suite of programs that </w:t>
      </w:r>
      <w:r w:rsidRPr="0055534E">
        <w:rPr>
          <w:rFonts w:cstheme="minorHAnsi"/>
          <w:sz w:val="24"/>
          <w:szCs w:val="24"/>
        </w:rPr>
        <w:t>c</w:t>
      </w:r>
      <w:r w:rsidR="000C5F30" w:rsidRPr="0055534E">
        <w:rPr>
          <w:rFonts w:cstheme="minorHAnsi"/>
          <w:sz w:val="24"/>
          <w:szCs w:val="24"/>
        </w:rPr>
        <w:t xml:space="preserve">an be accessed by educators and </w:t>
      </w:r>
      <w:r w:rsidRPr="0055534E">
        <w:rPr>
          <w:rFonts w:cstheme="minorHAnsi"/>
          <w:sz w:val="24"/>
          <w:szCs w:val="24"/>
        </w:rPr>
        <w:t>professional staff.</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0C5F30" w:rsidP="00AA1609">
      <w:pPr>
        <w:autoSpaceDE w:val="0"/>
        <w:autoSpaceDN w:val="0"/>
        <w:adjustRightInd w:val="0"/>
        <w:spacing w:after="0" w:line="240" w:lineRule="auto"/>
        <w:rPr>
          <w:rFonts w:cstheme="minorHAnsi"/>
          <w:sz w:val="24"/>
          <w:szCs w:val="24"/>
        </w:rPr>
      </w:pPr>
      <w:r w:rsidRPr="0055534E">
        <w:rPr>
          <w:rFonts w:cstheme="minorHAnsi"/>
          <w:sz w:val="24"/>
          <w:szCs w:val="24"/>
        </w:rPr>
        <w:t xml:space="preserve">One measure of the success of a </w:t>
      </w:r>
      <w:r w:rsidR="00AA1609" w:rsidRPr="0055534E">
        <w:rPr>
          <w:rFonts w:cstheme="minorHAnsi"/>
          <w:sz w:val="24"/>
          <w:szCs w:val="24"/>
        </w:rPr>
        <w:t>training organisation is the a</w:t>
      </w:r>
      <w:r w:rsidRPr="0055534E">
        <w:rPr>
          <w:rFonts w:cstheme="minorHAnsi"/>
          <w:sz w:val="24"/>
          <w:szCs w:val="24"/>
        </w:rPr>
        <w:t xml:space="preserve">wards that it </w:t>
      </w:r>
      <w:r w:rsidR="00AA1609" w:rsidRPr="0055534E">
        <w:rPr>
          <w:rFonts w:cstheme="minorHAnsi"/>
          <w:sz w:val="24"/>
          <w:szCs w:val="24"/>
        </w:rPr>
        <w:t>wins, parti</w:t>
      </w:r>
      <w:r w:rsidRPr="0055534E">
        <w:rPr>
          <w:rFonts w:cstheme="minorHAnsi"/>
          <w:sz w:val="24"/>
          <w:szCs w:val="24"/>
        </w:rPr>
        <w:t xml:space="preserve">cularly for students and staff. </w:t>
      </w:r>
      <w:r w:rsidR="00AA1609" w:rsidRPr="0055534E">
        <w:rPr>
          <w:rFonts w:cstheme="minorHAnsi"/>
          <w:sz w:val="24"/>
          <w:szCs w:val="24"/>
        </w:rPr>
        <w:t>Thes</w:t>
      </w:r>
      <w:r w:rsidRPr="0055534E">
        <w:rPr>
          <w:rFonts w:cstheme="minorHAnsi"/>
          <w:sz w:val="24"/>
          <w:szCs w:val="24"/>
        </w:rPr>
        <w:t xml:space="preserve">e awards are expressions of the </w:t>
      </w:r>
      <w:r w:rsidR="00AA1609" w:rsidRPr="0055534E">
        <w:rPr>
          <w:rFonts w:cstheme="minorHAnsi"/>
          <w:sz w:val="24"/>
          <w:szCs w:val="24"/>
        </w:rPr>
        <w:t>quality</w:t>
      </w:r>
      <w:r w:rsidRPr="0055534E">
        <w:rPr>
          <w:rFonts w:cstheme="minorHAnsi"/>
          <w:sz w:val="24"/>
          <w:szCs w:val="24"/>
        </w:rPr>
        <w:t xml:space="preserve"> of delivery and the commitment </w:t>
      </w:r>
      <w:r w:rsidR="00AA1609" w:rsidRPr="0055534E">
        <w:rPr>
          <w:rFonts w:cstheme="minorHAnsi"/>
          <w:sz w:val="24"/>
          <w:szCs w:val="24"/>
        </w:rPr>
        <w:t>of st</w:t>
      </w:r>
      <w:r w:rsidRPr="0055534E">
        <w:rPr>
          <w:rFonts w:cstheme="minorHAnsi"/>
          <w:sz w:val="24"/>
          <w:szCs w:val="24"/>
        </w:rPr>
        <w:t xml:space="preserve">aff to excellence. Our students </w:t>
      </w:r>
      <w:r w:rsidR="00AA1609" w:rsidRPr="0055534E">
        <w:rPr>
          <w:rFonts w:cstheme="minorHAnsi"/>
          <w:sz w:val="24"/>
          <w:szCs w:val="24"/>
        </w:rPr>
        <w:t>also</w:t>
      </w:r>
      <w:r w:rsidRPr="0055534E">
        <w:rPr>
          <w:rFonts w:cstheme="minorHAnsi"/>
          <w:sz w:val="24"/>
          <w:szCs w:val="24"/>
        </w:rPr>
        <w:t xml:space="preserve"> achieved in local and national </w:t>
      </w:r>
      <w:r w:rsidR="00AA1609" w:rsidRPr="0055534E">
        <w:rPr>
          <w:rFonts w:cstheme="minorHAnsi"/>
          <w:sz w:val="24"/>
          <w:szCs w:val="24"/>
        </w:rPr>
        <w:t>awards, p</w:t>
      </w:r>
      <w:r w:rsidRPr="0055534E">
        <w:rPr>
          <w:rFonts w:cstheme="minorHAnsi"/>
          <w:sz w:val="24"/>
          <w:szCs w:val="24"/>
        </w:rPr>
        <w:t xml:space="preserve">articularly in industry awards, </w:t>
      </w:r>
      <w:r w:rsidR="00AA1609" w:rsidRPr="0055534E">
        <w:rPr>
          <w:rFonts w:cstheme="minorHAnsi"/>
          <w:sz w:val="24"/>
          <w:szCs w:val="24"/>
        </w:rPr>
        <w:t>where succ</w:t>
      </w:r>
      <w:r w:rsidRPr="0055534E">
        <w:rPr>
          <w:rFonts w:cstheme="minorHAnsi"/>
          <w:sz w:val="24"/>
          <w:szCs w:val="24"/>
        </w:rPr>
        <w:t xml:space="preserve">ess is a signal of the quality </w:t>
      </w:r>
      <w:r w:rsidR="00AA1609" w:rsidRPr="0055534E">
        <w:rPr>
          <w:rFonts w:cstheme="minorHAnsi"/>
          <w:sz w:val="24"/>
          <w:szCs w:val="24"/>
        </w:rPr>
        <w:t>of t</w:t>
      </w:r>
      <w:r w:rsidRPr="0055534E">
        <w:rPr>
          <w:rFonts w:cstheme="minorHAnsi"/>
          <w:sz w:val="24"/>
          <w:szCs w:val="24"/>
        </w:rPr>
        <w:t xml:space="preserve">heir work and the value of what </w:t>
      </w:r>
      <w:r w:rsidR="00AA1609" w:rsidRPr="0055534E">
        <w:rPr>
          <w:rFonts w:cstheme="minorHAnsi"/>
          <w:sz w:val="24"/>
          <w:szCs w:val="24"/>
        </w:rPr>
        <w:t>Chish</w:t>
      </w:r>
      <w:r w:rsidRPr="0055534E">
        <w:rPr>
          <w:rFonts w:cstheme="minorHAnsi"/>
          <w:sz w:val="24"/>
          <w:szCs w:val="24"/>
        </w:rPr>
        <w:t xml:space="preserve">olm offers to the community and </w:t>
      </w:r>
      <w:r w:rsidR="00AA1609" w:rsidRPr="0055534E">
        <w:rPr>
          <w:rFonts w:cstheme="minorHAnsi"/>
          <w:sz w:val="24"/>
          <w:szCs w:val="24"/>
        </w:rPr>
        <w:t>indus</w:t>
      </w:r>
      <w:r w:rsidRPr="0055534E">
        <w:rPr>
          <w:rFonts w:cstheme="minorHAnsi"/>
          <w:sz w:val="24"/>
          <w:szCs w:val="24"/>
        </w:rPr>
        <w:t xml:space="preserve">try. This year, Chisholm staff, </w:t>
      </w:r>
      <w:r w:rsidR="00AA1609" w:rsidRPr="0055534E">
        <w:rPr>
          <w:rFonts w:cstheme="minorHAnsi"/>
          <w:sz w:val="24"/>
          <w:szCs w:val="24"/>
        </w:rPr>
        <w:t>students</w:t>
      </w:r>
      <w:r w:rsidRPr="0055534E">
        <w:rPr>
          <w:rFonts w:cstheme="minorHAnsi"/>
          <w:sz w:val="24"/>
          <w:szCs w:val="24"/>
        </w:rPr>
        <w:t xml:space="preserve"> and our industry partners were </w:t>
      </w:r>
      <w:r w:rsidR="00AA1609" w:rsidRPr="0055534E">
        <w:rPr>
          <w:rFonts w:cstheme="minorHAnsi"/>
          <w:sz w:val="24"/>
          <w:szCs w:val="24"/>
        </w:rPr>
        <w:t>represented at the Chisholm Awards.</w:t>
      </w: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Th</w:t>
      </w:r>
      <w:r w:rsidR="000C5F30" w:rsidRPr="0055534E">
        <w:rPr>
          <w:rFonts w:cstheme="minorHAnsi"/>
          <w:sz w:val="24"/>
          <w:szCs w:val="24"/>
        </w:rPr>
        <w:t xml:space="preserve">ese are outlined in this annual </w:t>
      </w:r>
      <w:r w:rsidRPr="0055534E">
        <w:rPr>
          <w:rFonts w:cstheme="minorHAnsi"/>
          <w:sz w:val="24"/>
          <w:szCs w:val="24"/>
        </w:rPr>
        <w:t>repor</w:t>
      </w:r>
      <w:r w:rsidR="000C5F30" w:rsidRPr="0055534E">
        <w:rPr>
          <w:rFonts w:cstheme="minorHAnsi"/>
          <w:sz w:val="24"/>
          <w:szCs w:val="24"/>
        </w:rPr>
        <w:t xml:space="preserve">t. One member of staff received </w:t>
      </w:r>
      <w:r w:rsidRPr="0055534E">
        <w:rPr>
          <w:rFonts w:cstheme="minorHAnsi"/>
          <w:sz w:val="24"/>
          <w:szCs w:val="24"/>
        </w:rPr>
        <w:t>a natio</w:t>
      </w:r>
      <w:r w:rsidR="000C5F30" w:rsidRPr="0055534E">
        <w:rPr>
          <w:rFonts w:cstheme="minorHAnsi"/>
          <w:sz w:val="24"/>
          <w:szCs w:val="24"/>
        </w:rPr>
        <w:t xml:space="preserve">nal training award, other staff </w:t>
      </w:r>
      <w:r w:rsidRPr="0055534E">
        <w:rPr>
          <w:rFonts w:cstheme="minorHAnsi"/>
          <w:sz w:val="24"/>
          <w:szCs w:val="24"/>
        </w:rPr>
        <w:t>wer</w:t>
      </w:r>
      <w:r w:rsidR="000C5F30" w:rsidRPr="0055534E">
        <w:rPr>
          <w:rFonts w:cstheme="minorHAnsi"/>
          <w:sz w:val="24"/>
          <w:szCs w:val="24"/>
        </w:rPr>
        <w:t xml:space="preserve">e recognised in industry awards </w:t>
      </w:r>
      <w:r w:rsidRPr="0055534E">
        <w:rPr>
          <w:rFonts w:cstheme="minorHAnsi"/>
          <w:sz w:val="24"/>
          <w:szCs w:val="24"/>
        </w:rPr>
        <w:t>and</w:t>
      </w:r>
      <w:r w:rsidR="000C5F30" w:rsidRPr="0055534E">
        <w:rPr>
          <w:rFonts w:cstheme="minorHAnsi"/>
          <w:sz w:val="24"/>
          <w:szCs w:val="24"/>
        </w:rPr>
        <w:t xml:space="preserve"> many of our students completed </w:t>
      </w:r>
      <w:r w:rsidRPr="0055534E">
        <w:rPr>
          <w:rFonts w:cstheme="minorHAnsi"/>
          <w:sz w:val="24"/>
          <w:szCs w:val="24"/>
        </w:rPr>
        <w:t>their t</w:t>
      </w:r>
      <w:r w:rsidR="000C5F30" w:rsidRPr="0055534E">
        <w:rPr>
          <w:rFonts w:cstheme="minorHAnsi"/>
          <w:sz w:val="24"/>
          <w:szCs w:val="24"/>
        </w:rPr>
        <w:t xml:space="preserve">raining by receiving a Chisholm </w:t>
      </w:r>
      <w:r w:rsidRPr="0055534E">
        <w:rPr>
          <w:rFonts w:cstheme="minorHAnsi"/>
          <w:sz w:val="24"/>
          <w:szCs w:val="24"/>
        </w:rPr>
        <w:t xml:space="preserve">award </w:t>
      </w:r>
      <w:r w:rsidR="000C5F30" w:rsidRPr="0055534E">
        <w:rPr>
          <w:rFonts w:cstheme="minorHAnsi"/>
          <w:sz w:val="24"/>
          <w:szCs w:val="24"/>
        </w:rPr>
        <w:t xml:space="preserve">with industry, world skills and </w:t>
      </w:r>
      <w:r w:rsidRPr="0055534E">
        <w:rPr>
          <w:rFonts w:cstheme="minorHAnsi"/>
          <w:sz w:val="24"/>
          <w:szCs w:val="24"/>
        </w:rPr>
        <w:t>inte</w:t>
      </w:r>
      <w:r w:rsidR="000C5F30" w:rsidRPr="0055534E">
        <w:rPr>
          <w:rFonts w:cstheme="minorHAnsi"/>
          <w:sz w:val="24"/>
          <w:szCs w:val="24"/>
        </w:rPr>
        <w:t xml:space="preserve">rnational awards. Programs such </w:t>
      </w:r>
      <w:r w:rsidRPr="0055534E">
        <w:rPr>
          <w:rFonts w:cstheme="minorHAnsi"/>
          <w:sz w:val="24"/>
          <w:szCs w:val="24"/>
        </w:rPr>
        <w:t>as th</w:t>
      </w:r>
      <w:r w:rsidR="000C5F30" w:rsidRPr="0055534E">
        <w:rPr>
          <w:rFonts w:cstheme="minorHAnsi"/>
          <w:sz w:val="24"/>
          <w:szCs w:val="24"/>
        </w:rPr>
        <w:t xml:space="preserve">e Young Parents were recognised </w:t>
      </w:r>
      <w:r w:rsidRPr="0055534E">
        <w:rPr>
          <w:rFonts w:cstheme="minorHAnsi"/>
          <w:sz w:val="24"/>
          <w:szCs w:val="24"/>
        </w:rPr>
        <w:t>for best</w:t>
      </w:r>
      <w:r w:rsidR="000C5F30" w:rsidRPr="0055534E">
        <w:rPr>
          <w:rFonts w:cstheme="minorHAnsi"/>
          <w:sz w:val="24"/>
          <w:szCs w:val="24"/>
        </w:rPr>
        <w:t xml:space="preserve"> practice, as was our work with </w:t>
      </w:r>
      <w:r w:rsidRPr="0055534E">
        <w:rPr>
          <w:rFonts w:cstheme="minorHAnsi"/>
          <w:sz w:val="24"/>
          <w:szCs w:val="24"/>
        </w:rPr>
        <w:t>a key in</w:t>
      </w:r>
      <w:r w:rsidR="000C5F30" w:rsidRPr="0055534E">
        <w:rPr>
          <w:rFonts w:cstheme="minorHAnsi"/>
          <w:sz w:val="24"/>
          <w:szCs w:val="24"/>
        </w:rPr>
        <w:t xml:space="preserve">dustry partner in the aged care </w:t>
      </w:r>
      <w:r w:rsidRPr="0055534E">
        <w:rPr>
          <w:rFonts w:cstheme="minorHAnsi"/>
          <w:sz w:val="24"/>
          <w:szCs w:val="24"/>
        </w:rPr>
        <w:t xml:space="preserve">sector. </w:t>
      </w:r>
      <w:r w:rsidR="000C5F30" w:rsidRPr="0055534E">
        <w:rPr>
          <w:rFonts w:cstheme="minorHAnsi"/>
          <w:sz w:val="24"/>
          <w:szCs w:val="24"/>
        </w:rPr>
        <w:t xml:space="preserve">These are proud moments for us. </w:t>
      </w:r>
      <w:r w:rsidRPr="0055534E">
        <w:rPr>
          <w:rFonts w:cstheme="minorHAnsi"/>
          <w:sz w:val="24"/>
          <w:szCs w:val="24"/>
        </w:rPr>
        <w:t>They are</w:t>
      </w:r>
      <w:r w:rsidR="000C5F30" w:rsidRPr="0055534E">
        <w:rPr>
          <w:rFonts w:cstheme="minorHAnsi"/>
          <w:sz w:val="24"/>
          <w:szCs w:val="24"/>
        </w:rPr>
        <w:t xml:space="preserve"> an affirmation that what we do </w:t>
      </w:r>
      <w:r w:rsidRPr="0055534E">
        <w:rPr>
          <w:rFonts w:cstheme="minorHAnsi"/>
          <w:sz w:val="24"/>
          <w:szCs w:val="24"/>
        </w:rPr>
        <w:t>is worthw</w:t>
      </w:r>
      <w:r w:rsidR="000C5F30" w:rsidRPr="0055534E">
        <w:rPr>
          <w:rFonts w:cstheme="minorHAnsi"/>
          <w:sz w:val="24"/>
          <w:szCs w:val="24"/>
        </w:rPr>
        <w:t xml:space="preserve">hile and up there with the best </w:t>
      </w:r>
      <w:r w:rsidRPr="0055534E">
        <w:rPr>
          <w:rFonts w:cstheme="minorHAnsi"/>
          <w:sz w:val="24"/>
          <w:szCs w:val="24"/>
        </w:rPr>
        <w:t>in the sector.</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Chish</w:t>
      </w:r>
      <w:r w:rsidR="000C5F30" w:rsidRPr="0055534E">
        <w:rPr>
          <w:rFonts w:cstheme="minorHAnsi"/>
          <w:sz w:val="24"/>
          <w:szCs w:val="24"/>
        </w:rPr>
        <w:t xml:space="preserve">olm remains committed to </w:t>
      </w:r>
      <w:r w:rsidRPr="0055534E">
        <w:rPr>
          <w:rFonts w:cstheme="minorHAnsi"/>
          <w:sz w:val="24"/>
          <w:szCs w:val="24"/>
        </w:rPr>
        <w:t>su</w:t>
      </w:r>
      <w:r w:rsidR="000C5F30" w:rsidRPr="0055534E">
        <w:rPr>
          <w:rFonts w:cstheme="minorHAnsi"/>
          <w:sz w:val="24"/>
          <w:szCs w:val="24"/>
        </w:rPr>
        <w:t xml:space="preserve">pporting disadvantaged students </w:t>
      </w:r>
      <w:r w:rsidRPr="0055534E">
        <w:rPr>
          <w:rFonts w:cstheme="minorHAnsi"/>
          <w:sz w:val="24"/>
          <w:szCs w:val="24"/>
        </w:rPr>
        <w:t>wi</w:t>
      </w:r>
      <w:r w:rsidR="000C5F30" w:rsidRPr="0055534E">
        <w:rPr>
          <w:rFonts w:cstheme="minorHAnsi"/>
          <w:sz w:val="24"/>
          <w:szCs w:val="24"/>
        </w:rPr>
        <w:t xml:space="preserve">thin the region, and in 2017 we </w:t>
      </w:r>
      <w:r w:rsidRPr="0055534E">
        <w:rPr>
          <w:rFonts w:cstheme="minorHAnsi"/>
          <w:sz w:val="24"/>
          <w:szCs w:val="24"/>
        </w:rPr>
        <w:t>enhance</w:t>
      </w:r>
      <w:r w:rsidR="000C5F30" w:rsidRPr="0055534E">
        <w:rPr>
          <w:rFonts w:cstheme="minorHAnsi"/>
          <w:sz w:val="24"/>
          <w:szCs w:val="24"/>
        </w:rPr>
        <w:t xml:space="preserve">d the support services required </w:t>
      </w:r>
      <w:r w:rsidRPr="0055534E">
        <w:rPr>
          <w:rFonts w:cstheme="minorHAnsi"/>
          <w:sz w:val="24"/>
          <w:szCs w:val="24"/>
        </w:rPr>
        <w:t>by variou</w:t>
      </w:r>
      <w:r w:rsidR="000C5F30" w:rsidRPr="0055534E">
        <w:rPr>
          <w:rFonts w:cstheme="minorHAnsi"/>
          <w:sz w:val="24"/>
          <w:szCs w:val="24"/>
        </w:rPr>
        <w:t xml:space="preserve">s groups to enable all students </w:t>
      </w:r>
      <w:r w:rsidRPr="0055534E">
        <w:rPr>
          <w:rFonts w:cstheme="minorHAnsi"/>
          <w:sz w:val="24"/>
          <w:szCs w:val="24"/>
        </w:rPr>
        <w:t>to succee</w:t>
      </w:r>
      <w:r w:rsidR="000C5F30" w:rsidRPr="0055534E">
        <w:rPr>
          <w:rFonts w:cstheme="minorHAnsi"/>
          <w:sz w:val="24"/>
          <w:szCs w:val="24"/>
        </w:rPr>
        <w:t xml:space="preserve">d in completing a qualification </w:t>
      </w:r>
      <w:r w:rsidRPr="0055534E">
        <w:rPr>
          <w:rFonts w:cstheme="minorHAnsi"/>
          <w:sz w:val="24"/>
          <w:szCs w:val="24"/>
        </w:rPr>
        <w:t>and real</w:t>
      </w:r>
      <w:r w:rsidR="000C5F30" w:rsidRPr="0055534E">
        <w:rPr>
          <w:rFonts w:cstheme="minorHAnsi"/>
          <w:sz w:val="24"/>
          <w:szCs w:val="24"/>
        </w:rPr>
        <w:t xml:space="preserve">ising their educational dreams. </w:t>
      </w:r>
      <w:r w:rsidRPr="0055534E">
        <w:rPr>
          <w:rFonts w:cstheme="minorHAnsi"/>
          <w:sz w:val="24"/>
          <w:szCs w:val="24"/>
        </w:rPr>
        <w:t>Th</w:t>
      </w:r>
      <w:r w:rsidR="000C5F30" w:rsidRPr="0055534E">
        <w:rPr>
          <w:rFonts w:cstheme="minorHAnsi"/>
          <w:sz w:val="24"/>
          <w:szCs w:val="24"/>
        </w:rPr>
        <w:t xml:space="preserve">e Skills and Job Centre, which </w:t>
      </w:r>
      <w:r w:rsidRPr="0055534E">
        <w:rPr>
          <w:rFonts w:cstheme="minorHAnsi"/>
          <w:sz w:val="24"/>
          <w:szCs w:val="24"/>
        </w:rPr>
        <w:t>assists st</w:t>
      </w:r>
      <w:r w:rsidR="000C5F30" w:rsidRPr="0055534E">
        <w:rPr>
          <w:rFonts w:cstheme="minorHAnsi"/>
          <w:sz w:val="24"/>
          <w:szCs w:val="24"/>
        </w:rPr>
        <w:t xml:space="preserve">udents in finding a job, gained </w:t>
      </w:r>
      <w:r w:rsidRPr="0055534E">
        <w:rPr>
          <w:rFonts w:cstheme="minorHAnsi"/>
          <w:sz w:val="24"/>
          <w:szCs w:val="24"/>
        </w:rPr>
        <w:t>moment</w:t>
      </w:r>
      <w:r w:rsidR="000C5F30" w:rsidRPr="0055534E">
        <w:rPr>
          <w:rFonts w:cstheme="minorHAnsi"/>
          <w:sz w:val="24"/>
          <w:szCs w:val="24"/>
        </w:rPr>
        <w:t xml:space="preserve">um. Supporting diversity within </w:t>
      </w:r>
      <w:r w:rsidRPr="0055534E">
        <w:rPr>
          <w:rFonts w:cstheme="minorHAnsi"/>
          <w:sz w:val="24"/>
          <w:szCs w:val="24"/>
        </w:rPr>
        <w:t>the commu</w:t>
      </w:r>
      <w:r w:rsidR="000C5F30" w:rsidRPr="0055534E">
        <w:rPr>
          <w:rFonts w:cstheme="minorHAnsi"/>
          <w:sz w:val="24"/>
          <w:szCs w:val="24"/>
        </w:rPr>
        <w:t xml:space="preserve">nity is one characteristic that </w:t>
      </w:r>
      <w:r w:rsidRPr="0055534E">
        <w:rPr>
          <w:rFonts w:cstheme="minorHAnsi"/>
          <w:sz w:val="24"/>
          <w:szCs w:val="24"/>
        </w:rPr>
        <w:t>distin</w:t>
      </w:r>
      <w:r w:rsidR="000C5F30" w:rsidRPr="0055534E">
        <w:rPr>
          <w:rFonts w:cstheme="minorHAnsi"/>
          <w:sz w:val="24"/>
          <w:szCs w:val="24"/>
        </w:rPr>
        <w:t xml:space="preserve">guishes Chisholm. Our embedding within the community, a valued </w:t>
      </w:r>
      <w:r w:rsidRPr="0055534E">
        <w:rPr>
          <w:rFonts w:cstheme="minorHAnsi"/>
          <w:sz w:val="24"/>
          <w:szCs w:val="24"/>
        </w:rPr>
        <w:t>contributor to the local economy an</w:t>
      </w:r>
      <w:r w:rsidR="000C5F30" w:rsidRPr="0055534E">
        <w:rPr>
          <w:rFonts w:cstheme="minorHAnsi"/>
          <w:sz w:val="24"/>
          <w:szCs w:val="24"/>
        </w:rPr>
        <w:t xml:space="preserve">d </w:t>
      </w:r>
      <w:r w:rsidRPr="0055534E">
        <w:rPr>
          <w:rFonts w:cstheme="minorHAnsi"/>
          <w:sz w:val="24"/>
          <w:szCs w:val="24"/>
        </w:rPr>
        <w:t>society is another.</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The p</w:t>
      </w:r>
      <w:r w:rsidR="000C5F30" w:rsidRPr="0055534E">
        <w:rPr>
          <w:rFonts w:cstheme="minorHAnsi"/>
          <w:sz w:val="24"/>
          <w:szCs w:val="24"/>
        </w:rPr>
        <w:t xml:space="preserve">artnerships into which Chisholm enters with industry and other </w:t>
      </w:r>
      <w:r w:rsidRPr="0055534E">
        <w:rPr>
          <w:rFonts w:cstheme="minorHAnsi"/>
          <w:sz w:val="24"/>
          <w:szCs w:val="24"/>
        </w:rPr>
        <w:t>educa</w:t>
      </w:r>
      <w:r w:rsidR="000C5F30" w:rsidRPr="0055534E">
        <w:rPr>
          <w:rFonts w:cstheme="minorHAnsi"/>
          <w:sz w:val="24"/>
          <w:szCs w:val="24"/>
        </w:rPr>
        <w:t xml:space="preserve">tional providers are strong and </w:t>
      </w:r>
      <w:r w:rsidRPr="0055534E">
        <w:rPr>
          <w:rFonts w:cstheme="minorHAnsi"/>
          <w:sz w:val="24"/>
          <w:szCs w:val="24"/>
        </w:rPr>
        <w:t>growin</w:t>
      </w:r>
      <w:r w:rsidR="000C5F30" w:rsidRPr="0055534E">
        <w:rPr>
          <w:rFonts w:cstheme="minorHAnsi"/>
          <w:sz w:val="24"/>
          <w:szCs w:val="24"/>
        </w:rPr>
        <w:t xml:space="preserve">g. Chisholm works with industry </w:t>
      </w:r>
      <w:r w:rsidRPr="0055534E">
        <w:rPr>
          <w:rFonts w:cstheme="minorHAnsi"/>
          <w:sz w:val="24"/>
          <w:szCs w:val="24"/>
        </w:rPr>
        <w:t>to build its flagships, Engineering and</w:t>
      </w: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Adv</w:t>
      </w:r>
      <w:r w:rsidR="000C5F30" w:rsidRPr="0055534E">
        <w:rPr>
          <w:rFonts w:cstheme="minorHAnsi"/>
          <w:sz w:val="24"/>
          <w:szCs w:val="24"/>
        </w:rPr>
        <w:t xml:space="preserve">anced Manufacturing, Health and </w:t>
      </w:r>
      <w:r w:rsidRPr="0055534E">
        <w:rPr>
          <w:rFonts w:cstheme="minorHAnsi"/>
          <w:sz w:val="24"/>
          <w:szCs w:val="24"/>
        </w:rPr>
        <w:t>Community Care a</w:t>
      </w:r>
      <w:r w:rsidR="000C5F30" w:rsidRPr="0055534E">
        <w:rPr>
          <w:rFonts w:cstheme="minorHAnsi"/>
          <w:sz w:val="24"/>
          <w:szCs w:val="24"/>
        </w:rPr>
        <w:t xml:space="preserve">nd Traditional </w:t>
      </w:r>
      <w:r w:rsidRPr="0055534E">
        <w:rPr>
          <w:rFonts w:cstheme="minorHAnsi"/>
          <w:sz w:val="24"/>
          <w:szCs w:val="24"/>
        </w:rPr>
        <w:t>Trad</w:t>
      </w:r>
      <w:r w:rsidR="000C5F30" w:rsidRPr="0055534E">
        <w:rPr>
          <w:rFonts w:cstheme="minorHAnsi"/>
          <w:sz w:val="24"/>
          <w:szCs w:val="24"/>
        </w:rPr>
        <w:t xml:space="preserve">es and has an emerging flagship </w:t>
      </w:r>
      <w:r w:rsidRPr="0055534E">
        <w:rPr>
          <w:rFonts w:cstheme="minorHAnsi"/>
          <w:sz w:val="24"/>
          <w:szCs w:val="24"/>
        </w:rPr>
        <w:t>in Rai</w:t>
      </w:r>
      <w:r w:rsidR="000C5F30" w:rsidRPr="0055534E">
        <w:rPr>
          <w:rFonts w:cstheme="minorHAnsi"/>
          <w:sz w:val="24"/>
          <w:szCs w:val="24"/>
        </w:rPr>
        <w:t xml:space="preserve">l Infrastructure and Associated </w:t>
      </w:r>
      <w:r w:rsidRPr="0055534E">
        <w:rPr>
          <w:rFonts w:cstheme="minorHAnsi"/>
          <w:sz w:val="24"/>
          <w:szCs w:val="24"/>
        </w:rPr>
        <w:t>Tr</w:t>
      </w:r>
      <w:r w:rsidR="000C5F30" w:rsidRPr="0055534E">
        <w:rPr>
          <w:rFonts w:cstheme="minorHAnsi"/>
          <w:sz w:val="24"/>
          <w:szCs w:val="24"/>
        </w:rPr>
        <w:t xml:space="preserve">ades. We continued to build our </w:t>
      </w:r>
      <w:r w:rsidRPr="0055534E">
        <w:rPr>
          <w:rFonts w:cstheme="minorHAnsi"/>
          <w:sz w:val="24"/>
          <w:szCs w:val="24"/>
        </w:rPr>
        <w:t>over</w:t>
      </w:r>
      <w:r w:rsidR="000C5F30" w:rsidRPr="0055534E">
        <w:rPr>
          <w:rFonts w:cstheme="minorHAnsi"/>
          <w:sz w:val="24"/>
          <w:szCs w:val="24"/>
        </w:rPr>
        <w:t xml:space="preserve">seas international project work </w:t>
      </w:r>
      <w:r w:rsidRPr="0055534E">
        <w:rPr>
          <w:rFonts w:cstheme="minorHAnsi"/>
          <w:sz w:val="24"/>
          <w:szCs w:val="24"/>
        </w:rPr>
        <w:t>an</w:t>
      </w:r>
      <w:r w:rsidR="000C5F30" w:rsidRPr="0055534E">
        <w:rPr>
          <w:rFonts w:cstheme="minorHAnsi"/>
          <w:sz w:val="24"/>
          <w:szCs w:val="24"/>
        </w:rPr>
        <w:t xml:space="preserve">d partnerships and strengthened </w:t>
      </w:r>
      <w:r w:rsidRPr="0055534E">
        <w:rPr>
          <w:rFonts w:cstheme="minorHAnsi"/>
          <w:sz w:val="24"/>
          <w:szCs w:val="24"/>
        </w:rPr>
        <w:t>other commercial work during 2017.</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lastRenderedPageBreak/>
        <w:t>The partnership with La Trobe University</w:t>
      </w:r>
      <w:r w:rsidR="000C5F30" w:rsidRPr="0055534E">
        <w:rPr>
          <w:rFonts w:cstheme="minorHAnsi"/>
          <w:sz w:val="24"/>
          <w:szCs w:val="24"/>
        </w:rPr>
        <w:t xml:space="preserve"> </w:t>
      </w:r>
      <w:r w:rsidRPr="0055534E">
        <w:rPr>
          <w:rFonts w:cstheme="minorHAnsi"/>
          <w:sz w:val="24"/>
          <w:szCs w:val="24"/>
        </w:rPr>
        <w:t>has opened opportunities for our</w:t>
      </w:r>
      <w:r w:rsidR="000C5F30" w:rsidRPr="0055534E">
        <w:rPr>
          <w:rFonts w:cstheme="minorHAnsi"/>
          <w:sz w:val="24"/>
          <w:szCs w:val="24"/>
        </w:rPr>
        <w:t xml:space="preserve"> </w:t>
      </w:r>
      <w:r w:rsidRPr="0055534E">
        <w:rPr>
          <w:rFonts w:cstheme="minorHAnsi"/>
          <w:sz w:val="24"/>
          <w:szCs w:val="24"/>
        </w:rPr>
        <w:t>studen</w:t>
      </w:r>
      <w:r w:rsidR="000C5F30" w:rsidRPr="0055534E">
        <w:rPr>
          <w:rFonts w:cstheme="minorHAnsi"/>
          <w:sz w:val="24"/>
          <w:szCs w:val="24"/>
        </w:rPr>
        <w:t xml:space="preserve">ts and the region that were not </w:t>
      </w:r>
      <w:r w:rsidRPr="0055534E">
        <w:rPr>
          <w:rFonts w:cstheme="minorHAnsi"/>
          <w:sz w:val="24"/>
          <w:szCs w:val="24"/>
        </w:rPr>
        <w:t>previous</w:t>
      </w:r>
      <w:r w:rsidR="000C5F30" w:rsidRPr="0055534E">
        <w:rPr>
          <w:rFonts w:cstheme="minorHAnsi"/>
          <w:sz w:val="24"/>
          <w:szCs w:val="24"/>
        </w:rPr>
        <w:t xml:space="preserve">ly available; and the Institute </w:t>
      </w:r>
      <w:r w:rsidRPr="0055534E">
        <w:rPr>
          <w:rFonts w:cstheme="minorHAnsi"/>
          <w:sz w:val="24"/>
          <w:szCs w:val="24"/>
        </w:rPr>
        <w:t>contin</w:t>
      </w:r>
      <w:r w:rsidR="000C5F30" w:rsidRPr="0055534E">
        <w:rPr>
          <w:rFonts w:cstheme="minorHAnsi"/>
          <w:sz w:val="24"/>
          <w:szCs w:val="24"/>
        </w:rPr>
        <w:t xml:space="preserve">ues to strengthen its work with </w:t>
      </w:r>
      <w:r w:rsidRPr="0055534E">
        <w:rPr>
          <w:rFonts w:cstheme="minorHAnsi"/>
          <w:sz w:val="24"/>
          <w:szCs w:val="24"/>
        </w:rPr>
        <w:t>school</w:t>
      </w:r>
      <w:r w:rsidR="000C5F30" w:rsidRPr="0055534E">
        <w:rPr>
          <w:rFonts w:cstheme="minorHAnsi"/>
          <w:sz w:val="24"/>
          <w:szCs w:val="24"/>
        </w:rPr>
        <w:t xml:space="preserve">s and Learn Local organisations </w:t>
      </w:r>
      <w:r w:rsidRPr="0055534E">
        <w:rPr>
          <w:rFonts w:cstheme="minorHAnsi"/>
          <w:sz w:val="24"/>
          <w:szCs w:val="24"/>
        </w:rPr>
        <w:t>throughout our catchment.</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This year’s annual report high</w:t>
      </w:r>
      <w:r w:rsidR="000C5F30" w:rsidRPr="0055534E">
        <w:rPr>
          <w:rFonts w:cstheme="minorHAnsi"/>
          <w:sz w:val="24"/>
          <w:szCs w:val="24"/>
        </w:rPr>
        <w:t xml:space="preserve">lights our </w:t>
      </w:r>
      <w:r w:rsidRPr="0055534E">
        <w:rPr>
          <w:rFonts w:cstheme="minorHAnsi"/>
          <w:sz w:val="24"/>
          <w:szCs w:val="24"/>
        </w:rPr>
        <w:t xml:space="preserve">key </w:t>
      </w:r>
      <w:r w:rsidR="000C5F30" w:rsidRPr="0055534E">
        <w:rPr>
          <w:rFonts w:cstheme="minorHAnsi"/>
          <w:sz w:val="24"/>
          <w:szCs w:val="24"/>
        </w:rPr>
        <w:t xml:space="preserve">activities and demonstrates the </w:t>
      </w:r>
      <w:r w:rsidRPr="0055534E">
        <w:rPr>
          <w:rFonts w:cstheme="minorHAnsi"/>
          <w:sz w:val="24"/>
          <w:szCs w:val="24"/>
        </w:rPr>
        <w:t>ingenuit</w:t>
      </w:r>
      <w:r w:rsidR="000C5F30" w:rsidRPr="0055534E">
        <w:rPr>
          <w:rFonts w:cstheme="minorHAnsi"/>
          <w:sz w:val="24"/>
          <w:szCs w:val="24"/>
        </w:rPr>
        <w:t xml:space="preserve">y and hard work of the Chisholm </w:t>
      </w:r>
      <w:r w:rsidRPr="0055534E">
        <w:rPr>
          <w:rFonts w:cstheme="minorHAnsi"/>
          <w:sz w:val="24"/>
          <w:szCs w:val="24"/>
        </w:rPr>
        <w:t xml:space="preserve">staff, </w:t>
      </w:r>
      <w:r w:rsidR="000C5F30" w:rsidRPr="0055534E">
        <w:rPr>
          <w:rFonts w:cstheme="minorHAnsi"/>
          <w:sz w:val="24"/>
          <w:szCs w:val="24"/>
        </w:rPr>
        <w:t xml:space="preserve">whom I thank for their efforts. </w:t>
      </w:r>
      <w:r w:rsidRPr="0055534E">
        <w:rPr>
          <w:rFonts w:cstheme="minorHAnsi"/>
          <w:sz w:val="24"/>
          <w:szCs w:val="24"/>
        </w:rPr>
        <w:t>The suc</w:t>
      </w:r>
      <w:r w:rsidR="000C5F30" w:rsidRPr="0055534E">
        <w:rPr>
          <w:rFonts w:cstheme="minorHAnsi"/>
          <w:sz w:val="24"/>
          <w:szCs w:val="24"/>
        </w:rPr>
        <w:t xml:space="preserve">cess of an organisation lies in </w:t>
      </w:r>
      <w:r w:rsidRPr="0055534E">
        <w:rPr>
          <w:rFonts w:cstheme="minorHAnsi"/>
          <w:sz w:val="24"/>
          <w:szCs w:val="24"/>
        </w:rPr>
        <w:t>the strength and commitment of its staff.</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I wou</w:t>
      </w:r>
      <w:r w:rsidR="000C5F30" w:rsidRPr="0055534E">
        <w:rPr>
          <w:rFonts w:cstheme="minorHAnsi"/>
          <w:sz w:val="24"/>
          <w:szCs w:val="24"/>
        </w:rPr>
        <w:t xml:space="preserve">ld also like to thank our Board </w:t>
      </w:r>
      <w:r w:rsidRPr="0055534E">
        <w:rPr>
          <w:rFonts w:cstheme="minorHAnsi"/>
          <w:sz w:val="24"/>
          <w:szCs w:val="24"/>
        </w:rPr>
        <w:t>Chair Stephe</w:t>
      </w:r>
      <w:r w:rsidR="000C5F30" w:rsidRPr="0055534E">
        <w:rPr>
          <w:rFonts w:cstheme="minorHAnsi"/>
          <w:sz w:val="24"/>
          <w:szCs w:val="24"/>
        </w:rPr>
        <w:t xml:space="preserve">n Marks, and the Board </w:t>
      </w:r>
      <w:r w:rsidRPr="0055534E">
        <w:rPr>
          <w:rFonts w:cstheme="minorHAnsi"/>
          <w:sz w:val="24"/>
          <w:szCs w:val="24"/>
        </w:rPr>
        <w:t>membe</w:t>
      </w:r>
      <w:r w:rsidR="000C5F30" w:rsidRPr="0055534E">
        <w:rPr>
          <w:rFonts w:cstheme="minorHAnsi"/>
          <w:sz w:val="24"/>
          <w:szCs w:val="24"/>
        </w:rPr>
        <w:t xml:space="preserve">rs for their support and strong </w:t>
      </w:r>
      <w:r w:rsidRPr="0055534E">
        <w:rPr>
          <w:rFonts w:cstheme="minorHAnsi"/>
          <w:sz w:val="24"/>
          <w:szCs w:val="24"/>
        </w:rPr>
        <w:t>govern</w:t>
      </w:r>
      <w:r w:rsidR="000C5F30" w:rsidRPr="0055534E">
        <w:rPr>
          <w:rFonts w:cstheme="minorHAnsi"/>
          <w:sz w:val="24"/>
          <w:szCs w:val="24"/>
        </w:rPr>
        <w:t xml:space="preserve">ance over the past year. I have </w:t>
      </w:r>
      <w:r w:rsidRPr="0055534E">
        <w:rPr>
          <w:rFonts w:cstheme="minorHAnsi"/>
          <w:sz w:val="24"/>
          <w:szCs w:val="24"/>
        </w:rPr>
        <w:t xml:space="preserve">been </w:t>
      </w:r>
      <w:r w:rsidR="000C5F30" w:rsidRPr="0055534E">
        <w:rPr>
          <w:rFonts w:cstheme="minorHAnsi"/>
          <w:sz w:val="24"/>
          <w:szCs w:val="24"/>
        </w:rPr>
        <w:t xml:space="preserve">ably supported by the executive </w:t>
      </w:r>
      <w:r w:rsidRPr="0055534E">
        <w:rPr>
          <w:rFonts w:cstheme="minorHAnsi"/>
          <w:sz w:val="24"/>
          <w:szCs w:val="24"/>
        </w:rPr>
        <w:t>team an</w:t>
      </w:r>
      <w:r w:rsidR="000C5F30" w:rsidRPr="0055534E">
        <w:rPr>
          <w:rFonts w:cstheme="minorHAnsi"/>
          <w:sz w:val="24"/>
          <w:szCs w:val="24"/>
        </w:rPr>
        <w:t xml:space="preserve">d the wider leadership team and </w:t>
      </w:r>
      <w:r w:rsidRPr="0055534E">
        <w:rPr>
          <w:rFonts w:cstheme="minorHAnsi"/>
          <w:sz w:val="24"/>
          <w:szCs w:val="24"/>
        </w:rPr>
        <w:t>ackno</w:t>
      </w:r>
      <w:r w:rsidR="000C5F30" w:rsidRPr="0055534E">
        <w:rPr>
          <w:rFonts w:cstheme="minorHAnsi"/>
          <w:sz w:val="24"/>
          <w:szCs w:val="24"/>
        </w:rPr>
        <w:t xml:space="preserve">wledge and thank them for their </w:t>
      </w:r>
      <w:r w:rsidRPr="0055534E">
        <w:rPr>
          <w:rFonts w:cstheme="minorHAnsi"/>
          <w:sz w:val="24"/>
          <w:szCs w:val="24"/>
        </w:rPr>
        <w:t>work</w:t>
      </w:r>
      <w:r w:rsidR="000C5F30" w:rsidRPr="0055534E">
        <w:rPr>
          <w:rFonts w:cstheme="minorHAnsi"/>
          <w:sz w:val="24"/>
          <w:szCs w:val="24"/>
        </w:rPr>
        <w:t xml:space="preserve">, commitment and the difference </w:t>
      </w:r>
      <w:r w:rsidRPr="0055534E">
        <w:rPr>
          <w:rFonts w:cstheme="minorHAnsi"/>
          <w:sz w:val="24"/>
          <w:szCs w:val="24"/>
        </w:rPr>
        <w:t>they make</w:t>
      </w:r>
      <w:r w:rsidR="000C5F30" w:rsidRPr="0055534E">
        <w:rPr>
          <w:rFonts w:cstheme="minorHAnsi"/>
          <w:sz w:val="24"/>
          <w:szCs w:val="24"/>
        </w:rPr>
        <w:t xml:space="preserve"> to our students, industry, </w:t>
      </w:r>
      <w:r w:rsidRPr="0055534E">
        <w:rPr>
          <w:rFonts w:cstheme="minorHAnsi"/>
          <w:sz w:val="24"/>
          <w:szCs w:val="24"/>
        </w:rPr>
        <w:t>partners and communities.</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I will n</w:t>
      </w:r>
      <w:r w:rsidR="000C5F30" w:rsidRPr="0055534E">
        <w:rPr>
          <w:rFonts w:cstheme="minorHAnsi"/>
          <w:sz w:val="24"/>
          <w:szCs w:val="24"/>
        </w:rPr>
        <w:t xml:space="preserve">ever waver in my belief that as </w:t>
      </w:r>
      <w:r w:rsidRPr="0055534E">
        <w:rPr>
          <w:rFonts w:cstheme="minorHAnsi"/>
          <w:sz w:val="24"/>
          <w:szCs w:val="24"/>
        </w:rPr>
        <w:t xml:space="preserve">public </w:t>
      </w:r>
      <w:r w:rsidR="000C5F30" w:rsidRPr="0055534E">
        <w:rPr>
          <w:rFonts w:cstheme="minorHAnsi"/>
          <w:sz w:val="24"/>
          <w:szCs w:val="24"/>
        </w:rPr>
        <w:t xml:space="preserve">providers we make a difference. </w:t>
      </w:r>
      <w:r w:rsidRPr="0055534E">
        <w:rPr>
          <w:rFonts w:cstheme="minorHAnsi"/>
          <w:sz w:val="24"/>
          <w:szCs w:val="24"/>
        </w:rPr>
        <w:t>I rem</w:t>
      </w:r>
      <w:r w:rsidR="000C5F30" w:rsidRPr="0055534E">
        <w:rPr>
          <w:rFonts w:cstheme="minorHAnsi"/>
          <w:sz w:val="24"/>
          <w:szCs w:val="24"/>
        </w:rPr>
        <w:t xml:space="preserve">ain inspired by Chisholm and by </w:t>
      </w:r>
      <w:r w:rsidRPr="0055534E">
        <w:rPr>
          <w:rFonts w:cstheme="minorHAnsi"/>
          <w:sz w:val="24"/>
          <w:szCs w:val="24"/>
        </w:rPr>
        <w:t xml:space="preserve">VET. </w:t>
      </w:r>
      <w:r w:rsidR="000C5F30" w:rsidRPr="0055534E">
        <w:rPr>
          <w:rFonts w:cstheme="minorHAnsi"/>
          <w:sz w:val="24"/>
          <w:szCs w:val="24"/>
        </w:rPr>
        <w:t xml:space="preserve">In making that difference in an </w:t>
      </w:r>
      <w:r w:rsidRPr="0055534E">
        <w:rPr>
          <w:rFonts w:cstheme="minorHAnsi"/>
          <w:sz w:val="24"/>
          <w:szCs w:val="24"/>
        </w:rPr>
        <w:t>individual</w:t>
      </w:r>
      <w:r w:rsidR="000C5F30" w:rsidRPr="0055534E">
        <w:rPr>
          <w:rFonts w:cstheme="minorHAnsi"/>
          <w:sz w:val="24"/>
          <w:szCs w:val="24"/>
        </w:rPr>
        <w:t xml:space="preserve">’s life, to our communities and </w:t>
      </w:r>
      <w:r w:rsidRPr="0055534E">
        <w:rPr>
          <w:rFonts w:cstheme="minorHAnsi"/>
          <w:sz w:val="24"/>
          <w:szCs w:val="24"/>
        </w:rPr>
        <w:t>industr</w:t>
      </w:r>
      <w:r w:rsidR="000C5F30" w:rsidRPr="0055534E">
        <w:rPr>
          <w:rFonts w:cstheme="minorHAnsi"/>
          <w:sz w:val="24"/>
          <w:szCs w:val="24"/>
        </w:rPr>
        <w:t xml:space="preserve">y, the TAFE sector does that </w:t>
      </w:r>
      <w:r w:rsidRPr="0055534E">
        <w:rPr>
          <w:rFonts w:cstheme="minorHAnsi"/>
          <w:sz w:val="24"/>
          <w:szCs w:val="24"/>
        </w:rPr>
        <w:t>better and it will be durable.</w:t>
      </w:r>
    </w:p>
    <w:p w:rsidR="000C5F30" w:rsidRPr="0055534E" w:rsidRDefault="000C5F30" w:rsidP="00AA1609">
      <w:pPr>
        <w:autoSpaceDE w:val="0"/>
        <w:autoSpaceDN w:val="0"/>
        <w:adjustRightInd w:val="0"/>
        <w:spacing w:after="0" w:line="240" w:lineRule="auto"/>
        <w:rPr>
          <w:rFonts w:cstheme="minorHAnsi"/>
          <w:sz w:val="24"/>
          <w:szCs w:val="24"/>
        </w:rPr>
      </w:pP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As I retir</w:t>
      </w:r>
      <w:r w:rsidR="000C5F30" w:rsidRPr="0055534E">
        <w:rPr>
          <w:rFonts w:cstheme="minorHAnsi"/>
          <w:sz w:val="24"/>
          <w:szCs w:val="24"/>
        </w:rPr>
        <w:t xml:space="preserve">e, I am confident that Chisholm </w:t>
      </w:r>
      <w:r w:rsidRPr="0055534E">
        <w:rPr>
          <w:rFonts w:cstheme="minorHAnsi"/>
          <w:sz w:val="24"/>
          <w:szCs w:val="24"/>
        </w:rPr>
        <w:t xml:space="preserve">has a </w:t>
      </w:r>
      <w:r w:rsidR="000C5F30" w:rsidRPr="0055534E">
        <w:rPr>
          <w:rFonts w:cstheme="minorHAnsi"/>
          <w:sz w:val="24"/>
          <w:szCs w:val="24"/>
        </w:rPr>
        <w:t xml:space="preserve">bright future with a strong and </w:t>
      </w:r>
      <w:r w:rsidRPr="0055534E">
        <w:rPr>
          <w:rFonts w:cstheme="minorHAnsi"/>
          <w:sz w:val="24"/>
          <w:szCs w:val="24"/>
        </w:rPr>
        <w:t>enduring</w:t>
      </w:r>
      <w:r w:rsidR="000C5F30" w:rsidRPr="0055534E">
        <w:rPr>
          <w:rFonts w:cstheme="minorHAnsi"/>
          <w:sz w:val="24"/>
          <w:szCs w:val="24"/>
        </w:rPr>
        <w:t xml:space="preserve"> strategy and a robust platform </w:t>
      </w:r>
      <w:r w:rsidRPr="0055534E">
        <w:rPr>
          <w:rFonts w:cstheme="minorHAnsi"/>
          <w:sz w:val="24"/>
          <w:szCs w:val="24"/>
        </w:rPr>
        <w:t>for c</w:t>
      </w:r>
      <w:r w:rsidR="000C5F30" w:rsidRPr="0055534E">
        <w:rPr>
          <w:rFonts w:cstheme="minorHAnsi"/>
          <w:sz w:val="24"/>
          <w:szCs w:val="24"/>
        </w:rPr>
        <w:t xml:space="preserve">ontinued success. I am proud to </w:t>
      </w:r>
      <w:r w:rsidRPr="0055534E">
        <w:rPr>
          <w:rFonts w:cstheme="minorHAnsi"/>
          <w:sz w:val="24"/>
          <w:szCs w:val="24"/>
        </w:rPr>
        <w:t>have been a custodian of a wonderful</w:t>
      </w:r>
    </w:p>
    <w:p w:rsidR="00AA1609" w:rsidRPr="0055534E" w:rsidRDefault="00AA1609" w:rsidP="00AA1609">
      <w:pPr>
        <w:autoSpaceDE w:val="0"/>
        <w:autoSpaceDN w:val="0"/>
        <w:adjustRightInd w:val="0"/>
        <w:spacing w:after="0" w:line="240" w:lineRule="auto"/>
        <w:rPr>
          <w:rFonts w:cstheme="minorHAnsi"/>
          <w:sz w:val="24"/>
          <w:szCs w:val="24"/>
        </w:rPr>
      </w:pPr>
      <w:r w:rsidRPr="0055534E">
        <w:rPr>
          <w:rFonts w:cstheme="minorHAnsi"/>
          <w:sz w:val="24"/>
          <w:szCs w:val="24"/>
        </w:rPr>
        <w:t>TAFE Institute, Chisholm.</w:t>
      </w:r>
    </w:p>
    <w:p w:rsidR="000C5F30" w:rsidRPr="0055534E" w:rsidRDefault="000C5F30" w:rsidP="000C5F30">
      <w:pPr>
        <w:autoSpaceDE w:val="0"/>
        <w:autoSpaceDN w:val="0"/>
        <w:adjustRightInd w:val="0"/>
        <w:spacing w:after="0" w:line="240" w:lineRule="auto"/>
        <w:rPr>
          <w:rFonts w:cstheme="minorHAnsi"/>
          <w:color w:val="000000"/>
          <w:sz w:val="24"/>
          <w:szCs w:val="24"/>
        </w:rPr>
      </w:pPr>
    </w:p>
    <w:p w:rsidR="000C5F30" w:rsidRPr="0055534E" w:rsidRDefault="000C5F30" w:rsidP="000C5F30">
      <w:pPr>
        <w:autoSpaceDE w:val="0"/>
        <w:autoSpaceDN w:val="0"/>
        <w:adjustRightInd w:val="0"/>
        <w:spacing w:after="0" w:line="240" w:lineRule="auto"/>
        <w:rPr>
          <w:rFonts w:cstheme="minorHAnsi"/>
          <w:color w:val="000000"/>
          <w:sz w:val="24"/>
          <w:szCs w:val="24"/>
        </w:rPr>
      </w:pPr>
      <w:r w:rsidRPr="0055534E">
        <w:rPr>
          <w:rFonts w:cstheme="minorHAnsi"/>
          <w:color w:val="000000"/>
          <w:sz w:val="24"/>
          <w:szCs w:val="24"/>
        </w:rPr>
        <w:t>MARIA PETERS</w:t>
      </w:r>
    </w:p>
    <w:p w:rsidR="000C5F30" w:rsidRPr="0055534E" w:rsidRDefault="000C5F30" w:rsidP="000C5F30">
      <w:pPr>
        <w:autoSpaceDE w:val="0"/>
        <w:autoSpaceDN w:val="0"/>
        <w:adjustRightInd w:val="0"/>
        <w:spacing w:after="0" w:line="240" w:lineRule="auto"/>
        <w:rPr>
          <w:rFonts w:cstheme="minorHAnsi"/>
          <w:color w:val="000000"/>
          <w:sz w:val="24"/>
          <w:szCs w:val="24"/>
        </w:rPr>
      </w:pPr>
      <w:r w:rsidRPr="0055534E">
        <w:rPr>
          <w:rFonts w:cstheme="minorHAnsi"/>
          <w:color w:val="000000"/>
          <w:sz w:val="24"/>
          <w:szCs w:val="24"/>
        </w:rPr>
        <w:t>Chief Executive Officer</w:t>
      </w:r>
    </w:p>
    <w:p w:rsidR="000C5F30" w:rsidRPr="0055534E" w:rsidRDefault="000C5F30" w:rsidP="000C5F30">
      <w:pPr>
        <w:autoSpaceDE w:val="0"/>
        <w:autoSpaceDN w:val="0"/>
        <w:adjustRightInd w:val="0"/>
        <w:spacing w:after="0" w:line="240" w:lineRule="auto"/>
        <w:rPr>
          <w:rFonts w:cstheme="minorHAnsi"/>
          <w:color w:val="000000"/>
          <w:sz w:val="24"/>
          <w:szCs w:val="24"/>
        </w:rPr>
      </w:pPr>
      <w:r w:rsidRPr="0055534E">
        <w:rPr>
          <w:rFonts w:cstheme="minorHAnsi"/>
          <w:color w:val="000000"/>
          <w:sz w:val="24"/>
          <w:szCs w:val="24"/>
        </w:rPr>
        <w:t>December 2017</w:t>
      </w:r>
    </w:p>
    <w:p w:rsidR="000C5F30" w:rsidRPr="0055534E" w:rsidRDefault="000C5F30" w:rsidP="000C5F30">
      <w:pPr>
        <w:autoSpaceDE w:val="0"/>
        <w:autoSpaceDN w:val="0"/>
        <w:adjustRightInd w:val="0"/>
        <w:spacing w:after="0" w:line="240" w:lineRule="auto"/>
        <w:rPr>
          <w:rFonts w:cstheme="minorHAnsi"/>
          <w:color w:val="000000"/>
          <w:sz w:val="24"/>
          <w:szCs w:val="24"/>
        </w:rPr>
      </w:pPr>
    </w:p>
    <w:p w:rsidR="000C5F30" w:rsidRPr="0055534E" w:rsidRDefault="000C5F30" w:rsidP="000C5F30">
      <w:pPr>
        <w:autoSpaceDE w:val="0"/>
        <w:autoSpaceDN w:val="0"/>
        <w:adjustRightInd w:val="0"/>
        <w:spacing w:after="0" w:line="240" w:lineRule="auto"/>
        <w:rPr>
          <w:rFonts w:cstheme="minorHAnsi"/>
          <w:color w:val="000000"/>
          <w:sz w:val="24"/>
          <w:szCs w:val="24"/>
        </w:rPr>
      </w:pPr>
      <w:r w:rsidRPr="0055534E">
        <w:rPr>
          <w:rFonts w:cstheme="minorHAnsi"/>
          <w:color w:val="000000"/>
          <w:sz w:val="24"/>
          <w:szCs w:val="24"/>
        </w:rPr>
        <w:t>&lt;pp&gt;</w:t>
      </w:r>
      <w:r w:rsidR="00D02C09" w:rsidRPr="0055534E">
        <w:rPr>
          <w:rFonts w:cstheme="minorHAnsi"/>
          <w:color w:val="000000"/>
          <w:sz w:val="24"/>
          <w:szCs w:val="24"/>
        </w:rPr>
        <w:t>5</w:t>
      </w:r>
      <w:r w:rsidR="005F2D9D" w:rsidRPr="0055534E">
        <w:rPr>
          <w:rFonts w:cstheme="minorHAnsi"/>
          <w:color w:val="000000"/>
          <w:sz w:val="24"/>
          <w:szCs w:val="24"/>
        </w:rPr>
        <w:t xml:space="preserve"> </w:t>
      </w:r>
    </w:p>
    <w:p w:rsidR="000C5F30" w:rsidRPr="0055534E" w:rsidRDefault="000C5F30" w:rsidP="000C5F30">
      <w:pPr>
        <w:autoSpaceDE w:val="0"/>
        <w:autoSpaceDN w:val="0"/>
        <w:adjustRightInd w:val="0"/>
        <w:spacing w:after="0" w:line="240" w:lineRule="auto"/>
        <w:rPr>
          <w:rFonts w:cstheme="minorHAnsi"/>
          <w:color w:val="000000"/>
          <w:sz w:val="24"/>
          <w:szCs w:val="24"/>
        </w:rPr>
      </w:pPr>
    </w:p>
    <w:p w:rsidR="000C5F30" w:rsidRPr="0055534E" w:rsidRDefault="000C5F30" w:rsidP="006914D6">
      <w:pPr>
        <w:pStyle w:val="Heading2"/>
      </w:pPr>
      <w:r w:rsidRPr="0055534E">
        <w:t xml:space="preserve">Awards and Achievements </w:t>
      </w:r>
    </w:p>
    <w:p w:rsidR="005F2D9D" w:rsidRPr="0055534E" w:rsidRDefault="005F2D9D" w:rsidP="000C5F30">
      <w:pPr>
        <w:autoSpaceDE w:val="0"/>
        <w:autoSpaceDN w:val="0"/>
        <w:adjustRightInd w:val="0"/>
        <w:spacing w:after="0" w:line="240" w:lineRule="auto"/>
        <w:rPr>
          <w:rFonts w:cstheme="minorHAnsi"/>
          <w:color w:val="000000"/>
          <w:sz w:val="24"/>
          <w:szCs w:val="24"/>
        </w:rPr>
      </w:pPr>
    </w:p>
    <w:p w:rsidR="005F2D9D" w:rsidRPr="0055534E" w:rsidRDefault="005F2D9D" w:rsidP="000C5F30">
      <w:pPr>
        <w:autoSpaceDE w:val="0"/>
        <w:autoSpaceDN w:val="0"/>
        <w:adjustRightInd w:val="0"/>
        <w:spacing w:after="0" w:line="240" w:lineRule="auto"/>
        <w:rPr>
          <w:rFonts w:cstheme="minorHAnsi"/>
          <w:color w:val="000000"/>
          <w:sz w:val="24"/>
          <w:szCs w:val="24"/>
        </w:rPr>
      </w:pPr>
      <w:r w:rsidRPr="0055534E">
        <w:rPr>
          <w:rFonts w:cstheme="minorHAnsi"/>
          <w:color w:val="000000"/>
          <w:sz w:val="24"/>
          <w:szCs w:val="24"/>
        </w:rPr>
        <w:t>Chisholm’s award-winning students, teachers and staff support our vision to inspire success and transform lives. Their efforts and accolades in 2017 showcased Chisholm’s continuing commitment to outstanding student outcomes, inspirational teaching and innovative training initiatives.</w:t>
      </w:r>
    </w:p>
    <w:p w:rsidR="005F2D9D" w:rsidRPr="0055534E" w:rsidRDefault="005F2D9D" w:rsidP="000C5F30">
      <w:pPr>
        <w:autoSpaceDE w:val="0"/>
        <w:autoSpaceDN w:val="0"/>
        <w:adjustRightInd w:val="0"/>
        <w:spacing w:after="0" w:line="240" w:lineRule="auto"/>
        <w:rPr>
          <w:rFonts w:cstheme="minorHAnsi"/>
          <w:color w:val="000000"/>
          <w:sz w:val="24"/>
          <w:szCs w:val="24"/>
        </w:rPr>
      </w:pPr>
    </w:p>
    <w:p w:rsidR="005F2D9D" w:rsidRPr="007C1E46" w:rsidRDefault="005F2D9D" w:rsidP="006914D6">
      <w:pPr>
        <w:pStyle w:val="Heading3"/>
      </w:pPr>
      <w:r w:rsidRPr="007C1E46">
        <w:t xml:space="preserve">Lynne Kosky Memorial Award for Lifetime Achievement </w:t>
      </w:r>
    </w:p>
    <w:p w:rsidR="005F2D9D" w:rsidRPr="0055534E" w:rsidRDefault="005F2D9D" w:rsidP="005F2D9D">
      <w:pPr>
        <w:autoSpaceDE w:val="0"/>
        <w:autoSpaceDN w:val="0"/>
        <w:adjustRightInd w:val="0"/>
        <w:spacing w:after="0" w:line="240" w:lineRule="auto"/>
        <w:rPr>
          <w:rFonts w:cstheme="minorHAnsi"/>
          <w:sz w:val="24"/>
          <w:szCs w:val="24"/>
        </w:rPr>
      </w:pPr>
      <w:r w:rsidRPr="0055534E">
        <w:rPr>
          <w:rFonts w:cstheme="minorHAnsi"/>
          <w:sz w:val="24"/>
          <w:szCs w:val="24"/>
        </w:rPr>
        <w:t>Chisholm CEO Maria Peters received the prestigious Lynne Ko</w:t>
      </w:r>
      <w:r w:rsidR="00940F07">
        <w:rPr>
          <w:rFonts w:cstheme="minorHAnsi"/>
          <w:sz w:val="24"/>
          <w:szCs w:val="24"/>
        </w:rPr>
        <w:t xml:space="preserve">sky Memorial Award for Lifetime </w:t>
      </w:r>
      <w:r w:rsidRPr="0055534E">
        <w:rPr>
          <w:rFonts w:cstheme="minorHAnsi"/>
          <w:sz w:val="24"/>
          <w:szCs w:val="24"/>
        </w:rPr>
        <w:t>Achievement, announced at the 2017 Victorian Training Awards in October.</w:t>
      </w:r>
    </w:p>
    <w:p w:rsidR="005F2D9D" w:rsidRPr="0055534E" w:rsidRDefault="005F2D9D" w:rsidP="005F2D9D">
      <w:pPr>
        <w:autoSpaceDE w:val="0"/>
        <w:autoSpaceDN w:val="0"/>
        <w:adjustRightInd w:val="0"/>
        <w:spacing w:after="0" w:line="240" w:lineRule="auto"/>
        <w:rPr>
          <w:rFonts w:cstheme="minorHAnsi"/>
          <w:sz w:val="24"/>
          <w:szCs w:val="24"/>
        </w:rPr>
      </w:pPr>
      <w:r w:rsidRPr="0055534E">
        <w:rPr>
          <w:rFonts w:cstheme="minorHAnsi"/>
          <w:sz w:val="24"/>
          <w:szCs w:val="24"/>
        </w:rPr>
        <w:t>Recipients of this award have reached the pinnacle of their profession and demonstrated outstanding leadership and contributions to the VET sector.</w:t>
      </w:r>
    </w:p>
    <w:p w:rsidR="005F2D9D" w:rsidRPr="0055534E" w:rsidRDefault="005F2D9D" w:rsidP="005F2D9D">
      <w:pPr>
        <w:autoSpaceDE w:val="0"/>
        <w:autoSpaceDN w:val="0"/>
        <w:adjustRightInd w:val="0"/>
        <w:spacing w:after="0" w:line="240" w:lineRule="auto"/>
        <w:rPr>
          <w:rFonts w:cstheme="minorHAnsi"/>
          <w:color w:val="000000"/>
          <w:sz w:val="24"/>
          <w:szCs w:val="24"/>
        </w:rPr>
      </w:pPr>
      <w:r w:rsidRPr="0055534E">
        <w:rPr>
          <w:rFonts w:cstheme="minorHAnsi"/>
          <w:sz w:val="24"/>
          <w:szCs w:val="24"/>
        </w:rPr>
        <w:t>The award was named in honour of former Victorian Education and Training Minister, the late Lynne Kosky, who was a driving force in the training and skills sector in Victoria.</w:t>
      </w:r>
      <w:r w:rsidRPr="0055534E">
        <w:rPr>
          <w:rFonts w:cstheme="minorHAnsi"/>
          <w:color w:val="000000"/>
          <w:sz w:val="24"/>
          <w:szCs w:val="24"/>
        </w:rPr>
        <w:t xml:space="preserve"> </w:t>
      </w:r>
    </w:p>
    <w:p w:rsidR="005F2D9D" w:rsidRPr="0055534E" w:rsidRDefault="005F2D9D" w:rsidP="005F2D9D">
      <w:pPr>
        <w:autoSpaceDE w:val="0"/>
        <w:autoSpaceDN w:val="0"/>
        <w:adjustRightInd w:val="0"/>
        <w:spacing w:after="0" w:line="240" w:lineRule="auto"/>
        <w:rPr>
          <w:rFonts w:cstheme="minorHAnsi"/>
          <w:color w:val="000000"/>
          <w:sz w:val="24"/>
          <w:szCs w:val="24"/>
        </w:rPr>
      </w:pPr>
    </w:p>
    <w:p w:rsidR="005F2D9D" w:rsidRPr="007C1E46" w:rsidRDefault="005F2D9D" w:rsidP="006914D6">
      <w:pPr>
        <w:pStyle w:val="Heading3"/>
      </w:pPr>
      <w:r w:rsidRPr="007C1E46">
        <w:lastRenderedPageBreak/>
        <w:t xml:space="preserve">Australian Training Awards – Excellence </w:t>
      </w:r>
      <w:r w:rsidR="00BA3671" w:rsidRPr="007C1E46">
        <w:t>in Language</w:t>
      </w:r>
      <w:r w:rsidRPr="007C1E46">
        <w:t>, Literacy and Numeracy Practic</w:t>
      </w:r>
      <w:r w:rsidR="00BA3671" w:rsidRPr="007C1E46">
        <w:t>e</w:t>
      </w:r>
    </w:p>
    <w:p w:rsidR="00BA3671" w:rsidRPr="0055534E" w:rsidRDefault="00BA3671" w:rsidP="00BA3671">
      <w:pPr>
        <w:autoSpaceDE w:val="0"/>
        <w:autoSpaceDN w:val="0"/>
        <w:adjustRightInd w:val="0"/>
        <w:spacing w:after="0" w:line="240" w:lineRule="auto"/>
        <w:rPr>
          <w:rFonts w:cstheme="minorHAnsi"/>
          <w:sz w:val="24"/>
          <w:szCs w:val="24"/>
        </w:rPr>
      </w:pPr>
      <w:r w:rsidRPr="0055534E">
        <w:rPr>
          <w:rFonts w:cstheme="minorHAnsi"/>
          <w:sz w:val="24"/>
          <w:szCs w:val="24"/>
        </w:rPr>
        <w:t>Chisholm teacher Kathrin Colgan received the 2017 Excellence in Language, Literacy and Numeracy Practice Award at the Australian Training Awards in Canberra.</w:t>
      </w:r>
    </w:p>
    <w:p w:rsidR="00BA3671" w:rsidRPr="0055534E" w:rsidRDefault="00BA3671" w:rsidP="00BA3671">
      <w:pPr>
        <w:autoSpaceDE w:val="0"/>
        <w:autoSpaceDN w:val="0"/>
        <w:adjustRightInd w:val="0"/>
        <w:spacing w:after="0" w:line="240" w:lineRule="auto"/>
        <w:rPr>
          <w:rFonts w:cstheme="minorHAnsi"/>
          <w:sz w:val="24"/>
          <w:szCs w:val="24"/>
        </w:rPr>
      </w:pPr>
      <w:r w:rsidRPr="0055534E">
        <w:rPr>
          <w:rFonts w:cstheme="minorHAnsi"/>
          <w:sz w:val="24"/>
          <w:szCs w:val="24"/>
        </w:rPr>
        <w:t>A VET teacher in this field for the past 20 years, Kathrin is a passionate advocate for improving standards for students and language, literacy and numeracy (LLN) professionals.</w:t>
      </w:r>
    </w:p>
    <w:p w:rsidR="00BA3671" w:rsidRPr="0055534E" w:rsidRDefault="00BA3671" w:rsidP="00BA3671">
      <w:pPr>
        <w:autoSpaceDE w:val="0"/>
        <w:autoSpaceDN w:val="0"/>
        <w:adjustRightInd w:val="0"/>
        <w:spacing w:after="0" w:line="240" w:lineRule="auto"/>
        <w:rPr>
          <w:rFonts w:cstheme="minorHAnsi"/>
          <w:sz w:val="24"/>
          <w:szCs w:val="24"/>
        </w:rPr>
      </w:pPr>
      <w:r w:rsidRPr="0055534E">
        <w:rPr>
          <w:rFonts w:cstheme="minorHAnsi"/>
          <w:sz w:val="24"/>
          <w:szCs w:val="24"/>
        </w:rPr>
        <w:t>The award recognises innovation and excellence by an individual involved in improving LLN skills in an educational, community or workplace context.</w:t>
      </w:r>
      <w:r w:rsidR="00BE5373" w:rsidRPr="0055534E">
        <w:rPr>
          <w:rFonts w:cstheme="minorHAnsi"/>
          <w:sz w:val="24"/>
          <w:szCs w:val="24"/>
        </w:rPr>
        <w:t xml:space="preserve"> </w:t>
      </w:r>
    </w:p>
    <w:p w:rsidR="00BA3671" w:rsidRPr="0055534E" w:rsidRDefault="00BA3671" w:rsidP="00BA3671">
      <w:pPr>
        <w:autoSpaceDE w:val="0"/>
        <w:autoSpaceDN w:val="0"/>
        <w:adjustRightInd w:val="0"/>
        <w:spacing w:after="0" w:line="240" w:lineRule="auto"/>
        <w:rPr>
          <w:rFonts w:cstheme="minorHAnsi"/>
          <w:sz w:val="24"/>
          <w:szCs w:val="24"/>
        </w:rPr>
      </w:pPr>
    </w:p>
    <w:p w:rsidR="00BA3671" w:rsidRPr="0055534E" w:rsidRDefault="00BA3671" w:rsidP="00BA3671">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6</w:t>
      </w:r>
      <w:r w:rsidRPr="0055534E">
        <w:rPr>
          <w:rFonts w:cstheme="minorHAnsi"/>
          <w:sz w:val="24"/>
          <w:szCs w:val="24"/>
        </w:rPr>
        <w:t xml:space="preserve"> </w:t>
      </w:r>
    </w:p>
    <w:p w:rsidR="00BA3671" w:rsidRPr="0055534E" w:rsidRDefault="00BA3671" w:rsidP="00BA3671">
      <w:pPr>
        <w:autoSpaceDE w:val="0"/>
        <w:autoSpaceDN w:val="0"/>
        <w:adjustRightInd w:val="0"/>
        <w:spacing w:after="0" w:line="240" w:lineRule="auto"/>
        <w:rPr>
          <w:rFonts w:cstheme="minorHAnsi"/>
          <w:sz w:val="24"/>
          <w:szCs w:val="24"/>
        </w:rPr>
      </w:pPr>
    </w:p>
    <w:p w:rsidR="00BA3671" w:rsidRPr="007C1E46" w:rsidRDefault="00BA3671" w:rsidP="006914D6">
      <w:pPr>
        <w:pStyle w:val="Heading3"/>
      </w:pPr>
      <w:r w:rsidRPr="007C1E46">
        <w:t>Victorian International Education Awards – VET Student of the Year</w:t>
      </w:r>
    </w:p>
    <w:p w:rsidR="00BA3671" w:rsidRPr="0055534E" w:rsidRDefault="00BA3671" w:rsidP="00BA3671">
      <w:pPr>
        <w:autoSpaceDE w:val="0"/>
        <w:autoSpaceDN w:val="0"/>
        <w:adjustRightInd w:val="0"/>
        <w:spacing w:after="0" w:line="240" w:lineRule="auto"/>
        <w:rPr>
          <w:rFonts w:cstheme="minorHAnsi"/>
          <w:sz w:val="24"/>
          <w:szCs w:val="24"/>
        </w:rPr>
      </w:pPr>
      <w:r w:rsidRPr="0055534E">
        <w:rPr>
          <w:rFonts w:cstheme="minorHAnsi"/>
          <w:sz w:val="24"/>
          <w:szCs w:val="24"/>
        </w:rPr>
        <w:t>Chisholm student Samuel Shedrack Chukwuweonu receive the 2017 International Student of the Year in VET at the Victorian International Education Awards. Samuel, from Nigeria, has been studying an Advanced Diploma in Computer Systems Technology (Cyber Security). Losing his father at an early age propelled Samuel to focus on education and to apply the knowledge and skills he gained at Chisholm to become an agent for change.</w:t>
      </w:r>
    </w:p>
    <w:p w:rsidR="00BE5373" w:rsidRPr="0055534E" w:rsidRDefault="00BA3671" w:rsidP="00BE5373">
      <w:pPr>
        <w:autoSpaceDE w:val="0"/>
        <w:autoSpaceDN w:val="0"/>
        <w:adjustRightInd w:val="0"/>
        <w:spacing w:after="0" w:line="240" w:lineRule="auto"/>
        <w:rPr>
          <w:rFonts w:cstheme="minorHAnsi"/>
          <w:color w:val="FF0000"/>
          <w:sz w:val="24"/>
          <w:szCs w:val="24"/>
        </w:rPr>
      </w:pPr>
      <w:r w:rsidRPr="0055534E">
        <w:rPr>
          <w:rFonts w:cstheme="minorHAnsi"/>
          <w:sz w:val="24"/>
          <w:szCs w:val="24"/>
        </w:rPr>
        <w:t>At the Cisco Netriders Asia Pacific Competition, Samuel ranked first in round one, and fourth in the final round in Australia. He is develo</w:t>
      </w:r>
      <w:r w:rsidR="00FB572C" w:rsidRPr="0055534E">
        <w:rPr>
          <w:rFonts w:cstheme="minorHAnsi"/>
          <w:sz w:val="24"/>
          <w:szCs w:val="24"/>
        </w:rPr>
        <w:t>ping a cyber-</w:t>
      </w:r>
      <w:r w:rsidRPr="0055534E">
        <w:rPr>
          <w:rFonts w:cstheme="minorHAnsi"/>
          <w:sz w:val="24"/>
          <w:szCs w:val="24"/>
        </w:rPr>
        <w:t>security awareness project to protect computers from dangerous and harmful web applications.</w:t>
      </w:r>
      <w:r w:rsidR="00BE5373" w:rsidRPr="0055534E">
        <w:rPr>
          <w:rFonts w:cstheme="minorHAnsi"/>
          <w:sz w:val="24"/>
          <w:szCs w:val="24"/>
        </w:rPr>
        <w:t xml:space="preserve"> </w:t>
      </w:r>
    </w:p>
    <w:p w:rsidR="00FB572C" w:rsidRPr="0055534E" w:rsidRDefault="00FB572C" w:rsidP="00BA3671">
      <w:pPr>
        <w:autoSpaceDE w:val="0"/>
        <w:autoSpaceDN w:val="0"/>
        <w:adjustRightInd w:val="0"/>
        <w:spacing w:after="0" w:line="240" w:lineRule="auto"/>
        <w:rPr>
          <w:rFonts w:cstheme="minorHAnsi"/>
          <w:sz w:val="24"/>
          <w:szCs w:val="24"/>
        </w:rPr>
      </w:pPr>
    </w:p>
    <w:p w:rsidR="007C1E46" w:rsidRDefault="007C1E46" w:rsidP="00BA3671">
      <w:pPr>
        <w:autoSpaceDE w:val="0"/>
        <w:autoSpaceDN w:val="0"/>
        <w:adjustRightInd w:val="0"/>
        <w:spacing w:after="0" w:line="240" w:lineRule="auto"/>
        <w:rPr>
          <w:rFonts w:cstheme="minorHAnsi"/>
          <w:caps/>
          <w:sz w:val="24"/>
          <w:szCs w:val="24"/>
        </w:rPr>
      </w:pPr>
    </w:p>
    <w:p w:rsidR="00FB572C" w:rsidRPr="007C1E46" w:rsidRDefault="00FB572C" w:rsidP="006914D6">
      <w:pPr>
        <w:pStyle w:val="Heading3"/>
      </w:pPr>
      <w:r w:rsidRPr="007C1E46">
        <w:t>Frankston Young Parents Program Honoured</w:t>
      </w:r>
    </w:p>
    <w:p w:rsidR="00FB572C" w:rsidRPr="0055534E" w:rsidRDefault="00FB572C" w:rsidP="00FB572C">
      <w:pPr>
        <w:autoSpaceDE w:val="0"/>
        <w:autoSpaceDN w:val="0"/>
        <w:adjustRightInd w:val="0"/>
        <w:spacing w:after="0" w:line="240" w:lineRule="auto"/>
        <w:rPr>
          <w:rFonts w:cstheme="minorHAnsi"/>
          <w:sz w:val="24"/>
          <w:szCs w:val="24"/>
        </w:rPr>
      </w:pPr>
      <w:r w:rsidRPr="0055534E">
        <w:rPr>
          <w:rFonts w:cstheme="minorHAnsi"/>
          <w:sz w:val="24"/>
          <w:szCs w:val="24"/>
        </w:rPr>
        <w:t>Chisholm’s Young Parents Program received the Schools Best Practice Award in the 2017 Frankston-Mornington Peninsula Local Learning and Employment Network (FMPLLEN) VCAL awards.</w:t>
      </w:r>
    </w:p>
    <w:p w:rsidR="00FB572C" w:rsidRPr="0055534E" w:rsidRDefault="00FB572C" w:rsidP="00FB572C">
      <w:pPr>
        <w:autoSpaceDE w:val="0"/>
        <w:autoSpaceDN w:val="0"/>
        <w:adjustRightInd w:val="0"/>
        <w:spacing w:after="0" w:line="240" w:lineRule="auto"/>
        <w:rPr>
          <w:rFonts w:cstheme="minorHAnsi"/>
          <w:sz w:val="24"/>
          <w:szCs w:val="24"/>
        </w:rPr>
      </w:pPr>
      <w:r w:rsidRPr="0055534E">
        <w:rPr>
          <w:rFonts w:cstheme="minorHAnsi"/>
          <w:sz w:val="24"/>
          <w:szCs w:val="24"/>
        </w:rPr>
        <w:t>The award recognised the work of Chisholm’s teachers and support team and its community partners in supporting vulnerable young people, building parenting skills and providing an environment for success.</w:t>
      </w:r>
    </w:p>
    <w:p w:rsidR="00FB572C" w:rsidRPr="0055534E" w:rsidRDefault="00FB572C" w:rsidP="00FB572C">
      <w:pPr>
        <w:autoSpaceDE w:val="0"/>
        <w:autoSpaceDN w:val="0"/>
        <w:adjustRightInd w:val="0"/>
        <w:spacing w:after="0" w:line="240" w:lineRule="auto"/>
        <w:rPr>
          <w:rFonts w:cstheme="minorHAnsi"/>
          <w:sz w:val="24"/>
          <w:szCs w:val="24"/>
        </w:rPr>
      </w:pPr>
      <w:r w:rsidRPr="0055534E">
        <w:rPr>
          <w:rFonts w:cstheme="minorHAnsi"/>
          <w:sz w:val="24"/>
          <w:szCs w:val="24"/>
        </w:rPr>
        <w:t>Five senior students graduated and one intermediate student completed their VCAL studies in 2017. One successfully transitioned from senior VCAL into VCE, and another completed a health assistance course. Seven participants are expected to continue their studies, with the program offering pathways into courses in nursing, retail, automotive, early childcare and hairdressing.</w:t>
      </w:r>
    </w:p>
    <w:p w:rsidR="00FB572C" w:rsidRPr="0055534E" w:rsidRDefault="00FB572C" w:rsidP="00BA3671">
      <w:pPr>
        <w:autoSpaceDE w:val="0"/>
        <w:autoSpaceDN w:val="0"/>
        <w:adjustRightInd w:val="0"/>
        <w:spacing w:after="0" w:line="240" w:lineRule="auto"/>
        <w:rPr>
          <w:rFonts w:cstheme="minorHAnsi"/>
          <w:sz w:val="24"/>
          <w:szCs w:val="24"/>
        </w:rPr>
      </w:pPr>
    </w:p>
    <w:p w:rsidR="007C1E46" w:rsidRDefault="007C1E46" w:rsidP="00BA3671">
      <w:pPr>
        <w:autoSpaceDE w:val="0"/>
        <w:autoSpaceDN w:val="0"/>
        <w:adjustRightInd w:val="0"/>
        <w:spacing w:after="0" w:line="240" w:lineRule="auto"/>
        <w:rPr>
          <w:rFonts w:cstheme="minorHAnsi"/>
          <w:caps/>
          <w:sz w:val="24"/>
          <w:szCs w:val="24"/>
        </w:rPr>
      </w:pPr>
    </w:p>
    <w:p w:rsidR="00FB572C" w:rsidRPr="007C1E46" w:rsidRDefault="00FB572C" w:rsidP="006914D6">
      <w:pPr>
        <w:pStyle w:val="Heading3"/>
      </w:pPr>
      <w:r w:rsidRPr="007C1E46">
        <w:t>Hospitality Gold</w:t>
      </w:r>
    </w:p>
    <w:p w:rsidR="00FB572C" w:rsidRPr="0055534E" w:rsidRDefault="00FB572C" w:rsidP="00FB572C">
      <w:pPr>
        <w:autoSpaceDE w:val="0"/>
        <w:autoSpaceDN w:val="0"/>
        <w:adjustRightInd w:val="0"/>
        <w:spacing w:after="0" w:line="240" w:lineRule="auto"/>
        <w:rPr>
          <w:rFonts w:cstheme="minorHAnsi"/>
          <w:sz w:val="24"/>
          <w:szCs w:val="24"/>
        </w:rPr>
      </w:pPr>
      <w:r w:rsidRPr="0055534E">
        <w:rPr>
          <w:rFonts w:cstheme="minorHAnsi"/>
          <w:sz w:val="24"/>
          <w:szCs w:val="24"/>
        </w:rPr>
        <w:t>Chisholm commercial cookery student Laura Skvor is fast making a name for herself in the culinary world. Laura won gold at the 2017 regional state AUSTAFE competition in August and followed this up as the overall gold winner at the state AUSTAFE competition in September 2017. Laura now has her sights on the ‘Olympics of cooking’, the biennial international Bocuse d’Or culinary contest.</w:t>
      </w:r>
    </w:p>
    <w:p w:rsidR="00BE5373" w:rsidRPr="0055534E" w:rsidRDefault="00FB572C" w:rsidP="00BE5373">
      <w:pPr>
        <w:autoSpaceDE w:val="0"/>
        <w:autoSpaceDN w:val="0"/>
        <w:adjustRightInd w:val="0"/>
        <w:spacing w:after="0" w:line="240" w:lineRule="auto"/>
        <w:rPr>
          <w:rFonts w:cstheme="minorHAnsi"/>
          <w:color w:val="FF0000"/>
          <w:sz w:val="24"/>
          <w:szCs w:val="24"/>
        </w:rPr>
      </w:pPr>
      <w:r w:rsidRPr="0055534E">
        <w:rPr>
          <w:rFonts w:cstheme="minorHAnsi"/>
          <w:sz w:val="24"/>
          <w:szCs w:val="24"/>
        </w:rPr>
        <w:t>Laura partnered with Michael Cole (Head Chef at Georgie Bass) as his commis chef to win Australian selection for the prestigious Bocuse d’Or. The pair will travel to Singapore in 2018 to complete in the semi-finals, aiming to be among contestants from 24 countries at the 2019 Bocuse d’Or finals in Lyon, France.</w:t>
      </w:r>
      <w:r w:rsidR="00BE5373" w:rsidRPr="0055534E">
        <w:rPr>
          <w:rFonts w:cstheme="minorHAnsi"/>
          <w:sz w:val="24"/>
          <w:szCs w:val="24"/>
        </w:rPr>
        <w:t xml:space="preserve"> </w:t>
      </w:r>
    </w:p>
    <w:p w:rsidR="00FB572C" w:rsidRPr="0055534E" w:rsidRDefault="00FB572C" w:rsidP="00FB572C">
      <w:pPr>
        <w:autoSpaceDE w:val="0"/>
        <w:autoSpaceDN w:val="0"/>
        <w:adjustRightInd w:val="0"/>
        <w:spacing w:after="0" w:line="240" w:lineRule="auto"/>
        <w:rPr>
          <w:rFonts w:cstheme="minorHAnsi"/>
          <w:sz w:val="24"/>
          <w:szCs w:val="24"/>
        </w:rPr>
      </w:pPr>
    </w:p>
    <w:p w:rsidR="007C1E46" w:rsidRDefault="007C1E46" w:rsidP="00FB572C">
      <w:pPr>
        <w:autoSpaceDE w:val="0"/>
        <w:autoSpaceDN w:val="0"/>
        <w:adjustRightInd w:val="0"/>
        <w:spacing w:after="0" w:line="240" w:lineRule="auto"/>
        <w:rPr>
          <w:rFonts w:cstheme="minorHAnsi"/>
          <w:caps/>
          <w:sz w:val="24"/>
          <w:szCs w:val="24"/>
        </w:rPr>
      </w:pPr>
    </w:p>
    <w:p w:rsidR="00BE5373" w:rsidRPr="007C1E46" w:rsidRDefault="00BE5373" w:rsidP="006914D6">
      <w:pPr>
        <w:pStyle w:val="Heading3"/>
      </w:pPr>
      <w:r w:rsidRPr="007C1E46">
        <w:t>Victorian Marine Apprentice of the Year</w:t>
      </w: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The Boating Industry Association of Victoria awarded the 2017 Victorian Marine Apprentice of the Year to Chisholm student Dougie Bauer at the 2017 Melbourne Boat Show. Dougie is completing a Certificate III in Marine Mechanical Technology. He was recognised for his significant skills, dedication and behaviour at school and his workplace and for his community involvement.</w:t>
      </w:r>
    </w:p>
    <w:p w:rsidR="00BE5373" w:rsidRPr="0055534E" w:rsidRDefault="00BE5373" w:rsidP="00BE5373">
      <w:pPr>
        <w:autoSpaceDE w:val="0"/>
        <w:autoSpaceDN w:val="0"/>
        <w:adjustRightInd w:val="0"/>
        <w:spacing w:after="0" w:line="240" w:lineRule="auto"/>
        <w:rPr>
          <w:rFonts w:cstheme="minorHAnsi"/>
          <w:sz w:val="24"/>
          <w:szCs w:val="24"/>
        </w:rPr>
      </w:pP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7</w:t>
      </w:r>
    </w:p>
    <w:p w:rsidR="00BE5373" w:rsidRPr="0055534E" w:rsidRDefault="00BE5373" w:rsidP="00BE5373">
      <w:pPr>
        <w:autoSpaceDE w:val="0"/>
        <w:autoSpaceDN w:val="0"/>
        <w:adjustRightInd w:val="0"/>
        <w:spacing w:after="0" w:line="240" w:lineRule="auto"/>
        <w:rPr>
          <w:rFonts w:cstheme="minorHAnsi"/>
          <w:sz w:val="24"/>
          <w:szCs w:val="24"/>
        </w:rPr>
      </w:pPr>
    </w:p>
    <w:p w:rsidR="00BE5373" w:rsidRPr="0055534E" w:rsidRDefault="00BE5373" w:rsidP="006914D6">
      <w:pPr>
        <w:pStyle w:val="Heading2"/>
      </w:pPr>
      <w:r w:rsidRPr="0055534E">
        <w:t>Chisholm Education Awards</w:t>
      </w:r>
    </w:p>
    <w:p w:rsidR="00BE5373" w:rsidRPr="0055534E" w:rsidRDefault="00BE5373" w:rsidP="00BE5373">
      <w:pPr>
        <w:autoSpaceDE w:val="0"/>
        <w:autoSpaceDN w:val="0"/>
        <w:adjustRightInd w:val="0"/>
        <w:spacing w:after="0" w:line="240" w:lineRule="auto"/>
        <w:rPr>
          <w:rFonts w:cstheme="minorHAnsi"/>
          <w:sz w:val="24"/>
          <w:szCs w:val="24"/>
        </w:rPr>
      </w:pP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Chisholm’s 2017 Education Awards recognised the outstanding achievements of students, teachers, and industry partnerships.</w:t>
      </w:r>
    </w:p>
    <w:p w:rsidR="00BE5373" w:rsidRPr="0055534E" w:rsidRDefault="00BE5373" w:rsidP="00BE5373">
      <w:pPr>
        <w:autoSpaceDE w:val="0"/>
        <w:autoSpaceDN w:val="0"/>
        <w:adjustRightInd w:val="0"/>
        <w:spacing w:after="0" w:line="240" w:lineRule="auto"/>
        <w:rPr>
          <w:rFonts w:cstheme="minorHAnsi"/>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Secondary Studies Student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Hannah Wain</w:t>
      </w:r>
    </w:p>
    <w:p w:rsidR="007C1E46" w:rsidRDefault="007C1E46"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Koorie Student of the Year</w:t>
      </w:r>
    </w:p>
    <w:p w:rsidR="007C1E46" w:rsidRDefault="007C1E46" w:rsidP="00BE5373">
      <w:pPr>
        <w:autoSpaceDE w:val="0"/>
        <w:autoSpaceDN w:val="0"/>
        <w:adjustRightInd w:val="0"/>
        <w:spacing w:after="0" w:line="240" w:lineRule="auto"/>
        <w:rPr>
          <w:rFonts w:cstheme="minorHAnsi"/>
          <w:sz w:val="24"/>
          <w:szCs w:val="24"/>
        </w:rPr>
      </w:pPr>
      <w:r>
        <w:rPr>
          <w:rFonts w:cstheme="minorHAnsi"/>
          <w:sz w:val="24"/>
          <w:szCs w:val="24"/>
        </w:rPr>
        <w:t>Alarna Pyper</w:t>
      </w:r>
    </w:p>
    <w:p w:rsidR="007C1E46" w:rsidRPr="007C1E46" w:rsidRDefault="007C1E46" w:rsidP="00BE5373">
      <w:pPr>
        <w:autoSpaceDE w:val="0"/>
        <w:autoSpaceDN w:val="0"/>
        <w:adjustRightInd w:val="0"/>
        <w:spacing w:after="0" w:line="240" w:lineRule="auto"/>
        <w:rPr>
          <w:rFonts w:cstheme="minorHAnsi"/>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Trainee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Hugh Barrow</w:t>
      </w:r>
    </w:p>
    <w:p w:rsidR="007C1E46" w:rsidRDefault="007C1E46"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International Student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Samuel Chukwuweonu and Amandeep Kaur</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Higher Education Student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Thomas Munro-Harrison</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Teacher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Jackii Brown, Nicholas Lee and Jay Brown</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Apprentice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 xml:space="preserve">Andrew Woolley –Environment </w:t>
      </w:r>
    </w:p>
    <w:p w:rsidR="00BE5373" w:rsidRPr="007C1E46" w:rsidRDefault="00BE5373" w:rsidP="00BE5373">
      <w:pPr>
        <w:autoSpaceDE w:val="0"/>
        <w:autoSpaceDN w:val="0"/>
        <w:adjustRightInd w:val="0"/>
        <w:spacing w:after="0" w:line="240" w:lineRule="auto"/>
        <w:rPr>
          <w:rFonts w:cstheme="minorHAnsi"/>
          <w:sz w:val="24"/>
          <w:szCs w:val="24"/>
        </w:rPr>
      </w:pPr>
    </w:p>
    <w:p w:rsidR="00BE5373" w:rsidRPr="007C1E46" w:rsidRDefault="00BE5373" w:rsidP="006914D6">
      <w:pPr>
        <w:pStyle w:val="Heading3"/>
      </w:pPr>
      <w:r w:rsidRPr="007C1E46">
        <w:t>Study area Apprentice winners</w:t>
      </w:r>
    </w:p>
    <w:p w:rsidR="007C1E46" w:rsidRPr="007C1E46" w:rsidRDefault="007C1E46" w:rsidP="007C1E46">
      <w:pPr>
        <w:autoSpaceDE w:val="0"/>
        <w:autoSpaceDN w:val="0"/>
        <w:adjustRightInd w:val="0"/>
        <w:spacing w:after="0" w:line="240" w:lineRule="auto"/>
        <w:rPr>
          <w:rFonts w:cstheme="minorHAnsi"/>
          <w:bCs/>
          <w:sz w:val="24"/>
          <w:szCs w:val="24"/>
        </w:rPr>
      </w:pPr>
      <w:r w:rsidRPr="007C1E46">
        <w:rPr>
          <w:rFonts w:cstheme="minorHAnsi"/>
          <w:bCs/>
          <w:sz w:val="24"/>
          <w:szCs w:val="24"/>
        </w:rPr>
        <w:t>Ryan Thompson</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Plumbing and Water Industry Services</w:t>
      </w:r>
    </w:p>
    <w:p w:rsidR="007C1E46" w:rsidRDefault="007C1E46" w:rsidP="007C1E46">
      <w:pPr>
        <w:autoSpaceDE w:val="0"/>
        <w:autoSpaceDN w:val="0"/>
        <w:adjustRightInd w:val="0"/>
        <w:spacing w:after="0" w:line="240" w:lineRule="auto"/>
        <w:rPr>
          <w:rFonts w:cstheme="minorHAnsi"/>
          <w:bCs/>
          <w:sz w:val="24"/>
          <w:szCs w:val="24"/>
        </w:rPr>
      </w:pPr>
    </w:p>
    <w:p w:rsidR="007C1E46" w:rsidRPr="007C1E46" w:rsidRDefault="007C1E46" w:rsidP="007C1E46">
      <w:pPr>
        <w:autoSpaceDE w:val="0"/>
        <w:autoSpaceDN w:val="0"/>
        <w:adjustRightInd w:val="0"/>
        <w:spacing w:after="0" w:line="240" w:lineRule="auto"/>
        <w:rPr>
          <w:rFonts w:cstheme="minorHAnsi"/>
          <w:bCs/>
          <w:sz w:val="24"/>
          <w:szCs w:val="24"/>
        </w:rPr>
      </w:pPr>
      <w:r w:rsidRPr="007C1E46">
        <w:rPr>
          <w:rFonts w:cstheme="minorHAnsi"/>
          <w:bCs/>
          <w:sz w:val="24"/>
          <w:szCs w:val="24"/>
        </w:rPr>
        <w:t>Amy Hunter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Hair, Beauty and Wellness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Dylan Bennett</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Construction and Building Industry Services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lastRenderedPageBreak/>
        <w:t>Nathan Thomson</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ACM Parts Award for excellence in Automotive and Supply Chain</w:t>
      </w:r>
      <w:r w:rsidR="007C1E46">
        <w:rPr>
          <w:rFonts w:cstheme="minorHAnsi"/>
          <w:sz w:val="24"/>
          <w:szCs w:val="24"/>
        </w:rPr>
        <w:t xml:space="preserve"> </w:t>
      </w:r>
      <w:r w:rsidRPr="007C1E46">
        <w:rPr>
          <w:rFonts w:cstheme="minorHAnsi"/>
          <w:sz w:val="24"/>
          <w:szCs w:val="24"/>
        </w:rPr>
        <w:t>Management</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Simon Radunkovic</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Bill Norling Award for Outstanding Automotive Apprentice</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Kaid Piper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Engineering, Electrotechnology &amp; Telecommunications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Vocational Student of the Year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Jarrod Mills - Sport and Recreation</w:t>
      </w:r>
    </w:p>
    <w:p w:rsidR="00BE5373" w:rsidRPr="007C1E46" w:rsidRDefault="00BE5373" w:rsidP="00BE5373">
      <w:pPr>
        <w:autoSpaceDE w:val="0"/>
        <w:autoSpaceDN w:val="0"/>
        <w:adjustRightInd w:val="0"/>
        <w:spacing w:after="0" w:line="240" w:lineRule="auto"/>
        <w:rPr>
          <w:rFonts w:cstheme="minorHAnsi"/>
          <w:sz w:val="24"/>
          <w:szCs w:val="24"/>
        </w:rPr>
      </w:pPr>
    </w:p>
    <w:p w:rsidR="00BE5373" w:rsidRPr="007C1E46" w:rsidRDefault="00BE5373" w:rsidP="006914D6">
      <w:pPr>
        <w:pStyle w:val="Heading3"/>
      </w:pPr>
      <w:r w:rsidRPr="007C1E46">
        <w:t>Study area Vocational winners</w:t>
      </w: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Kelly Thomas</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Business Services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Samantha Petrie</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Early Childhood Education and Care</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Elizabeth Maher</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Health and Community Care</w:t>
      </w:r>
    </w:p>
    <w:p w:rsidR="007C1E46" w:rsidRDefault="007C1E46"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Kylie Jackson</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Hair Beauty and Wellness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Todd Huntly</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Engineering, Electrotechnology &amp; Telecommunications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Samsur Rahman</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Information Technology &amp; Computer Systems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Michael Kuol</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Foundation College</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Sonja Matla</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Hospitality and Tourism</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Ben Stenhouse</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VET in Schools</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Christina Lovison</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Professional Teaching</w:t>
      </w:r>
    </w:p>
    <w:p w:rsidR="007C1E46" w:rsidRDefault="007C1E46" w:rsidP="00FB572C">
      <w:pPr>
        <w:autoSpaceDE w:val="0"/>
        <w:autoSpaceDN w:val="0"/>
        <w:adjustRightInd w:val="0"/>
        <w:spacing w:after="0" w:line="240" w:lineRule="auto"/>
        <w:rPr>
          <w:rFonts w:cstheme="minorHAnsi"/>
          <w:sz w:val="24"/>
          <w:szCs w:val="24"/>
        </w:rPr>
      </w:pPr>
    </w:p>
    <w:p w:rsidR="00BE5373" w:rsidRPr="0055534E" w:rsidRDefault="00BE5373" w:rsidP="00FB572C">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8</w:t>
      </w:r>
      <w:r w:rsidRPr="0055534E">
        <w:rPr>
          <w:rFonts w:cstheme="minorHAnsi"/>
          <w:color w:val="FF0000"/>
          <w:sz w:val="24"/>
          <w:szCs w:val="24"/>
        </w:rPr>
        <w:t xml:space="preserve"> </w:t>
      </w:r>
    </w:p>
    <w:p w:rsidR="00BE5373" w:rsidRPr="0055534E" w:rsidRDefault="00BE5373" w:rsidP="00FB572C">
      <w:pPr>
        <w:autoSpaceDE w:val="0"/>
        <w:autoSpaceDN w:val="0"/>
        <w:adjustRightInd w:val="0"/>
        <w:spacing w:after="0" w:line="240" w:lineRule="auto"/>
        <w:rPr>
          <w:rFonts w:cstheme="minorHAnsi"/>
          <w:sz w:val="24"/>
          <w:szCs w:val="24"/>
        </w:rPr>
      </w:pPr>
    </w:p>
    <w:p w:rsidR="00BE5373" w:rsidRPr="0055534E" w:rsidRDefault="00BE5373" w:rsidP="00FB572C">
      <w:pPr>
        <w:autoSpaceDE w:val="0"/>
        <w:autoSpaceDN w:val="0"/>
        <w:adjustRightInd w:val="0"/>
        <w:spacing w:after="0" w:line="240" w:lineRule="auto"/>
        <w:rPr>
          <w:rFonts w:cstheme="minorHAnsi"/>
          <w:sz w:val="24"/>
          <w:szCs w:val="24"/>
        </w:rPr>
      </w:pPr>
    </w:p>
    <w:p w:rsidR="00BE5373" w:rsidRPr="0055534E" w:rsidRDefault="00BE5373" w:rsidP="006914D6">
      <w:pPr>
        <w:pStyle w:val="Heading2"/>
      </w:pPr>
      <w:r w:rsidRPr="0055534E">
        <w:lastRenderedPageBreak/>
        <w:t>HBIA Awards</w:t>
      </w:r>
    </w:p>
    <w:p w:rsidR="00BE5373" w:rsidRPr="0055534E" w:rsidRDefault="00BE5373" w:rsidP="00FB572C">
      <w:pPr>
        <w:autoSpaceDE w:val="0"/>
        <w:autoSpaceDN w:val="0"/>
        <w:adjustRightInd w:val="0"/>
        <w:spacing w:after="0" w:line="240" w:lineRule="auto"/>
        <w:rPr>
          <w:rFonts w:cstheme="minorHAnsi"/>
          <w:sz w:val="24"/>
          <w:szCs w:val="24"/>
        </w:rPr>
      </w:pP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Chisholm’s excellence was recognised with five major awards at the Hairdressing and Beauty Industry Awards (HBIA) in November 2017. The top honour of Educator of the Year was awarded to Chisholm barbering teacher Jackii Brown for the second consecutive year.</w:t>
      </w: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Chisholm’s continued success in this field reflects our commitment to high-quality training for students and industry partners. With growing demand for qualified hair, make-up and beauty specialists, Chisholm is proud to be recognised for the success of its teachers and students.</w:t>
      </w: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Chisholm blitzed the field to win in the following HBIA categories:</w:t>
      </w:r>
    </w:p>
    <w:p w:rsidR="00BE5373" w:rsidRPr="0055534E" w:rsidRDefault="00BE5373" w:rsidP="00FB572C">
      <w:pPr>
        <w:autoSpaceDE w:val="0"/>
        <w:autoSpaceDN w:val="0"/>
        <w:adjustRightInd w:val="0"/>
        <w:spacing w:after="0" w:line="240" w:lineRule="auto"/>
        <w:rPr>
          <w:rFonts w:cstheme="minorHAnsi"/>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Educator of the Year Award</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Jackii Brown</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Certificate III in Make-up</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Zainab Jafari</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Certificate IV in Screen and Media (Specialist Make-up Services)</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Julie Taylor</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Certificate III in Hairdressing</w:t>
      </w:r>
    </w:p>
    <w:p w:rsidR="00BE5373" w:rsidRPr="007C1E46" w:rsidRDefault="00BE5373" w:rsidP="00BE5373">
      <w:pPr>
        <w:autoSpaceDE w:val="0"/>
        <w:autoSpaceDN w:val="0"/>
        <w:adjustRightInd w:val="0"/>
        <w:spacing w:after="0" w:line="240" w:lineRule="auto"/>
        <w:rPr>
          <w:rFonts w:cstheme="minorHAnsi"/>
          <w:sz w:val="24"/>
          <w:szCs w:val="24"/>
        </w:rPr>
      </w:pPr>
      <w:r w:rsidRPr="007C1E46">
        <w:rPr>
          <w:rFonts w:cstheme="minorHAnsi"/>
          <w:sz w:val="24"/>
          <w:szCs w:val="24"/>
        </w:rPr>
        <w:t>Krystina Artuso</w:t>
      </w:r>
    </w:p>
    <w:p w:rsidR="00BE5373" w:rsidRPr="007C1E46" w:rsidRDefault="00BE5373" w:rsidP="00BE5373">
      <w:pPr>
        <w:autoSpaceDE w:val="0"/>
        <w:autoSpaceDN w:val="0"/>
        <w:adjustRightInd w:val="0"/>
        <w:spacing w:after="0" w:line="240" w:lineRule="auto"/>
        <w:rPr>
          <w:rFonts w:cstheme="minorHAnsi"/>
          <w:bCs/>
          <w:sz w:val="24"/>
          <w:szCs w:val="24"/>
        </w:rPr>
      </w:pPr>
    </w:p>
    <w:p w:rsidR="00BE5373" w:rsidRPr="007C1E46" w:rsidRDefault="00BE5373" w:rsidP="00BE5373">
      <w:pPr>
        <w:autoSpaceDE w:val="0"/>
        <w:autoSpaceDN w:val="0"/>
        <w:adjustRightInd w:val="0"/>
        <w:spacing w:after="0" w:line="240" w:lineRule="auto"/>
        <w:rPr>
          <w:rFonts w:cstheme="minorHAnsi"/>
          <w:bCs/>
          <w:sz w:val="24"/>
          <w:szCs w:val="24"/>
        </w:rPr>
      </w:pPr>
      <w:r w:rsidRPr="007C1E46">
        <w:rPr>
          <w:rFonts w:cstheme="minorHAnsi"/>
          <w:bCs/>
          <w:sz w:val="24"/>
          <w:szCs w:val="24"/>
        </w:rPr>
        <w:t>Certificate II in Beauty Services</w:t>
      </w:r>
    </w:p>
    <w:p w:rsidR="00BE5373" w:rsidRPr="0055534E" w:rsidRDefault="00BE5373" w:rsidP="00BE5373">
      <w:pPr>
        <w:autoSpaceDE w:val="0"/>
        <w:autoSpaceDN w:val="0"/>
        <w:adjustRightInd w:val="0"/>
        <w:spacing w:after="0" w:line="240" w:lineRule="auto"/>
        <w:rPr>
          <w:rFonts w:cstheme="minorHAnsi"/>
          <w:sz w:val="24"/>
          <w:szCs w:val="24"/>
        </w:rPr>
      </w:pPr>
      <w:r w:rsidRPr="0055534E">
        <w:rPr>
          <w:rFonts w:cstheme="minorHAnsi"/>
          <w:sz w:val="24"/>
          <w:szCs w:val="24"/>
        </w:rPr>
        <w:t>Chelsie Edwards</w:t>
      </w:r>
    </w:p>
    <w:p w:rsidR="00D02C09" w:rsidRDefault="00D02C09" w:rsidP="00BE5373">
      <w:pPr>
        <w:autoSpaceDE w:val="0"/>
        <w:autoSpaceDN w:val="0"/>
        <w:adjustRightInd w:val="0"/>
        <w:spacing w:after="0" w:line="240" w:lineRule="auto"/>
        <w:rPr>
          <w:rFonts w:cstheme="minorHAnsi"/>
          <w:sz w:val="24"/>
          <w:szCs w:val="24"/>
        </w:rPr>
      </w:pPr>
    </w:p>
    <w:p w:rsidR="00117D7A" w:rsidRPr="0055534E" w:rsidRDefault="00117D7A" w:rsidP="00BE5373">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9</w:t>
      </w:r>
      <w:r w:rsidRPr="0055534E">
        <w:rPr>
          <w:rFonts w:cstheme="minorHAnsi"/>
          <w:sz w:val="24"/>
          <w:szCs w:val="24"/>
        </w:rPr>
        <w:t xml:space="preserve"> </w:t>
      </w:r>
    </w:p>
    <w:p w:rsidR="00BE5373" w:rsidRPr="0055534E" w:rsidRDefault="00BE5373" w:rsidP="00FB572C">
      <w:pPr>
        <w:autoSpaceDE w:val="0"/>
        <w:autoSpaceDN w:val="0"/>
        <w:adjustRightInd w:val="0"/>
        <w:spacing w:after="0" w:line="240" w:lineRule="auto"/>
        <w:rPr>
          <w:rFonts w:cstheme="minorHAnsi"/>
          <w:sz w:val="24"/>
          <w:szCs w:val="24"/>
        </w:rPr>
      </w:pPr>
    </w:p>
    <w:p w:rsidR="00117D7A" w:rsidRPr="0055534E" w:rsidRDefault="00117D7A" w:rsidP="006914D6">
      <w:pPr>
        <w:pStyle w:val="Heading2"/>
      </w:pPr>
      <w:r w:rsidRPr="0055534E">
        <w:t>Working with Industry</w:t>
      </w:r>
    </w:p>
    <w:p w:rsidR="00117D7A" w:rsidRPr="0055534E" w:rsidRDefault="00117D7A" w:rsidP="00FB572C">
      <w:pPr>
        <w:autoSpaceDE w:val="0"/>
        <w:autoSpaceDN w:val="0"/>
        <w:adjustRightInd w:val="0"/>
        <w:spacing w:after="0" w:line="240" w:lineRule="auto"/>
        <w:rPr>
          <w:rFonts w:cstheme="minorHAnsi"/>
          <w:sz w:val="24"/>
          <w:szCs w:val="24"/>
        </w:rPr>
      </w:pPr>
    </w:p>
    <w:p w:rsidR="00117D7A" w:rsidRDefault="00117D7A" w:rsidP="006914D6">
      <w:pPr>
        <w:pStyle w:val="Heading3"/>
      </w:pPr>
      <w:r w:rsidRPr="007C1E46">
        <w:t>Automotive Holdings Group</w:t>
      </w:r>
    </w:p>
    <w:p w:rsidR="002432A2" w:rsidRPr="007C1E46" w:rsidRDefault="002432A2" w:rsidP="00FB572C">
      <w:pPr>
        <w:autoSpaceDE w:val="0"/>
        <w:autoSpaceDN w:val="0"/>
        <w:adjustRightInd w:val="0"/>
        <w:spacing w:after="0" w:line="240" w:lineRule="auto"/>
        <w:rPr>
          <w:rFonts w:cstheme="minorHAnsi"/>
          <w:caps/>
          <w:sz w:val="24"/>
          <w:szCs w:val="24"/>
        </w:rPr>
      </w:pPr>
    </w:p>
    <w:p w:rsidR="00117D7A" w:rsidRPr="0055534E" w:rsidRDefault="00117D7A" w:rsidP="00117D7A">
      <w:pPr>
        <w:autoSpaceDE w:val="0"/>
        <w:autoSpaceDN w:val="0"/>
        <w:adjustRightInd w:val="0"/>
        <w:spacing w:after="0" w:line="240" w:lineRule="auto"/>
        <w:rPr>
          <w:rFonts w:cstheme="minorHAnsi"/>
          <w:sz w:val="24"/>
          <w:szCs w:val="24"/>
        </w:rPr>
      </w:pPr>
      <w:r w:rsidRPr="0055534E">
        <w:rPr>
          <w:rFonts w:cstheme="minorHAnsi"/>
          <w:sz w:val="24"/>
          <w:szCs w:val="24"/>
        </w:rPr>
        <w:t>At the core of this successful partnership is an innovative program where participants undertake intensive pre-apprenticeship training at Chisholm before their placement at an Automotive Holdings Group dealership.</w:t>
      </w:r>
    </w:p>
    <w:p w:rsidR="00117D7A" w:rsidRPr="0055534E" w:rsidRDefault="00117D7A" w:rsidP="00117D7A">
      <w:pPr>
        <w:autoSpaceDE w:val="0"/>
        <w:autoSpaceDN w:val="0"/>
        <w:adjustRightInd w:val="0"/>
        <w:spacing w:after="0" w:line="240" w:lineRule="auto"/>
        <w:rPr>
          <w:rFonts w:cstheme="minorHAnsi"/>
          <w:sz w:val="24"/>
          <w:szCs w:val="24"/>
        </w:rPr>
      </w:pPr>
      <w:r w:rsidRPr="0055534E">
        <w:rPr>
          <w:rFonts w:cstheme="minorHAnsi"/>
          <w:sz w:val="24"/>
          <w:szCs w:val="24"/>
        </w:rPr>
        <w:t>This partnership demonstrates the successful collaboration to design a solution that delivers a great result for the business and participants.</w:t>
      </w:r>
    </w:p>
    <w:p w:rsidR="00117D7A" w:rsidRPr="0055534E" w:rsidRDefault="00117D7A" w:rsidP="00117D7A">
      <w:pPr>
        <w:autoSpaceDE w:val="0"/>
        <w:autoSpaceDN w:val="0"/>
        <w:adjustRightInd w:val="0"/>
        <w:spacing w:after="0" w:line="240" w:lineRule="auto"/>
        <w:rPr>
          <w:rFonts w:cstheme="minorHAnsi"/>
          <w:sz w:val="24"/>
          <w:szCs w:val="24"/>
        </w:rPr>
      </w:pPr>
    </w:p>
    <w:p w:rsidR="00117D7A" w:rsidRPr="007C1E46" w:rsidRDefault="00117D7A" w:rsidP="006914D6">
      <w:pPr>
        <w:pStyle w:val="Heading3"/>
      </w:pPr>
      <w:r w:rsidRPr="007C1E46">
        <w:t>Better Communication with Industry Employers</w:t>
      </w:r>
    </w:p>
    <w:p w:rsidR="002432A2" w:rsidRDefault="002432A2" w:rsidP="00117D7A">
      <w:pPr>
        <w:autoSpaceDE w:val="0"/>
        <w:autoSpaceDN w:val="0"/>
        <w:adjustRightInd w:val="0"/>
        <w:spacing w:after="0" w:line="240" w:lineRule="auto"/>
        <w:rPr>
          <w:rFonts w:cstheme="minorHAnsi"/>
          <w:sz w:val="24"/>
          <w:szCs w:val="24"/>
        </w:rPr>
      </w:pPr>
    </w:p>
    <w:p w:rsidR="00117D7A" w:rsidRPr="0055534E" w:rsidRDefault="00117D7A" w:rsidP="00117D7A">
      <w:pPr>
        <w:autoSpaceDE w:val="0"/>
        <w:autoSpaceDN w:val="0"/>
        <w:adjustRightInd w:val="0"/>
        <w:spacing w:after="0" w:line="240" w:lineRule="auto"/>
        <w:rPr>
          <w:rFonts w:cstheme="minorHAnsi"/>
          <w:sz w:val="24"/>
          <w:szCs w:val="24"/>
        </w:rPr>
      </w:pPr>
      <w:r w:rsidRPr="0055534E">
        <w:rPr>
          <w:rFonts w:cstheme="minorHAnsi"/>
          <w:sz w:val="24"/>
          <w:szCs w:val="24"/>
        </w:rPr>
        <w:t xml:space="preserve">A pilot project for the Chisholm Employer Portal saw more than 300 plumbing trades employers sign up. The portal is an online interface that allows employers to view information about apprentice training progress, including timetables, attendance, up-to-date training progress, and ability to complete sign-offs in real time. A key value of the portal is its 24-hour accessibility and user-friendly design. In 2018, accessibility to the portal will continue to expand, including to construction, automotive, hairdressing and hospitality </w:t>
      </w:r>
      <w:r w:rsidRPr="0055534E">
        <w:rPr>
          <w:rFonts w:cstheme="minorHAnsi"/>
          <w:sz w:val="24"/>
          <w:szCs w:val="24"/>
        </w:rPr>
        <w:lastRenderedPageBreak/>
        <w:t>employers. Markbook Mobile is an application that also went live in 2017. The system uses SMS to alert employers in real time about apprentice attendance, lateness or non-attendance to TAFE classes.</w:t>
      </w:r>
    </w:p>
    <w:p w:rsidR="00117D7A" w:rsidRPr="0055534E" w:rsidRDefault="00117D7A" w:rsidP="00117D7A">
      <w:pPr>
        <w:autoSpaceDE w:val="0"/>
        <w:autoSpaceDN w:val="0"/>
        <w:adjustRightInd w:val="0"/>
        <w:spacing w:after="0" w:line="240" w:lineRule="auto"/>
        <w:rPr>
          <w:rFonts w:cstheme="minorHAnsi"/>
          <w:sz w:val="24"/>
          <w:szCs w:val="24"/>
        </w:rPr>
      </w:pPr>
    </w:p>
    <w:p w:rsidR="00117D7A" w:rsidRPr="007C1E46" w:rsidRDefault="00117D7A" w:rsidP="006914D6">
      <w:pPr>
        <w:pStyle w:val="Heading3"/>
      </w:pPr>
      <w:r w:rsidRPr="007C1E46">
        <w:t xml:space="preserve">Ti Tree at Village Glen </w:t>
      </w:r>
    </w:p>
    <w:p w:rsidR="002432A2" w:rsidRDefault="002432A2" w:rsidP="00117D7A">
      <w:pPr>
        <w:autoSpaceDE w:val="0"/>
        <w:autoSpaceDN w:val="0"/>
        <w:adjustRightInd w:val="0"/>
        <w:spacing w:after="0" w:line="240" w:lineRule="auto"/>
        <w:rPr>
          <w:rFonts w:cstheme="minorHAnsi"/>
          <w:sz w:val="24"/>
          <w:szCs w:val="24"/>
        </w:rPr>
      </w:pPr>
    </w:p>
    <w:p w:rsidR="00117D7A" w:rsidRPr="0055534E" w:rsidRDefault="00117D7A" w:rsidP="00117D7A">
      <w:pPr>
        <w:autoSpaceDE w:val="0"/>
        <w:autoSpaceDN w:val="0"/>
        <w:adjustRightInd w:val="0"/>
        <w:spacing w:after="0" w:line="240" w:lineRule="auto"/>
        <w:rPr>
          <w:rFonts w:cstheme="minorHAnsi"/>
          <w:sz w:val="24"/>
          <w:szCs w:val="24"/>
        </w:rPr>
      </w:pPr>
      <w:r w:rsidRPr="0055534E">
        <w:rPr>
          <w:rFonts w:cstheme="minorHAnsi"/>
          <w:sz w:val="24"/>
          <w:szCs w:val="24"/>
        </w:rPr>
        <w:t>Chisholm continued to deliver workplace training and education at aged care facility Ti Tree at Village Glen in 2017. A variety of qualifications were offered, including certificates in individual support, commercial cookery and short courses. Chisholm’s training program contributed to Ti Tree at Village Glen winning a prestigious Better Practice Award by the Australian Government’s Australian Aged Care Quality Agency for Workforce Development – Employee Sustainability through traineeships. This collaboration and commitment to quality training and employment has been the key to identifying sustainable ways of employing a growing pool of job seekers from the Peninsula. Ti Tree’s commitment to training also provides future career opportunities and development through up-skilling programs.</w:t>
      </w:r>
    </w:p>
    <w:p w:rsidR="00117D7A" w:rsidRPr="0055534E" w:rsidRDefault="00117D7A" w:rsidP="00117D7A">
      <w:pPr>
        <w:autoSpaceDE w:val="0"/>
        <w:autoSpaceDN w:val="0"/>
        <w:adjustRightInd w:val="0"/>
        <w:spacing w:after="0" w:line="240" w:lineRule="auto"/>
        <w:rPr>
          <w:rFonts w:cstheme="minorHAnsi"/>
          <w:sz w:val="24"/>
          <w:szCs w:val="24"/>
        </w:rPr>
      </w:pPr>
    </w:p>
    <w:p w:rsidR="00117D7A" w:rsidRPr="0055534E" w:rsidRDefault="00117D7A" w:rsidP="00117D7A">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10</w:t>
      </w:r>
    </w:p>
    <w:p w:rsidR="00117D7A" w:rsidRPr="0055534E" w:rsidRDefault="00117D7A" w:rsidP="00FB572C">
      <w:pPr>
        <w:autoSpaceDE w:val="0"/>
        <w:autoSpaceDN w:val="0"/>
        <w:adjustRightInd w:val="0"/>
        <w:spacing w:after="0" w:line="240" w:lineRule="auto"/>
        <w:rPr>
          <w:rFonts w:cstheme="minorHAnsi"/>
          <w:sz w:val="24"/>
          <w:szCs w:val="24"/>
        </w:rPr>
      </w:pPr>
    </w:p>
    <w:p w:rsidR="00117D7A" w:rsidRPr="007C1E46" w:rsidRDefault="007C1E46" w:rsidP="006914D6">
      <w:pPr>
        <w:pStyle w:val="Heading3"/>
      </w:pPr>
      <w:r>
        <w:t>‘</w:t>
      </w:r>
      <w:r w:rsidR="00307527" w:rsidRPr="007C1E46">
        <w:t>Back to Work’ Project Key Initiatives and Innovation</w:t>
      </w:r>
    </w:p>
    <w:p w:rsidR="002432A2" w:rsidRDefault="002432A2" w:rsidP="00307527">
      <w:pPr>
        <w:autoSpaceDE w:val="0"/>
        <w:autoSpaceDN w:val="0"/>
        <w:adjustRightInd w:val="0"/>
        <w:spacing w:after="0" w:line="240" w:lineRule="auto"/>
        <w:rPr>
          <w:rFonts w:cstheme="minorHAnsi"/>
          <w:sz w:val="24"/>
          <w:szCs w:val="24"/>
        </w:rPr>
      </w:pP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Chisholm worked extensively with industry throughout 2017 to develop programs under the Victorian Government’s ‘Back to Work’ program which supports long-term unemployed people.</w:t>
      </w:r>
    </w:p>
    <w:p w:rsidR="00307527" w:rsidRPr="0055534E" w:rsidRDefault="00307527" w:rsidP="00307527">
      <w:pPr>
        <w:autoSpaceDE w:val="0"/>
        <w:autoSpaceDN w:val="0"/>
        <w:adjustRightInd w:val="0"/>
        <w:spacing w:after="0" w:line="240" w:lineRule="auto"/>
        <w:rPr>
          <w:rFonts w:cstheme="minorHAnsi"/>
          <w:b/>
          <w:bCs/>
          <w:sz w:val="24"/>
          <w:szCs w:val="24"/>
        </w:rPr>
      </w:pPr>
    </w:p>
    <w:p w:rsidR="00307527" w:rsidRPr="007C1E46" w:rsidRDefault="00307527" w:rsidP="006914D6">
      <w:pPr>
        <w:pStyle w:val="Heading3"/>
      </w:pPr>
      <w:r w:rsidRPr="007C1E46">
        <w:t>Panelised construction skill-set</w:t>
      </w:r>
    </w:p>
    <w:p w:rsidR="002432A2" w:rsidRDefault="002432A2" w:rsidP="00307527">
      <w:pPr>
        <w:autoSpaceDE w:val="0"/>
        <w:autoSpaceDN w:val="0"/>
        <w:adjustRightInd w:val="0"/>
        <w:spacing w:after="0" w:line="240" w:lineRule="auto"/>
        <w:rPr>
          <w:rFonts w:cstheme="minorHAnsi"/>
          <w:sz w:val="24"/>
          <w:szCs w:val="24"/>
        </w:rPr>
      </w:pP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In Europe, 80 per cent of domestic and commercial building construction is performed offsite. Buildings are constructed in panel sections or room by room and then assembled onsite in a few days. Panelised construction is being rapidly adopted in Australia’s construction industry. In response, Chisholm’s Building Trades department has developed and is now delivering training in this area to help meet employer demand for semi-skilled, trained staff.</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7C1E46" w:rsidRDefault="00307527" w:rsidP="006914D6">
      <w:pPr>
        <w:pStyle w:val="Heading3"/>
      </w:pPr>
      <w:r w:rsidRPr="007C1E46">
        <w:t xml:space="preserve">Future Leaders in Manufacturing Sales </w:t>
      </w:r>
    </w:p>
    <w:p w:rsidR="002432A2" w:rsidRDefault="002432A2" w:rsidP="00307527">
      <w:pPr>
        <w:autoSpaceDE w:val="0"/>
        <w:autoSpaceDN w:val="0"/>
        <w:adjustRightInd w:val="0"/>
        <w:spacing w:after="0" w:line="240" w:lineRule="auto"/>
        <w:rPr>
          <w:rFonts w:cstheme="minorHAnsi"/>
          <w:sz w:val="24"/>
          <w:szCs w:val="24"/>
        </w:rPr>
      </w:pP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Chisholm’s Future Leaders in Manufacturing Sales program was de</w:t>
      </w:r>
      <w:r w:rsidR="007C1E46">
        <w:rPr>
          <w:rFonts w:cstheme="minorHAnsi"/>
          <w:sz w:val="24"/>
          <w:szCs w:val="24"/>
        </w:rPr>
        <w:t xml:space="preserve">signed in consultation with the </w:t>
      </w:r>
      <w:r w:rsidRPr="0055534E">
        <w:rPr>
          <w:rFonts w:cstheme="minorHAnsi"/>
          <w:sz w:val="24"/>
          <w:szCs w:val="24"/>
        </w:rPr>
        <w:t>South East Melbourne Manufacturing Alliance (SEMMA), South East Business Network (SEBN) and other industry specialists. The program is unique and a truly innovative industry educational product. Students are employees of organisations in the local manufacturing industry who are undertaking a custom-built Certificate IV in Business Sales. Specialist training is delivered in subject areas including marketing strategy, closing the deal sales techniques, leadership and management skills, and emotional intelligence and neuro-linguistics programming (NLP).</w:t>
      </w:r>
    </w:p>
    <w:p w:rsidR="00117D7A"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 xml:space="preserve">The program aims to promote growth within the local manufacturing sector by developing marketing and sales skills. The first class of eight students from local manufacturers started </w:t>
      </w:r>
      <w:r w:rsidRPr="0055534E">
        <w:rPr>
          <w:rFonts w:cstheme="minorHAnsi"/>
          <w:sz w:val="24"/>
          <w:szCs w:val="24"/>
        </w:rPr>
        <w:lastRenderedPageBreak/>
        <w:t>in April 2017, with training delivered in the workplace and classrooms. The second class began in November 2017.</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11</w:t>
      </w:r>
      <w:r w:rsidRPr="0055534E">
        <w:rPr>
          <w:rFonts w:cstheme="minorHAnsi"/>
          <w:sz w:val="24"/>
          <w:szCs w:val="24"/>
        </w:rPr>
        <w:t xml:space="preserve"> </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55534E" w:rsidRDefault="00307527" w:rsidP="006914D6">
      <w:pPr>
        <w:pStyle w:val="Heading2"/>
      </w:pPr>
      <w:r w:rsidRPr="0055534E">
        <w:t>Community Outreach</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7C1E46" w:rsidRDefault="00307527" w:rsidP="006914D6">
      <w:pPr>
        <w:pStyle w:val="Heading3"/>
      </w:pPr>
      <w:r w:rsidRPr="007C1E46">
        <w:t>Adult Migrant English Program</w:t>
      </w:r>
    </w:p>
    <w:p w:rsidR="002432A2" w:rsidRDefault="002432A2" w:rsidP="00307527">
      <w:pPr>
        <w:autoSpaceDE w:val="0"/>
        <w:autoSpaceDN w:val="0"/>
        <w:adjustRightInd w:val="0"/>
        <w:spacing w:after="0" w:line="240" w:lineRule="auto"/>
        <w:rPr>
          <w:rFonts w:cstheme="minorHAnsi"/>
          <w:sz w:val="24"/>
          <w:szCs w:val="24"/>
        </w:rPr>
      </w:pP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Chisholm commenced delivering the Adult Migrant English Program (AMEP) in July 2017, becoming the sole sub contractor of the program in Melbourne’s south east and peninsula region.</w:t>
      </w: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An Australian Government-funded program, AMEP provides up to 510 hours of English language tuition to eligible migrants and humanitarian entrants to help them acquire foundation English language and settlements skills so they can participate socially and economically in Australian society.</w:t>
      </w: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In the second half of 2017, Chisholm delivered AMEP classes at 10 locations, with 1,315 students participating in 1,947 courses.</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7C1E46" w:rsidRDefault="00307527" w:rsidP="006914D6">
      <w:pPr>
        <w:pStyle w:val="Heading3"/>
      </w:pPr>
      <w:r w:rsidRPr="007C1E46">
        <w:t>Change our Brains Initiative</w:t>
      </w:r>
    </w:p>
    <w:p w:rsidR="002432A2" w:rsidRDefault="002432A2" w:rsidP="00307527">
      <w:pPr>
        <w:autoSpaceDE w:val="0"/>
        <w:autoSpaceDN w:val="0"/>
        <w:adjustRightInd w:val="0"/>
        <w:spacing w:after="0" w:line="240" w:lineRule="auto"/>
        <w:rPr>
          <w:rFonts w:cstheme="minorHAnsi"/>
          <w:sz w:val="24"/>
          <w:szCs w:val="24"/>
        </w:rPr>
      </w:pP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Chisholm trades teacher Shaun Gledhill led the development and piloting of the Change Our Brains program in 2017 to prevent suicide and raise awareness of mental health problems among young trades people. The program was developed with the help of Headspace, Tomorrow Man, Wesley Mission and others. It aims to equip young men and women with tools to better communicate their emotions, reach out</w:t>
      </w:r>
      <w:r w:rsidR="002050CB" w:rsidRPr="0055534E">
        <w:rPr>
          <w:rFonts w:cstheme="minorHAnsi"/>
          <w:sz w:val="24"/>
          <w:szCs w:val="24"/>
        </w:rPr>
        <w:t xml:space="preserve"> if they need help, and to know </w:t>
      </w:r>
      <w:r w:rsidRPr="0055534E">
        <w:rPr>
          <w:rFonts w:cstheme="minorHAnsi"/>
          <w:sz w:val="24"/>
          <w:szCs w:val="24"/>
        </w:rPr>
        <w:t>wher</w:t>
      </w:r>
      <w:r w:rsidR="002050CB" w:rsidRPr="0055534E">
        <w:rPr>
          <w:rFonts w:cstheme="minorHAnsi"/>
          <w:sz w:val="24"/>
          <w:szCs w:val="24"/>
        </w:rPr>
        <w:t xml:space="preserve">e to turn if feeling depressed. </w:t>
      </w:r>
      <w:r w:rsidRPr="0055534E">
        <w:rPr>
          <w:rFonts w:cstheme="minorHAnsi"/>
          <w:sz w:val="24"/>
          <w:szCs w:val="24"/>
        </w:rPr>
        <w:t>Ke</w:t>
      </w:r>
      <w:r w:rsidR="002050CB" w:rsidRPr="0055534E">
        <w:rPr>
          <w:rFonts w:cstheme="minorHAnsi"/>
          <w:sz w:val="24"/>
          <w:szCs w:val="24"/>
        </w:rPr>
        <w:t xml:space="preserve">y elements of the pilot program </w:t>
      </w:r>
      <w:r w:rsidRPr="0055534E">
        <w:rPr>
          <w:rFonts w:cstheme="minorHAnsi"/>
          <w:sz w:val="24"/>
          <w:szCs w:val="24"/>
        </w:rPr>
        <w:t>inclu</w:t>
      </w:r>
      <w:r w:rsidR="002050CB" w:rsidRPr="0055534E">
        <w:rPr>
          <w:rFonts w:cstheme="minorHAnsi"/>
          <w:sz w:val="24"/>
          <w:szCs w:val="24"/>
        </w:rPr>
        <w:t xml:space="preserve">ded: establishment of a network </w:t>
      </w:r>
      <w:r w:rsidRPr="0055534E">
        <w:rPr>
          <w:rFonts w:cstheme="minorHAnsi"/>
          <w:sz w:val="24"/>
          <w:szCs w:val="24"/>
        </w:rPr>
        <w:t>of</w:t>
      </w:r>
      <w:r w:rsidR="002050CB" w:rsidRPr="0055534E">
        <w:rPr>
          <w:rFonts w:cstheme="minorHAnsi"/>
          <w:sz w:val="24"/>
          <w:szCs w:val="24"/>
        </w:rPr>
        <w:t xml:space="preserve"> student and staff volunteers – </w:t>
      </w:r>
      <w:r w:rsidRPr="0055534E">
        <w:rPr>
          <w:rFonts w:cstheme="minorHAnsi"/>
          <w:sz w:val="24"/>
          <w:szCs w:val="24"/>
        </w:rPr>
        <w:t>M</w:t>
      </w:r>
      <w:r w:rsidR="002050CB" w:rsidRPr="0055534E">
        <w:rPr>
          <w:rFonts w:cstheme="minorHAnsi"/>
          <w:sz w:val="24"/>
          <w:szCs w:val="24"/>
        </w:rPr>
        <w:t xml:space="preserve">anbassadors and Maambassadors – </w:t>
      </w:r>
      <w:r w:rsidRPr="0055534E">
        <w:rPr>
          <w:rFonts w:cstheme="minorHAnsi"/>
          <w:sz w:val="24"/>
          <w:szCs w:val="24"/>
        </w:rPr>
        <w:t>to provide a</w:t>
      </w:r>
      <w:r w:rsidR="002050CB" w:rsidRPr="0055534E">
        <w:rPr>
          <w:rFonts w:cstheme="minorHAnsi"/>
          <w:sz w:val="24"/>
          <w:szCs w:val="24"/>
        </w:rPr>
        <w:t xml:space="preserve">n initial peer support referral </w:t>
      </w:r>
      <w:r w:rsidRPr="0055534E">
        <w:rPr>
          <w:rFonts w:cstheme="minorHAnsi"/>
          <w:sz w:val="24"/>
          <w:szCs w:val="24"/>
        </w:rPr>
        <w:t>system, fa</w:t>
      </w:r>
      <w:r w:rsidR="002050CB" w:rsidRPr="0055534E">
        <w:rPr>
          <w:rFonts w:cstheme="minorHAnsi"/>
          <w:sz w:val="24"/>
          <w:szCs w:val="24"/>
        </w:rPr>
        <w:t xml:space="preserve">cilitated workshops for several </w:t>
      </w:r>
      <w:r w:rsidRPr="0055534E">
        <w:rPr>
          <w:rFonts w:cstheme="minorHAnsi"/>
          <w:sz w:val="24"/>
          <w:szCs w:val="24"/>
        </w:rPr>
        <w:t>Chishol</w:t>
      </w:r>
      <w:r w:rsidR="002050CB" w:rsidRPr="0055534E">
        <w:rPr>
          <w:rFonts w:cstheme="minorHAnsi"/>
          <w:sz w:val="24"/>
          <w:szCs w:val="24"/>
        </w:rPr>
        <w:t xml:space="preserve">m trades groups by the Tomorrow </w:t>
      </w:r>
      <w:r w:rsidRPr="0055534E">
        <w:rPr>
          <w:rFonts w:cstheme="minorHAnsi"/>
          <w:sz w:val="24"/>
          <w:szCs w:val="24"/>
        </w:rPr>
        <w:t>Man organisation, and a tradies</w:t>
      </w:r>
    </w:p>
    <w:p w:rsidR="00307527" w:rsidRPr="0055534E" w:rsidRDefault="00307527" w:rsidP="00307527">
      <w:pPr>
        <w:autoSpaceDE w:val="0"/>
        <w:autoSpaceDN w:val="0"/>
        <w:adjustRightInd w:val="0"/>
        <w:spacing w:after="0" w:line="240" w:lineRule="auto"/>
        <w:rPr>
          <w:rFonts w:cstheme="minorHAnsi"/>
          <w:sz w:val="24"/>
          <w:szCs w:val="24"/>
        </w:rPr>
      </w:pPr>
      <w:r w:rsidRPr="0055534E">
        <w:rPr>
          <w:rFonts w:cstheme="minorHAnsi"/>
          <w:sz w:val="24"/>
          <w:szCs w:val="24"/>
        </w:rPr>
        <w:t>‘Break</w:t>
      </w:r>
      <w:r w:rsidR="002050CB" w:rsidRPr="0055534E">
        <w:rPr>
          <w:rFonts w:cstheme="minorHAnsi"/>
          <w:sz w:val="24"/>
          <w:szCs w:val="24"/>
        </w:rPr>
        <w:t xml:space="preserve">fast of Champions’ at Tate Home </w:t>
      </w:r>
      <w:r w:rsidRPr="0055534E">
        <w:rPr>
          <w:rFonts w:cstheme="minorHAnsi"/>
          <w:sz w:val="24"/>
          <w:szCs w:val="24"/>
        </w:rPr>
        <w:t>Timbe</w:t>
      </w:r>
      <w:r w:rsidR="002050CB" w:rsidRPr="0055534E">
        <w:rPr>
          <w:rFonts w:cstheme="minorHAnsi"/>
          <w:sz w:val="24"/>
          <w:szCs w:val="24"/>
        </w:rPr>
        <w:t xml:space="preserve">r and Hardware in Somerville to </w:t>
      </w:r>
      <w:r w:rsidRPr="0055534E">
        <w:rPr>
          <w:rFonts w:cstheme="minorHAnsi"/>
          <w:sz w:val="24"/>
          <w:szCs w:val="24"/>
        </w:rPr>
        <w:t>raise awareness and promote</w:t>
      </w:r>
      <w:r w:rsidR="002050CB" w:rsidRPr="0055534E">
        <w:rPr>
          <w:rFonts w:cstheme="minorHAnsi"/>
          <w:sz w:val="24"/>
          <w:szCs w:val="24"/>
        </w:rPr>
        <w:t xml:space="preserve"> a help seeking </w:t>
      </w:r>
      <w:r w:rsidRPr="0055534E">
        <w:rPr>
          <w:rFonts w:cstheme="minorHAnsi"/>
          <w:sz w:val="24"/>
          <w:szCs w:val="24"/>
        </w:rPr>
        <w:t>cul</w:t>
      </w:r>
      <w:r w:rsidR="002050CB" w:rsidRPr="0055534E">
        <w:rPr>
          <w:rFonts w:cstheme="minorHAnsi"/>
          <w:sz w:val="24"/>
          <w:szCs w:val="24"/>
        </w:rPr>
        <w:t xml:space="preserve">ture among tradies for alcohol, </w:t>
      </w:r>
      <w:r w:rsidRPr="0055534E">
        <w:rPr>
          <w:rFonts w:cstheme="minorHAnsi"/>
          <w:sz w:val="24"/>
          <w:szCs w:val="24"/>
        </w:rPr>
        <w:t>drugs, mental health and suicide issues.</w:t>
      </w:r>
    </w:p>
    <w:p w:rsidR="002050CB" w:rsidRPr="0055534E" w:rsidRDefault="002050CB" w:rsidP="00307527">
      <w:pPr>
        <w:autoSpaceDE w:val="0"/>
        <w:autoSpaceDN w:val="0"/>
        <w:adjustRightInd w:val="0"/>
        <w:spacing w:after="0" w:line="240" w:lineRule="auto"/>
        <w:rPr>
          <w:rFonts w:cstheme="minorHAnsi"/>
          <w:sz w:val="24"/>
          <w:szCs w:val="24"/>
        </w:rPr>
      </w:pPr>
    </w:p>
    <w:p w:rsidR="002050CB" w:rsidRPr="007C1E46" w:rsidRDefault="002050CB" w:rsidP="006914D6">
      <w:pPr>
        <w:pStyle w:val="Heading3"/>
      </w:pPr>
      <w:r w:rsidRPr="007C1E46">
        <w:t>Life-gate</w:t>
      </w:r>
    </w:p>
    <w:p w:rsidR="002432A2" w:rsidRDefault="002432A2" w:rsidP="002050CB">
      <w:pPr>
        <w:autoSpaceDE w:val="0"/>
        <w:autoSpaceDN w:val="0"/>
        <w:adjustRightInd w:val="0"/>
        <w:spacing w:after="0" w:line="240" w:lineRule="auto"/>
        <w:rPr>
          <w:rFonts w:cstheme="minorHAnsi"/>
          <w:sz w:val="24"/>
          <w:szCs w:val="24"/>
        </w:rPr>
      </w:pPr>
    </w:p>
    <w:p w:rsidR="002050CB" w:rsidRPr="0055534E" w:rsidRDefault="002050CB" w:rsidP="002050CB">
      <w:pPr>
        <w:autoSpaceDE w:val="0"/>
        <w:autoSpaceDN w:val="0"/>
        <w:adjustRightInd w:val="0"/>
        <w:spacing w:after="0" w:line="240" w:lineRule="auto"/>
        <w:rPr>
          <w:rFonts w:cstheme="minorHAnsi"/>
          <w:sz w:val="24"/>
          <w:szCs w:val="24"/>
        </w:rPr>
      </w:pPr>
      <w:r w:rsidRPr="0055534E">
        <w:rPr>
          <w:rFonts w:cstheme="minorHAnsi"/>
          <w:sz w:val="24"/>
          <w:szCs w:val="24"/>
        </w:rPr>
        <w:t>Chisholm commercial cookery students at Frankston worked with volunteer crisis care organisation Life-Gate to provide approximately 15 litres of soup each week to the local homeless and disadvantaged community throughout 2017.</w:t>
      </w:r>
    </w:p>
    <w:p w:rsidR="00307527" w:rsidRPr="0055534E" w:rsidRDefault="00307527" w:rsidP="00307527">
      <w:pPr>
        <w:autoSpaceDE w:val="0"/>
        <w:autoSpaceDN w:val="0"/>
        <w:adjustRightInd w:val="0"/>
        <w:spacing w:after="0" w:line="240" w:lineRule="auto"/>
        <w:rPr>
          <w:rFonts w:cstheme="minorHAnsi"/>
          <w:sz w:val="24"/>
          <w:szCs w:val="24"/>
        </w:rPr>
      </w:pPr>
    </w:p>
    <w:p w:rsidR="002050CB" w:rsidRPr="007C1E46" w:rsidRDefault="002050CB" w:rsidP="006914D6">
      <w:pPr>
        <w:pStyle w:val="Heading3"/>
      </w:pPr>
      <w:r w:rsidRPr="007C1E46">
        <w:t>South East Automotive Transition (SEAT) Program</w:t>
      </w:r>
    </w:p>
    <w:p w:rsidR="002432A2" w:rsidRDefault="002432A2" w:rsidP="002050CB">
      <w:pPr>
        <w:autoSpaceDE w:val="0"/>
        <w:autoSpaceDN w:val="0"/>
        <w:adjustRightInd w:val="0"/>
        <w:spacing w:after="0" w:line="240" w:lineRule="auto"/>
        <w:rPr>
          <w:rFonts w:cstheme="minorHAnsi"/>
          <w:sz w:val="24"/>
          <w:szCs w:val="24"/>
        </w:rPr>
      </w:pPr>
    </w:p>
    <w:p w:rsidR="002050CB" w:rsidRPr="0055534E" w:rsidRDefault="002050CB" w:rsidP="002050CB">
      <w:pPr>
        <w:autoSpaceDE w:val="0"/>
        <w:autoSpaceDN w:val="0"/>
        <w:adjustRightInd w:val="0"/>
        <w:spacing w:after="0" w:line="240" w:lineRule="auto"/>
        <w:rPr>
          <w:rFonts w:cstheme="minorHAnsi"/>
          <w:sz w:val="24"/>
          <w:szCs w:val="24"/>
        </w:rPr>
      </w:pPr>
      <w:r w:rsidRPr="0055534E">
        <w:rPr>
          <w:rFonts w:cstheme="minorHAnsi"/>
          <w:sz w:val="24"/>
          <w:szCs w:val="24"/>
        </w:rPr>
        <w:t>The South East Automotive Transition (SEAT) program sits within the Chisholm Skills and Jobs Centre as part of an overall</w:t>
      </w:r>
      <w:r w:rsidR="007C1E46">
        <w:rPr>
          <w:rFonts w:cstheme="minorHAnsi"/>
          <w:sz w:val="24"/>
          <w:szCs w:val="24"/>
        </w:rPr>
        <w:t xml:space="preserve"> Automotive Industry Transition </w:t>
      </w:r>
      <w:r w:rsidRPr="0055534E">
        <w:rPr>
          <w:rFonts w:cstheme="minorHAnsi"/>
          <w:sz w:val="24"/>
          <w:szCs w:val="24"/>
        </w:rPr>
        <w:t>Plan by the Victorian Government. This program assists automotive businesses to transition into new markets and supports workers to retrain and find sustainable jobs.</w:t>
      </w:r>
    </w:p>
    <w:p w:rsidR="002050CB" w:rsidRPr="0055534E" w:rsidRDefault="002050CB" w:rsidP="002050CB">
      <w:pPr>
        <w:autoSpaceDE w:val="0"/>
        <w:autoSpaceDN w:val="0"/>
        <w:adjustRightInd w:val="0"/>
        <w:spacing w:after="0" w:line="240" w:lineRule="auto"/>
        <w:rPr>
          <w:rFonts w:cstheme="minorHAnsi"/>
          <w:sz w:val="24"/>
          <w:szCs w:val="24"/>
        </w:rPr>
      </w:pPr>
      <w:r w:rsidRPr="0055534E">
        <w:rPr>
          <w:rFonts w:cstheme="minorHAnsi"/>
          <w:sz w:val="24"/>
          <w:szCs w:val="24"/>
        </w:rPr>
        <w:lastRenderedPageBreak/>
        <w:t>More than 300 redundant automotive workers accessed this service in 2017.</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55534E" w:rsidRDefault="002050CB" w:rsidP="00307527">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12</w:t>
      </w:r>
    </w:p>
    <w:p w:rsidR="000B1104" w:rsidRPr="0055534E" w:rsidRDefault="000B1104" w:rsidP="00307527">
      <w:pPr>
        <w:autoSpaceDE w:val="0"/>
        <w:autoSpaceDN w:val="0"/>
        <w:adjustRightInd w:val="0"/>
        <w:spacing w:after="0" w:line="240" w:lineRule="auto"/>
        <w:rPr>
          <w:rFonts w:cstheme="minorHAnsi"/>
          <w:sz w:val="24"/>
          <w:szCs w:val="24"/>
        </w:rPr>
      </w:pPr>
    </w:p>
    <w:p w:rsidR="002050CB" w:rsidRPr="007C1E46" w:rsidRDefault="002050CB" w:rsidP="006914D6">
      <w:pPr>
        <w:pStyle w:val="Heading3"/>
      </w:pPr>
      <w:r w:rsidRPr="007C1E46">
        <w:t>Chisholm Skills and Jobs Centre</w:t>
      </w:r>
    </w:p>
    <w:p w:rsidR="002432A2" w:rsidRDefault="002432A2" w:rsidP="002050CB">
      <w:pPr>
        <w:autoSpaceDE w:val="0"/>
        <w:autoSpaceDN w:val="0"/>
        <w:adjustRightInd w:val="0"/>
        <w:spacing w:after="0" w:line="240" w:lineRule="auto"/>
        <w:rPr>
          <w:rFonts w:cstheme="minorHAnsi"/>
          <w:sz w:val="24"/>
          <w:szCs w:val="24"/>
        </w:rPr>
      </w:pPr>
    </w:p>
    <w:p w:rsidR="002050CB" w:rsidRPr="0055534E" w:rsidRDefault="002050CB" w:rsidP="002050CB">
      <w:pPr>
        <w:autoSpaceDE w:val="0"/>
        <w:autoSpaceDN w:val="0"/>
        <w:adjustRightInd w:val="0"/>
        <w:spacing w:after="0" w:line="240" w:lineRule="auto"/>
        <w:rPr>
          <w:rFonts w:cstheme="minorHAnsi"/>
          <w:sz w:val="24"/>
          <w:szCs w:val="24"/>
        </w:rPr>
      </w:pPr>
      <w:r w:rsidRPr="0055534E">
        <w:rPr>
          <w:rFonts w:cstheme="minorHAnsi"/>
          <w:sz w:val="24"/>
          <w:szCs w:val="24"/>
        </w:rPr>
        <w:t>Chisholm’s Skills and Jobs Centre (SJC) is part of a state-wide Victorian Government program to assist potential students, job seekers and employers. It has a key role in connecting job seekers with highly relevant vocational training. The SJC offers free and accurate contemporary advice on job readiness, training, upskilling and job opportunities, and assists employers with recruitment.</w:t>
      </w:r>
    </w:p>
    <w:p w:rsidR="002050CB" w:rsidRPr="0055534E" w:rsidRDefault="002050CB" w:rsidP="002050CB">
      <w:pPr>
        <w:autoSpaceDE w:val="0"/>
        <w:autoSpaceDN w:val="0"/>
        <w:adjustRightInd w:val="0"/>
        <w:spacing w:after="0" w:line="240" w:lineRule="auto"/>
        <w:rPr>
          <w:rFonts w:cstheme="minorHAnsi"/>
          <w:sz w:val="24"/>
          <w:szCs w:val="24"/>
        </w:rPr>
      </w:pPr>
      <w:r w:rsidRPr="0055534E">
        <w:rPr>
          <w:rFonts w:cstheme="minorHAnsi"/>
          <w:sz w:val="24"/>
          <w:szCs w:val="24"/>
        </w:rPr>
        <w:t>In 2017, the SJC provided confidential counselling, careers advice, job-seeking skills and free workshops to more than 2,870 job seekers.</w:t>
      </w:r>
    </w:p>
    <w:p w:rsidR="00307527" w:rsidRPr="0055534E" w:rsidRDefault="00307527" w:rsidP="00307527">
      <w:pPr>
        <w:autoSpaceDE w:val="0"/>
        <w:autoSpaceDN w:val="0"/>
        <w:adjustRightInd w:val="0"/>
        <w:spacing w:after="0" w:line="240" w:lineRule="auto"/>
        <w:rPr>
          <w:rFonts w:cstheme="minorHAnsi"/>
          <w:sz w:val="24"/>
          <w:szCs w:val="24"/>
        </w:rPr>
      </w:pPr>
    </w:p>
    <w:p w:rsidR="002050CB" w:rsidRPr="0055534E" w:rsidRDefault="002050CB" w:rsidP="00307527">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13</w:t>
      </w:r>
      <w:r w:rsidRPr="0055534E">
        <w:rPr>
          <w:rFonts w:cstheme="minorHAnsi"/>
          <w:sz w:val="24"/>
          <w:szCs w:val="24"/>
        </w:rPr>
        <w:t xml:space="preserve"> </w:t>
      </w:r>
    </w:p>
    <w:p w:rsidR="00307527" w:rsidRPr="0055534E" w:rsidRDefault="00307527" w:rsidP="00307527">
      <w:pPr>
        <w:autoSpaceDE w:val="0"/>
        <w:autoSpaceDN w:val="0"/>
        <w:adjustRightInd w:val="0"/>
        <w:spacing w:after="0" w:line="240" w:lineRule="auto"/>
        <w:rPr>
          <w:rFonts w:cstheme="minorHAnsi"/>
          <w:sz w:val="24"/>
          <w:szCs w:val="24"/>
        </w:rPr>
      </w:pPr>
    </w:p>
    <w:p w:rsidR="00307527" w:rsidRPr="0055534E" w:rsidRDefault="002050CB" w:rsidP="006914D6">
      <w:pPr>
        <w:pStyle w:val="Heading2"/>
      </w:pPr>
      <w:r w:rsidRPr="0055534E">
        <w:t>Educational Excellence and Innovation</w:t>
      </w:r>
    </w:p>
    <w:p w:rsidR="002050CB" w:rsidRPr="0055534E" w:rsidRDefault="002050CB" w:rsidP="00307527">
      <w:pPr>
        <w:autoSpaceDE w:val="0"/>
        <w:autoSpaceDN w:val="0"/>
        <w:adjustRightInd w:val="0"/>
        <w:spacing w:after="0" w:line="240" w:lineRule="auto"/>
        <w:rPr>
          <w:rFonts w:cstheme="minorHAnsi"/>
          <w:sz w:val="24"/>
          <w:szCs w:val="24"/>
        </w:rPr>
      </w:pPr>
    </w:p>
    <w:p w:rsidR="00D67052" w:rsidRPr="007C1E46" w:rsidRDefault="00D67052" w:rsidP="006914D6">
      <w:pPr>
        <w:pStyle w:val="Heading3"/>
      </w:pPr>
      <w:r w:rsidRPr="007C1E46">
        <w:t>Chisholm Online</w:t>
      </w:r>
    </w:p>
    <w:p w:rsidR="002432A2" w:rsidRDefault="002432A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Chisholm Online continues to grow and is now well established as a premium provider of online education in the VET sector. The high-touch and supportive online education model continued to drive positive outcomes, with over 1,100 busy adult learners in 2017 engaged online to re-skill, up-skill or return to the workforce.</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Chisholm Online expanded its course and service offerings in 2017. New skillsets were added to complement the 18 existing courses, a mental health flagship program was developed and courseware development services now offer tailored solutions to meet specific industry training needs.</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14</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7C1E46" w:rsidRDefault="00D67052" w:rsidP="006914D6">
      <w:pPr>
        <w:pStyle w:val="Heading3"/>
      </w:pPr>
      <w:r w:rsidRPr="007C1E46">
        <w:t>Chisholm Sports Academy</w:t>
      </w:r>
    </w:p>
    <w:p w:rsidR="002432A2" w:rsidRDefault="002432A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The Chisholm Sports Academy at Cranbourne was established in 2017, offering elite-level training, coupled with nationally accredited, industry-recognised qualifications – the Diploma of Sport Development and Diploma of Sport and Recreation Management – with pathways to a sporting industry career and/or higher education. Basketball was the Academy’s focus for 2017, with Australian Football League</w:t>
      </w:r>
      <w:r w:rsidR="00D34E24" w:rsidRPr="0055534E">
        <w:rPr>
          <w:rFonts w:cstheme="minorHAnsi"/>
          <w:sz w:val="24"/>
          <w:szCs w:val="24"/>
        </w:rPr>
        <w:t xml:space="preserve"> (AFL) to follow in 2018</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7C1E46" w:rsidRDefault="00D67052" w:rsidP="006914D6">
      <w:pPr>
        <w:pStyle w:val="Heading3"/>
      </w:pPr>
      <w:r w:rsidRPr="007C1E46">
        <w:t>Embedded Workplace Trials</w:t>
      </w:r>
    </w:p>
    <w:p w:rsidR="002432A2" w:rsidRDefault="002432A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Chisholm’s senior and technical college continued to innovate in supporting students to achieve and progress to successful apprenticeships by embedding work place trials into the bricklaying pre-apprenticeship during training.</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7C1E46" w:rsidRDefault="00D67052" w:rsidP="006914D6">
      <w:pPr>
        <w:pStyle w:val="Heading3"/>
      </w:pPr>
      <w:r w:rsidRPr="007C1E46">
        <w:lastRenderedPageBreak/>
        <w:t>Enabling Educators</w:t>
      </w:r>
    </w:p>
    <w:p w:rsidR="002432A2" w:rsidRDefault="002432A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In 2017, Chisholm focused on educator enablement, development and sharing of learning resources and enhancing student success.</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Chisholm’s Professional Educator College continued to support educator capacity, implementing tailored learning journeys and elective modules for 670 educators during the year.</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The Professional Educator Framework addresses the development needs of all Chisholm educators across Senior Secondary School, VET and Higher Education sectors.</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It is centred on identifying the needs of diverse student cohorts, to provide a high-quality student experience, and promote the design of innovative and responsive learning and assessment programs that meet current and emerging industry needs. Chisholm also invested significantly in the development of educational initiatives that aim to support current and emerging innovations in education.</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These investments include support for:</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 Virtual reality exploration</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 Learning management system automation</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 Dynamic videography development</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 Learning designer capability.</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F856CE" w:rsidRDefault="00D67052" w:rsidP="006914D6">
      <w:pPr>
        <w:pStyle w:val="Heading3"/>
      </w:pPr>
      <w:r w:rsidRPr="00F856CE">
        <w:t>La Trobe Degrees at Chisholm</w:t>
      </w:r>
    </w:p>
    <w:p w:rsidR="002432A2" w:rsidRDefault="002432A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The La Trobe at Chisholm partnership is bringing a new focus on higher education to Melbourne’s south east. The partnership is building a visible and convenient local pathway into higher education degrees at Chisholm campuses and delivering improved employment outcomes for students.</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In 2017, more than 600 local students enrolled in partnership courses in accounting, information technology, early learning education, community services and nursing. Each student came into the partnership offer as part of a Chisholm VET qualification.</w:t>
      </w: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Completing the VET qualification makes students eligible for advanced entry into a specialised La Trobe degree at a local Chisholm campus. A Masters of Business Administration was added to the suite in 2017.</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15</w:t>
      </w:r>
    </w:p>
    <w:p w:rsidR="00D67052" w:rsidRPr="0055534E" w:rsidRDefault="00D67052" w:rsidP="00D67052">
      <w:pPr>
        <w:autoSpaceDE w:val="0"/>
        <w:autoSpaceDN w:val="0"/>
        <w:adjustRightInd w:val="0"/>
        <w:spacing w:after="0" w:line="240" w:lineRule="auto"/>
        <w:rPr>
          <w:rFonts w:cstheme="minorHAnsi"/>
          <w:sz w:val="24"/>
          <w:szCs w:val="24"/>
        </w:rPr>
      </w:pPr>
    </w:p>
    <w:p w:rsidR="00D67052" w:rsidRDefault="00D67052" w:rsidP="006914D6">
      <w:pPr>
        <w:pStyle w:val="Heading2"/>
      </w:pPr>
      <w:r w:rsidRPr="00F856CE">
        <w:t>Building for the Future</w:t>
      </w:r>
    </w:p>
    <w:p w:rsidR="00F856CE" w:rsidRPr="00F856CE" w:rsidRDefault="00F856CE" w:rsidP="00F856CE">
      <w:pPr>
        <w:pStyle w:val="AnnualReportHeading1"/>
      </w:pPr>
    </w:p>
    <w:p w:rsidR="00D67052" w:rsidRPr="0055534E" w:rsidRDefault="00D67052" w:rsidP="00D67052">
      <w:pPr>
        <w:autoSpaceDE w:val="0"/>
        <w:autoSpaceDN w:val="0"/>
        <w:adjustRightInd w:val="0"/>
        <w:spacing w:after="0" w:line="240" w:lineRule="auto"/>
        <w:rPr>
          <w:rFonts w:cstheme="minorHAnsi"/>
          <w:sz w:val="24"/>
          <w:szCs w:val="24"/>
        </w:rPr>
      </w:pPr>
      <w:r w:rsidRPr="0055534E">
        <w:rPr>
          <w:rFonts w:cstheme="minorHAnsi"/>
          <w:sz w:val="24"/>
          <w:szCs w:val="24"/>
        </w:rPr>
        <w:t>Chisholm continued to invest in facilities in 2017 to forge even stronger links with business and industry and deliver outstanding education, employment and skills opportunities into the future for the communities in which it operates. Funding from the Victorian Government and Chisholm enable these developments.</w:t>
      </w:r>
    </w:p>
    <w:p w:rsidR="00D67052" w:rsidRPr="0055534E" w:rsidRDefault="00D67052" w:rsidP="00D67052">
      <w:pPr>
        <w:autoSpaceDE w:val="0"/>
        <w:autoSpaceDN w:val="0"/>
        <w:adjustRightInd w:val="0"/>
        <w:spacing w:after="0" w:line="240" w:lineRule="auto"/>
        <w:rPr>
          <w:rFonts w:cstheme="minorHAnsi"/>
          <w:sz w:val="24"/>
          <w:szCs w:val="24"/>
        </w:rPr>
      </w:pPr>
    </w:p>
    <w:p w:rsidR="00D67052" w:rsidRPr="00F856CE" w:rsidRDefault="00D67052" w:rsidP="006914D6">
      <w:pPr>
        <w:pStyle w:val="Heading3"/>
      </w:pPr>
      <w:r w:rsidRPr="00F856CE">
        <w:t>Berwick Centre for Health</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D67052" w:rsidP="006751F0">
      <w:pPr>
        <w:autoSpaceDE w:val="0"/>
        <w:autoSpaceDN w:val="0"/>
        <w:adjustRightInd w:val="0"/>
        <w:spacing w:after="0" w:line="240" w:lineRule="auto"/>
        <w:rPr>
          <w:rFonts w:cstheme="minorHAnsi"/>
          <w:sz w:val="24"/>
          <w:szCs w:val="24"/>
        </w:rPr>
      </w:pPr>
      <w:r w:rsidRPr="0055534E">
        <w:rPr>
          <w:rFonts w:cstheme="minorHAnsi"/>
          <w:sz w:val="24"/>
          <w:szCs w:val="24"/>
        </w:rPr>
        <w:t xml:space="preserve">Chisholm’s new Centre for Health is situated in the heart of the emerging Berwick Health and Education Precinct. The precinct includes Casey Hospital and the new St John of God </w:t>
      </w:r>
      <w:r w:rsidRPr="0055534E">
        <w:rPr>
          <w:rFonts w:cstheme="minorHAnsi"/>
          <w:sz w:val="24"/>
          <w:szCs w:val="24"/>
        </w:rPr>
        <w:lastRenderedPageBreak/>
        <w:t>Hospital, both located in walking distance of the Centre for Health. This $15 million, three story building will feature specialised training and simulation laboratories, tailored teaching envi</w:t>
      </w:r>
      <w:r w:rsidR="006751F0" w:rsidRPr="0055534E">
        <w:rPr>
          <w:rFonts w:cstheme="minorHAnsi"/>
          <w:sz w:val="24"/>
          <w:szCs w:val="24"/>
        </w:rPr>
        <w:t xml:space="preserve">ronments and student amenity to </w:t>
      </w:r>
      <w:r w:rsidRPr="0055534E">
        <w:rPr>
          <w:rFonts w:cstheme="minorHAnsi"/>
          <w:sz w:val="24"/>
          <w:szCs w:val="24"/>
        </w:rPr>
        <w:t xml:space="preserve">meet increased demand </w:t>
      </w:r>
      <w:r w:rsidR="006751F0" w:rsidRPr="0055534E">
        <w:rPr>
          <w:rFonts w:cstheme="minorHAnsi"/>
          <w:sz w:val="24"/>
          <w:szCs w:val="24"/>
        </w:rPr>
        <w:t xml:space="preserve">for health and nursing. Due for </w:t>
      </w:r>
      <w:r w:rsidRPr="0055534E">
        <w:rPr>
          <w:rFonts w:cstheme="minorHAnsi"/>
          <w:sz w:val="24"/>
          <w:szCs w:val="24"/>
        </w:rPr>
        <w:t>complet</w:t>
      </w:r>
      <w:r w:rsidR="006751F0" w:rsidRPr="0055534E">
        <w:rPr>
          <w:rFonts w:cstheme="minorHAnsi"/>
          <w:sz w:val="24"/>
          <w:szCs w:val="24"/>
        </w:rPr>
        <w:t xml:space="preserve">ion in 2018, this purpose-built </w:t>
      </w:r>
      <w:r w:rsidRPr="0055534E">
        <w:rPr>
          <w:rFonts w:cstheme="minorHAnsi"/>
          <w:sz w:val="24"/>
          <w:szCs w:val="24"/>
        </w:rPr>
        <w:t>develop</w:t>
      </w:r>
      <w:r w:rsidR="006751F0" w:rsidRPr="0055534E">
        <w:rPr>
          <w:rFonts w:cstheme="minorHAnsi"/>
          <w:sz w:val="24"/>
          <w:szCs w:val="24"/>
        </w:rPr>
        <w:t xml:space="preserve">ment will provide opportunities </w:t>
      </w:r>
      <w:r w:rsidRPr="0055534E">
        <w:rPr>
          <w:rFonts w:cstheme="minorHAnsi"/>
          <w:sz w:val="24"/>
          <w:szCs w:val="24"/>
        </w:rPr>
        <w:t>for</w:t>
      </w:r>
      <w:r w:rsidR="006751F0" w:rsidRPr="0055534E">
        <w:rPr>
          <w:rFonts w:cstheme="minorHAnsi"/>
          <w:sz w:val="24"/>
          <w:szCs w:val="24"/>
        </w:rPr>
        <w:t xml:space="preserve"> new students and up-skilling </w:t>
      </w:r>
      <w:r w:rsidRPr="0055534E">
        <w:rPr>
          <w:rFonts w:cstheme="minorHAnsi"/>
          <w:sz w:val="24"/>
          <w:szCs w:val="24"/>
        </w:rPr>
        <w:t>for current professionals.</w:t>
      </w:r>
      <w:r w:rsidR="006751F0" w:rsidRPr="0055534E">
        <w:rPr>
          <w:rFonts w:cstheme="minorHAnsi"/>
          <w:sz w:val="24"/>
          <w:szCs w:val="24"/>
        </w:rPr>
        <w:t xml:space="preserve"> </w:t>
      </w:r>
    </w:p>
    <w:p w:rsidR="00D67052" w:rsidRPr="0055534E" w:rsidRDefault="00D67052" w:rsidP="00D67052">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Chisholm in the City</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xml:space="preserve">Chisholm is now operating from two locations in the heart of the Melbourne City Business District to meet the growing demand for Chisholm’s educational offering outside of Melbourne’s south east. Chisholm’s 234 Flinders Lane Campus was the location for celebrating the official opening of Chisholm’s city educational and training facilities which were completed in 2017. </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16</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Casey Tech School</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Students from 21 partner schools in the Casey region will have access to cutting-edge learning and specialised programs at the Casey Tech School, host</w:t>
      </w:r>
      <w:r w:rsidR="00F856CE">
        <w:rPr>
          <w:rFonts w:cstheme="minorHAnsi"/>
          <w:sz w:val="24"/>
          <w:szCs w:val="24"/>
        </w:rPr>
        <w:t xml:space="preserve">ed by Chisholm Institute at its </w:t>
      </w:r>
      <w:r w:rsidRPr="0055534E">
        <w:rPr>
          <w:rFonts w:cstheme="minorHAnsi"/>
          <w:sz w:val="24"/>
          <w:szCs w:val="24"/>
        </w:rPr>
        <w:t>Berwick Campus.</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The Casey Tech School received investment of $11.5 million as part of the Victorian Government’s $128 million tech school initiative. The school will be a high-tech learning environment with studios, digital classrooms, laboratory spaces, workshops and break out areas. Innovative education programs will link with local industry to deliver real world learning.</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Casey Tech School will emphasise the vital science, technology, engineering, arts and mathematics (STEAM) and enterprise skills needed for the 21</w:t>
      </w:r>
      <w:r w:rsidRPr="0055534E">
        <w:rPr>
          <w:rFonts w:cstheme="minorHAnsi"/>
          <w:sz w:val="24"/>
          <w:szCs w:val="24"/>
          <w:vertAlign w:val="superscript"/>
        </w:rPr>
        <w:t>st</w:t>
      </w:r>
      <w:r w:rsidRPr="0055534E">
        <w:rPr>
          <w:rFonts w:cstheme="minorHAnsi"/>
          <w:sz w:val="24"/>
          <w:szCs w:val="24"/>
        </w:rPr>
        <w:t xml:space="preserve"> century. It will enhance the programs schools provide and help to prepare students for the jobs of the future.</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xml:space="preserve">Construction commenced in September 2017. Chisholm will continue working with partner schools, community organisations and local industry to finalise initial learning programs and administrative and equipment arrangements to ensure the Tech School will be fully functional when it opens mid-2018. </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Frankston Redevelopment Project Stage 1</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2017 saw construction commence for the $75.9 million redevelopment at the Frankston Campus. This will build new state-of-the-art education and training facilities for health, community care, early childhood education and hair and beauty. This will also include a higher education space and student hub, and innovative teaching and learning spaces for the digital era, as well as redeveloped trades facilities and a new Centre for Advanced Manufacturing, including an industry-driven, purpose-built, flexible, integrated design centre. 5,600 square metres of fully refurbished space will be completed in 2018, with new facilities of more than 3000 square metres due for completion in early 2019.</w:t>
      </w:r>
    </w:p>
    <w:p w:rsidR="006751F0" w:rsidRPr="0055534E" w:rsidRDefault="006751F0" w:rsidP="00D67052">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17</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55534E" w:rsidRDefault="006751F0" w:rsidP="006914D6">
      <w:pPr>
        <w:pStyle w:val="Heading2"/>
      </w:pPr>
      <w:r w:rsidRPr="0055534E">
        <w:t xml:space="preserve">People and Development </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 xml:space="preserve">Workforce Development </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Chisholm people are the cornerstone of its success. It is vital that all staff receive quality professional development to acquire the skills and knowledge that align to their needs and that of</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Chisholm, as outlined in the Strategic Plan: Achieving a sustainable and high performing organisation. Chisholm’s Professional Educator College has successfully delivered competencies and skills to teaching staff since 2015. In 2017, a new Pro</w:t>
      </w:r>
      <w:r w:rsidR="0055534E">
        <w:rPr>
          <w:rFonts w:cstheme="minorHAnsi"/>
          <w:sz w:val="24"/>
          <w:szCs w:val="24"/>
        </w:rPr>
        <w:t xml:space="preserve">fessional Development Framework </w:t>
      </w:r>
      <w:r w:rsidRPr="0055534E">
        <w:rPr>
          <w:rFonts w:cstheme="minorHAnsi"/>
          <w:sz w:val="24"/>
          <w:szCs w:val="24"/>
        </w:rPr>
        <w:t>was launched.</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The Professional Development Framework is based on four principles:</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Chisholm encourages and supports all staff to reach their full potential</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Chisholm develops organisational capability and achieves workforce excellence</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Chisholm achieves strategic and operational goals</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Chisholm is a high performing and sustainable Institute, workplace, and partner of choice.</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The Framework sets out how staff can develop the competencies they need, when they need them, so that Chisholm can develop a culture of high performance and life-long learning. The Framework focuses on the different professional development needs of team members, applies blended learning and is based on proven adult learning principles. Programs cater for three capability levels: emerging, developing, and experienced.</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The Professional Development Framework saw two new colleges created for Chisholm in 2017:</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The new Professional Staff College enables our staff to build skills and competencies so that students and internal clients receive exceptional and attentive service.</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The new Leadership and Talent College focuses on developing leaders and the continuous review and development of our business goals and management processes. Two new learning hubs were also created in 2017 under the Professional Development Framework:</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The Work Hub of Learning provides induction, orientation and ongoing development so that all staff understand Chisholm’s values, behaviours and expectations.</w:t>
      </w: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 The Wellbeing Hub facilitates a safe and respectful workplace for all staff. It will also promote healthier lifestyles and seek to prevent injury and illness.</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Reward and recognition</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Chisholm staff were recognised in 2017 for being outstanding role models aligning to the Institute’s values of opportunity, integrity, collaboration and achievement. Notable winners were recognised at the Chisholm Education Awards and via the Chisholm Stars program.</w:t>
      </w:r>
    </w:p>
    <w:p w:rsidR="006751F0" w:rsidRPr="0055534E" w:rsidRDefault="006751F0" w:rsidP="006751F0">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Employee Engagement</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Chisholm participates in the annual public sector People Matter Survey to obtain feedback from teachers and to benchmark our results. Following feedback received, Chisholm is undertaking a longer-term cultural transformation change program to support employee engagement.</w:t>
      </w:r>
    </w:p>
    <w:p w:rsidR="006751F0" w:rsidRPr="0055534E" w:rsidRDefault="006751F0" w:rsidP="006751F0">
      <w:pPr>
        <w:autoSpaceDE w:val="0"/>
        <w:autoSpaceDN w:val="0"/>
        <w:adjustRightInd w:val="0"/>
        <w:spacing w:after="0" w:line="240" w:lineRule="auto"/>
        <w:rPr>
          <w:rFonts w:cstheme="minorHAnsi"/>
          <w:sz w:val="24"/>
          <w:szCs w:val="24"/>
        </w:rPr>
      </w:pPr>
    </w:p>
    <w:p w:rsidR="002432A2" w:rsidRDefault="006751F0" w:rsidP="006914D6">
      <w:pPr>
        <w:pStyle w:val="Heading3"/>
      </w:pPr>
      <w:r w:rsidRPr="00F856CE">
        <w:t>Employment framework</w:t>
      </w:r>
    </w:p>
    <w:p w:rsidR="002432A2" w:rsidRDefault="002432A2" w:rsidP="006751F0">
      <w:pPr>
        <w:autoSpaceDE w:val="0"/>
        <w:autoSpaceDN w:val="0"/>
        <w:adjustRightInd w:val="0"/>
        <w:spacing w:after="0" w:line="240" w:lineRule="auto"/>
        <w:rPr>
          <w:rFonts w:cstheme="minorHAnsi"/>
          <w:caps/>
          <w:sz w:val="24"/>
          <w:szCs w:val="24"/>
        </w:rPr>
      </w:pPr>
    </w:p>
    <w:p w:rsidR="006751F0" w:rsidRPr="002432A2" w:rsidRDefault="006751F0" w:rsidP="006751F0">
      <w:pPr>
        <w:autoSpaceDE w:val="0"/>
        <w:autoSpaceDN w:val="0"/>
        <w:adjustRightInd w:val="0"/>
        <w:spacing w:after="0" w:line="240" w:lineRule="auto"/>
        <w:rPr>
          <w:rFonts w:cstheme="minorHAnsi"/>
          <w:caps/>
          <w:sz w:val="24"/>
          <w:szCs w:val="24"/>
        </w:rPr>
      </w:pPr>
      <w:r w:rsidRPr="0055534E">
        <w:rPr>
          <w:rFonts w:cstheme="minorHAnsi"/>
          <w:sz w:val="24"/>
          <w:szCs w:val="24"/>
        </w:rPr>
        <w:t>In 2017, Chisholm focused on the alignment of position descriptions with Chisholm’s 2020 Vision to enhance role clarity to facilitate high performance. A review of the entire organisational structure was conducted, with enhancements and standardisation to accurately reflect functions and reporting lines. A realignment in October 2017 saw business areas aligned to core commercial drivers and important support functions.</w:t>
      </w:r>
    </w:p>
    <w:p w:rsidR="00D34E24" w:rsidRPr="0055534E" w:rsidRDefault="00D34E24" w:rsidP="006751F0">
      <w:pPr>
        <w:autoSpaceDE w:val="0"/>
        <w:autoSpaceDN w:val="0"/>
        <w:adjustRightInd w:val="0"/>
        <w:spacing w:after="0" w:line="240" w:lineRule="auto"/>
        <w:rPr>
          <w:rFonts w:cstheme="minorHAnsi"/>
          <w:sz w:val="24"/>
          <w:szCs w:val="24"/>
        </w:rPr>
      </w:pPr>
    </w:p>
    <w:p w:rsidR="006751F0" w:rsidRPr="00F856CE" w:rsidRDefault="006751F0" w:rsidP="006914D6">
      <w:pPr>
        <w:pStyle w:val="Heading3"/>
      </w:pPr>
      <w:r w:rsidRPr="00F856CE">
        <w:t>People metrics and reporting</w:t>
      </w:r>
    </w:p>
    <w:p w:rsidR="002432A2" w:rsidRDefault="002432A2" w:rsidP="006751F0">
      <w:pPr>
        <w:autoSpaceDE w:val="0"/>
        <w:autoSpaceDN w:val="0"/>
        <w:adjustRightInd w:val="0"/>
        <w:spacing w:after="0" w:line="240" w:lineRule="auto"/>
        <w:rPr>
          <w:rFonts w:cstheme="minorHAnsi"/>
          <w:sz w:val="24"/>
          <w:szCs w:val="24"/>
        </w:rPr>
      </w:pPr>
    </w:p>
    <w:p w:rsidR="006751F0" w:rsidRPr="0055534E" w:rsidRDefault="006751F0" w:rsidP="006751F0">
      <w:pPr>
        <w:autoSpaceDE w:val="0"/>
        <w:autoSpaceDN w:val="0"/>
        <w:adjustRightInd w:val="0"/>
        <w:spacing w:after="0" w:line="240" w:lineRule="auto"/>
        <w:rPr>
          <w:rFonts w:cstheme="minorHAnsi"/>
          <w:sz w:val="24"/>
          <w:szCs w:val="24"/>
        </w:rPr>
      </w:pPr>
      <w:r w:rsidRPr="0055534E">
        <w:rPr>
          <w:rFonts w:cstheme="minorHAnsi"/>
          <w:sz w:val="24"/>
          <w:szCs w:val="24"/>
        </w:rPr>
        <w:t>In cons</w:t>
      </w:r>
      <w:r w:rsidR="00D34E24" w:rsidRPr="0055534E">
        <w:rPr>
          <w:rFonts w:cstheme="minorHAnsi"/>
          <w:sz w:val="24"/>
          <w:szCs w:val="24"/>
        </w:rPr>
        <w:t xml:space="preserve">ultation with key stakeholders, </w:t>
      </w:r>
      <w:r w:rsidRPr="0055534E">
        <w:rPr>
          <w:rFonts w:cstheme="minorHAnsi"/>
          <w:sz w:val="24"/>
          <w:szCs w:val="24"/>
        </w:rPr>
        <w:t>Chis</w:t>
      </w:r>
      <w:r w:rsidR="00D34E24" w:rsidRPr="0055534E">
        <w:rPr>
          <w:rFonts w:cstheme="minorHAnsi"/>
          <w:sz w:val="24"/>
          <w:szCs w:val="24"/>
        </w:rPr>
        <w:t xml:space="preserve">holm is improving its reporting </w:t>
      </w:r>
      <w:r w:rsidRPr="0055534E">
        <w:rPr>
          <w:rFonts w:cstheme="minorHAnsi"/>
          <w:sz w:val="24"/>
          <w:szCs w:val="24"/>
        </w:rPr>
        <w:t>s</w:t>
      </w:r>
      <w:r w:rsidR="00D34E24" w:rsidRPr="0055534E">
        <w:rPr>
          <w:rFonts w:cstheme="minorHAnsi"/>
          <w:sz w:val="24"/>
          <w:szCs w:val="24"/>
        </w:rPr>
        <w:t>ystems to provide more relevant and comprehensive business an</w:t>
      </w:r>
      <w:r w:rsidR="00EB53E5">
        <w:rPr>
          <w:rFonts w:cstheme="minorHAnsi"/>
          <w:sz w:val="24"/>
          <w:szCs w:val="24"/>
        </w:rPr>
        <w:t xml:space="preserve">d management reports to support </w:t>
      </w:r>
      <w:r w:rsidRPr="0055534E">
        <w:rPr>
          <w:rFonts w:cstheme="minorHAnsi"/>
          <w:sz w:val="24"/>
          <w:szCs w:val="24"/>
        </w:rPr>
        <w:t>busin</w:t>
      </w:r>
      <w:r w:rsidR="00D34E24" w:rsidRPr="0055534E">
        <w:rPr>
          <w:rFonts w:cstheme="minorHAnsi"/>
          <w:sz w:val="24"/>
          <w:szCs w:val="24"/>
        </w:rPr>
        <w:t xml:space="preserve">ess units. Significant progress </w:t>
      </w:r>
      <w:r w:rsidRPr="0055534E">
        <w:rPr>
          <w:rFonts w:cstheme="minorHAnsi"/>
          <w:sz w:val="24"/>
          <w:szCs w:val="24"/>
        </w:rPr>
        <w:t>to automate monthly reporting</w:t>
      </w:r>
      <w:r w:rsidR="00D34E24" w:rsidRPr="0055534E">
        <w:rPr>
          <w:rFonts w:cstheme="minorHAnsi"/>
          <w:sz w:val="24"/>
          <w:szCs w:val="24"/>
        </w:rPr>
        <w:t xml:space="preserve"> was </w:t>
      </w:r>
      <w:r w:rsidRPr="0055534E">
        <w:rPr>
          <w:rFonts w:cstheme="minorHAnsi"/>
          <w:sz w:val="24"/>
          <w:szCs w:val="24"/>
        </w:rPr>
        <w:t>achieved by the end of 2017.</w:t>
      </w:r>
    </w:p>
    <w:p w:rsidR="006751F0" w:rsidRPr="0055534E" w:rsidRDefault="006751F0" w:rsidP="00D67052">
      <w:pPr>
        <w:autoSpaceDE w:val="0"/>
        <w:autoSpaceDN w:val="0"/>
        <w:adjustRightInd w:val="0"/>
        <w:spacing w:after="0" w:line="240" w:lineRule="auto"/>
        <w:rPr>
          <w:rFonts w:cstheme="minorHAnsi"/>
          <w:sz w:val="24"/>
          <w:szCs w:val="24"/>
        </w:rPr>
      </w:pPr>
    </w:p>
    <w:p w:rsidR="00D67052" w:rsidRPr="0055534E" w:rsidRDefault="00D34E24" w:rsidP="00D67052">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18</w:t>
      </w:r>
    </w:p>
    <w:p w:rsidR="00117D7A" w:rsidRPr="0055534E" w:rsidRDefault="00117D7A" w:rsidP="00FB572C">
      <w:pPr>
        <w:autoSpaceDE w:val="0"/>
        <w:autoSpaceDN w:val="0"/>
        <w:adjustRightInd w:val="0"/>
        <w:spacing w:after="0" w:line="240" w:lineRule="auto"/>
        <w:rPr>
          <w:rFonts w:cstheme="minorHAnsi"/>
          <w:sz w:val="24"/>
          <w:szCs w:val="24"/>
        </w:rPr>
      </w:pPr>
    </w:p>
    <w:p w:rsidR="00D34E24" w:rsidRPr="0055534E" w:rsidRDefault="00D34E24" w:rsidP="006914D6">
      <w:pPr>
        <w:pStyle w:val="Heading2"/>
      </w:pPr>
      <w:r w:rsidRPr="0055534E">
        <w:t>Caroline Chisholm Education Foundation</w:t>
      </w:r>
    </w:p>
    <w:p w:rsidR="00D34E24" w:rsidRPr="0055534E" w:rsidRDefault="00D34E24" w:rsidP="00FB572C">
      <w:pPr>
        <w:autoSpaceDE w:val="0"/>
        <w:autoSpaceDN w:val="0"/>
        <w:adjustRightInd w:val="0"/>
        <w:spacing w:after="0" w:line="240" w:lineRule="auto"/>
        <w:rPr>
          <w:rFonts w:cstheme="minorHAnsi"/>
          <w:sz w:val="24"/>
          <w:szCs w:val="24"/>
        </w:rPr>
      </w:pPr>
    </w:p>
    <w:p w:rsidR="00D34E24" w:rsidRPr="005108E6" w:rsidRDefault="00D34E24" w:rsidP="006914D6">
      <w:pPr>
        <w:pStyle w:val="Heading3"/>
      </w:pPr>
      <w:r w:rsidRPr="005108E6">
        <w:t>Overview</w:t>
      </w:r>
    </w:p>
    <w:p w:rsidR="002432A2" w:rsidRDefault="002432A2" w:rsidP="00D34E24">
      <w:pPr>
        <w:autoSpaceDE w:val="0"/>
        <w:autoSpaceDN w:val="0"/>
        <w:adjustRightInd w:val="0"/>
        <w:spacing w:after="0" w:line="240" w:lineRule="auto"/>
        <w:rPr>
          <w:rFonts w:cstheme="minorHAnsi"/>
          <w:sz w:val="24"/>
          <w:szCs w:val="24"/>
        </w:rPr>
      </w:pP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Chisholm Institute was named in honour of Caroline Chisholm, the early Australian reformer and humanitarian. In furthering her social justice philosophy, the Caroline Chisholm Education Foundation was established in 2007. The foundation is an independent charitable trust, initiated and supported by Chisholm Institute. The foundation is administered by an independent board of trustees with members from the community, local companies and Chisholm Institute. One hundred per cent of funds raised are allocated to education scholarships for students suffering financial hardship. Funds for the foundation are derived from many sources, including philanthropic grants, donations from private, public and community groups such as Rotary and Lions Clubs in the region, and fundraising events.</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The Foundation supports current and potential future students of Chisholm who due to financial or other forms of hardship, might otherwise not have access to vocational education and training and higher education.</w:t>
      </w:r>
    </w:p>
    <w:p w:rsidR="00117D7A"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xml:space="preserve">This financial support enables students to successfully obtain a certificate level qualification or above and provides them with the skills employers are looking for, improving their ability to participate in the local employment market. </w:t>
      </w:r>
    </w:p>
    <w:p w:rsidR="00117D7A" w:rsidRPr="0055534E" w:rsidRDefault="00117D7A" w:rsidP="00FB572C">
      <w:pPr>
        <w:autoSpaceDE w:val="0"/>
        <w:autoSpaceDN w:val="0"/>
        <w:adjustRightInd w:val="0"/>
        <w:spacing w:after="0" w:line="240" w:lineRule="auto"/>
        <w:rPr>
          <w:rFonts w:cstheme="minorHAnsi"/>
          <w:sz w:val="24"/>
          <w:szCs w:val="24"/>
        </w:rPr>
      </w:pPr>
    </w:p>
    <w:p w:rsidR="00D34E24" w:rsidRPr="005108E6" w:rsidRDefault="00D34E24" w:rsidP="006914D6">
      <w:pPr>
        <w:pStyle w:val="Heading3"/>
      </w:pPr>
      <w:r w:rsidRPr="005108E6">
        <w:t>Governance</w:t>
      </w:r>
    </w:p>
    <w:p w:rsidR="002432A2" w:rsidRDefault="002432A2" w:rsidP="00D34E24">
      <w:pPr>
        <w:autoSpaceDE w:val="0"/>
        <w:autoSpaceDN w:val="0"/>
        <w:adjustRightInd w:val="0"/>
        <w:spacing w:after="0" w:line="240" w:lineRule="auto"/>
        <w:rPr>
          <w:rFonts w:cstheme="minorHAnsi"/>
          <w:sz w:val="24"/>
          <w:szCs w:val="24"/>
        </w:rPr>
      </w:pP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The Caroline Chisholm Education Foundation operates within a Trust deed and is a controlled entity of Chisholm Institute. A formal operating agreement between Chisholm and the foundation means the Institute meets administrative costs and ensures 100 per cent of funds received for scholarships is dispersed to students.</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The Board of Trustees are all volunteers, with many members previously or presently holding positions in companies at senior management, CEO and board</w:t>
      </w:r>
      <w:r w:rsidR="005108E6">
        <w:rPr>
          <w:rFonts w:cstheme="minorHAnsi"/>
          <w:sz w:val="24"/>
          <w:szCs w:val="24"/>
        </w:rPr>
        <w:t xml:space="preserve"> level. After many </w:t>
      </w:r>
      <w:r w:rsidR="005108E6">
        <w:rPr>
          <w:rFonts w:cstheme="minorHAnsi"/>
          <w:sz w:val="24"/>
          <w:szCs w:val="24"/>
        </w:rPr>
        <w:lastRenderedPageBreak/>
        <w:t xml:space="preserve">years as the </w:t>
      </w:r>
      <w:r w:rsidRPr="0055534E">
        <w:rPr>
          <w:rFonts w:cstheme="minorHAnsi"/>
          <w:sz w:val="24"/>
          <w:szCs w:val="24"/>
        </w:rPr>
        <w:t>Chair of the Board, Virginia Simmons stepped down from the role and David Willersdorf became Chair in August 2017. Virginia was instrumental in establishing the foundation and has provided ongoing support, expertise and guidance throughout her time as the Chair.</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In 2017, the foundation’s Board of Trustees included:</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David Willersdorf (Chair)</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Virginia Simmons (Chair to 15 May)</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Maria Peters (Chisholm CEO)</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David Mann</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Patricia Duong</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Nita Shultz (to 29 August)</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Amanda Achterberg (from 9 October)</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Greg Hunt (to 28 September)</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Glen Kruger (to 28 September)</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Anne Callahan (to 16 October)</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Ian Predl (from 1 December)</w:t>
      </w:r>
    </w:p>
    <w:p w:rsidR="00D34E24" w:rsidRPr="0055534E" w:rsidRDefault="00D34E24" w:rsidP="00D34E24">
      <w:pPr>
        <w:autoSpaceDE w:val="0"/>
        <w:autoSpaceDN w:val="0"/>
        <w:adjustRightInd w:val="0"/>
        <w:spacing w:after="0" w:line="240" w:lineRule="auto"/>
        <w:rPr>
          <w:rFonts w:cstheme="minorHAnsi"/>
          <w:sz w:val="24"/>
          <w:szCs w:val="24"/>
        </w:rPr>
      </w:pPr>
    </w:p>
    <w:p w:rsidR="00D34E24" w:rsidRPr="005108E6" w:rsidRDefault="00D34E24" w:rsidP="006914D6">
      <w:pPr>
        <w:pStyle w:val="Heading3"/>
      </w:pPr>
      <w:r w:rsidRPr="005108E6">
        <w:t xml:space="preserve">Achievements </w:t>
      </w:r>
    </w:p>
    <w:p w:rsidR="002432A2" w:rsidRDefault="002432A2" w:rsidP="00D34E24">
      <w:pPr>
        <w:autoSpaceDE w:val="0"/>
        <w:autoSpaceDN w:val="0"/>
        <w:adjustRightInd w:val="0"/>
        <w:spacing w:after="0" w:line="240" w:lineRule="auto"/>
        <w:rPr>
          <w:rFonts w:cstheme="minorHAnsi"/>
          <w:sz w:val="24"/>
          <w:szCs w:val="24"/>
        </w:rPr>
      </w:pP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Since the establishment and over the past 10 years, the foundation has achieved:</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1,560 scholarships awarded</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$1.54 million provided to scholarship recipients</w:t>
      </w: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 $470,000 raised from annual charity events.</w:t>
      </w:r>
    </w:p>
    <w:p w:rsidR="00D34E24" w:rsidRPr="0055534E" w:rsidRDefault="00D34E24" w:rsidP="00D34E24">
      <w:pPr>
        <w:autoSpaceDE w:val="0"/>
        <w:autoSpaceDN w:val="0"/>
        <w:adjustRightInd w:val="0"/>
        <w:spacing w:after="0" w:line="240" w:lineRule="auto"/>
        <w:rPr>
          <w:rFonts w:cstheme="minorHAnsi"/>
          <w:sz w:val="24"/>
          <w:szCs w:val="24"/>
        </w:rPr>
      </w:pPr>
    </w:p>
    <w:p w:rsidR="00D34E24" w:rsidRPr="0055534E" w:rsidRDefault="00D34E24" w:rsidP="00D34E24">
      <w:pPr>
        <w:autoSpaceDE w:val="0"/>
        <w:autoSpaceDN w:val="0"/>
        <w:adjustRightInd w:val="0"/>
        <w:spacing w:after="0" w:line="240" w:lineRule="auto"/>
        <w:rPr>
          <w:rFonts w:cstheme="minorHAnsi"/>
          <w:sz w:val="24"/>
          <w:szCs w:val="24"/>
        </w:rPr>
      </w:pPr>
      <w:r w:rsidRPr="0055534E">
        <w:rPr>
          <w:rFonts w:cstheme="minorHAnsi"/>
          <w:sz w:val="24"/>
          <w:szCs w:val="24"/>
        </w:rPr>
        <w:t>&lt;pp&gt;</w:t>
      </w:r>
      <w:r w:rsidR="00D02C09" w:rsidRPr="0055534E">
        <w:rPr>
          <w:rFonts w:cstheme="minorHAnsi"/>
          <w:sz w:val="24"/>
          <w:szCs w:val="24"/>
        </w:rPr>
        <w:t>19</w:t>
      </w:r>
    </w:p>
    <w:p w:rsidR="00D34E24" w:rsidRPr="0055534E" w:rsidRDefault="00D34E24" w:rsidP="00D34E24">
      <w:pPr>
        <w:autoSpaceDE w:val="0"/>
        <w:autoSpaceDN w:val="0"/>
        <w:adjustRightInd w:val="0"/>
        <w:spacing w:after="0" w:line="240" w:lineRule="auto"/>
        <w:rPr>
          <w:rFonts w:cstheme="minorHAnsi"/>
          <w:sz w:val="24"/>
          <w:szCs w:val="24"/>
        </w:rPr>
      </w:pPr>
    </w:p>
    <w:p w:rsidR="00D34E24" w:rsidRPr="0055534E" w:rsidRDefault="00D34E24" w:rsidP="006914D6">
      <w:pPr>
        <w:pStyle w:val="Heading2"/>
      </w:pPr>
      <w:r w:rsidRPr="0055534E">
        <w:t>Workforce Data Equivalent Full-time (FTE) Staff</w:t>
      </w:r>
    </w:p>
    <w:p w:rsidR="00D34E24" w:rsidRDefault="00D34E24" w:rsidP="00D34E24">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6941"/>
        <w:gridCol w:w="992"/>
        <w:gridCol w:w="1083"/>
      </w:tblGrid>
      <w:tr w:rsidR="00216CEC" w:rsidTr="005E6EC7">
        <w:tc>
          <w:tcPr>
            <w:tcW w:w="6941" w:type="dxa"/>
          </w:tcPr>
          <w:p w:rsidR="00216CEC" w:rsidRDefault="00216CEC" w:rsidP="005E6EC7">
            <w:r>
              <w:t>FTE staffing comparison</w:t>
            </w:r>
          </w:p>
        </w:tc>
        <w:tc>
          <w:tcPr>
            <w:tcW w:w="992" w:type="dxa"/>
          </w:tcPr>
          <w:p w:rsidR="00216CEC" w:rsidRDefault="00216CEC" w:rsidP="005E6EC7">
            <w:pPr>
              <w:jc w:val="right"/>
            </w:pPr>
            <w:r>
              <w:t>2017</w:t>
            </w:r>
          </w:p>
        </w:tc>
        <w:tc>
          <w:tcPr>
            <w:tcW w:w="1083" w:type="dxa"/>
          </w:tcPr>
          <w:p w:rsidR="00216CEC" w:rsidRDefault="00216CEC" w:rsidP="005E6EC7">
            <w:pPr>
              <w:jc w:val="right"/>
            </w:pPr>
            <w:r>
              <w:t>2016</w:t>
            </w:r>
          </w:p>
        </w:tc>
      </w:tr>
      <w:tr w:rsidR="00216CEC" w:rsidTr="005E6EC7">
        <w:tc>
          <w:tcPr>
            <w:tcW w:w="6941" w:type="dxa"/>
          </w:tcPr>
          <w:p w:rsidR="00216CEC" w:rsidRDefault="00216CEC" w:rsidP="005E6EC7">
            <w:r>
              <w:t>Board</w:t>
            </w:r>
          </w:p>
        </w:tc>
        <w:tc>
          <w:tcPr>
            <w:tcW w:w="992" w:type="dxa"/>
          </w:tcPr>
          <w:p w:rsidR="00216CEC" w:rsidRDefault="00216CEC" w:rsidP="005E6EC7">
            <w:pPr>
              <w:jc w:val="right"/>
            </w:pPr>
            <w:r>
              <w:t>7</w:t>
            </w:r>
          </w:p>
        </w:tc>
        <w:tc>
          <w:tcPr>
            <w:tcW w:w="1083" w:type="dxa"/>
          </w:tcPr>
          <w:p w:rsidR="00216CEC" w:rsidRDefault="00216CEC" w:rsidP="005E6EC7">
            <w:pPr>
              <w:jc w:val="right"/>
            </w:pPr>
            <w:r>
              <w:t>8</w:t>
            </w:r>
          </w:p>
        </w:tc>
      </w:tr>
      <w:tr w:rsidR="00216CEC" w:rsidTr="005E6EC7">
        <w:tc>
          <w:tcPr>
            <w:tcW w:w="6941" w:type="dxa"/>
          </w:tcPr>
          <w:p w:rsidR="00216CEC" w:rsidRDefault="00216CEC" w:rsidP="005E6EC7">
            <w:r>
              <w:t>Executive Officers</w:t>
            </w:r>
          </w:p>
        </w:tc>
        <w:tc>
          <w:tcPr>
            <w:tcW w:w="992" w:type="dxa"/>
          </w:tcPr>
          <w:p w:rsidR="00216CEC" w:rsidRDefault="00216CEC" w:rsidP="005E6EC7">
            <w:pPr>
              <w:jc w:val="right"/>
            </w:pPr>
            <w:r>
              <w:t>9</w:t>
            </w:r>
          </w:p>
        </w:tc>
        <w:tc>
          <w:tcPr>
            <w:tcW w:w="1083" w:type="dxa"/>
          </w:tcPr>
          <w:p w:rsidR="00216CEC" w:rsidRDefault="00216CEC" w:rsidP="005E6EC7">
            <w:pPr>
              <w:jc w:val="right"/>
            </w:pPr>
            <w:r>
              <w:t>8</w:t>
            </w:r>
          </w:p>
        </w:tc>
      </w:tr>
      <w:tr w:rsidR="00216CEC" w:rsidTr="005E6EC7">
        <w:tc>
          <w:tcPr>
            <w:tcW w:w="6941" w:type="dxa"/>
          </w:tcPr>
          <w:p w:rsidR="00216CEC" w:rsidRDefault="00216CEC" w:rsidP="005E6EC7">
            <w:r>
              <w:t xml:space="preserve">Teaching </w:t>
            </w:r>
          </w:p>
        </w:tc>
        <w:tc>
          <w:tcPr>
            <w:tcW w:w="992" w:type="dxa"/>
          </w:tcPr>
          <w:p w:rsidR="00216CEC" w:rsidRDefault="00216CEC" w:rsidP="005E6EC7">
            <w:pPr>
              <w:jc w:val="right"/>
            </w:pPr>
            <w:r>
              <w:t>564</w:t>
            </w:r>
          </w:p>
        </w:tc>
        <w:tc>
          <w:tcPr>
            <w:tcW w:w="1083" w:type="dxa"/>
          </w:tcPr>
          <w:p w:rsidR="00216CEC" w:rsidRDefault="00216CEC" w:rsidP="005E6EC7">
            <w:pPr>
              <w:jc w:val="right"/>
            </w:pPr>
            <w:r>
              <w:t>564</w:t>
            </w:r>
          </w:p>
        </w:tc>
      </w:tr>
      <w:tr w:rsidR="00216CEC" w:rsidTr="005E6EC7">
        <w:tc>
          <w:tcPr>
            <w:tcW w:w="6941" w:type="dxa"/>
          </w:tcPr>
          <w:p w:rsidR="00216CEC" w:rsidRDefault="00216CEC" w:rsidP="005E6EC7">
            <w:r>
              <w:t>Professional Support</w:t>
            </w:r>
          </w:p>
        </w:tc>
        <w:tc>
          <w:tcPr>
            <w:tcW w:w="992" w:type="dxa"/>
          </w:tcPr>
          <w:p w:rsidR="00216CEC" w:rsidRDefault="00216CEC" w:rsidP="005E6EC7">
            <w:pPr>
              <w:jc w:val="right"/>
            </w:pPr>
            <w:r>
              <w:t>330</w:t>
            </w:r>
          </w:p>
        </w:tc>
        <w:tc>
          <w:tcPr>
            <w:tcW w:w="1083" w:type="dxa"/>
          </w:tcPr>
          <w:p w:rsidR="00216CEC" w:rsidRDefault="00216CEC" w:rsidP="005E6EC7">
            <w:pPr>
              <w:jc w:val="right"/>
            </w:pPr>
            <w:r>
              <w:t>325</w:t>
            </w:r>
          </w:p>
        </w:tc>
      </w:tr>
      <w:tr w:rsidR="00216CEC" w:rsidTr="005E6EC7">
        <w:tc>
          <w:tcPr>
            <w:tcW w:w="6941" w:type="dxa"/>
          </w:tcPr>
          <w:p w:rsidR="00216CEC" w:rsidRDefault="00216CEC" w:rsidP="005E6EC7">
            <w:r>
              <w:t>Total</w:t>
            </w:r>
          </w:p>
        </w:tc>
        <w:tc>
          <w:tcPr>
            <w:tcW w:w="992" w:type="dxa"/>
          </w:tcPr>
          <w:p w:rsidR="00216CEC" w:rsidRDefault="00216CEC" w:rsidP="005E6EC7">
            <w:pPr>
              <w:jc w:val="right"/>
            </w:pPr>
            <w:r>
              <w:t>910</w:t>
            </w:r>
          </w:p>
        </w:tc>
        <w:tc>
          <w:tcPr>
            <w:tcW w:w="1083" w:type="dxa"/>
          </w:tcPr>
          <w:p w:rsidR="00216CEC" w:rsidRDefault="00216CEC" w:rsidP="005E6EC7">
            <w:pPr>
              <w:jc w:val="right"/>
            </w:pPr>
            <w:r>
              <w:t>905</w:t>
            </w:r>
          </w:p>
        </w:tc>
      </w:tr>
    </w:tbl>
    <w:p w:rsidR="0016231F" w:rsidRDefault="0016231F" w:rsidP="0016231F"/>
    <w:tbl>
      <w:tblPr>
        <w:tblStyle w:val="TableGrid"/>
        <w:tblW w:w="9202" w:type="dxa"/>
        <w:tblLook w:val="04A0" w:firstRow="1" w:lastRow="0" w:firstColumn="1" w:lastColumn="0" w:noHBand="0" w:noVBand="1"/>
      </w:tblPr>
      <w:tblGrid>
        <w:gridCol w:w="1986"/>
        <w:gridCol w:w="1410"/>
        <w:gridCol w:w="992"/>
        <w:gridCol w:w="567"/>
        <w:gridCol w:w="994"/>
        <w:gridCol w:w="983"/>
        <w:gridCol w:w="1427"/>
        <w:gridCol w:w="843"/>
      </w:tblGrid>
      <w:tr w:rsidR="0016231F" w:rsidTr="005E6EC7">
        <w:trPr>
          <w:gridBefore w:val="1"/>
          <w:wBefore w:w="1986" w:type="dxa"/>
          <w:trHeight w:val="322"/>
        </w:trPr>
        <w:tc>
          <w:tcPr>
            <w:tcW w:w="1410" w:type="dxa"/>
          </w:tcPr>
          <w:p w:rsidR="0016231F" w:rsidRDefault="0016231F" w:rsidP="005E6EC7"/>
        </w:tc>
        <w:tc>
          <w:tcPr>
            <w:tcW w:w="1559" w:type="dxa"/>
            <w:gridSpan w:val="2"/>
          </w:tcPr>
          <w:p w:rsidR="0016231F" w:rsidRDefault="0016231F" w:rsidP="005E6EC7">
            <w:r>
              <w:t>Ongoing</w:t>
            </w:r>
          </w:p>
        </w:tc>
        <w:tc>
          <w:tcPr>
            <w:tcW w:w="3404" w:type="dxa"/>
            <w:gridSpan w:val="3"/>
          </w:tcPr>
          <w:p w:rsidR="0016231F" w:rsidRDefault="0016231F" w:rsidP="005E6EC7">
            <w:r>
              <w:t>Fixed Term/Casual</w:t>
            </w:r>
          </w:p>
        </w:tc>
        <w:tc>
          <w:tcPr>
            <w:tcW w:w="843" w:type="dxa"/>
          </w:tcPr>
          <w:p w:rsidR="0016231F" w:rsidRDefault="0016231F" w:rsidP="005E6EC7">
            <w:r>
              <w:t xml:space="preserve">Total </w:t>
            </w:r>
          </w:p>
        </w:tc>
      </w:tr>
      <w:tr w:rsidR="0016231F" w:rsidTr="005E6EC7">
        <w:trPr>
          <w:trHeight w:val="296"/>
        </w:trPr>
        <w:tc>
          <w:tcPr>
            <w:tcW w:w="1986" w:type="dxa"/>
          </w:tcPr>
          <w:p w:rsidR="0016231F" w:rsidRDefault="0016231F" w:rsidP="005E6EC7">
            <w:pPr>
              <w:jc w:val="right"/>
            </w:pPr>
          </w:p>
        </w:tc>
        <w:tc>
          <w:tcPr>
            <w:tcW w:w="1410" w:type="dxa"/>
          </w:tcPr>
          <w:p w:rsidR="0016231F" w:rsidRDefault="0016231F" w:rsidP="005E6EC7">
            <w:pPr>
              <w:jc w:val="right"/>
            </w:pPr>
            <w:r>
              <w:t>Headcount</w:t>
            </w:r>
          </w:p>
        </w:tc>
        <w:tc>
          <w:tcPr>
            <w:tcW w:w="992" w:type="dxa"/>
          </w:tcPr>
          <w:p w:rsidR="0016231F" w:rsidRDefault="0016231F" w:rsidP="005E6EC7">
            <w:pPr>
              <w:jc w:val="right"/>
            </w:pPr>
            <w:r>
              <w:t>FTE</w:t>
            </w:r>
          </w:p>
        </w:tc>
        <w:tc>
          <w:tcPr>
            <w:tcW w:w="1561" w:type="dxa"/>
            <w:gridSpan w:val="2"/>
          </w:tcPr>
          <w:p w:rsidR="0016231F" w:rsidRDefault="0016231F" w:rsidP="005E6EC7">
            <w:pPr>
              <w:jc w:val="right"/>
            </w:pPr>
            <w:r>
              <w:t>Headcount</w:t>
            </w:r>
          </w:p>
        </w:tc>
        <w:tc>
          <w:tcPr>
            <w:tcW w:w="983" w:type="dxa"/>
          </w:tcPr>
          <w:p w:rsidR="0016231F" w:rsidRDefault="0016231F" w:rsidP="005E6EC7">
            <w:pPr>
              <w:jc w:val="right"/>
            </w:pPr>
            <w:r>
              <w:t>FTE</w:t>
            </w:r>
          </w:p>
        </w:tc>
        <w:tc>
          <w:tcPr>
            <w:tcW w:w="1427" w:type="dxa"/>
          </w:tcPr>
          <w:p w:rsidR="0016231F" w:rsidRDefault="0016231F" w:rsidP="005E6EC7">
            <w:pPr>
              <w:jc w:val="right"/>
            </w:pPr>
            <w:r>
              <w:t>Headcount</w:t>
            </w:r>
          </w:p>
        </w:tc>
        <w:tc>
          <w:tcPr>
            <w:tcW w:w="843" w:type="dxa"/>
          </w:tcPr>
          <w:p w:rsidR="0016231F" w:rsidRDefault="0016231F" w:rsidP="005E6EC7">
            <w:pPr>
              <w:jc w:val="right"/>
            </w:pPr>
            <w:r>
              <w:t>FTE</w:t>
            </w:r>
          </w:p>
        </w:tc>
      </w:tr>
    </w:tbl>
    <w:p w:rsidR="0016231F" w:rsidRDefault="0016231F" w:rsidP="0016231F">
      <w:pPr>
        <w:pStyle w:val="NoSpacing"/>
      </w:pPr>
      <w:r>
        <w:t>2017 Gender</w:t>
      </w:r>
    </w:p>
    <w:tbl>
      <w:tblPr>
        <w:tblStyle w:val="TableGrid"/>
        <w:tblW w:w="9206" w:type="dxa"/>
        <w:tblLook w:val="04A0" w:firstRow="1" w:lastRow="0" w:firstColumn="1" w:lastColumn="0" w:noHBand="0" w:noVBand="1"/>
      </w:tblPr>
      <w:tblGrid>
        <w:gridCol w:w="1980"/>
        <w:gridCol w:w="1417"/>
        <w:gridCol w:w="1039"/>
        <w:gridCol w:w="1575"/>
        <w:gridCol w:w="858"/>
        <w:gridCol w:w="1432"/>
        <w:gridCol w:w="905"/>
      </w:tblGrid>
      <w:tr w:rsidR="0016231F" w:rsidTr="005E6EC7">
        <w:trPr>
          <w:trHeight w:val="255"/>
        </w:trPr>
        <w:tc>
          <w:tcPr>
            <w:tcW w:w="1980" w:type="dxa"/>
          </w:tcPr>
          <w:p w:rsidR="0016231F" w:rsidRDefault="0016231F" w:rsidP="005E6EC7">
            <w:pPr>
              <w:pStyle w:val="NoSpacing"/>
            </w:pPr>
            <w:r>
              <w:t>Male</w:t>
            </w:r>
          </w:p>
        </w:tc>
        <w:tc>
          <w:tcPr>
            <w:tcW w:w="1417" w:type="dxa"/>
          </w:tcPr>
          <w:p w:rsidR="0016231F" w:rsidRDefault="0016231F" w:rsidP="005E6EC7">
            <w:pPr>
              <w:pStyle w:val="NoSpacing"/>
              <w:jc w:val="right"/>
            </w:pPr>
            <w:r>
              <w:t>113</w:t>
            </w:r>
          </w:p>
        </w:tc>
        <w:tc>
          <w:tcPr>
            <w:tcW w:w="1039" w:type="dxa"/>
          </w:tcPr>
          <w:p w:rsidR="0016231F" w:rsidRDefault="0016231F" w:rsidP="005E6EC7">
            <w:pPr>
              <w:pStyle w:val="NoSpacing"/>
              <w:jc w:val="right"/>
            </w:pPr>
            <w:r>
              <w:t>105</w:t>
            </w:r>
          </w:p>
        </w:tc>
        <w:tc>
          <w:tcPr>
            <w:tcW w:w="1575" w:type="dxa"/>
          </w:tcPr>
          <w:p w:rsidR="0016231F" w:rsidRDefault="0016231F" w:rsidP="005E6EC7">
            <w:pPr>
              <w:pStyle w:val="NoSpacing"/>
              <w:jc w:val="right"/>
            </w:pPr>
            <w:r>
              <w:t>489</w:t>
            </w:r>
          </w:p>
        </w:tc>
        <w:tc>
          <w:tcPr>
            <w:tcW w:w="858" w:type="dxa"/>
          </w:tcPr>
          <w:p w:rsidR="0016231F" w:rsidRDefault="0016231F" w:rsidP="005E6EC7">
            <w:pPr>
              <w:pStyle w:val="NoSpacing"/>
              <w:jc w:val="right"/>
            </w:pPr>
            <w:r>
              <w:t>292</w:t>
            </w:r>
          </w:p>
        </w:tc>
        <w:tc>
          <w:tcPr>
            <w:tcW w:w="1432" w:type="dxa"/>
          </w:tcPr>
          <w:p w:rsidR="0016231F" w:rsidRDefault="0016231F" w:rsidP="005E6EC7">
            <w:pPr>
              <w:pStyle w:val="NoSpacing"/>
              <w:jc w:val="right"/>
            </w:pPr>
            <w:r>
              <w:t>602</w:t>
            </w:r>
          </w:p>
        </w:tc>
        <w:tc>
          <w:tcPr>
            <w:tcW w:w="905" w:type="dxa"/>
          </w:tcPr>
          <w:p w:rsidR="0016231F" w:rsidRDefault="0016231F" w:rsidP="005E6EC7">
            <w:pPr>
              <w:pStyle w:val="NoSpacing"/>
              <w:jc w:val="right"/>
            </w:pPr>
            <w:r>
              <w:t>397</w:t>
            </w:r>
          </w:p>
        </w:tc>
      </w:tr>
      <w:tr w:rsidR="0016231F" w:rsidTr="005E6EC7">
        <w:trPr>
          <w:trHeight w:val="255"/>
        </w:trPr>
        <w:tc>
          <w:tcPr>
            <w:tcW w:w="1980" w:type="dxa"/>
          </w:tcPr>
          <w:p w:rsidR="0016231F" w:rsidRDefault="0016231F" w:rsidP="005E6EC7">
            <w:pPr>
              <w:pStyle w:val="NoSpacing"/>
            </w:pPr>
            <w:r>
              <w:t>Female</w:t>
            </w:r>
          </w:p>
        </w:tc>
        <w:tc>
          <w:tcPr>
            <w:tcW w:w="1417" w:type="dxa"/>
          </w:tcPr>
          <w:p w:rsidR="0016231F" w:rsidRDefault="0016231F" w:rsidP="005E6EC7">
            <w:pPr>
              <w:pStyle w:val="NoSpacing"/>
              <w:jc w:val="right"/>
            </w:pPr>
            <w:r>
              <w:t>144</w:t>
            </w:r>
          </w:p>
        </w:tc>
        <w:tc>
          <w:tcPr>
            <w:tcW w:w="1039" w:type="dxa"/>
          </w:tcPr>
          <w:p w:rsidR="0016231F" w:rsidRDefault="0016231F" w:rsidP="005E6EC7">
            <w:pPr>
              <w:pStyle w:val="NoSpacing"/>
              <w:jc w:val="right"/>
            </w:pPr>
            <w:r>
              <w:t>126</w:t>
            </w:r>
          </w:p>
        </w:tc>
        <w:tc>
          <w:tcPr>
            <w:tcW w:w="1575" w:type="dxa"/>
          </w:tcPr>
          <w:p w:rsidR="0016231F" w:rsidRDefault="0016231F" w:rsidP="005E6EC7">
            <w:pPr>
              <w:pStyle w:val="NoSpacing"/>
              <w:jc w:val="right"/>
            </w:pPr>
            <w:r>
              <w:t>661</w:t>
            </w:r>
          </w:p>
        </w:tc>
        <w:tc>
          <w:tcPr>
            <w:tcW w:w="858" w:type="dxa"/>
          </w:tcPr>
          <w:p w:rsidR="0016231F" w:rsidRDefault="0016231F" w:rsidP="005E6EC7">
            <w:pPr>
              <w:pStyle w:val="NoSpacing"/>
              <w:jc w:val="right"/>
            </w:pPr>
            <w:r>
              <w:t>387</w:t>
            </w:r>
          </w:p>
        </w:tc>
        <w:tc>
          <w:tcPr>
            <w:tcW w:w="1432" w:type="dxa"/>
          </w:tcPr>
          <w:p w:rsidR="0016231F" w:rsidRDefault="0016231F" w:rsidP="005E6EC7">
            <w:pPr>
              <w:pStyle w:val="NoSpacing"/>
              <w:jc w:val="right"/>
            </w:pPr>
            <w:r>
              <w:t>805</w:t>
            </w:r>
          </w:p>
        </w:tc>
        <w:tc>
          <w:tcPr>
            <w:tcW w:w="905" w:type="dxa"/>
          </w:tcPr>
          <w:p w:rsidR="0016231F" w:rsidRDefault="0016231F" w:rsidP="005E6EC7">
            <w:pPr>
              <w:pStyle w:val="NoSpacing"/>
              <w:jc w:val="right"/>
            </w:pPr>
            <w:r>
              <w:t>513</w:t>
            </w:r>
          </w:p>
        </w:tc>
      </w:tr>
      <w:tr w:rsidR="0016231F" w:rsidTr="005E6EC7">
        <w:trPr>
          <w:trHeight w:val="255"/>
        </w:trPr>
        <w:tc>
          <w:tcPr>
            <w:tcW w:w="1980" w:type="dxa"/>
          </w:tcPr>
          <w:p w:rsidR="0016231F" w:rsidRDefault="0016231F" w:rsidP="005E6EC7">
            <w:pPr>
              <w:pStyle w:val="NoSpacing"/>
            </w:pPr>
            <w:r>
              <w:t>Total</w:t>
            </w:r>
          </w:p>
        </w:tc>
        <w:tc>
          <w:tcPr>
            <w:tcW w:w="1417" w:type="dxa"/>
          </w:tcPr>
          <w:p w:rsidR="0016231F" w:rsidRDefault="0016231F" w:rsidP="005E6EC7">
            <w:pPr>
              <w:pStyle w:val="NoSpacing"/>
              <w:jc w:val="right"/>
            </w:pPr>
            <w:r>
              <w:t>257</w:t>
            </w:r>
          </w:p>
        </w:tc>
        <w:tc>
          <w:tcPr>
            <w:tcW w:w="1039" w:type="dxa"/>
          </w:tcPr>
          <w:p w:rsidR="0016231F" w:rsidRDefault="0016231F" w:rsidP="005E6EC7">
            <w:pPr>
              <w:pStyle w:val="NoSpacing"/>
              <w:jc w:val="right"/>
            </w:pPr>
            <w:r>
              <w:t>231</w:t>
            </w:r>
          </w:p>
        </w:tc>
        <w:tc>
          <w:tcPr>
            <w:tcW w:w="1575" w:type="dxa"/>
          </w:tcPr>
          <w:p w:rsidR="0016231F" w:rsidRDefault="0016231F" w:rsidP="005E6EC7">
            <w:pPr>
              <w:pStyle w:val="NoSpacing"/>
              <w:jc w:val="right"/>
            </w:pPr>
            <w:r>
              <w:t>1150</w:t>
            </w:r>
          </w:p>
        </w:tc>
        <w:tc>
          <w:tcPr>
            <w:tcW w:w="858" w:type="dxa"/>
          </w:tcPr>
          <w:p w:rsidR="0016231F" w:rsidRDefault="0016231F" w:rsidP="005E6EC7">
            <w:pPr>
              <w:pStyle w:val="NoSpacing"/>
              <w:jc w:val="right"/>
            </w:pPr>
            <w:r>
              <w:t>679</w:t>
            </w:r>
          </w:p>
        </w:tc>
        <w:tc>
          <w:tcPr>
            <w:tcW w:w="1432" w:type="dxa"/>
          </w:tcPr>
          <w:p w:rsidR="0016231F" w:rsidRDefault="0016231F" w:rsidP="005E6EC7">
            <w:pPr>
              <w:pStyle w:val="NoSpacing"/>
              <w:jc w:val="right"/>
            </w:pPr>
            <w:r>
              <w:t>1407</w:t>
            </w:r>
          </w:p>
        </w:tc>
        <w:tc>
          <w:tcPr>
            <w:tcW w:w="905" w:type="dxa"/>
          </w:tcPr>
          <w:p w:rsidR="0016231F" w:rsidRDefault="0016231F" w:rsidP="005E6EC7">
            <w:pPr>
              <w:pStyle w:val="NoSpacing"/>
              <w:jc w:val="right"/>
            </w:pPr>
            <w:r>
              <w:t>910</w:t>
            </w:r>
          </w:p>
        </w:tc>
      </w:tr>
    </w:tbl>
    <w:p w:rsidR="0016231F" w:rsidRDefault="0016231F" w:rsidP="0016231F">
      <w:pPr>
        <w:pStyle w:val="NoSpacing"/>
      </w:pPr>
    </w:p>
    <w:p w:rsidR="0016231F" w:rsidRDefault="0016231F" w:rsidP="0016231F">
      <w:pPr>
        <w:pStyle w:val="NoSpacing"/>
      </w:pPr>
      <w:r>
        <w:t>2016 Gender</w:t>
      </w:r>
    </w:p>
    <w:tbl>
      <w:tblPr>
        <w:tblStyle w:val="TableGrid"/>
        <w:tblW w:w="9206" w:type="dxa"/>
        <w:tblLook w:val="04A0" w:firstRow="1" w:lastRow="0" w:firstColumn="1" w:lastColumn="0" w:noHBand="0" w:noVBand="1"/>
      </w:tblPr>
      <w:tblGrid>
        <w:gridCol w:w="1980"/>
        <w:gridCol w:w="1435"/>
        <w:gridCol w:w="1021"/>
        <w:gridCol w:w="1575"/>
        <w:gridCol w:w="858"/>
        <w:gridCol w:w="1432"/>
        <w:gridCol w:w="905"/>
      </w:tblGrid>
      <w:tr w:rsidR="0016231F" w:rsidTr="005E6EC7">
        <w:trPr>
          <w:trHeight w:val="255"/>
        </w:trPr>
        <w:tc>
          <w:tcPr>
            <w:tcW w:w="1980" w:type="dxa"/>
          </w:tcPr>
          <w:p w:rsidR="0016231F" w:rsidRDefault="0016231F" w:rsidP="005E6EC7">
            <w:pPr>
              <w:pStyle w:val="NoSpacing"/>
            </w:pPr>
            <w:r>
              <w:t>Male</w:t>
            </w:r>
          </w:p>
        </w:tc>
        <w:tc>
          <w:tcPr>
            <w:tcW w:w="1435" w:type="dxa"/>
          </w:tcPr>
          <w:p w:rsidR="0016231F" w:rsidRDefault="0016231F" w:rsidP="005E6EC7">
            <w:pPr>
              <w:pStyle w:val="NoSpacing"/>
              <w:jc w:val="right"/>
            </w:pPr>
            <w:r>
              <w:t>115</w:t>
            </w:r>
          </w:p>
        </w:tc>
        <w:tc>
          <w:tcPr>
            <w:tcW w:w="1021" w:type="dxa"/>
          </w:tcPr>
          <w:p w:rsidR="0016231F" w:rsidRDefault="0016231F" w:rsidP="005E6EC7">
            <w:pPr>
              <w:pStyle w:val="NoSpacing"/>
              <w:jc w:val="right"/>
            </w:pPr>
            <w:r>
              <w:t>107</w:t>
            </w:r>
          </w:p>
        </w:tc>
        <w:tc>
          <w:tcPr>
            <w:tcW w:w="1575" w:type="dxa"/>
          </w:tcPr>
          <w:p w:rsidR="0016231F" w:rsidRDefault="0016231F" w:rsidP="005E6EC7">
            <w:pPr>
              <w:pStyle w:val="NoSpacing"/>
              <w:jc w:val="right"/>
            </w:pPr>
            <w:r>
              <w:t>536</w:t>
            </w:r>
          </w:p>
        </w:tc>
        <w:tc>
          <w:tcPr>
            <w:tcW w:w="858" w:type="dxa"/>
          </w:tcPr>
          <w:p w:rsidR="0016231F" w:rsidRDefault="0016231F" w:rsidP="005E6EC7">
            <w:pPr>
              <w:pStyle w:val="NoSpacing"/>
              <w:jc w:val="right"/>
            </w:pPr>
            <w:r>
              <w:t>308</w:t>
            </w:r>
          </w:p>
        </w:tc>
        <w:tc>
          <w:tcPr>
            <w:tcW w:w="1432" w:type="dxa"/>
          </w:tcPr>
          <w:p w:rsidR="0016231F" w:rsidRDefault="0016231F" w:rsidP="005E6EC7">
            <w:pPr>
              <w:pStyle w:val="NoSpacing"/>
              <w:jc w:val="right"/>
            </w:pPr>
            <w:r>
              <w:t>651</w:t>
            </w:r>
          </w:p>
        </w:tc>
        <w:tc>
          <w:tcPr>
            <w:tcW w:w="905" w:type="dxa"/>
          </w:tcPr>
          <w:p w:rsidR="0016231F" w:rsidRDefault="0016231F" w:rsidP="005E6EC7">
            <w:pPr>
              <w:pStyle w:val="NoSpacing"/>
              <w:jc w:val="right"/>
            </w:pPr>
            <w:r>
              <w:t>415</w:t>
            </w:r>
          </w:p>
        </w:tc>
      </w:tr>
      <w:tr w:rsidR="0016231F" w:rsidTr="005E6EC7">
        <w:trPr>
          <w:trHeight w:val="255"/>
        </w:trPr>
        <w:tc>
          <w:tcPr>
            <w:tcW w:w="1980" w:type="dxa"/>
          </w:tcPr>
          <w:p w:rsidR="0016231F" w:rsidRDefault="0016231F" w:rsidP="005E6EC7">
            <w:pPr>
              <w:pStyle w:val="NoSpacing"/>
            </w:pPr>
            <w:r>
              <w:t>Female</w:t>
            </w:r>
          </w:p>
        </w:tc>
        <w:tc>
          <w:tcPr>
            <w:tcW w:w="1435" w:type="dxa"/>
          </w:tcPr>
          <w:p w:rsidR="0016231F" w:rsidRDefault="0016231F" w:rsidP="005E6EC7">
            <w:pPr>
              <w:pStyle w:val="NoSpacing"/>
              <w:jc w:val="right"/>
            </w:pPr>
            <w:r>
              <w:t>139</w:t>
            </w:r>
          </w:p>
        </w:tc>
        <w:tc>
          <w:tcPr>
            <w:tcW w:w="1021" w:type="dxa"/>
          </w:tcPr>
          <w:p w:rsidR="0016231F" w:rsidRDefault="0016231F" w:rsidP="005E6EC7">
            <w:pPr>
              <w:pStyle w:val="NoSpacing"/>
              <w:jc w:val="right"/>
            </w:pPr>
            <w:r>
              <w:t>118</w:t>
            </w:r>
          </w:p>
        </w:tc>
        <w:tc>
          <w:tcPr>
            <w:tcW w:w="1575" w:type="dxa"/>
          </w:tcPr>
          <w:p w:rsidR="0016231F" w:rsidRDefault="0016231F" w:rsidP="005E6EC7">
            <w:pPr>
              <w:pStyle w:val="NoSpacing"/>
              <w:jc w:val="right"/>
            </w:pPr>
            <w:r>
              <w:t>670</w:t>
            </w:r>
          </w:p>
        </w:tc>
        <w:tc>
          <w:tcPr>
            <w:tcW w:w="858" w:type="dxa"/>
          </w:tcPr>
          <w:p w:rsidR="0016231F" w:rsidRDefault="0016231F" w:rsidP="005E6EC7">
            <w:pPr>
              <w:pStyle w:val="NoSpacing"/>
              <w:jc w:val="right"/>
            </w:pPr>
            <w:r>
              <w:t>372</w:t>
            </w:r>
          </w:p>
        </w:tc>
        <w:tc>
          <w:tcPr>
            <w:tcW w:w="1432" w:type="dxa"/>
          </w:tcPr>
          <w:p w:rsidR="0016231F" w:rsidRDefault="0016231F" w:rsidP="005E6EC7">
            <w:pPr>
              <w:pStyle w:val="NoSpacing"/>
              <w:jc w:val="right"/>
            </w:pPr>
            <w:r>
              <w:t>809</w:t>
            </w:r>
          </w:p>
        </w:tc>
        <w:tc>
          <w:tcPr>
            <w:tcW w:w="905" w:type="dxa"/>
          </w:tcPr>
          <w:p w:rsidR="0016231F" w:rsidRDefault="0016231F" w:rsidP="005E6EC7">
            <w:pPr>
              <w:pStyle w:val="NoSpacing"/>
              <w:jc w:val="right"/>
            </w:pPr>
            <w:r>
              <w:t>490</w:t>
            </w:r>
          </w:p>
        </w:tc>
      </w:tr>
      <w:tr w:rsidR="0016231F" w:rsidTr="005E6EC7">
        <w:trPr>
          <w:trHeight w:val="255"/>
        </w:trPr>
        <w:tc>
          <w:tcPr>
            <w:tcW w:w="1980" w:type="dxa"/>
          </w:tcPr>
          <w:p w:rsidR="0016231F" w:rsidRDefault="0016231F" w:rsidP="005E6EC7">
            <w:pPr>
              <w:pStyle w:val="NoSpacing"/>
            </w:pPr>
            <w:r>
              <w:t>Total</w:t>
            </w:r>
          </w:p>
        </w:tc>
        <w:tc>
          <w:tcPr>
            <w:tcW w:w="1435" w:type="dxa"/>
          </w:tcPr>
          <w:p w:rsidR="0016231F" w:rsidRDefault="0016231F" w:rsidP="005E6EC7">
            <w:pPr>
              <w:pStyle w:val="NoSpacing"/>
              <w:jc w:val="right"/>
            </w:pPr>
            <w:r>
              <w:t>254</w:t>
            </w:r>
          </w:p>
        </w:tc>
        <w:tc>
          <w:tcPr>
            <w:tcW w:w="1021" w:type="dxa"/>
          </w:tcPr>
          <w:p w:rsidR="0016231F" w:rsidRDefault="0016231F" w:rsidP="005E6EC7">
            <w:pPr>
              <w:pStyle w:val="NoSpacing"/>
              <w:jc w:val="right"/>
            </w:pPr>
            <w:r>
              <w:t>225</w:t>
            </w:r>
          </w:p>
        </w:tc>
        <w:tc>
          <w:tcPr>
            <w:tcW w:w="1575" w:type="dxa"/>
          </w:tcPr>
          <w:p w:rsidR="0016231F" w:rsidRDefault="0016231F" w:rsidP="005E6EC7">
            <w:pPr>
              <w:pStyle w:val="NoSpacing"/>
              <w:jc w:val="right"/>
            </w:pPr>
            <w:r>
              <w:t>1206</w:t>
            </w:r>
          </w:p>
        </w:tc>
        <w:tc>
          <w:tcPr>
            <w:tcW w:w="858" w:type="dxa"/>
          </w:tcPr>
          <w:p w:rsidR="0016231F" w:rsidRDefault="0016231F" w:rsidP="005E6EC7">
            <w:pPr>
              <w:pStyle w:val="NoSpacing"/>
              <w:jc w:val="right"/>
            </w:pPr>
            <w:r>
              <w:t>680</w:t>
            </w:r>
          </w:p>
        </w:tc>
        <w:tc>
          <w:tcPr>
            <w:tcW w:w="1432" w:type="dxa"/>
          </w:tcPr>
          <w:p w:rsidR="0016231F" w:rsidRDefault="0016231F" w:rsidP="005E6EC7">
            <w:pPr>
              <w:pStyle w:val="NoSpacing"/>
              <w:jc w:val="right"/>
            </w:pPr>
            <w:r>
              <w:t>1460</w:t>
            </w:r>
          </w:p>
        </w:tc>
        <w:tc>
          <w:tcPr>
            <w:tcW w:w="905" w:type="dxa"/>
          </w:tcPr>
          <w:p w:rsidR="0016231F" w:rsidRDefault="0016231F" w:rsidP="005E6EC7">
            <w:pPr>
              <w:pStyle w:val="NoSpacing"/>
              <w:jc w:val="right"/>
            </w:pPr>
            <w:r>
              <w:t>905</w:t>
            </w:r>
          </w:p>
        </w:tc>
      </w:tr>
    </w:tbl>
    <w:p w:rsidR="0016231F" w:rsidRDefault="0016231F" w:rsidP="0016231F">
      <w:pPr>
        <w:pStyle w:val="NoSpacing"/>
      </w:pPr>
    </w:p>
    <w:p w:rsidR="0016231F" w:rsidRDefault="0016231F" w:rsidP="0016231F">
      <w:pPr>
        <w:pStyle w:val="NoSpacing"/>
      </w:pPr>
      <w:r>
        <w:lastRenderedPageBreak/>
        <w:t>2017 Age</w:t>
      </w:r>
    </w:p>
    <w:tbl>
      <w:tblPr>
        <w:tblStyle w:val="TableGrid"/>
        <w:tblW w:w="9206" w:type="dxa"/>
        <w:tblLook w:val="04A0" w:firstRow="1" w:lastRow="0" w:firstColumn="1" w:lastColumn="0" w:noHBand="0" w:noVBand="1"/>
      </w:tblPr>
      <w:tblGrid>
        <w:gridCol w:w="1980"/>
        <w:gridCol w:w="1435"/>
        <w:gridCol w:w="1021"/>
        <w:gridCol w:w="1575"/>
        <w:gridCol w:w="858"/>
        <w:gridCol w:w="1432"/>
        <w:gridCol w:w="905"/>
      </w:tblGrid>
      <w:tr w:rsidR="0016231F" w:rsidTr="005E6EC7">
        <w:trPr>
          <w:trHeight w:val="255"/>
        </w:trPr>
        <w:tc>
          <w:tcPr>
            <w:tcW w:w="1980" w:type="dxa"/>
          </w:tcPr>
          <w:p w:rsidR="0016231F" w:rsidRDefault="0016231F" w:rsidP="005E6EC7">
            <w:pPr>
              <w:pStyle w:val="NoSpacing"/>
            </w:pPr>
            <w:r>
              <w:t>Under 25</w:t>
            </w:r>
          </w:p>
        </w:tc>
        <w:tc>
          <w:tcPr>
            <w:tcW w:w="1435" w:type="dxa"/>
          </w:tcPr>
          <w:p w:rsidR="0016231F" w:rsidRDefault="0016231F" w:rsidP="005E6EC7">
            <w:pPr>
              <w:pStyle w:val="NoSpacing"/>
              <w:jc w:val="right"/>
            </w:pPr>
            <w:r>
              <w:t>0</w:t>
            </w:r>
          </w:p>
        </w:tc>
        <w:tc>
          <w:tcPr>
            <w:tcW w:w="1021" w:type="dxa"/>
          </w:tcPr>
          <w:p w:rsidR="0016231F" w:rsidRDefault="0016231F" w:rsidP="005E6EC7">
            <w:pPr>
              <w:pStyle w:val="NoSpacing"/>
              <w:jc w:val="right"/>
            </w:pPr>
            <w:r>
              <w:t>0</w:t>
            </w:r>
          </w:p>
        </w:tc>
        <w:tc>
          <w:tcPr>
            <w:tcW w:w="1575" w:type="dxa"/>
          </w:tcPr>
          <w:p w:rsidR="0016231F" w:rsidRDefault="0016231F" w:rsidP="005E6EC7">
            <w:pPr>
              <w:pStyle w:val="NoSpacing"/>
              <w:jc w:val="right"/>
            </w:pPr>
            <w:r>
              <w:t>27</w:t>
            </w:r>
          </w:p>
        </w:tc>
        <w:tc>
          <w:tcPr>
            <w:tcW w:w="858" w:type="dxa"/>
          </w:tcPr>
          <w:p w:rsidR="0016231F" w:rsidRDefault="0016231F" w:rsidP="005E6EC7">
            <w:pPr>
              <w:pStyle w:val="NoSpacing"/>
              <w:jc w:val="right"/>
            </w:pPr>
            <w:r>
              <w:t>13</w:t>
            </w:r>
          </w:p>
        </w:tc>
        <w:tc>
          <w:tcPr>
            <w:tcW w:w="1432" w:type="dxa"/>
          </w:tcPr>
          <w:p w:rsidR="0016231F" w:rsidRDefault="0016231F" w:rsidP="005E6EC7">
            <w:pPr>
              <w:pStyle w:val="NoSpacing"/>
              <w:jc w:val="right"/>
            </w:pPr>
            <w:r>
              <w:t>27</w:t>
            </w:r>
          </w:p>
        </w:tc>
        <w:tc>
          <w:tcPr>
            <w:tcW w:w="905" w:type="dxa"/>
          </w:tcPr>
          <w:p w:rsidR="0016231F" w:rsidRDefault="0016231F" w:rsidP="005E6EC7">
            <w:pPr>
              <w:pStyle w:val="NoSpacing"/>
              <w:jc w:val="right"/>
            </w:pPr>
            <w:r>
              <w:t>13</w:t>
            </w:r>
          </w:p>
        </w:tc>
      </w:tr>
      <w:tr w:rsidR="0016231F" w:rsidTr="005E6EC7">
        <w:trPr>
          <w:trHeight w:val="255"/>
        </w:trPr>
        <w:tc>
          <w:tcPr>
            <w:tcW w:w="1980" w:type="dxa"/>
          </w:tcPr>
          <w:p w:rsidR="0016231F" w:rsidRDefault="0016231F" w:rsidP="005E6EC7">
            <w:pPr>
              <w:pStyle w:val="NoSpacing"/>
            </w:pPr>
            <w:r>
              <w:t>25 – 34</w:t>
            </w:r>
          </w:p>
        </w:tc>
        <w:tc>
          <w:tcPr>
            <w:tcW w:w="1435" w:type="dxa"/>
          </w:tcPr>
          <w:p w:rsidR="0016231F" w:rsidRDefault="0016231F" w:rsidP="005E6EC7">
            <w:pPr>
              <w:pStyle w:val="NoSpacing"/>
              <w:jc w:val="right"/>
            </w:pPr>
            <w:r>
              <w:t>3</w:t>
            </w:r>
          </w:p>
        </w:tc>
        <w:tc>
          <w:tcPr>
            <w:tcW w:w="1021" w:type="dxa"/>
          </w:tcPr>
          <w:p w:rsidR="0016231F" w:rsidRDefault="0016231F" w:rsidP="005E6EC7">
            <w:pPr>
              <w:pStyle w:val="NoSpacing"/>
              <w:jc w:val="right"/>
            </w:pPr>
            <w:r>
              <w:t>3</w:t>
            </w:r>
          </w:p>
        </w:tc>
        <w:tc>
          <w:tcPr>
            <w:tcW w:w="1575" w:type="dxa"/>
          </w:tcPr>
          <w:p w:rsidR="0016231F" w:rsidRDefault="0016231F" w:rsidP="005E6EC7">
            <w:pPr>
              <w:pStyle w:val="NoSpacing"/>
              <w:jc w:val="right"/>
            </w:pPr>
            <w:r>
              <w:t>163</w:t>
            </w:r>
          </w:p>
        </w:tc>
        <w:tc>
          <w:tcPr>
            <w:tcW w:w="858" w:type="dxa"/>
          </w:tcPr>
          <w:p w:rsidR="0016231F" w:rsidRDefault="0016231F" w:rsidP="005E6EC7">
            <w:pPr>
              <w:pStyle w:val="NoSpacing"/>
              <w:jc w:val="right"/>
            </w:pPr>
            <w:r>
              <w:t>103</w:t>
            </w:r>
          </w:p>
        </w:tc>
        <w:tc>
          <w:tcPr>
            <w:tcW w:w="1432" w:type="dxa"/>
          </w:tcPr>
          <w:p w:rsidR="0016231F" w:rsidRDefault="0016231F" w:rsidP="005E6EC7">
            <w:pPr>
              <w:pStyle w:val="NoSpacing"/>
              <w:jc w:val="right"/>
            </w:pPr>
            <w:r>
              <w:t>166</w:t>
            </w:r>
          </w:p>
        </w:tc>
        <w:tc>
          <w:tcPr>
            <w:tcW w:w="905" w:type="dxa"/>
          </w:tcPr>
          <w:p w:rsidR="0016231F" w:rsidRDefault="0016231F" w:rsidP="005E6EC7">
            <w:pPr>
              <w:pStyle w:val="NoSpacing"/>
              <w:jc w:val="right"/>
            </w:pPr>
            <w:r>
              <w:t>106</w:t>
            </w:r>
          </w:p>
        </w:tc>
      </w:tr>
      <w:tr w:rsidR="0016231F" w:rsidTr="005E6EC7">
        <w:trPr>
          <w:trHeight w:val="255"/>
        </w:trPr>
        <w:tc>
          <w:tcPr>
            <w:tcW w:w="1980" w:type="dxa"/>
          </w:tcPr>
          <w:p w:rsidR="0016231F" w:rsidRDefault="0016231F" w:rsidP="005E6EC7">
            <w:pPr>
              <w:pStyle w:val="NoSpacing"/>
            </w:pPr>
            <w:r>
              <w:t>35 – 44</w:t>
            </w:r>
          </w:p>
        </w:tc>
        <w:tc>
          <w:tcPr>
            <w:tcW w:w="1435" w:type="dxa"/>
          </w:tcPr>
          <w:p w:rsidR="0016231F" w:rsidRDefault="0016231F" w:rsidP="005E6EC7">
            <w:pPr>
              <w:pStyle w:val="NoSpacing"/>
              <w:jc w:val="right"/>
            </w:pPr>
            <w:r>
              <w:t>33</w:t>
            </w:r>
          </w:p>
        </w:tc>
        <w:tc>
          <w:tcPr>
            <w:tcW w:w="1021" w:type="dxa"/>
          </w:tcPr>
          <w:p w:rsidR="0016231F" w:rsidRDefault="0016231F" w:rsidP="005E6EC7">
            <w:pPr>
              <w:pStyle w:val="NoSpacing"/>
              <w:jc w:val="right"/>
            </w:pPr>
            <w:r>
              <w:t>29</w:t>
            </w:r>
          </w:p>
        </w:tc>
        <w:tc>
          <w:tcPr>
            <w:tcW w:w="1575" w:type="dxa"/>
          </w:tcPr>
          <w:p w:rsidR="0016231F" w:rsidRDefault="0016231F" w:rsidP="005E6EC7">
            <w:pPr>
              <w:pStyle w:val="NoSpacing"/>
              <w:jc w:val="right"/>
            </w:pPr>
            <w:r>
              <w:t>293</w:t>
            </w:r>
          </w:p>
        </w:tc>
        <w:tc>
          <w:tcPr>
            <w:tcW w:w="858" w:type="dxa"/>
          </w:tcPr>
          <w:p w:rsidR="0016231F" w:rsidRDefault="0016231F" w:rsidP="005E6EC7">
            <w:pPr>
              <w:pStyle w:val="NoSpacing"/>
              <w:jc w:val="right"/>
            </w:pPr>
            <w:r>
              <w:t>189</w:t>
            </w:r>
          </w:p>
        </w:tc>
        <w:tc>
          <w:tcPr>
            <w:tcW w:w="1432" w:type="dxa"/>
          </w:tcPr>
          <w:p w:rsidR="0016231F" w:rsidRDefault="0016231F" w:rsidP="005E6EC7">
            <w:pPr>
              <w:pStyle w:val="NoSpacing"/>
              <w:jc w:val="right"/>
            </w:pPr>
            <w:r>
              <w:t>326</w:t>
            </w:r>
          </w:p>
        </w:tc>
        <w:tc>
          <w:tcPr>
            <w:tcW w:w="905" w:type="dxa"/>
          </w:tcPr>
          <w:p w:rsidR="0016231F" w:rsidRDefault="0016231F" w:rsidP="005E6EC7">
            <w:pPr>
              <w:pStyle w:val="NoSpacing"/>
              <w:jc w:val="right"/>
            </w:pPr>
            <w:r>
              <w:t>218</w:t>
            </w:r>
          </w:p>
        </w:tc>
      </w:tr>
      <w:tr w:rsidR="0016231F" w:rsidTr="005E6EC7">
        <w:trPr>
          <w:trHeight w:val="255"/>
        </w:trPr>
        <w:tc>
          <w:tcPr>
            <w:tcW w:w="1980" w:type="dxa"/>
          </w:tcPr>
          <w:p w:rsidR="0016231F" w:rsidRDefault="0016231F" w:rsidP="005E6EC7">
            <w:pPr>
              <w:pStyle w:val="NoSpacing"/>
            </w:pPr>
            <w:r>
              <w:t>45 – 54</w:t>
            </w:r>
          </w:p>
        </w:tc>
        <w:tc>
          <w:tcPr>
            <w:tcW w:w="1435" w:type="dxa"/>
          </w:tcPr>
          <w:p w:rsidR="0016231F" w:rsidRDefault="0016231F" w:rsidP="005E6EC7">
            <w:pPr>
              <w:pStyle w:val="NoSpacing"/>
              <w:jc w:val="right"/>
            </w:pPr>
            <w:r>
              <w:t>85</w:t>
            </w:r>
          </w:p>
        </w:tc>
        <w:tc>
          <w:tcPr>
            <w:tcW w:w="1021" w:type="dxa"/>
          </w:tcPr>
          <w:p w:rsidR="0016231F" w:rsidRDefault="0016231F" w:rsidP="005E6EC7">
            <w:pPr>
              <w:pStyle w:val="NoSpacing"/>
              <w:jc w:val="right"/>
            </w:pPr>
            <w:r>
              <w:t>78</w:t>
            </w:r>
          </w:p>
        </w:tc>
        <w:tc>
          <w:tcPr>
            <w:tcW w:w="1575" w:type="dxa"/>
          </w:tcPr>
          <w:p w:rsidR="0016231F" w:rsidRDefault="0016231F" w:rsidP="005E6EC7">
            <w:pPr>
              <w:pStyle w:val="NoSpacing"/>
              <w:jc w:val="right"/>
            </w:pPr>
            <w:r>
              <w:t>322</w:t>
            </w:r>
          </w:p>
        </w:tc>
        <w:tc>
          <w:tcPr>
            <w:tcW w:w="858" w:type="dxa"/>
          </w:tcPr>
          <w:p w:rsidR="0016231F" w:rsidRDefault="0016231F" w:rsidP="005E6EC7">
            <w:pPr>
              <w:pStyle w:val="NoSpacing"/>
              <w:jc w:val="right"/>
            </w:pPr>
            <w:r>
              <w:t>188</w:t>
            </w:r>
          </w:p>
        </w:tc>
        <w:tc>
          <w:tcPr>
            <w:tcW w:w="1432" w:type="dxa"/>
          </w:tcPr>
          <w:p w:rsidR="0016231F" w:rsidRDefault="0016231F" w:rsidP="005E6EC7">
            <w:pPr>
              <w:pStyle w:val="NoSpacing"/>
              <w:jc w:val="right"/>
            </w:pPr>
            <w:r>
              <w:t>407</w:t>
            </w:r>
          </w:p>
        </w:tc>
        <w:tc>
          <w:tcPr>
            <w:tcW w:w="905" w:type="dxa"/>
          </w:tcPr>
          <w:p w:rsidR="0016231F" w:rsidRDefault="0016231F" w:rsidP="005E6EC7">
            <w:pPr>
              <w:pStyle w:val="NoSpacing"/>
              <w:jc w:val="right"/>
            </w:pPr>
            <w:r>
              <w:t>266</w:t>
            </w:r>
          </w:p>
        </w:tc>
      </w:tr>
      <w:tr w:rsidR="0016231F" w:rsidTr="005E6EC7">
        <w:trPr>
          <w:trHeight w:val="255"/>
        </w:trPr>
        <w:tc>
          <w:tcPr>
            <w:tcW w:w="1980" w:type="dxa"/>
          </w:tcPr>
          <w:p w:rsidR="0016231F" w:rsidRDefault="0016231F" w:rsidP="005E6EC7">
            <w:pPr>
              <w:pStyle w:val="NoSpacing"/>
            </w:pPr>
            <w:r>
              <w:t>55 – 64</w:t>
            </w:r>
          </w:p>
        </w:tc>
        <w:tc>
          <w:tcPr>
            <w:tcW w:w="1435" w:type="dxa"/>
          </w:tcPr>
          <w:p w:rsidR="0016231F" w:rsidRDefault="0016231F" w:rsidP="005E6EC7">
            <w:pPr>
              <w:pStyle w:val="NoSpacing"/>
              <w:jc w:val="right"/>
            </w:pPr>
            <w:r>
              <w:t>110</w:t>
            </w:r>
          </w:p>
        </w:tc>
        <w:tc>
          <w:tcPr>
            <w:tcW w:w="1021" w:type="dxa"/>
          </w:tcPr>
          <w:p w:rsidR="0016231F" w:rsidRDefault="0016231F" w:rsidP="005E6EC7">
            <w:pPr>
              <w:pStyle w:val="NoSpacing"/>
              <w:jc w:val="right"/>
            </w:pPr>
            <w:r>
              <w:t>99</w:t>
            </w:r>
          </w:p>
        </w:tc>
        <w:tc>
          <w:tcPr>
            <w:tcW w:w="1575" w:type="dxa"/>
          </w:tcPr>
          <w:p w:rsidR="0016231F" w:rsidRDefault="0016231F" w:rsidP="005E6EC7">
            <w:pPr>
              <w:pStyle w:val="NoSpacing"/>
              <w:jc w:val="right"/>
            </w:pPr>
            <w:r>
              <w:t>256</w:t>
            </w:r>
          </w:p>
        </w:tc>
        <w:tc>
          <w:tcPr>
            <w:tcW w:w="858" w:type="dxa"/>
          </w:tcPr>
          <w:p w:rsidR="0016231F" w:rsidRDefault="0016231F" w:rsidP="005E6EC7">
            <w:pPr>
              <w:pStyle w:val="NoSpacing"/>
              <w:jc w:val="right"/>
            </w:pPr>
            <w:r>
              <w:t>145</w:t>
            </w:r>
          </w:p>
        </w:tc>
        <w:tc>
          <w:tcPr>
            <w:tcW w:w="1432" w:type="dxa"/>
          </w:tcPr>
          <w:p w:rsidR="0016231F" w:rsidRDefault="0016231F" w:rsidP="005E6EC7">
            <w:pPr>
              <w:pStyle w:val="NoSpacing"/>
              <w:jc w:val="right"/>
            </w:pPr>
            <w:r>
              <w:t>366</w:t>
            </w:r>
          </w:p>
        </w:tc>
        <w:tc>
          <w:tcPr>
            <w:tcW w:w="905" w:type="dxa"/>
          </w:tcPr>
          <w:p w:rsidR="0016231F" w:rsidRDefault="0016231F" w:rsidP="005E6EC7">
            <w:pPr>
              <w:pStyle w:val="NoSpacing"/>
              <w:jc w:val="right"/>
            </w:pPr>
            <w:r>
              <w:t>244</w:t>
            </w:r>
          </w:p>
        </w:tc>
      </w:tr>
      <w:tr w:rsidR="0016231F" w:rsidTr="005E6EC7">
        <w:trPr>
          <w:trHeight w:val="255"/>
        </w:trPr>
        <w:tc>
          <w:tcPr>
            <w:tcW w:w="1980" w:type="dxa"/>
          </w:tcPr>
          <w:p w:rsidR="0016231F" w:rsidRDefault="0016231F" w:rsidP="005E6EC7">
            <w:pPr>
              <w:pStyle w:val="NoSpacing"/>
            </w:pPr>
            <w:r>
              <w:t>Over 65</w:t>
            </w:r>
          </w:p>
        </w:tc>
        <w:tc>
          <w:tcPr>
            <w:tcW w:w="1435" w:type="dxa"/>
          </w:tcPr>
          <w:p w:rsidR="0016231F" w:rsidRDefault="0016231F" w:rsidP="005E6EC7">
            <w:pPr>
              <w:pStyle w:val="NoSpacing"/>
              <w:jc w:val="right"/>
            </w:pPr>
            <w:r>
              <w:t>26</w:t>
            </w:r>
          </w:p>
        </w:tc>
        <w:tc>
          <w:tcPr>
            <w:tcW w:w="1021" w:type="dxa"/>
          </w:tcPr>
          <w:p w:rsidR="0016231F" w:rsidRDefault="0016231F" w:rsidP="005E6EC7">
            <w:pPr>
              <w:pStyle w:val="NoSpacing"/>
              <w:jc w:val="right"/>
            </w:pPr>
            <w:r>
              <w:t>22</w:t>
            </w:r>
          </w:p>
        </w:tc>
        <w:tc>
          <w:tcPr>
            <w:tcW w:w="1575" w:type="dxa"/>
          </w:tcPr>
          <w:p w:rsidR="0016231F" w:rsidRDefault="0016231F" w:rsidP="005E6EC7">
            <w:pPr>
              <w:pStyle w:val="NoSpacing"/>
              <w:jc w:val="right"/>
            </w:pPr>
            <w:r>
              <w:t>89</w:t>
            </w:r>
          </w:p>
        </w:tc>
        <w:tc>
          <w:tcPr>
            <w:tcW w:w="858" w:type="dxa"/>
          </w:tcPr>
          <w:p w:rsidR="0016231F" w:rsidRDefault="0016231F" w:rsidP="005E6EC7">
            <w:pPr>
              <w:pStyle w:val="NoSpacing"/>
              <w:jc w:val="right"/>
            </w:pPr>
            <w:r>
              <w:t>41</w:t>
            </w:r>
          </w:p>
        </w:tc>
        <w:tc>
          <w:tcPr>
            <w:tcW w:w="1432" w:type="dxa"/>
          </w:tcPr>
          <w:p w:rsidR="0016231F" w:rsidRDefault="0016231F" w:rsidP="005E6EC7">
            <w:pPr>
              <w:pStyle w:val="NoSpacing"/>
              <w:jc w:val="right"/>
            </w:pPr>
            <w:r>
              <w:t>115</w:t>
            </w:r>
          </w:p>
        </w:tc>
        <w:tc>
          <w:tcPr>
            <w:tcW w:w="905" w:type="dxa"/>
          </w:tcPr>
          <w:p w:rsidR="0016231F" w:rsidRDefault="0016231F" w:rsidP="005E6EC7">
            <w:pPr>
              <w:pStyle w:val="NoSpacing"/>
              <w:jc w:val="right"/>
            </w:pPr>
            <w:r>
              <w:t>63</w:t>
            </w:r>
          </w:p>
        </w:tc>
      </w:tr>
      <w:tr w:rsidR="0016231F" w:rsidTr="005E6EC7">
        <w:trPr>
          <w:trHeight w:val="255"/>
        </w:trPr>
        <w:tc>
          <w:tcPr>
            <w:tcW w:w="1980" w:type="dxa"/>
          </w:tcPr>
          <w:p w:rsidR="0016231F" w:rsidRDefault="0016231F" w:rsidP="005E6EC7">
            <w:pPr>
              <w:pStyle w:val="NoSpacing"/>
            </w:pPr>
            <w:r>
              <w:t xml:space="preserve">Total </w:t>
            </w:r>
          </w:p>
        </w:tc>
        <w:tc>
          <w:tcPr>
            <w:tcW w:w="1435" w:type="dxa"/>
          </w:tcPr>
          <w:p w:rsidR="0016231F" w:rsidRDefault="0016231F" w:rsidP="005E6EC7">
            <w:pPr>
              <w:pStyle w:val="NoSpacing"/>
              <w:jc w:val="right"/>
            </w:pPr>
            <w:r>
              <w:t>257</w:t>
            </w:r>
          </w:p>
        </w:tc>
        <w:tc>
          <w:tcPr>
            <w:tcW w:w="1021" w:type="dxa"/>
          </w:tcPr>
          <w:p w:rsidR="0016231F" w:rsidRDefault="0016231F" w:rsidP="005E6EC7">
            <w:pPr>
              <w:pStyle w:val="NoSpacing"/>
              <w:jc w:val="right"/>
            </w:pPr>
            <w:r>
              <w:t>231</w:t>
            </w:r>
          </w:p>
        </w:tc>
        <w:tc>
          <w:tcPr>
            <w:tcW w:w="1575" w:type="dxa"/>
          </w:tcPr>
          <w:p w:rsidR="0016231F" w:rsidRDefault="0016231F" w:rsidP="005E6EC7">
            <w:pPr>
              <w:pStyle w:val="NoSpacing"/>
              <w:jc w:val="right"/>
            </w:pPr>
            <w:r>
              <w:t>1150</w:t>
            </w:r>
          </w:p>
        </w:tc>
        <w:tc>
          <w:tcPr>
            <w:tcW w:w="858" w:type="dxa"/>
          </w:tcPr>
          <w:p w:rsidR="0016231F" w:rsidRDefault="0016231F" w:rsidP="005E6EC7">
            <w:pPr>
              <w:pStyle w:val="NoSpacing"/>
              <w:jc w:val="right"/>
            </w:pPr>
            <w:r>
              <w:t>679</w:t>
            </w:r>
          </w:p>
        </w:tc>
        <w:tc>
          <w:tcPr>
            <w:tcW w:w="1432" w:type="dxa"/>
          </w:tcPr>
          <w:p w:rsidR="0016231F" w:rsidRDefault="0016231F" w:rsidP="005E6EC7">
            <w:pPr>
              <w:pStyle w:val="NoSpacing"/>
              <w:jc w:val="right"/>
            </w:pPr>
            <w:r>
              <w:t>1407</w:t>
            </w:r>
          </w:p>
        </w:tc>
        <w:tc>
          <w:tcPr>
            <w:tcW w:w="905" w:type="dxa"/>
          </w:tcPr>
          <w:p w:rsidR="0016231F" w:rsidRDefault="0016231F" w:rsidP="005E6EC7">
            <w:pPr>
              <w:pStyle w:val="NoSpacing"/>
              <w:jc w:val="right"/>
            </w:pPr>
            <w:r>
              <w:t>910</w:t>
            </w:r>
          </w:p>
        </w:tc>
      </w:tr>
    </w:tbl>
    <w:p w:rsidR="0016231F" w:rsidRDefault="0016231F" w:rsidP="0016231F"/>
    <w:p w:rsidR="0016231F" w:rsidRDefault="0016231F" w:rsidP="0016231F">
      <w:pPr>
        <w:pStyle w:val="NoSpacing"/>
      </w:pPr>
      <w:r>
        <w:t>2016 Age</w:t>
      </w:r>
    </w:p>
    <w:tbl>
      <w:tblPr>
        <w:tblStyle w:val="TableGrid"/>
        <w:tblW w:w="9206" w:type="dxa"/>
        <w:tblLook w:val="04A0" w:firstRow="1" w:lastRow="0" w:firstColumn="1" w:lastColumn="0" w:noHBand="0" w:noVBand="1"/>
      </w:tblPr>
      <w:tblGrid>
        <w:gridCol w:w="1980"/>
        <w:gridCol w:w="1435"/>
        <w:gridCol w:w="1021"/>
        <w:gridCol w:w="1575"/>
        <w:gridCol w:w="858"/>
        <w:gridCol w:w="1432"/>
        <w:gridCol w:w="905"/>
      </w:tblGrid>
      <w:tr w:rsidR="0016231F" w:rsidTr="005E6EC7">
        <w:trPr>
          <w:trHeight w:val="255"/>
        </w:trPr>
        <w:tc>
          <w:tcPr>
            <w:tcW w:w="1980" w:type="dxa"/>
          </w:tcPr>
          <w:p w:rsidR="0016231F" w:rsidRDefault="0016231F" w:rsidP="005E6EC7">
            <w:pPr>
              <w:pStyle w:val="NoSpacing"/>
            </w:pPr>
            <w:r>
              <w:t>Under 25</w:t>
            </w:r>
          </w:p>
        </w:tc>
        <w:tc>
          <w:tcPr>
            <w:tcW w:w="1435" w:type="dxa"/>
          </w:tcPr>
          <w:p w:rsidR="0016231F" w:rsidRDefault="0016231F" w:rsidP="005E6EC7">
            <w:pPr>
              <w:pStyle w:val="NoSpacing"/>
              <w:jc w:val="right"/>
            </w:pPr>
            <w:r>
              <w:t>1</w:t>
            </w:r>
          </w:p>
        </w:tc>
        <w:tc>
          <w:tcPr>
            <w:tcW w:w="1021" w:type="dxa"/>
          </w:tcPr>
          <w:p w:rsidR="0016231F" w:rsidRDefault="0016231F" w:rsidP="005E6EC7">
            <w:pPr>
              <w:pStyle w:val="NoSpacing"/>
              <w:jc w:val="right"/>
            </w:pPr>
            <w:r>
              <w:t>1</w:t>
            </w:r>
          </w:p>
        </w:tc>
        <w:tc>
          <w:tcPr>
            <w:tcW w:w="1575" w:type="dxa"/>
          </w:tcPr>
          <w:p w:rsidR="0016231F" w:rsidRDefault="0016231F" w:rsidP="005E6EC7">
            <w:pPr>
              <w:pStyle w:val="NoSpacing"/>
              <w:jc w:val="right"/>
            </w:pPr>
            <w:r>
              <w:t>19</w:t>
            </w:r>
          </w:p>
        </w:tc>
        <w:tc>
          <w:tcPr>
            <w:tcW w:w="858" w:type="dxa"/>
          </w:tcPr>
          <w:p w:rsidR="0016231F" w:rsidRDefault="0016231F" w:rsidP="005E6EC7">
            <w:pPr>
              <w:pStyle w:val="NoSpacing"/>
              <w:jc w:val="right"/>
            </w:pPr>
            <w:r>
              <w:t>9</w:t>
            </w:r>
          </w:p>
        </w:tc>
        <w:tc>
          <w:tcPr>
            <w:tcW w:w="1432" w:type="dxa"/>
          </w:tcPr>
          <w:p w:rsidR="0016231F" w:rsidRDefault="0016231F" w:rsidP="005E6EC7">
            <w:pPr>
              <w:pStyle w:val="NoSpacing"/>
              <w:jc w:val="right"/>
            </w:pPr>
            <w:r>
              <w:t>20</w:t>
            </w:r>
          </w:p>
        </w:tc>
        <w:tc>
          <w:tcPr>
            <w:tcW w:w="905" w:type="dxa"/>
          </w:tcPr>
          <w:p w:rsidR="0016231F" w:rsidRDefault="0016231F" w:rsidP="005E6EC7">
            <w:pPr>
              <w:pStyle w:val="NoSpacing"/>
              <w:jc w:val="right"/>
            </w:pPr>
            <w:r>
              <w:t>10</w:t>
            </w:r>
          </w:p>
        </w:tc>
      </w:tr>
      <w:tr w:rsidR="0016231F" w:rsidTr="005E6EC7">
        <w:trPr>
          <w:trHeight w:val="255"/>
        </w:trPr>
        <w:tc>
          <w:tcPr>
            <w:tcW w:w="1980" w:type="dxa"/>
          </w:tcPr>
          <w:p w:rsidR="0016231F" w:rsidRDefault="0016231F" w:rsidP="005E6EC7">
            <w:pPr>
              <w:pStyle w:val="NoSpacing"/>
            </w:pPr>
            <w:r>
              <w:t>25 – 34</w:t>
            </w:r>
          </w:p>
        </w:tc>
        <w:tc>
          <w:tcPr>
            <w:tcW w:w="1435" w:type="dxa"/>
          </w:tcPr>
          <w:p w:rsidR="0016231F" w:rsidRDefault="0016231F" w:rsidP="005E6EC7">
            <w:pPr>
              <w:pStyle w:val="NoSpacing"/>
              <w:jc w:val="right"/>
            </w:pPr>
            <w:r>
              <w:t>3</w:t>
            </w:r>
          </w:p>
        </w:tc>
        <w:tc>
          <w:tcPr>
            <w:tcW w:w="1021" w:type="dxa"/>
          </w:tcPr>
          <w:p w:rsidR="0016231F" w:rsidRDefault="0016231F" w:rsidP="005E6EC7">
            <w:pPr>
              <w:pStyle w:val="NoSpacing"/>
              <w:jc w:val="right"/>
            </w:pPr>
            <w:r>
              <w:t>3</w:t>
            </w:r>
          </w:p>
        </w:tc>
        <w:tc>
          <w:tcPr>
            <w:tcW w:w="1575" w:type="dxa"/>
          </w:tcPr>
          <w:p w:rsidR="0016231F" w:rsidRDefault="0016231F" w:rsidP="005E6EC7">
            <w:pPr>
              <w:pStyle w:val="NoSpacing"/>
              <w:jc w:val="right"/>
            </w:pPr>
            <w:r>
              <w:t>157</w:t>
            </w:r>
          </w:p>
        </w:tc>
        <w:tc>
          <w:tcPr>
            <w:tcW w:w="858" w:type="dxa"/>
          </w:tcPr>
          <w:p w:rsidR="0016231F" w:rsidRDefault="0016231F" w:rsidP="005E6EC7">
            <w:pPr>
              <w:pStyle w:val="NoSpacing"/>
              <w:jc w:val="right"/>
            </w:pPr>
            <w:r>
              <w:t>91</w:t>
            </w:r>
          </w:p>
        </w:tc>
        <w:tc>
          <w:tcPr>
            <w:tcW w:w="1432" w:type="dxa"/>
          </w:tcPr>
          <w:p w:rsidR="0016231F" w:rsidRDefault="0016231F" w:rsidP="005E6EC7">
            <w:pPr>
              <w:pStyle w:val="NoSpacing"/>
              <w:jc w:val="right"/>
            </w:pPr>
            <w:r>
              <w:t>160</w:t>
            </w:r>
          </w:p>
        </w:tc>
        <w:tc>
          <w:tcPr>
            <w:tcW w:w="905" w:type="dxa"/>
          </w:tcPr>
          <w:p w:rsidR="0016231F" w:rsidRDefault="0016231F" w:rsidP="005E6EC7">
            <w:pPr>
              <w:pStyle w:val="NoSpacing"/>
              <w:jc w:val="right"/>
            </w:pPr>
            <w:r>
              <w:t>94</w:t>
            </w:r>
          </w:p>
        </w:tc>
      </w:tr>
      <w:tr w:rsidR="0016231F" w:rsidTr="005E6EC7">
        <w:trPr>
          <w:trHeight w:val="255"/>
        </w:trPr>
        <w:tc>
          <w:tcPr>
            <w:tcW w:w="1980" w:type="dxa"/>
          </w:tcPr>
          <w:p w:rsidR="0016231F" w:rsidRDefault="0016231F" w:rsidP="005E6EC7">
            <w:pPr>
              <w:pStyle w:val="NoSpacing"/>
            </w:pPr>
            <w:r>
              <w:t>35 – 44</w:t>
            </w:r>
          </w:p>
        </w:tc>
        <w:tc>
          <w:tcPr>
            <w:tcW w:w="1435" w:type="dxa"/>
          </w:tcPr>
          <w:p w:rsidR="0016231F" w:rsidRDefault="0016231F" w:rsidP="005E6EC7">
            <w:pPr>
              <w:pStyle w:val="NoSpacing"/>
              <w:jc w:val="right"/>
            </w:pPr>
            <w:r>
              <w:t>33</w:t>
            </w:r>
          </w:p>
        </w:tc>
        <w:tc>
          <w:tcPr>
            <w:tcW w:w="1021" w:type="dxa"/>
          </w:tcPr>
          <w:p w:rsidR="0016231F" w:rsidRDefault="0016231F" w:rsidP="005E6EC7">
            <w:pPr>
              <w:pStyle w:val="NoSpacing"/>
              <w:jc w:val="right"/>
            </w:pPr>
            <w:r>
              <w:t>28</w:t>
            </w:r>
          </w:p>
        </w:tc>
        <w:tc>
          <w:tcPr>
            <w:tcW w:w="1575" w:type="dxa"/>
          </w:tcPr>
          <w:p w:rsidR="0016231F" w:rsidRDefault="0016231F" w:rsidP="005E6EC7">
            <w:pPr>
              <w:pStyle w:val="NoSpacing"/>
              <w:jc w:val="right"/>
            </w:pPr>
            <w:r>
              <w:t>288</w:t>
            </w:r>
          </w:p>
        </w:tc>
        <w:tc>
          <w:tcPr>
            <w:tcW w:w="858" w:type="dxa"/>
          </w:tcPr>
          <w:p w:rsidR="0016231F" w:rsidRDefault="0016231F" w:rsidP="005E6EC7">
            <w:pPr>
              <w:pStyle w:val="NoSpacing"/>
              <w:jc w:val="right"/>
            </w:pPr>
            <w:r>
              <w:t>175</w:t>
            </w:r>
          </w:p>
        </w:tc>
        <w:tc>
          <w:tcPr>
            <w:tcW w:w="1432" w:type="dxa"/>
          </w:tcPr>
          <w:p w:rsidR="0016231F" w:rsidRDefault="0016231F" w:rsidP="005E6EC7">
            <w:pPr>
              <w:pStyle w:val="NoSpacing"/>
              <w:jc w:val="right"/>
            </w:pPr>
            <w:r>
              <w:t>321</w:t>
            </w:r>
          </w:p>
        </w:tc>
        <w:tc>
          <w:tcPr>
            <w:tcW w:w="905" w:type="dxa"/>
          </w:tcPr>
          <w:p w:rsidR="0016231F" w:rsidRDefault="0016231F" w:rsidP="005E6EC7">
            <w:pPr>
              <w:pStyle w:val="NoSpacing"/>
              <w:jc w:val="right"/>
            </w:pPr>
            <w:r>
              <w:t>203</w:t>
            </w:r>
          </w:p>
        </w:tc>
      </w:tr>
      <w:tr w:rsidR="0016231F" w:rsidTr="005E6EC7">
        <w:trPr>
          <w:trHeight w:val="255"/>
        </w:trPr>
        <w:tc>
          <w:tcPr>
            <w:tcW w:w="1980" w:type="dxa"/>
          </w:tcPr>
          <w:p w:rsidR="0016231F" w:rsidRDefault="0016231F" w:rsidP="005E6EC7">
            <w:pPr>
              <w:pStyle w:val="NoSpacing"/>
            </w:pPr>
            <w:r>
              <w:t>45 – 54</w:t>
            </w:r>
          </w:p>
        </w:tc>
        <w:tc>
          <w:tcPr>
            <w:tcW w:w="1435" w:type="dxa"/>
          </w:tcPr>
          <w:p w:rsidR="0016231F" w:rsidRDefault="0016231F" w:rsidP="005E6EC7">
            <w:pPr>
              <w:pStyle w:val="NoSpacing"/>
              <w:jc w:val="right"/>
            </w:pPr>
            <w:r>
              <w:t>95</w:t>
            </w:r>
          </w:p>
        </w:tc>
        <w:tc>
          <w:tcPr>
            <w:tcW w:w="1021" w:type="dxa"/>
          </w:tcPr>
          <w:p w:rsidR="0016231F" w:rsidRDefault="0016231F" w:rsidP="005E6EC7">
            <w:pPr>
              <w:pStyle w:val="NoSpacing"/>
              <w:jc w:val="right"/>
            </w:pPr>
            <w:r>
              <w:t>84</w:t>
            </w:r>
          </w:p>
        </w:tc>
        <w:tc>
          <w:tcPr>
            <w:tcW w:w="1575" w:type="dxa"/>
          </w:tcPr>
          <w:p w:rsidR="0016231F" w:rsidRDefault="0016231F" w:rsidP="005E6EC7">
            <w:pPr>
              <w:pStyle w:val="NoSpacing"/>
              <w:jc w:val="right"/>
            </w:pPr>
            <w:r>
              <w:t>350</w:t>
            </w:r>
          </w:p>
        </w:tc>
        <w:tc>
          <w:tcPr>
            <w:tcW w:w="858" w:type="dxa"/>
          </w:tcPr>
          <w:p w:rsidR="0016231F" w:rsidRDefault="0016231F" w:rsidP="005E6EC7">
            <w:pPr>
              <w:pStyle w:val="NoSpacing"/>
              <w:jc w:val="right"/>
            </w:pPr>
            <w:r>
              <w:t>197</w:t>
            </w:r>
          </w:p>
        </w:tc>
        <w:tc>
          <w:tcPr>
            <w:tcW w:w="1432" w:type="dxa"/>
          </w:tcPr>
          <w:p w:rsidR="0016231F" w:rsidRDefault="0016231F" w:rsidP="005E6EC7">
            <w:pPr>
              <w:pStyle w:val="NoSpacing"/>
              <w:jc w:val="right"/>
            </w:pPr>
            <w:r>
              <w:t>445</w:t>
            </w:r>
          </w:p>
        </w:tc>
        <w:tc>
          <w:tcPr>
            <w:tcW w:w="905" w:type="dxa"/>
          </w:tcPr>
          <w:p w:rsidR="0016231F" w:rsidRDefault="0016231F" w:rsidP="005E6EC7">
            <w:pPr>
              <w:pStyle w:val="NoSpacing"/>
              <w:jc w:val="right"/>
            </w:pPr>
            <w:r>
              <w:t>281</w:t>
            </w:r>
          </w:p>
        </w:tc>
      </w:tr>
      <w:tr w:rsidR="0016231F" w:rsidTr="005E6EC7">
        <w:trPr>
          <w:trHeight w:val="255"/>
        </w:trPr>
        <w:tc>
          <w:tcPr>
            <w:tcW w:w="1980" w:type="dxa"/>
          </w:tcPr>
          <w:p w:rsidR="0016231F" w:rsidRDefault="0016231F" w:rsidP="005E6EC7">
            <w:pPr>
              <w:pStyle w:val="NoSpacing"/>
            </w:pPr>
            <w:r>
              <w:t>55 – 64</w:t>
            </w:r>
          </w:p>
        </w:tc>
        <w:tc>
          <w:tcPr>
            <w:tcW w:w="1435" w:type="dxa"/>
          </w:tcPr>
          <w:p w:rsidR="0016231F" w:rsidRDefault="0016231F" w:rsidP="005E6EC7">
            <w:pPr>
              <w:pStyle w:val="NoSpacing"/>
              <w:jc w:val="right"/>
            </w:pPr>
            <w:r>
              <w:t>99</w:t>
            </w:r>
          </w:p>
        </w:tc>
        <w:tc>
          <w:tcPr>
            <w:tcW w:w="1021" w:type="dxa"/>
          </w:tcPr>
          <w:p w:rsidR="0016231F" w:rsidRDefault="0016231F" w:rsidP="005E6EC7">
            <w:pPr>
              <w:pStyle w:val="NoSpacing"/>
              <w:jc w:val="right"/>
            </w:pPr>
            <w:r>
              <w:t>89</w:t>
            </w:r>
          </w:p>
        </w:tc>
        <w:tc>
          <w:tcPr>
            <w:tcW w:w="1575" w:type="dxa"/>
          </w:tcPr>
          <w:p w:rsidR="0016231F" w:rsidRDefault="0016231F" w:rsidP="005E6EC7">
            <w:pPr>
              <w:pStyle w:val="NoSpacing"/>
              <w:jc w:val="right"/>
            </w:pPr>
            <w:r>
              <w:t>306</w:t>
            </w:r>
          </w:p>
        </w:tc>
        <w:tc>
          <w:tcPr>
            <w:tcW w:w="858" w:type="dxa"/>
          </w:tcPr>
          <w:p w:rsidR="0016231F" w:rsidRDefault="0016231F" w:rsidP="005E6EC7">
            <w:pPr>
              <w:pStyle w:val="NoSpacing"/>
              <w:jc w:val="right"/>
            </w:pPr>
            <w:r>
              <w:t>172</w:t>
            </w:r>
          </w:p>
        </w:tc>
        <w:tc>
          <w:tcPr>
            <w:tcW w:w="1432" w:type="dxa"/>
          </w:tcPr>
          <w:p w:rsidR="0016231F" w:rsidRDefault="0016231F" w:rsidP="005E6EC7">
            <w:pPr>
              <w:pStyle w:val="NoSpacing"/>
              <w:jc w:val="right"/>
            </w:pPr>
            <w:r>
              <w:t>405</w:t>
            </w:r>
          </w:p>
        </w:tc>
        <w:tc>
          <w:tcPr>
            <w:tcW w:w="905" w:type="dxa"/>
          </w:tcPr>
          <w:p w:rsidR="0016231F" w:rsidRDefault="0016231F" w:rsidP="005E6EC7">
            <w:pPr>
              <w:pStyle w:val="NoSpacing"/>
              <w:jc w:val="right"/>
            </w:pPr>
            <w:r>
              <w:t>261</w:t>
            </w:r>
          </w:p>
        </w:tc>
      </w:tr>
      <w:tr w:rsidR="0016231F" w:rsidTr="005E6EC7">
        <w:trPr>
          <w:trHeight w:val="255"/>
        </w:trPr>
        <w:tc>
          <w:tcPr>
            <w:tcW w:w="1980" w:type="dxa"/>
          </w:tcPr>
          <w:p w:rsidR="0016231F" w:rsidRDefault="0016231F" w:rsidP="005E6EC7">
            <w:pPr>
              <w:pStyle w:val="NoSpacing"/>
            </w:pPr>
            <w:r>
              <w:t>Over 65</w:t>
            </w:r>
          </w:p>
        </w:tc>
        <w:tc>
          <w:tcPr>
            <w:tcW w:w="1435" w:type="dxa"/>
          </w:tcPr>
          <w:p w:rsidR="0016231F" w:rsidRDefault="0016231F" w:rsidP="005E6EC7">
            <w:pPr>
              <w:pStyle w:val="NoSpacing"/>
              <w:jc w:val="right"/>
            </w:pPr>
            <w:r>
              <w:t>23</w:t>
            </w:r>
          </w:p>
        </w:tc>
        <w:tc>
          <w:tcPr>
            <w:tcW w:w="1021" w:type="dxa"/>
          </w:tcPr>
          <w:p w:rsidR="0016231F" w:rsidRDefault="0016231F" w:rsidP="005E6EC7">
            <w:pPr>
              <w:pStyle w:val="NoSpacing"/>
              <w:jc w:val="right"/>
            </w:pPr>
            <w:r>
              <w:t>20</w:t>
            </w:r>
          </w:p>
        </w:tc>
        <w:tc>
          <w:tcPr>
            <w:tcW w:w="1575" w:type="dxa"/>
          </w:tcPr>
          <w:p w:rsidR="0016231F" w:rsidRDefault="0016231F" w:rsidP="005E6EC7">
            <w:pPr>
              <w:pStyle w:val="NoSpacing"/>
              <w:jc w:val="right"/>
            </w:pPr>
            <w:r>
              <w:t>86</w:t>
            </w:r>
          </w:p>
        </w:tc>
        <w:tc>
          <w:tcPr>
            <w:tcW w:w="858" w:type="dxa"/>
          </w:tcPr>
          <w:p w:rsidR="0016231F" w:rsidRDefault="0016231F" w:rsidP="005E6EC7">
            <w:pPr>
              <w:pStyle w:val="NoSpacing"/>
              <w:jc w:val="right"/>
            </w:pPr>
            <w:r>
              <w:t>36</w:t>
            </w:r>
          </w:p>
        </w:tc>
        <w:tc>
          <w:tcPr>
            <w:tcW w:w="1432" w:type="dxa"/>
          </w:tcPr>
          <w:p w:rsidR="0016231F" w:rsidRDefault="0016231F" w:rsidP="005E6EC7">
            <w:pPr>
              <w:pStyle w:val="NoSpacing"/>
              <w:jc w:val="right"/>
            </w:pPr>
            <w:r>
              <w:t>109</w:t>
            </w:r>
          </w:p>
        </w:tc>
        <w:tc>
          <w:tcPr>
            <w:tcW w:w="905" w:type="dxa"/>
          </w:tcPr>
          <w:p w:rsidR="0016231F" w:rsidRDefault="0016231F" w:rsidP="005E6EC7">
            <w:pPr>
              <w:pStyle w:val="NoSpacing"/>
              <w:jc w:val="right"/>
            </w:pPr>
            <w:r>
              <w:t>56</w:t>
            </w:r>
          </w:p>
        </w:tc>
      </w:tr>
      <w:tr w:rsidR="0016231F" w:rsidTr="005E6EC7">
        <w:trPr>
          <w:trHeight w:val="255"/>
        </w:trPr>
        <w:tc>
          <w:tcPr>
            <w:tcW w:w="1980" w:type="dxa"/>
          </w:tcPr>
          <w:p w:rsidR="0016231F" w:rsidRDefault="0016231F" w:rsidP="005E6EC7">
            <w:pPr>
              <w:pStyle w:val="NoSpacing"/>
            </w:pPr>
            <w:r>
              <w:t xml:space="preserve">Total </w:t>
            </w:r>
          </w:p>
        </w:tc>
        <w:tc>
          <w:tcPr>
            <w:tcW w:w="1435" w:type="dxa"/>
          </w:tcPr>
          <w:p w:rsidR="0016231F" w:rsidRDefault="0016231F" w:rsidP="005E6EC7">
            <w:pPr>
              <w:pStyle w:val="NoSpacing"/>
              <w:jc w:val="right"/>
            </w:pPr>
            <w:r>
              <w:t>254</w:t>
            </w:r>
          </w:p>
        </w:tc>
        <w:tc>
          <w:tcPr>
            <w:tcW w:w="1021" w:type="dxa"/>
          </w:tcPr>
          <w:p w:rsidR="0016231F" w:rsidRDefault="0016231F" w:rsidP="005E6EC7">
            <w:pPr>
              <w:pStyle w:val="NoSpacing"/>
              <w:jc w:val="right"/>
            </w:pPr>
            <w:r>
              <w:t>225</w:t>
            </w:r>
          </w:p>
        </w:tc>
        <w:tc>
          <w:tcPr>
            <w:tcW w:w="1575" w:type="dxa"/>
          </w:tcPr>
          <w:p w:rsidR="0016231F" w:rsidRDefault="0016231F" w:rsidP="005E6EC7">
            <w:pPr>
              <w:pStyle w:val="NoSpacing"/>
              <w:jc w:val="right"/>
            </w:pPr>
            <w:r>
              <w:t>1206</w:t>
            </w:r>
          </w:p>
        </w:tc>
        <w:tc>
          <w:tcPr>
            <w:tcW w:w="858" w:type="dxa"/>
          </w:tcPr>
          <w:p w:rsidR="0016231F" w:rsidRDefault="0016231F" w:rsidP="005E6EC7">
            <w:pPr>
              <w:pStyle w:val="NoSpacing"/>
              <w:jc w:val="right"/>
            </w:pPr>
            <w:r>
              <w:t>680</w:t>
            </w:r>
          </w:p>
        </w:tc>
        <w:tc>
          <w:tcPr>
            <w:tcW w:w="1432" w:type="dxa"/>
          </w:tcPr>
          <w:p w:rsidR="0016231F" w:rsidRDefault="0016231F" w:rsidP="005E6EC7">
            <w:pPr>
              <w:pStyle w:val="NoSpacing"/>
              <w:jc w:val="right"/>
            </w:pPr>
            <w:r>
              <w:t>1460</w:t>
            </w:r>
          </w:p>
        </w:tc>
        <w:tc>
          <w:tcPr>
            <w:tcW w:w="905" w:type="dxa"/>
          </w:tcPr>
          <w:p w:rsidR="0016231F" w:rsidRDefault="0016231F" w:rsidP="005E6EC7">
            <w:pPr>
              <w:pStyle w:val="NoSpacing"/>
              <w:jc w:val="right"/>
            </w:pPr>
            <w:r>
              <w:t>905</w:t>
            </w:r>
          </w:p>
        </w:tc>
      </w:tr>
    </w:tbl>
    <w:p w:rsidR="0016231F" w:rsidRDefault="0016231F" w:rsidP="0016231F"/>
    <w:p w:rsidR="007829BB" w:rsidRDefault="007829BB" w:rsidP="0016231F">
      <w:r>
        <w:t>&lt;pp&gt;20</w:t>
      </w:r>
    </w:p>
    <w:tbl>
      <w:tblPr>
        <w:tblStyle w:val="TableGrid"/>
        <w:tblW w:w="9202" w:type="dxa"/>
        <w:tblLook w:val="04A0" w:firstRow="1" w:lastRow="0" w:firstColumn="1" w:lastColumn="0" w:noHBand="0" w:noVBand="1"/>
      </w:tblPr>
      <w:tblGrid>
        <w:gridCol w:w="2122"/>
        <w:gridCol w:w="1274"/>
        <w:gridCol w:w="992"/>
        <w:gridCol w:w="567"/>
        <w:gridCol w:w="994"/>
        <w:gridCol w:w="983"/>
        <w:gridCol w:w="1427"/>
        <w:gridCol w:w="843"/>
      </w:tblGrid>
      <w:tr w:rsidR="0016231F" w:rsidTr="0016231F">
        <w:trPr>
          <w:gridBefore w:val="1"/>
          <w:wBefore w:w="2122" w:type="dxa"/>
          <w:trHeight w:val="322"/>
        </w:trPr>
        <w:tc>
          <w:tcPr>
            <w:tcW w:w="1274" w:type="dxa"/>
          </w:tcPr>
          <w:p w:rsidR="0016231F" w:rsidRDefault="0016231F" w:rsidP="005E6EC7"/>
        </w:tc>
        <w:tc>
          <w:tcPr>
            <w:tcW w:w="1559" w:type="dxa"/>
            <w:gridSpan w:val="2"/>
          </w:tcPr>
          <w:p w:rsidR="0016231F" w:rsidRDefault="0016231F" w:rsidP="005E6EC7">
            <w:r>
              <w:t>Ongoing</w:t>
            </w:r>
          </w:p>
        </w:tc>
        <w:tc>
          <w:tcPr>
            <w:tcW w:w="3404" w:type="dxa"/>
            <w:gridSpan w:val="3"/>
          </w:tcPr>
          <w:p w:rsidR="0016231F" w:rsidRDefault="0016231F" w:rsidP="005E6EC7">
            <w:r>
              <w:t xml:space="preserve">                 Fixed Term/Casual</w:t>
            </w:r>
          </w:p>
        </w:tc>
        <w:tc>
          <w:tcPr>
            <w:tcW w:w="843" w:type="dxa"/>
          </w:tcPr>
          <w:p w:rsidR="0016231F" w:rsidRDefault="0016231F" w:rsidP="005E6EC7">
            <w:r>
              <w:t xml:space="preserve">Total </w:t>
            </w:r>
          </w:p>
        </w:tc>
      </w:tr>
      <w:tr w:rsidR="0016231F" w:rsidTr="0016231F">
        <w:trPr>
          <w:trHeight w:val="296"/>
        </w:trPr>
        <w:tc>
          <w:tcPr>
            <w:tcW w:w="2122" w:type="dxa"/>
          </w:tcPr>
          <w:p w:rsidR="0016231F" w:rsidRDefault="0016231F" w:rsidP="005E6EC7">
            <w:pPr>
              <w:jc w:val="right"/>
            </w:pPr>
          </w:p>
        </w:tc>
        <w:tc>
          <w:tcPr>
            <w:tcW w:w="1274" w:type="dxa"/>
          </w:tcPr>
          <w:p w:rsidR="0016231F" w:rsidRDefault="0016231F" w:rsidP="005E6EC7">
            <w:pPr>
              <w:jc w:val="right"/>
            </w:pPr>
            <w:r>
              <w:t>Headcount</w:t>
            </w:r>
          </w:p>
        </w:tc>
        <w:tc>
          <w:tcPr>
            <w:tcW w:w="992" w:type="dxa"/>
          </w:tcPr>
          <w:p w:rsidR="0016231F" w:rsidRDefault="0016231F" w:rsidP="005E6EC7">
            <w:pPr>
              <w:jc w:val="right"/>
            </w:pPr>
            <w:r>
              <w:t>FTE</w:t>
            </w:r>
          </w:p>
        </w:tc>
        <w:tc>
          <w:tcPr>
            <w:tcW w:w="1561" w:type="dxa"/>
            <w:gridSpan w:val="2"/>
          </w:tcPr>
          <w:p w:rsidR="0016231F" w:rsidRDefault="0016231F" w:rsidP="005E6EC7">
            <w:pPr>
              <w:jc w:val="right"/>
            </w:pPr>
            <w:r>
              <w:t>Headcount</w:t>
            </w:r>
          </w:p>
        </w:tc>
        <w:tc>
          <w:tcPr>
            <w:tcW w:w="983" w:type="dxa"/>
          </w:tcPr>
          <w:p w:rsidR="0016231F" w:rsidRDefault="0016231F" w:rsidP="005E6EC7">
            <w:pPr>
              <w:jc w:val="right"/>
            </w:pPr>
            <w:r>
              <w:t>FTE</w:t>
            </w:r>
          </w:p>
        </w:tc>
        <w:tc>
          <w:tcPr>
            <w:tcW w:w="1427" w:type="dxa"/>
          </w:tcPr>
          <w:p w:rsidR="0016231F" w:rsidRDefault="0016231F" w:rsidP="005E6EC7">
            <w:pPr>
              <w:jc w:val="right"/>
            </w:pPr>
            <w:r>
              <w:t>Headcount</w:t>
            </w:r>
          </w:p>
        </w:tc>
        <w:tc>
          <w:tcPr>
            <w:tcW w:w="843" w:type="dxa"/>
          </w:tcPr>
          <w:p w:rsidR="0016231F" w:rsidRDefault="0016231F" w:rsidP="005E6EC7">
            <w:pPr>
              <w:jc w:val="right"/>
            </w:pPr>
            <w:r>
              <w:t>FTE</w:t>
            </w:r>
          </w:p>
        </w:tc>
      </w:tr>
    </w:tbl>
    <w:p w:rsidR="0016231F" w:rsidRDefault="0016231F" w:rsidP="0016231F">
      <w:pPr>
        <w:pStyle w:val="NoSpacing"/>
      </w:pPr>
      <w:r>
        <w:t>2017 Classification</w:t>
      </w:r>
    </w:p>
    <w:tbl>
      <w:tblPr>
        <w:tblStyle w:val="TableGrid"/>
        <w:tblW w:w="9206" w:type="dxa"/>
        <w:tblLook w:val="04A0" w:firstRow="1" w:lastRow="0" w:firstColumn="1" w:lastColumn="0" w:noHBand="0" w:noVBand="1"/>
      </w:tblPr>
      <w:tblGrid>
        <w:gridCol w:w="2122"/>
        <w:gridCol w:w="1275"/>
        <w:gridCol w:w="1039"/>
        <w:gridCol w:w="1575"/>
        <w:gridCol w:w="858"/>
        <w:gridCol w:w="1432"/>
        <w:gridCol w:w="905"/>
      </w:tblGrid>
      <w:tr w:rsidR="0016231F" w:rsidTr="0016231F">
        <w:trPr>
          <w:trHeight w:val="255"/>
        </w:trPr>
        <w:tc>
          <w:tcPr>
            <w:tcW w:w="2122" w:type="dxa"/>
          </w:tcPr>
          <w:p w:rsidR="0016231F" w:rsidRDefault="0016231F" w:rsidP="005E6EC7">
            <w:pPr>
              <w:pStyle w:val="NoSpacing"/>
            </w:pPr>
            <w:r>
              <w:t>Board</w:t>
            </w:r>
          </w:p>
        </w:tc>
        <w:tc>
          <w:tcPr>
            <w:tcW w:w="1275" w:type="dxa"/>
          </w:tcPr>
          <w:p w:rsidR="0016231F" w:rsidRDefault="0016231F" w:rsidP="005E6EC7">
            <w:pPr>
              <w:pStyle w:val="NoSpacing"/>
              <w:jc w:val="right"/>
            </w:pPr>
            <w:r>
              <w:t>1</w:t>
            </w:r>
          </w:p>
        </w:tc>
        <w:tc>
          <w:tcPr>
            <w:tcW w:w="1039" w:type="dxa"/>
          </w:tcPr>
          <w:p w:rsidR="0016231F" w:rsidRDefault="0016231F" w:rsidP="005E6EC7">
            <w:pPr>
              <w:pStyle w:val="NoSpacing"/>
              <w:jc w:val="right"/>
            </w:pPr>
            <w:r>
              <w:t>0</w:t>
            </w:r>
          </w:p>
        </w:tc>
        <w:tc>
          <w:tcPr>
            <w:tcW w:w="1575" w:type="dxa"/>
          </w:tcPr>
          <w:p w:rsidR="0016231F" w:rsidRDefault="0016231F" w:rsidP="005E6EC7">
            <w:pPr>
              <w:pStyle w:val="NoSpacing"/>
              <w:jc w:val="right"/>
            </w:pPr>
            <w:r>
              <w:t>12</w:t>
            </w:r>
          </w:p>
        </w:tc>
        <w:tc>
          <w:tcPr>
            <w:tcW w:w="858" w:type="dxa"/>
          </w:tcPr>
          <w:p w:rsidR="0016231F" w:rsidRDefault="0016231F" w:rsidP="005E6EC7">
            <w:pPr>
              <w:pStyle w:val="NoSpacing"/>
              <w:jc w:val="right"/>
            </w:pPr>
            <w:r>
              <w:t>7</w:t>
            </w:r>
          </w:p>
        </w:tc>
        <w:tc>
          <w:tcPr>
            <w:tcW w:w="1432" w:type="dxa"/>
          </w:tcPr>
          <w:p w:rsidR="0016231F" w:rsidRDefault="0016231F" w:rsidP="005E6EC7">
            <w:pPr>
              <w:pStyle w:val="NoSpacing"/>
              <w:jc w:val="right"/>
            </w:pPr>
            <w:r>
              <w:t>13</w:t>
            </w:r>
          </w:p>
        </w:tc>
        <w:tc>
          <w:tcPr>
            <w:tcW w:w="905" w:type="dxa"/>
          </w:tcPr>
          <w:p w:rsidR="0016231F" w:rsidRDefault="0016231F" w:rsidP="005E6EC7">
            <w:pPr>
              <w:pStyle w:val="NoSpacing"/>
              <w:jc w:val="right"/>
            </w:pPr>
            <w:r>
              <w:t>7</w:t>
            </w:r>
          </w:p>
        </w:tc>
      </w:tr>
      <w:tr w:rsidR="0016231F" w:rsidTr="0016231F">
        <w:trPr>
          <w:trHeight w:val="255"/>
        </w:trPr>
        <w:tc>
          <w:tcPr>
            <w:tcW w:w="2122" w:type="dxa"/>
          </w:tcPr>
          <w:p w:rsidR="0016231F" w:rsidRDefault="0016231F" w:rsidP="005E6EC7">
            <w:pPr>
              <w:pStyle w:val="NoSpacing"/>
            </w:pPr>
            <w:r>
              <w:t>Executive</w:t>
            </w:r>
          </w:p>
        </w:tc>
        <w:tc>
          <w:tcPr>
            <w:tcW w:w="1275" w:type="dxa"/>
          </w:tcPr>
          <w:p w:rsidR="0016231F" w:rsidRDefault="0016231F" w:rsidP="005E6EC7">
            <w:pPr>
              <w:pStyle w:val="NoSpacing"/>
              <w:jc w:val="right"/>
            </w:pPr>
            <w:r>
              <w:t>1</w:t>
            </w:r>
          </w:p>
        </w:tc>
        <w:tc>
          <w:tcPr>
            <w:tcW w:w="1039" w:type="dxa"/>
          </w:tcPr>
          <w:p w:rsidR="0016231F" w:rsidRDefault="0016231F" w:rsidP="005E6EC7">
            <w:pPr>
              <w:pStyle w:val="NoSpacing"/>
              <w:jc w:val="right"/>
            </w:pPr>
            <w:r>
              <w:t>1</w:t>
            </w:r>
          </w:p>
        </w:tc>
        <w:tc>
          <w:tcPr>
            <w:tcW w:w="1575" w:type="dxa"/>
          </w:tcPr>
          <w:p w:rsidR="0016231F" w:rsidRDefault="0016231F" w:rsidP="005E6EC7">
            <w:pPr>
              <w:pStyle w:val="NoSpacing"/>
              <w:jc w:val="right"/>
            </w:pPr>
            <w:r>
              <w:t>8</w:t>
            </w:r>
          </w:p>
        </w:tc>
        <w:tc>
          <w:tcPr>
            <w:tcW w:w="858" w:type="dxa"/>
          </w:tcPr>
          <w:p w:rsidR="0016231F" w:rsidRDefault="0016231F" w:rsidP="005E6EC7">
            <w:pPr>
              <w:pStyle w:val="NoSpacing"/>
              <w:jc w:val="right"/>
            </w:pPr>
            <w:r>
              <w:t>8</w:t>
            </w:r>
          </w:p>
        </w:tc>
        <w:tc>
          <w:tcPr>
            <w:tcW w:w="1432" w:type="dxa"/>
          </w:tcPr>
          <w:p w:rsidR="0016231F" w:rsidRDefault="0016231F" w:rsidP="005E6EC7">
            <w:pPr>
              <w:pStyle w:val="NoSpacing"/>
              <w:jc w:val="right"/>
            </w:pPr>
            <w:r>
              <w:t>9</w:t>
            </w:r>
          </w:p>
        </w:tc>
        <w:tc>
          <w:tcPr>
            <w:tcW w:w="905" w:type="dxa"/>
          </w:tcPr>
          <w:p w:rsidR="0016231F" w:rsidRDefault="0016231F" w:rsidP="005E6EC7">
            <w:pPr>
              <w:pStyle w:val="NoSpacing"/>
              <w:jc w:val="right"/>
            </w:pPr>
            <w:r>
              <w:t>9</w:t>
            </w:r>
          </w:p>
        </w:tc>
      </w:tr>
      <w:tr w:rsidR="0016231F" w:rsidTr="0016231F">
        <w:trPr>
          <w:trHeight w:val="255"/>
        </w:trPr>
        <w:tc>
          <w:tcPr>
            <w:tcW w:w="2122" w:type="dxa"/>
          </w:tcPr>
          <w:p w:rsidR="0016231F" w:rsidRDefault="0016231F" w:rsidP="005E6EC7">
            <w:pPr>
              <w:pStyle w:val="NoSpacing"/>
            </w:pPr>
            <w:r>
              <w:t>Manager</w:t>
            </w:r>
          </w:p>
        </w:tc>
        <w:tc>
          <w:tcPr>
            <w:tcW w:w="1275" w:type="dxa"/>
          </w:tcPr>
          <w:p w:rsidR="0016231F" w:rsidRDefault="0016231F" w:rsidP="005E6EC7">
            <w:pPr>
              <w:pStyle w:val="NoSpacing"/>
              <w:jc w:val="right"/>
            </w:pPr>
            <w:r>
              <w:t>1</w:t>
            </w:r>
          </w:p>
        </w:tc>
        <w:tc>
          <w:tcPr>
            <w:tcW w:w="1039" w:type="dxa"/>
          </w:tcPr>
          <w:p w:rsidR="0016231F" w:rsidRDefault="0016231F" w:rsidP="005E6EC7">
            <w:pPr>
              <w:pStyle w:val="NoSpacing"/>
              <w:jc w:val="right"/>
            </w:pPr>
            <w:r>
              <w:t>1</w:t>
            </w:r>
          </w:p>
        </w:tc>
        <w:tc>
          <w:tcPr>
            <w:tcW w:w="1575" w:type="dxa"/>
          </w:tcPr>
          <w:p w:rsidR="0016231F" w:rsidRDefault="0016231F" w:rsidP="005E6EC7">
            <w:pPr>
              <w:pStyle w:val="NoSpacing"/>
              <w:jc w:val="right"/>
            </w:pPr>
            <w:r>
              <w:t>24</w:t>
            </w:r>
          </w:p>
        </w:tc>
        <w:tc>
          <w:tcPr>
            <w:tcW w:w="858" w:type="dxa"/>
          </w:tcPr>
          <w:p w:rsidR="0016231F" w:rsidRDefault="0016231F" w:rsidP="005E6EC7">
            <w:pPr>
              <w:pStyle w:val="NoSpacing"/>
              <w:jc w:val="right"/>
            </w:pPr>
            <w:r>
              <w:t>24</w:t>
            </w:r>
          </w:p>
        </w:tc>
        <w:tc>
          <w:tcPr>
            <w:tcW w:w="1432" w:type="dxa"/>
          </w:tcPr>
          <w:p w:rsidR="0016231F" w:rsidRDefault="0016231F" w:rsidP="005E6EC7">
            <w:pPr>
              <w:pStyle w:val="NoSpacing"/>
              <w:jc w:val="right"/>
            </w:pPr>
            <w:r>
              <w:t>25</w:t>
            </w:r>
          </w:p>
        </w:tc>
        <w:tc>
          <w:tcPr>
            <w:tcW w:w="905" w:type="dxa"/>
          </w:tcPr>
          <w:p w:rsidR="0016231F" w:rsidRDefault="0016231F" w:rsidP="005E6EC7">
            <w:pPr>
              <w:pStyle w:val="NoSpacing"/>
              <w:jc w:val="right"/>
            </w:pPr>
            <w:r>
              <w:t>25</w:t>
            </w:r>
          </w:p>
        </w:tc>
      </w:tr>
      <w:tr w:rsidR="0016231F" w:rsidTr="0016231F">
        <w:trPr>
          <w:trHeight w:val="255"/>
        </w:trPr>
        <w:tc>
          <w:tcPr>
            <w:tcW w:w="2122" w:type="dxa"/>
          </w:tcPr>
          <w:p w:rsidR="0016231F" w:rsidRDefault="0016231F" w:rsidP="005E6EC7">
            <w:pPr>
              <w:pStyle w:val="NoSpacing"/>
            </w:pPr>
            <w:r>
              <w:t>Teaching</w:t>
            </w:r>
          </w:p>
        </w:tc>
        <w:tc>
          <w:tcPr>
            <w:tcW w:w="1275" w:type="dxa"/>
          </w:tcPr>
          <w:p w:rsidR="0016231F" w:rsidRDefault="0016231F" w:rsidP="005E6EC7">
            <w:pPr>
              <w:pStyle w:val="NoSpacing"/>
              <w:jc w:val="right"/>
            </w:pPr>
            <w:r>
              <w:t>119</w:t>
            </w:r>
          </w:p>
        </w:tc>
        <w:tc>
          <w:tcPr>
            <w:tcW w:w="1039" w:type="dxa"/>
          </w:tcPr>
          <w:p w:rsidR="0016231F" w:rsidRDefault="0016231F" w:rsidP="005E6EC7">
            <w:pPr>
              <w:pStyle w:val="NoSpacing"/>
              <w:jc w:val="right"/>
            </w:pPr>
            <w:r>
              <w:t>108</w:t>
            </w:r>
          </w:p>
        </w:tc>
        <w:tc>
          <w:tcPr>
            <w:tcW w:w="1575" w:type="dxa"/>
          </w:tcPr>
          <w:p w:rsidR="0016231F" w:rsidRDefault="0016231F" w:rsidP="005E6EC7">
            <w:pPr>
              <w:pStyle w:val="NoSpacing"/>
              <w:jc w:val="right"/>
            </w:pPr>
            <w:r>
              <w:t>829</w:t>
            </w:r>
          </w:p>
        </w:tc>
        <w:tc>
          <w:tcPr>
            <w:tcW w:w="858" w:type="dxa"/>
          </w:tcPr>
          <w:p w:rsidR="0016231F" w:rsidRDefault="0016231F" w:rsidP="005E6EC7">
            <w:pPr>
              <w:pStyle w:val="NoSpacing"/>
              <w:jc w:val="right"/>
            </w:pPr>
            <w:r>
              <w:t>442</w:t>
            </w:r>
          </w:p>
        </w:tc>
        <w:tc>
          <w:tcPr>
            <w:tcW w:w="1432" w:type="dxa"/>
          </w:tcPr>
          <w:p w:rsidR="0016231F" w:rsidRDefault="0016231F" w:rsidP="005E6EC7">
            <w:pPr>
              <w:pStyle w:val="NoSpacing"/>
              <w:jc w:val="right"/>
            </w:pPr>
            <w:r>
              <w:t>948</w:t>
            </w:r>
          </w:p>
        </w:tc>
        <w:tc>
          <w:tcPr>
            <w:tcW w:w="905" w:type="dxa"/>
          </w:tcPr>
          <w:p w:rsidR="0016231F" w:rsidRDefault="0016231F" w:rsidP="005E6EC7">
            <w:pPr>
              <w:pStyle w:val="NoSpacing"/>
              <w:jc w:val="right"/>
            </w:pPr>
            <w:r>
              <w:t>550</w:t>
            </w:r>
          </w:p>
        </w:tc>
      </w:tr>
      <w:tr w:rsidR="0016231F" w:rsidTr="0016231F">
        <w:trPr>
          <w:trHeight w:val="255"/>
        </w:trPr>
        <w:tc>
          <w:tcPr>
            <w:tcW w:w="2122" w:type="dxa"/>
          </w:tcPr>
          <w:p w:rsidR="0016231F" w:rsidRDefault="0016231F" w:rsidP="005E6EC7">
            <w:pPr>
              <w:pStyle w:val="NoSpacing"/>
            </w:pPr>
            <w:r>
              <w:t>Professional Support</w:t>
            </w:r>
          </w:p>
        </w:tc>
        <w:tc>
          <w:tcPr>
            <w:tcW w:w="1275" w:type="dxa"/>
          </w:tcPr>
          <w:p w:rsidR="0016231F" w:rsidRDefault="0016231F" w:rsidP="005E6EC7">
            <w:pPr>
              <w:pStyle w:val="NoSpacing"/>
              <w:jc w:val="right"/>
            </w:pPr>
            <w:r>
              <w:t>135</w:t>
            </w:r>
          </w:p>
        </w:tc>
        <w:tc>
          <w:tcPr>
            <w:tcW w:w="1039" w:type="dxa"/>
          </w:tcPr>
          <w:p w:rsidR="0016231F" w:rsidRDefault="0016231F" w:rsidP="005E6EC7">
            <w:pPr>
              <w:pStyle w:val="NoSpacing"/>
              <w:jc w:val="right"/>
            </w:pPr>
            <w:r>
              <w:t>121</w:t>
            </w:r>
          </w:p>
        </w:tc>
        <w:tc>
          <w:tcPr>
            <w:tcW w:w="1575" w:type="dxa"/>
          </w:tcPr>
          <w:p w:rsidR="0016231F" w:rsidRDefault="0016231F" w:rsidP="005E6EC7">
            <w:pPr>
              <w:pStyle w:val="NoSpacing"/>
              <w:jc w:val="right"/>
            </w:pPr>
            <w:r>
              <w:t>277</w:t>
            </w:r>
          </w:p>
        </w:tc>
        <w:tc>
          <w:tcPr>
            <w:tcW w:w="858" w:type="dxa"/>
          </w:tcPr>
          <w:p w:rsidR="0016231F" w:rsidRDefault="0016231F" w:rsidP="005E6EC7">
            <w:pPr>
              <w:pStyle w:val="NoSpacing"/>
              <w:jc w:val="right"/>
            </w:pPr>
            <w:r>
              <w:t>198</w:t>
            </w:r>
          </w:p>
        </w:tc>
        <w:tc>
          <w:tcPr>
            <w:tcW w:w="1432" w:type="dxa"/>
          </w:tcPr>
          <w:p w:rsidR="0016231F" w:rsidRDefault="0016231F" w:rsidP="005E6EC7">
            <w:pPr>
              <w:pStyle w:val="NoSpacing"/>
              <w:jc w:val="right"/>
            </w:pPr>
            <w:r>
              <w:t>412</w:t>
            </w:r>
          </w:p>
        </w:tc>
        <w:tc>
          <w:tcPr>
            <w:tcW w:w="905" w:type="dxa"/>
          </w:tcPr>
          <w:p w:rsidR="0016231F" w:rsidRDefault="0016231F" w:rsidP="005E6EC7">
            <w:pPr>
              <w:pStyle w:val="NoSpacing"/>
              <w:jc w:val="right"/>
            </w:pPr>
            <w:r>
              <w:t>319</w:t>
            </w:r>
          </w:p>
        </w:tc>
      </w:tr>
      <w:tr w:rsidR="0016231F" w:rsidTr="0016231F">
        <w:trPr>
          <w:trHeight w:val="255"/>
        </w:trPr>
        <w:tc>
          <w:tcPr>
            <w:tcW w:w="2122" w:type="dxa"/>
          </w:tcPr>
          <w:p w:rsidR="0016231F" w:rsidRDefault="0016231F" w:rsidP="005E6EC7">
            <w:pPr>
              <w:pStyle w:val="NoSpacing"/>
            </w:pPr>
            <w:r>
              <w:t>Total</w:t>
            </w:r>
          </w:p>
        </w:tc>
        <w:tc>
          <w:tcPr>
            <w:tcW w:w="1275" w:type="dxa"/>
          </w:tcPr>
          <w:p w:rsidR="0016231F" w:rsidRDefault="0016231F" w:rsidP="005E6EC7">
            <w:pPr>
              <w:pStyle w:val="NoSpacing"/>
              <w:jc w:val="right"/>
            </w:pPr>
            <w:r>
              <w:t>257</w:t>
            </w:r>
          </w:p>
        </w:tc>
        <w:tc>
          <w:tcPr>
            <w:tcW w:w="1039" w:type="dxa"/>
          </w:tcPr>
          <w:p w:rsidR="0016231F" w:rsidRDefault="0016231F" w:rsidP="005E6EC7">
            <w:pPr>
              <w:pStyle w:val="NoSpacing"/>
              <w:jc w:val="right"/>
            </w:pPr>
            <w:r>
              <w:t>231</w:t>
            </w:r>
          </w:p>
        </w:tc>
        <w:tc>
          <w:tcPr>
            <w:tcW w:w="1575" w:type="dxa"/>
          </w:tcPr>
          <w:p w:rsidR="0016231F" w:rsidRDefault="0016231F" w:rsidP="005E6EC7">
            <w:pPr>
              <w:pStyle w:val="NoSpacing"/>
              <w:jc w:val="right"/>
            </w:pPr>
            <w:r>
              <w:t>1150</w:t>
            </w:r>
          </w:p>
        </w:tc>
        <w:tc>
          <w:tcPr>
            <w:tcW w:w="858" w:type="dxa"/>
          </w:tcPr>
          <w:p w:rsidR="0016231F" w:rsidRDefault="0016231F" w:rsidP="005E6EC7">
            <w:pPr>
              <w:pStyle w:val="NoSpacing"/>
              <w:jc w:val="right"/>
            </w:pPr>
            <w:r>
              <w:t>679</w:t>
            </w:r>
          </w:p>
        </w:tc>
        <w:tc>
          <w:tcPr>
            <w:tcW w:w="1432" w:type="dxa"/>
          </w:tcPr>
          <w:p w:rsidR="0016231F" w:rsidRDefault="0016231F" w:rsidP="005E6EC7">
            <w:pPr>
              <w:pStyle w:val="NoSpacing"/>
              <w:jc w:val="right"/>
            </w:pPr>
            <w:r>
              <w:t>1407</w:t>
            </w:r>
          </w:p>
        </w:tc>
        <w:tc>
          <w:tcPr>
            <w:tcW w:w="905" w:type="dxa"/>
          </w:tcPr>
          <w:p w:rsidR="0016231F" w:rsidRDefault="0016231F" w:rsidP="005E6EC7">
            <w:pPr>
              <w:pStyle w:val="NoSpacing"/>
              <w:jc w:val="right"/>
            </w:pPr>
            <w:r>
              <w:t>910</w:t>
            </w:r>
          </w:p>
        </w:tc>
      </w:tr>
    </w:tbl>
    <w:p w:rsidR="0016231F" w:rsidRDefault="0016231F" w:rsidP="0016231F">
      <w:pPr>
        <w:pStyle w:val="NoSpacing"/>
      </w:pPr>
    </w:p>
    <w:p w:rsidR="0016231F" w:rsidRDefault="0016231F" w:rsidP="0016231F">
      <w:pPr>
        <w:pStyle w:val="NoSpacing"/>
      </w:pPr>
      <w:r>
        <w:t>2016 Classification</w:t>
      </w:r>
    </w:p>
    <w:tbl>
      <w:tblPr>
        <w:tblStyle w:val="TableGrid"/>
        <w:tblW w:w="9206" w:type="dxa"/>
        <w:tblLook w:val="04A0" w:firstRow="1" w:lastRow="0" w:firstColumn="1" w:lastColumn="0" w:noHBand="0" w:noVBand="1"/>
      </w:tblPr>
      <w:tblGrid>
        <w:gridCol w:w="2122"/>
        <w:gridCol w:w="1293"/>
        <w:gridCol w:w="1021"/>
        <w:gridCol w:w="1575"/>
        <w:gridCol w:w="858"/>
        <w:gridCol w:w="1432"/>
        <w:gridCol w:w="905"/>
      </w:tblGrid>
      <w:tr w:rsidR="0016231F" w:rsidTr="0016231F">
        <w:trPr>
          <w:trHeight w:val="255"/>
        </w:trPr>
        <w:tc>
          <w:tcPr>
            <w:tcW w:w="2122" w:type="dxa"/>
          </w:tcPr>
          <w:p w:rsidR="0016231F" w:rsidRDefault="0016231F" w:rsidP="005E6EC7">
            <w:pPr>
              <w:pStyle w:val="NoSpacing"/>
            </w:pPr>
            <w:r>
              <w:t>Board</w:t>
            </w:r>
          </w:p>
        </w:tc>
        <w:tc>
          <w:tcPr>
            <w:tcW w:w="1293" w:type="dxa"/>
          </w:tcPr>
          <w:p w:rsidR="0016231F" w:rsidRDefault="0016231F" w:rsidP="005E6EC7">
            <w:pPr>
              <w:pStyle w:val="NoSpacing"/>
              <w:jc w:val="right"/>
            </w:pPr>
            <w:r>
              <w:t>0</w:t>
            </w:r>
          </w:p>
        </w:tc>
        <w:tc>
          <w:tcPr>
            <w:tcW w:w="1021" w:type="dxa"/>
          </w:tcPr>
          <w:p w:rsidR="0016231F" w:rsidRDefault="0016231F" w:rsidP="005E6EC7">
            <w:pPr>
              <w:pStyle w:val="NoSpacing"/>
              <w:jc w:val="right"/>
            </w:pPr>
            <w:r>
              <w:t>0</w:t>
            </w:r>
          </w:p>
        </w:tc>
        <w:tc>
          <w:tcPr>
            <w:tcW w:w="1575" w:type="dxa"/>
          </w:tcPr>
          <w:p w:rsidR="0016231F" w:rsidRDefault="0016231F" w:rsidP="005E6EC7">
            <w:pPr>
              <w:pStyle w:val="NoSpacing"/>
              <w:jc w:val="right"/>
            </w:pPr>
            <w:r>
              <w:t>13</w:t>
            </w:r>
          </w:p>
        </w:tc>
        <w:tc>
          <w:tcPr>
            <w:tcW w:w="858" w:type="dxa"/>
          </w:tcPr>
          <w:p w:rsidR="0016231F" w:rsidRDefault="0016231F" w:rsidP="005E6EC7">
            <w:pPr>
              <w:pStyle w:val="NoSpacing"/>
              <w:jc w:val="right"/>
            </w:pPr>
            <w:r>
              <w:t>8</w:t>
            </w:r>
          </w:p>
        </w:tc>
        <w:tc>
          <w:tcPr>
            <w:tcW w:w="1432" w:type="dxa"/>
          </w:tcPr>
          <w:p w:rsidR="0016231F" w:rsidRDefault="0016231F" w:rsidP="005E6EC7">
            <w:pPr>
              <w:pStyle w:val="NoSpacing"/>
              <w:jc w:val="right"/>
            </w:pPr>
            <w:r>
              <w:t>13</w:t>
            </w:r>
          </w:p>
        </w:tc>
        <w:tc>
          <w:tcPr>
            <w:tcW w:w="905" w:type="dxa"/>
          </w:tcPr>
          <w:p w:rsidR="0016231F" w:rsidRDefault="0016231F" w:rsidP="005E6EC7">
            <w:pPr>
              <w:pStyle w:val="NoSpacing"/>
              <w:jc w:val="right"/>
            </w:pPr>
            <w:r>
              <w:t>8</w:t>
            </w:r>
          </w:p>
        </w:tc>
      </w:tr>
      <w:tr w:rsidR="0016231F" w:rsidTr="0016231F">
        <w:trPr>
          <w:trHeight w:val="255"/>
        </w:trPr>
        <w:tc>
          <w:tcPr>
            <w:tcW w:w="2122" w:type="dxa"/>
          </w:tcPr>
          <w:p w:rsidR="0016231F" w:rsidRDefault="0016231F" w:rsidP="005E6EC7">
            <w:pPr>
              <w:pStyle w:val="NoSpacing"/>
            </w:pPr>
            <w:r>
              <w:t>Executive</w:t>
            </w:r>
          </w:p>
        </w:tc>
        <w:tc>
          <w:tcPr>
            <w:tcW w:w="1293" w:type="dxa"/>
          </w:tcPr>
          <w:p w:rsidR="0016231F" w:rsidRDefault="0016231F" w:rsidP="005E6EC7">
            <w:pPr>
              <w:pStyle w:val="NoSpacing"/>
              <w:jc w:val="right"/>
            </w:pPr>
            <w:r>
              <w:t>1</w:t>
            </w:r>
          </w:p>
        </w:tc>
        <w:tc>
          <w:tcPr>
            <w:tcW w:w="1021" w:type="dxa"/>
          </w:tcPr>
          <w:p w:rsidR="0016231F" w:rsidRDefault="0016231F" w:rsidP="005E6EC7">
            <w:pPr>
              <w:pStyle w:val="NoSpacing"/>
              <w:jc w:val="right"/>
            </w:pPr>
            <w:r>
              <w:t>1</w:t>
            </w:r>
          </w:p>
        </w:tc>
        <w:tc>
          <w:tcPr>
            <w:tcW w:w="1575" w:type="dxa"/>
          </w:tcPr>
          <w:p w:rsidR="0016231F" w:rsidRDefault="0016231F" w:rsidP="005E6EC7">
            <w:pPr>
              <w:pStyle w:val="NoSpacing"/>
              <w:jc w:val="right"/>
            </w:pPr>
            <w:r>
              <w:t>7</w:t>
            </w:r>
          </w:p>
        </w:tc>
        <w:tc>
          <w:tcPr>
            <w:tcW w:w="858" w:type="dxa"/>
          </w:tcPr>
          <w:p w:rsidR="0016231F" w:rsidRDefault="0016231F" w:rsidP="005E6EC7">
            <w:pPr>
              <w:pStyle w:val="NoSpacing"/>
              <w:jc w:val="right"/>
            </w:pPr>
            <w:r>
              <w:t>7</w:t>
            </w:r>
          </w:p>
        </w:tc>
        <w:tc>
          <w:tcPr>
            <w:tcW w:w="1432" w:type="dxa"/>
          </w:tcPr>
          <w:p w:rsidR="0016231F" w:rsidRDefault="0016231F" w:rsidP="005E6EC7">
            <w:pPr>
              <w:pStyle w:val="NoSpacing"/>
              <w:jc w:val="right"/>
            </w:pPr>
            <w:r>
              <w:t>8</w:t>
            </w:r>
          </w:p>
        </w:tc>
        <w:tc>
          <w:tcPr>
            <w:tcW w:w="905" w:type="dxa"/>
          </w:tcPr>
          <w:p w:rsidR="0016231F" w:rsidRDefault="0016231F" w:rsidP="005E6EC7">
            <w:pPr>
              <w:pStyle w:val="NoSpacing"/>
              <w:jc w:val="right"/>
            </w:pPr>
            <w:r>
              <w:t>8</w:t>
            </w:r>
          </w:p>
        </w:tc>
      </w:tr>
      <w:tr w:rsidR="0016231F" w:rsidTr="0016231F">
        <w:trPr>
          <w:trHeight w:val="255"/>
        </w:trPr>
        <w:tc>
          <w:tcPr>
            <w:tcW w:w="2122" w:type="dxa"/>
          </w:tcPr>
          <w:p w:rsidR="0016231F" w:rsidRDefault="0016231F" w:rsidP="005E6EC7">
            <w:pPr>
              <w:pStyle w:val="NoSpacing"/>
            </w:pPr>
            <w:r>
              <w:t>Manager</w:t>
            </w:r>
          </w:p>
        </w:tc>
        <w:tc>
          <w:tcPr>
            <w:tcW w:w="1293" w:type="dxa"/>
          </w:tcPr>
          <w:p w:rsidR="0016231F" w:rsidRDefault="0016231F" w:rsidP="005E6EC7">
            <w:pPr>
              <w:pStyle w:val="NoSpacing"/>
              <w:jc w:val="right"/>
            </w:pPr>
            <w:r>
              <w:t>2</w:t>
            </w:r>
          </w:p>
        </w:tc>
        <w:tc>
          <w:tcPr>
            <w:tcW w:w="1021" w:type="dxa"/>
          </w:tcPr>
          <w:p w:rsidR="0016231F" w:rsidRDefault="0016231F" w:rsidP="005E6EC7">
            <w:pPr>
              <w:pStyle w:val="NoSpacing"/>
              <w:jc w:val="right"/>
            </w:pPr>
            <w:r>
              <w:t>2</w:t>
            </w:r>
          </w:p>
        </w:tc>
        <w:tc>
          <w:tcPr>
            <w:tcW w:w="1575" w:type="dxa"/>
          </w:tcPr>
          <w:p w:rsidR="0016231F" w:rsidRDefault="0016231F" w:rsidP="005E6EC7">
            <w:pPr>
              <w:pStyle w:val="NoSpacing"/>
              <w:jc w:val="right"/>
            </w:pPr>
            <w:r>
              <w:t>22</w:t>
            </w:r>
          </w:p>
        </w:tc>
        <w:tc>
          <w:tcPr>
            <w:tcW w:w="858" w:type="dxa"/>
          </w:tcPr>
          <w:p w:rsidR="0016231F" w:rsidRDefault="0016231F" w:rsidP="005E6EC7">
            <w:pPr>
              <w:pStyle w:val="NoSpacing"/>
              <w:jc w:val="right"/>
            </w:pPr>
            <w:r>
              <w:t>22</w:t>
            </w:r>
          </w:p>
        </w:tc>
        <w:tc>
          <w:tcPr>
            <w:tcW w:w="1432" w:type="dxa"/>
          </w:tcPr>
          <w:p w:rsidR="0016231F" w:rsidRDefault="0016231F" w:rsidP="005E6EC7">
            <w:pPr>
              <w:pStyle w:val="NoSpacing"/>
              <w:jc w:val="right"/>
            </w:pPr>
            <w:r>
              <w:t>24</w:t>
            </w:r>
          </w:p>
        </w:tc>
        <w:tc>
          <w:tcPr>
            <w:tcW w:w="905" w:type="dxa"/>
          </w:tcPr>
          <w:p w:rsidR="0016231F" w:rsidRDefault="0016231F" w:rsidP="005E6EC7">
            <w:pPr>
              <w:pStyle w:val="NoSpacing"/>
              <w:jc w:val="right"/>
            </w:pPr>
            <w:r>
              <w:t>24</w:t>
            </w:r>
          </w:p>
        </w:tc>
      </w:tr>
      <w:tr w:rsidR="0016231F" w:rsidTr="0016231F">
        <w:trPr>
          <w:trHeight w:val="255"/>
        </w:trPr>
        <w:tc>
          <w:tcPr>
            <w:tcW w:w="2122" w:type="dxa"/>
          </w:tcPr>
          <w:p w:rsidR="0016231F" w:rsidRDefault="0016231F" w:rsidP="005E6EC7">
            <w:pPr>
              <w:pStyle w:val="NoSpacing"/>
            </w:pPr>
            <w:r>
              <w:t>Teaching</w:t>
            </w:r>
          </w:p>
        </w:tc>
        <w:tc>
          <w:tcPr>
            <w:tcW w:w="1293" w:type="dxa"/>
          </w:tcPr>
          <w:p w:rsidR="0016231F" w:rsidRDefault="0016231F" w:rsidP="005E6EC7">
            <w:pPr>
              <w:pStyle w:val="NoSpacing"/>
              <w:jc w:val="right"/>
            </w:pPr>
            <w:r>
              <w:t>115</w:t>
            </w:r>
          </w:p>
        </w:tc>
        <w:tc>
          <w:tcPr>
            <w:tcW w:w="1021" w:type="dxa"/>
          </w:tcPr>
          <w:p w:rsidR="0016231F" w:rsidRDefault="0016231F" w:rsidP="005E6EC7">
            <w:pPr>
              <w:pStyle w:val="NoSpacing"/>
              <w:jc w:val="right"/>
            </w:pPr>
            <w:r>
              <w:t>102</w:t>
            </w:r>
          </w:p>
        </w:tc>
        <w:tc>
          <w:tcPr>
            <w:tcW w:w="1575" w:type="dxa"/>
          </w:tcPr>
          <w:p w:rsidR="0016231F" w:rsidRDefault="0016231F" w:rsidP="005E6EC7">
            <w:pPr>
              <w:pStyle w:val="NoSpacing"/>
              <w:jc w:val="right"/>
            </w:pPr>
            <w:r>
              <w:t>913</w:t>
            </w:r>
          </w:p>
        </w:tc>
        <w:tc>
          <w:tcPr>
            <w:tcW w:w="858" w:type="dxa"/>
          </w:tcPr>
          <w:p w:rsidR="0016231F" w:rsidRDefault="0016231F" w:rsidP="005E6EC7">
            <w:pPr>
              <w:pStyle w:val="NoSpacing"/>
              <w:jc w:val="right"/>
            </w:pPr>
            <w:r>
              <w:t>462</w:t>
            </w:r>
          </w:p>
        </w:tc>
        <w:tc>
          <w:tcPr>
            <w:tcW w:w="1432" w:type="dxa"/>
          </w:tcPr>
          <w:p w:rsidR="0016231F" w:rsidRDefault="0016231F" w:rsidP="005E6EC7">
            <w:pPr>
              <w:pStyle w:val="NoSpacing"/>
              <w:jc w:val="right"/>
            </w:pPr>
            <w:r>
              <w:t>1028</w:t>
            </w:r>
          </w:p>
        </w:tc>
        <w:tc>
          <w:tcPr>
            <w:tcW w:w="905" w:type="dxa"/>
          </w:tcPr>
          <w:p w:rsidR="0016231F" w:rsidRDefault="0016231F" w:rsidP="005E6EC7">
            <w:pPr>
              <w:pStyle w:val="NoSpacing"/>
              <w:jc w:val="right"/>
            </w:pPr>
            <w:r>
              <w:t>564</w:t>
            </w:r>
          </w:p>
        </w:tc>
      </w:tr>
      <w:tr w:rsidR="0016231F" w:rsidTr="0016231F">
        <w:trPr>
          <w:trHeight w:val="255"/>
        </w:trPr>
        <w:tc>
          <w:tcPr>
            <w:tcW w:w="2122" w:type="dxa"/>
          </w:tcPr>
          <w:p w:rsidR="0016231F" w:rsidRDefault="0016231F" w:rsidP="005E6EC7">
            <w:pPr>
              <w:pStyle w:val="NoSpacing"/>
            </w:pPr>
            <w:r>
              <w:t>Professional Support</w:t>
            </w:r>
          </w:p>
        </w:tc>
        <w:tc>
          <w:tcPr>
            <w:tcW w:w="1293" w:type="dxa"/>
          </w:tcPr>
          <w:p w:rsidR="0016231F" w:rsidRDefault="0016231F" w:rsidP="005E6EC7">
            <w:pPr>
              <w:pStyle w:val="NoSpacing"/>
              <w:jc w:val="right"/>
            </w:pPr>
            <w:r>
              <w:t>136</w:t>
            </w:r>
          </w:p>
        </w:tc>
        <w:tc>
          <w:tcPr>
            <w:tcW w:w="1021" w:type="dxa"/>
          </w:tcPr>
          <w:p w:rsidR="0016231F" w:rsidRDefault="0016231F" w:rsidP="005E6EC7">
            <w:pPr>
              <w:pStyle w:val="NoSpacing"/>
              <w:jc w:val="right"/>
            </w:pPr>
            <w:r>
              <w:t>120</w:t>
            </w:r>
          </w:p>
        </w:tc>
        <w:tc>
          <w:tcPr>
            <w:tcW w:w="1575" w:type="dxa"/>
          </w:tcPr>
          <w:p w:rsidR="0016231F" w:rsidRDefault="0016231F" w:rsidP="005E6EC7">
            <w:pPr>
              <w:pStyle w:val="NoSpacing"/>
              <w:jc w:val="right"/>
            </w:pPr>
            <w:r>
              <w:t>251</w:t>
            </w:r>
          </w:p>
        </w:tc>
        <w:tc>
          <w:tcPr>
            <w:tcW w:w="858" w:type="dxa"/>
          </w:tcPr>
          <w:p w:rsidR="0016231F" w:rsidRDefault="0016231F" w:rsidP="005E6EC7">
            <w:pPr>
              <w:pStyle w:val="NoSpacing"/>
              <w:jc w:val="right"/>
            </w:pPr>
            <w:r>
              <w:t>181</w:t>
            </w:r>
          </w:p>
        </w:tc>
        <w:tc>
          <w:tcPr>
            <w:tcW w:w="1432" w:type="dxa"/>
          </w:tcPr>
          <w:p w:rsidR="0016231F" w:rsidRDefault="0016231F" w:rsidP="005E6EC7">
            <w:pPr>
              <w:pStyle w:val="NoSpacing"/>
              <w:jc w:val="right"/>
            </w:pPr>
            <w:r>
              <w:t>387</w:t>
            </w:r>
          </w:p>
        </w:tc>
        <w:tc>
          <w:tcPr>
            <w:tcW w:w="905" w:type="dxa"/>
          </w:tcPr>
          <w:p w:rsidR="0016231F" w:rsidRDefault="0016231F" w:rsidP="005E6EC7">
            <w:pPr>
              <w:pStyle w:val="NoSpacing"/>
              <w:jc w:val="right"/>
            </w:pPr>
            <w:r>
              <w:t>301</w:t>
            </w:r>
          </w:p>
        </w:tc>
      </w:tr>
      <w:tr w:rsidR="0016231F" w:rsidTr="0016231F">
        <w:trPr>
          <w:trHeight w:val="255"/>
        </w:trPr>
        <w:tc>
          <w:tcPr>
            <w:tcW w:w="2122" w:type="dxa"/>
          </w:tcPr>
          <w:p w:rsidR="0016231F" w:rsidRDefault="0016231F" w:rsidP="005E6EC7">
            <w:pPr>
              <w:pStyle w:val="NoSpacing"/>
            </w:pPr>
            <w:r>
              <w:t xml:space="preserve">Total </w:t>
            </w:r>
          </w:p>
        </w:tc>
        <w:tc>
          <w:tcPr>
            <w:tcW w:w="1293" w:type="dxa"/>
          </w:tcPr>
          <w:p w:rsidR="0016231F" w:rsidRDefault="0016231F" w:rsidP="005E6EC7">
            <w:pPr>
              <w:pStyle w:val="NoSpacing"/>
              <w:jc w:val="right"/>
            </w:pPr>
            <w:r>
              <w:t>254</w:t>
            </w:r>
          </w:p>
        </w:tc>
        <w:tc>
          <w:tcPr>
            <w:tcW w:w="1021" w:type="dxa"/>
          </w:tcPr>
          <w:p w:rsidR="0016231F" w:rsidRDefault="0016231F" w:rsidP="005E6EC7">
            <w:pPr>
              <w:pStyle w:val="NoSpacing"/>
              <w:jc w:val="right"/>
            </w:pPr>
            <w:r>
              <w:t>225</w:t>
            </w:r>
          </w:p>
        </w:tc>
        <w:tc>
          <w:tcPr>
            <w:tcW w:w="1575" w:type="dxa"/>
          </w:tcPr>
          <w:p w:rsidR="0016231F" w:rsidRDefault="0016231F" w:rsidP="005E6EC7">
            <w:pPr>
              <w:pStyle w:val="NoSpacing"/>
              <w:jc w:val="right"/>
            </w:pPr>
            <w:r>
              <w:t>1206</w:t>
            </w:r>
          </w:p>
        </w:tc>
        <w:tc>
          <w:tcPr>
            <w:tcW w:w="858" w:type="dxa"/>
          </w:tcPr>
          <w:p w:rsidR="0016231F" w:rsidRDefault="0016231F" w:rsidP="005E6EC7">
            <w:pPr>
              <w:pStyle w:val="NoSpacing"/>
              <w:jc w:val="right"/>
            </w:pPr>
            <w:r>
              <w:t>680</w:t>
            </w:r>
          </w:p>
        </w:tc>
        <w:tc>
          <w:tcPr>
            <w:tcW w:w="1432" w:type="dxa"/>
          </w:tcPr>
          <w:p w:rsidR="0016231F" w:rsidRDefault="0016231F" w:rsidP="005E6EC7">
            <w:pPr>
              <w:pStyle w:val="NoSpacing"/>
              <w:jc w:val="right"/>
            </w:pPr>
            <w:r>
              <w:t>1460</w:t>
            </w:r>
          </w:p>
        </w:tc>
        <w:tc>
          <w:tcPr>
            <w:tcW w:w="905" w:type="dxa"/>
          </w:tcPr>
          <w:p w:rsidR="0016231F" w:rsidRDefault="0016231F" w:rsidP="005E6EC7">
            <w:pPr>
              <w:pStyle w:val="NoSpacing"/>
              <w:jc w:val="right"/>
            </w:pPr>
            <w:r>
              <w:t>905</w:t>
            </w:r>
          </w:p>
        </w:tc>
      </w:tr>
    </w:tbl>
    <w:p w:rsidR="00216CEC" w:rsidRDefault="00216CEC" w:rsidP="00D34E24">
      <w:pPr>
        <w:autoSpaceDE w:val="0"/>
        <w:autoSpaceDN w:val="0"/>
        <w:adjustRightInd w:val="0"/>
        <w:spacing w:after="0" w:line="240" w:lineRule="auto"/>
        <w:rPr>
          <w:rFonts w:cstheme="minorHAnsi"/>
        </w:rPr>
      </w:pPr>
    </w:p>
    <w:p w:rsidR="00117D7A" w:rsidRDefault="00117D7A" w:rsidP="00FB572C">
      <w:pPr>
        <w:autoSpaceDE w:val="0"/>
        <w:autoSpaceDN w:val="0"/>
        <w:adjustRightInd w:val="0"/>
        <w:spacing w:after="0" w:line="240" w:lineRule="auto"/>
        <w:rPr>
          <w:rFonts w:cstheme="minorHAnsi"/>
        </w:rPr>
      </w:pPr>
    </w:p>
    <w:p w:rsidR="00D34E24" w:rsidRPr="00EF4889" w:rsidRDefault="00D34E24" w:rsidP="006914D6">
      <w:pPr>
        <w:pStyle w:val="Heading3"/>
      </w:pPr>
      <w:r w:rsidRPr="00EF4889">
        <w:t>Public Sector Employment and Conduct Principles</w:t>
      </w:r>
    </w:p>
    <w:p w:rsidR="002432A2" w:rsidRDefault="002432A2" w:rsidP="00D34E24">
      <w:pPr>
        <w:autoSpaceDE w:val="0"/>
        <w:autoSpaceDN w:val="0"/>
        <w:adjustRightInd w:val="0"/>
        <w:spacing w:after="0" w:line="240" w:lineRule="auto"/>
        <w:rPr>
          <w:rFonts w:cstheme="minorHAnsi"/>
          <w:sz w:val="24"/>
          <w:szCs w:val="24"/>
        </w:rPr>
      </w:pPr>
    </w:p>
    <w:p w:rsidR="00D34E24" w:rsidRPr="00EF4889" w:rsidRDefault="00D34E24" w:rsidP="00D34E24">
      <w:pPr>
        <w:autoSpaceDE w:val="0"/>
        <w:autoSpaceDN w:val="0"/>
        <w:adjustRightInd w:val="0"/>
        <w:spacing w:after="0" w:line="240" w:lineRule="auto"/>
        <w:rPr>
          <w:rFonts w:cstheme="minorHAnsi"/>
          <w:sz w:val="24"/>
          <w:szCs w:val="24"/>
        </w:rPr>
      </w:pPr>
      <w:r w:rsidRPr="00EF4889">
        <w:rPr>
          <w:rFonts w:cstheme="minorHAnsi"/>
          <w:sz w:val="24"/>
          <w:szCs w:val="24"/>
        </w:rPr>
        <w:t>Chisholm’s employment policies and processes are based on the principle of merit, relevant awards/agreements and statutory requirements, and best practice public sector approaches. The Staff Code of Conduct is reviewed annually and guides all staff on expected behaviour and professional conduct. The Code is based on Chisholm’s values, the Victorian Public Sector Code of Conduct and other best practice examples. Chisholm is committed to equal opportunity and fair and transparent processes in all people, culture and safety policies and procedures.</w:t>
      </w:r>
    </w:p>
    <w:p w:rsidR="00D34E24" w:rsidRPr="00EF4889" w:rsidRDefault="00D34E24" w:rsidP="00FB572C">
      <w:pPr>
        <w:autoSpaceDE w:val="0"/>
        <w:autoSpaceDN w:val="0"/>
        <w:adjustRightInd w:val="0"/>
        <w:spacing w:after="0" w:line="240" w:lineRule="auto"/>
        <w:rPr>
          <w:rFonts w:cstheme="minorHAnsi"/>
          <w:sz w:val="24"/>
          <w:szCs w:val="24"/>
        </w:rPr>
      </w:pPr>
    </w:p>
    <w:p w:rsidR="00D34E24" w:rsidRPr="00EF4889" w:rsidRDefault="00D34E24" w:rsidP="006914D6">
      <w:pPr>
        <w:pStyle w:val="Heading3"/>
      </w:pPr>
      <w:r w:rsidRPr="00EF4889">
        <w:t xml:space="preserve">General Statement on Industrial Relations </w:t>
      </w:r>
    </w:p>
    <w:p w:rsidR="002432A2" w:rsidRDefault="002432A2" w:rsidP="00D34E24">
      <w:pPr>
        <w:autoSpaceDE w:val="0"/>
        <w:autoSpaceDN w:val="0"/>
        <w:adjustRightInd w:val="0"/>
        <w:spacing w:after="0" w:line="240" w:lineRule="auto"/>
        <w:rPr>
          <w:rFonts w:cstheme="minorHAnsi"/>
          <w:sz w:val="24"/>
          <w:szCs w:val="24"/>
        </w:rPr>
      </w:pPr>
    </w:p>
    <w:p w:rsidR="00D34E24" w:rsidRPr="00EF4889" w:rsidRDefault="00D34E24" w:rsidP="00D34E24">
      <w:pPr>
        <w:autoSpaceDE w:val="0"/>
        <w:autoSpaceDN w:val="0"/>
        <w:adjustRightInd w:val="0"/>
        <w:spacing w:after="0" w:line="240" w:lineRule="auto"/>
        <w:rPr>
          <w:rFonts w:cstheme="minorHAnsi"/>
          <w:sz w:val="24"/>
          <w:szCs w:val="24"/>
        </w:rPr>
      </w:pPr>
      <w:r w:rsidRPr="00EF4889">
        <w:rPr>
          <w:rFonts w:cstheme="minorHAnsi"/>
          <w:sz w:val="24"/>
          <w:szCs w:val="24"/>
        </w:rPr>
        <w:t>Chisholm continues to regularly consult with the Australian Education Union and National Tertiary Education Union. Chisholm also uses the dispute resolution procedures in its industrial agreements so that issues that arise are addressed appropriately and in a timely manner. No days were lost due to industrial action in 2017.</w:t>
      </w:r>
    </w:p>
    <w:p w:rsidR="00D34E24" w:rsidRPr="00EF4889" w:rsidRDefault="00D34E24" w:rsidP="00D34E24">
      <w:pPr>
        <w:autoSpaceDE w:val="0"/>
        <w:autoSpaceDN w:val="0"/>
        <w:adjustRightInd w:val="0"/>
        <w:spacing w:after="0" w:line="240" w:lineRule="auto"/>
        <w:rPr>
          <w:rFonts w:cstheme="minorHAnsi"/>
          <w:sz w:val="24"/>
          <w:szCs w:val="24"/>
        </w:rPr>
      </w:pPr>
    </w:p>
    <w:p w:rsidR="00D34E24" w:rsidRPr="00EF4889" w:rsidRDefault="00D34E24" w:rsidP="00D34E24">
      <w:pPr>
        <w:autoSpaceDE w:val="0"/>
        <w:autoSpaceDN w:val="0"/>
        <w:adjustRightInd w:val="0"/>
        <w:spacing w:after="0" w:line="240" w:lineRule="auto"/>
        <w:rPr>
          <w:rFonts w:cstheme="minorHAnsi"/>
          <w:sz w:val="24"/>
          <w:szCs w:val="24"/>
        </w:rPr>
      </w:pPr>
      <w:r w:rsidRPr="00EF4889">
        <w:rPr>
          <w:rFonts w:cstheme="minorHAnsi"/>
          <w:sz w:val="24"/>
          <w:szCs w:val="24"/>
        </w:rPr>
        <w:t>&lt;pp&gt;</w:t>
      </w:r>
      <w:r w:rsidR="007829BB" w:rsidRPr="00EF4889">
        <w:rPr>
          <w:rFonts w:cstheme="minorHAnsi"/>
          <w:sz w:val="24"/>
          <w:szCs w:val="24"/>
        </w:rPr>
        <w:t>21</w:t>
      </w:r>
    </w:p>
    <w:p w:rsidR="00D34E24" w:rsidRPr="00EF4889" w:rsidRDefault="00D34E24" w:rsidP="00D34E24">
      <w:pPr>
        <w:autoSpaceDE w:val="0"/>
        <w:autoSpaceDN w:val="0"/>
        <w:adjustRightInd w:val="0"/>
        <w:spacing w:after="0" w:line="240" w:lineRule="auto"/>
        <w:rPr>
          <w:rFonts w:cstheme="minorHAnsi"/>
          <w:sz w:val="24"/>
          <w:szCs w:val="24"/>
        </w:rPr>
      </w:pPr>
    </w:p>
    <w:p w:rsidR="00D34E24" w:rsidRPr="00EF4889" w:rsidRDefault="00D861AE" w:rsidP="006914D6">
      <w:pPr>
        <w:pStyle w:val="Heading2"/>
      </w:pPr>
      <w:r w:rsidRPr="00EF4889">
        <w:t>Work Health, Safety and Wellbeing</w:t>
      </w:r>
    </w:p>
    <w:p w:rsidR="00D861AE" w:rsidRPr="00EF4889" w:rsidRDefault="00D861AE" w:rsidP="00D34E24">
      <w:pPr>
        <w:autoSpaceDE w:val="0"/>
        <w:autoSpaceDN w:val="0"/>
        <w:adjustRightInd w:val="0"/>
        <w:spacing w:after="0" w:line="240" w:lineRule="auto"/>
        <w:rPr>
          <w:rFonts w:cstheme="minorHAnsi"/>
          <w:sz w:val="24"/>
          <w:szCs w:val="24"/>
        </w:rPr>
      </w:pPr>
    </w:p>
    <w:p w:rsidR="00D861AE" w:rsidRPr="00EF4889" w:rsidRDefault="00D861AE" w:rsidP="006914D6">
      <w:pPr>
        <w:pStyle w:val="Heading3"/>
      </w:pPr>
      <w:r w:rsidRPr="00EF4889">
        <w:t>Health and Wellbeing</w:t>
      </w:r>
    </w:p>
    <w:p w:rsidR="002432A2" w:rsidRDefault="002432A2" w:rsidP="00D861AE">
      <w:pPr>
        <w:autoSpaceDE w:val="0"/>
        <w:autoSpaceDN w:val="0"/>
        <w:adjustRightInd w:val="0"/>
        <w:spacing w:after="0" w:line="240" w:lineRule="auto"/>
        <w:rPr>
          <w:rFonts w:cstheme="minorHAnsi"/>
          <w:sz w:val="24"/>
          <w:szCs w:val="24"/>
        </w:rPr>
      </w:pP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Many staff health and wellbeing programs were successfully delivered throughout the year, including:</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Mental health first aid programs and mental health awareness sessions</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Annual flu vaccinations</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Health monitoring</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Discount health insurance consultations</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Happy People wellbeing program focusing on energy, sleep, mood and stress.</w:t>
      </w:r>
    </w:p>
    <w:p w:rsidR="00D861AE" w:rsidRPr="00EF4889" w:rsidRDefault="00D861AE" w:rsidP="00D861AE">
      <w:pPr>
        <w:autoSpaceDE w:val="0"/>
        <w:autoSpaceDN w:val="0"/>
        <w:adjustRightInd w:val="0"/>
        <w:spacing w:after="0" w:line="240" w:lineRule="auto"/>
        <w:rPr>
          <w:rFonts w:cstheme="minorHAnsi"/>
          <w:sz w:val="24"/>
          <w:szCs w:val="24"/>
        </w:rPr>
      </w:pPr>
    </w:p>
    <w:p w:rsidR="00D861AE" w:rsidRPr="00EF4889" w:rsidRDefault="00D861AE" w:rsidP="006914D6">
      <w:pPr>
        <w:pStyle w:val="Heading3"/>
      </w:pPr>
      <w:r w:rsidRPr="00EF4889">
        <w:t>Work Health, Safety and Wellbeing</w:t>
      </w:r>
    </w:p>
    <w:p w:rsidR="002432A2" w:rsidRDefault="002432A2" w:rsidP="00D861AE">
      <w:pPr>
        <w:autoSpaceDE w:val="0"/>
        <w:autoSpaceDN w:val="0"/>
        <w:adjustRightInd w:val="0"/>
        <w:spacing w:after="0" w:line="240" w:lineRule="auto"/>
        <w:rPr>
          <w:rFonts w:cstheme="minorHAnsi"/>
          <w:sz w:val="24"/>
          <w:szCs w:val="24"/>
        </w:rPr>
      </w:pP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Chisholm considers all workplace injuries to be preventable and strives to ensure that best practice work health, safety and wellbeing systems are integrated into business area operations. This is vital in ensuring the health, safety and wellbeing of staff, students, contractors and visitors.</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The Institute’s health and safety strategy aims to meet its statutory and employee duty of care obligations and to create a harmonious, productive learning and working environment by providing a workplace free from risks to health and safety.</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Key strategies undertaken in 2017 were:</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Development of an occupational violence prevention program and implementation of training</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Development towards an integrate wellbeing strategy</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Review of injury management and claims management processes to improve return to work outcomes, claim costs and payroll processes</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Assessment and selection of an incident reporting, safety and claims management system</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Improvements in safety and WorkCover reporting to management and committees</w:t>
      </w:r>
    </w:p>
    <w:p w:rsidR="00D861AE" w:rsidRPr="00EF4889" w:rsidRDefault="00D861AE" w:rsidP="00D861AE">
      <w:pPr>
        <w:autoSpaceDE w:val="0"/>
        <w:autoSpaceDN w:val="0"/>
        <w:adjustRightInd w:val="0"/>
        <w:spacing w:after="0" w:line="240" w:lineRule="auto"/>
        <w:rPr>
          <w:rFonts w:cstheme="minorHAnsi"/>
          <w:sz w:val="24"/>
          <w:szCs w:val="24"/>
        </w:rPr>
      </w:pPr>
      <w:r w:rsidRPr="00EF4889">
        <w:rPr>
          <w:rFonts w:cstheme="minorHAnsi"/>
          <w:sz w:val="24"/>
          <w:szCs w:val="24"/>
        </w:rPr>
        <w:t>• Introduction of pilot programs to target safety issues identified through inspections and incident reporting.</w:t>
      </w:r>
    </w:p>
    <w:p w:rsidR="00D861AE" w:rsidRDefault="00D861AE" w:rsidP="00D861AE">
      <w:pPr>
        <w:autoSpaceDE w:val="0"/>
        <w:autoSpaceDN w:val="0"/>
        <w:adjustRightInd w:val="0"/>
        <w:spacing w:after="0" w:line="240" w:lineRule="auto"/>
        <w:rPr>
          <w:rFonts w:cstheme="minorHAnsi"/>
        </w:rPr>
      </w:pPr>
    </w:p>
    <w:p w:rsidR="005E6EC7" w:rsidRPr="005E6EC7" w:rsidRDefault="005E6EC7" w:rsidP="006914D6">
      <w:pPr>
        <w:pStyle w:val="Heading3"/>
      </w:pPr>
      <w:r w:rsidRPr="005E6EC7">
        <w:t>Incidents</w:t>
      </w:r>
    </w:p>
    <w:p w:rsidR="002432A2" w:rsidRDefault="002432A2" w:rsidP="00D861AE">
      <w:pPr>
        <w:autoSpaceDE w:val="0"/>
        <w:autoSpaceDN w:val="0"/>
        <w:adjustRightInd w:val="0"/>
        <w:spacing w:after="0" w:line="240" w:lineRule="auto"/>
        <w:rPr>
          <w:rFonts w:cstheme="minorHAnsi"/>
          <w:sz w:val="24"/>
          <w:szCs w:val="24"/>
        </w:rPr>
      </w:pPr>
    </w:p>
    <w:p w:rsidR="005E6EC7" w:rsidRDefault="005E6EC7" w:rsidP="00D861AE">
      <w:pPr>
        <w:autoSpaceDE w:val="0"/>
        <w:autoSpaceDN w:val="0"/>
        <w:adjustRightInd w:val="0"/>
        <w:spacing w:after="0" w:line="240" w:lineRule="auto"/>
        <w:rPr>
          <w:rFonts w:cstheme="minorHAnsi"/>
          <w:sz w:val="24"/>
          <w:szCs w:val="24"/>
        </w:rPr>
      </w:pPr>
      <w:r>
        <w:rPr>
          <w:rFonts w:cstheme="minorHAnsi"/>
          <w:sz w:val="24"/>
          <w:szCs w:val="24"/>
        </w:rPr>
        <w:t>Hazard and incident reports for full-time employees (FTE) between 1 January 2017 and 31 December 2017.</w:t>
      </w:r>
    </w:p>
    <w:p w:rsidR="005E6EC7" w:rsidRDefault="005E6EC7" w:rsidP="00D861AE">
      <w:pPr>
        <w:autoSpaceDE w:val="0"/>
        <w:autoSpaceDN w:val="0"/>
        <w:adjustRightInd w:val="0"/>
        <w:spacing w:after="0" w:line="240" w:lineRule="auto"/>
        <w:rPr>
          <w:rFonts w:cstheme="minorHAnsi"/>
          <w:sz w:val="24"/>
          <w:szCs w:val="24"/>
        </w:rPr>
      </w:pPr>
    </w:p>
    <w:tbl>
      <w:tblPr>
        <w:tblStyle w:val="TableGrid"/>
        <w:tblW w:w="9498" w:type="dxa"/>
        <w:tblInd w:w="-147" w:type="dxa"/>
        <w:tblLook w:val="04A0" w:firstRow="1" w:lastRow="0" w:firstColumn="1" w:lastColumn="0" w:noHBand="0" w:noVBand="1"/>
      </w:tblPr>
      <w:tblGrid>
        <w:gridCol w:w="7797"/>
        <w:gridCol w:w="1701"/>
      </w:tblGrid>
      <w:tr w:rsidR="005E6EC7" w:rsidTr="00562C13">
        <w:tc>
          <w:tcPr>
            <w:tcW w:w="7797" w:type="dxa"/>
          </w:tcPr>
          <w:p w:rsidR="005E6EC7" w:rsidRDefault="005E6EC7" w:rsidP="00D861AE">
            <w:pPr>
              <w:autoSpaceDE w:val="0"/>
              <w:autoSpaceDN w:val="0"/>
              <w:adjustRightInd w:val="0"/>
              <w:rPr>
                <w:rFonts w:cstheme="minorHAnsi"/>
                <w:sz w:val="24"/>
                <w:szCs w:val="24"/>
              </w:rPr>
            </w:pPr>
            <w:r>
              <w:rPr>
                <w:rFonts w:cstheme="minorHAnsi"/>
                <w:sz w:val="24"/>
                <w:szCs w:val="24"/>
              </w:rPr>
              <w:t>Total hazards</w:t>
            </w:r>
          </w:p>
        </w:tc>
        <w:tc>
          <w:tcPr>
            <w:tcW w:w="1701" w:type="dxa"/>
          </w:tcPr>
          <w:p w:rsidR="005E6EC7" w:rsidRDefault="005E6EC7" w:rsidP="005E6EC7">
            <w:pPr>
              <w:autoSpaceDE w:val="0"/>
              <w:autoSpaceDN w:val="0"/>
              <w:adjustRightInd w:val="0"/>
              <w:jc w:val="right"/>
              <w:rPr>
                <w:rFonts w:cstheme="minorHAnsi"/>
                <w:sz w:val="24"/>
                <w:szCs w:val="24"/>
              </w:rPr>
            </w:pPr>
            <w:r>
              <w:rPr>
                <w:rFonts w:cstheme="minorHAnsi"/>
                <w:sz w:val="24"/>
                <w:szCs w:val="24"/>
              </w:rPr>
              <w:t>9</w:t>
            </w:r>
          </w:p>
        </w:tc>
      </w:tr>
      <w:tr w:rsidR="005E6EC7" w:rsidTr="00562C13">
        <w:tc>
          <w:tcPr>
            <w:tcW w:w="7797" w:type="dxa"/>
          </w:tcPr>
          <w:p w:rsidR="005E6EC7" w:rsidRDefault="005E6EC7" w:rsidP="00D861AE">
            <w:pPr>
              <w:autoSpaceDE w:val="0"/>
              <w:autoSpaceDN w:val="0"/>
              <w:adjustRightInd w:val="0"/>
              <w:rPr>
                <w:rFonts w:cstheme="minorHAnsi"/>
                <w:sz w:val="24"/>
                <w:szCs w:val="24"/>
              </w:rPr>
            </w:pPr>
            <w:r>
              <w:rPr>
                <w:rFonts w:cstheme="minorHAnsi"/>
                <w:sz w:val="24"/>
                <w:szCs w:val="24"/>
              </w:rPr>
              <w:t xml:space="preserve">Incident reports </w:t>
            </w:r>
          </w:p>
        </w:tc>
        <w:tc>
          <w:tcPr>
            <w:tcW w:w="1701" w:type="dxa"/>
          </w:tcPr>
          <w:p w:rsidR="005E6EC7" w:rsidRDefault="005E6EC7" w:rsidP="005E6EC7">
            <w:pPr>
              <w:autoSpaceDE w:val="0"/>
              <w:autoSpaceDN w:val="0"/>
              <w:adjustRightInd w:val="0"/>
              <w:jc w:val="right"/>
              <w:rPr>
                <w:rFonts w:cstheme="minorHAnsi"/>
                <w:sz w:val="24"/>
                <w:szCs w:val="24"/>
              </w:rPr>
            </w:pPr>
            <w:r>
              <w:rPr>
                <w:rFonts w:cstheme="minorHAnsi"/>
                <w:sz w:val="24"/>
                <w:szCs w:val="24"/>
              </w:rPr>
              <w:t>297</w:t>
            </w:r>
          </w:p>
        </w:tc>
      </w:tr>
      <w:tr w:rsidR="005E6EC7" w:rsidTr="00562C13">
        <w:tc>
          <w:tcPr>
            <w:tcW w:w="7797" w:type="dxa"/>
          </w:tcPr>
          <w:p w:rsidR="005E6EC7" w:rsidRDefault="005E6EC7" w:rsidP="00D861AE">
            <w:pPr>
              <w:autoSpaceDE w:val="0"/>
              <w:autoSpaceDN w:val="0"/>
              <w:adjustRightInd w:val="0"/>
              <w:rPr>
                <w:rFonts w:cstheme="minorHAnsi"/>
                <w:sz w:val="24"/>
                <w:szCs w:val="24"/>
              </w:rPr>
            </w:pPr>
            <w:r>
              <w:rPr>
                <w:rFonts w:cstheme="minorHAnsi"/>
                <w:sz w:val="24"/>
                <w:szCs w:val="24"/>
              </w:rPr>
              <w:t>Fatalities</w:t>
            </w:r>
          </w:p>
        </w:tc>
        <w:tc>
          <w:tcPr>
            <w:tcW w:w="1701" w:type="dxa"/>
          </w:tcPr>
          <w:p w:rsidR="005E6EC7" w:rsidRDefault="005E6EC7" w:rsidP="005E6EC7">
            <w:pPr>
              <w:autoSpaceDE w:val="0"/>
              <w:autoSpaceDN w:val="0"/>
              <w:adjustRightInd w:val="0"/>
              <w:jc w:val="right"/>
              <w:rPr>
                <w:rFonts w:cstheme="minorHAnsi"/>
                <w:sz w:val="24"/>
                <w:szCs w:val="24"/>
              </w:rPr>
            </w:pPr>
            <w:r>
              <w:rPr>
                <w:rFonts w:cstheme="minorHAnsi"/>
                <w:sz w:val="24"/>
                <w:szCs w:val="24"/>
              </w:rPr>
              <w:t>0</w:t>
            </w:r>
          </w:p>
        </w:tc>
      </w:tr>
    </w:tbl>
    <w:p w:rsidR="005E6EC7" w:rsidRDefault="005E6EC7" w:rsidP="00D861AE">
      <w:pPr>
        <w:autoSpaceDE w:val="0"/>
        <w:autoSpaceDN w:val="0"/>
        <w:adjustRightInd w:val="0"/>
        <w:spacing w:after="0" w:line="240" w:lineRule="auto"/>
        <w:rPr>
          <w:rFonts w:cstheme="minorHAnsi"/>
          <w:sz w:val="24"/>
          <w:szCs w:val="24"/>
        </w:rPr>
      </w:pPr>
    </w:p>
    <w:tbl>
      <w:tblPr>
        <w:tblStyle w:val="TableGrid"/>
        <w:tblW w:w="9442" w:type="dxa"/>
        <w:tblInd w:w="-147" w:type="dxa"/>
        <w:tblLook w:val="04A0" w:firstRow="1" w:lastRow="0" w:firstColumn="1" w:lastColumn="0" w:noHBand="0" w:noVBand="1"/>
      </w:tblPr>
      <w:tblGrid>
        <w:gridCol w:w="5515"/>
        <w:gridCol w:w="1309"/>
        <w:gridCol w:w="1309"/>
        <w:gridCol w:w="1309"/>
      </w:tblGrid>
      <w:tr w:rsidR="00A02648" w:rsidTr="00A02648">
        <w:trPr>
          <w:trHeight w:val="292"/>
        </w:trPr>
        <w:tc>
          <w:tcPr>
            <w:tcW w:w="5515" w:type="dxa"/>
          </w:tcPr>
          <w:p w:rsidR="00A02648" w:rsidRDefault="00A02648" w:rsidP="00D861AE">
            <w:pPr>
              <w:autoSpaceDE w:val="0"/>
              <w:autoSpaceDN w:val="0"/>
              <w:adjustRightInd w:val="0"/>
              <w:rPr>
                <w:rFonts w:cstheme="minorHAnsi"/>
                <w:sz w:val="24"/>
                <w:szCs w:val="24"/>
              </w:rPr>
            </w:pP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2017</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2016</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2015</w:t>
            </w:r>
          </w:p>
        </w:tc>
      </w:tr>
      <w:tr w:rsidR="00A02648" w:rsidTr="00A02648">
        <w:trPr>
          <w:trHeight w:val="303"/>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Total hazard and incident reports*</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306</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141</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122</w:t>
            </w:r>
          </w:p>
        </w:tc>
      </w:tr>
      <w:tr w:rsidR="00A02648" w:rsidTr="00A02648">
        <w:trPr>
          <w:trHeight w:val="292"/>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Total ‘lost time’ standard WorkCover claims</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8</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5</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15</w:t>
            </w:r>
          </w:p>
        </w:tc>
      </w:tr>
      <w:tr w:rsidR="00A02648" w:rsidTr="00A02648">
        <w:trPr>
          <w:trHeight w:val="292"/>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Total cost of all ‘lost time’ WorkCover claims **</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$171,392</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$174,014</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$1,175,938</w:t>
            </w:r>
          </w:p>
        </w:tc>
      </w:tr>
      <w:tr w:rsidR="00A02648" w:rsidTr="00A02648">
        <w:trPr>
          <w:trHeight w:val="292"/>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Per 100 FTE staff (annual average)</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8.96</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8.84</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8.86</w:t>
            </w:r>
          </w:p>
        </w:tc>
      </w:tr>
      <w:tr w:rsidR="00A02648" w:rsidTr="00A02648">
        <w:trPr>
          <w:trHeight w:val="303"/>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Number of hazard and incident reports</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34.15</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6.22</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13.77</w:t>
            </w:r>
          </w:p>
        </w:tc>
      </w:tr>
      <w:tr w:rsidR="00A02648" w:rsidTr="00A02648">
        <w:trPr>
          <w:trHeight w:val="292"/>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Number of ‘lost time’ standard WorkCover claims</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0.89</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0.57</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1.69</w:t>
            </w:r>
          </w:p>
        </w:tc>
      </w:tr>
      <w:tr w:rsidR="00A02648" w:rsidTr="00A02648">
        <w:trPr>
          <w:trHeight w:val="292"/>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 xml:space="preserve">Accepted WorkCover claims </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8</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3</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15</w:t>
            </w:r>
          </w:p>
        </w:tc>
      </w:tr>
      <w:tr w:rsidR="00A02648" w:rsidTr="00A02648">
        <w:trPr>
          <w:trHeight w:val="303"/>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Accepted and rejected WorkCover claims</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13</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6</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18</w:t>
            </w:r>
          </w:p>
        </w:tc>
      </w:tr>
      <w:tr w:rsidR="00A02648" w:rsidTr="00A02648">
        <w:trPr>
          <w:trHeight w:val="283"/>
        </w:trPr>
        <w:tc>
          <w:tcPr>
            <w:tcW w:w="5515" w:type="dxa"/>
          </w:tcPr>
          <w:p w:rsidR="00A02648" w:rsidRDefault="00A02648" w:rsidP="00D861AE">
            <w:pPr>
              <w:autoSpaceDE w:val="0"/>
              <w:autoSpaceDN w:val="0"/>
              <w:adjustRightInd w:val="0"/>
              <w:rPr>
                <w:rFonts w:cstheme="minorHAnsi"/>
                <w:sz w:val="24"/>
                <w:szCs w:val="24"/>
              </w:rPr>
            </w:pPr>
            <w:r>
              <w:rPr>
                <w:rFonts w:cstheme="minorHAnsi"/>
                <w:sz w:val="24"/>
                <w:szCs w:val="24"/>
              </w:rPr>
              <w:t>Total cost for WorkCover claims as advised by WorkSafe***</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$1,309,198</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$2,468,603</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$1,188,631</w:t>
            </w:r>
          </w:p>
        </w:tc>
      </w:tr>
      <w:tr w:rsidR="00A02648" w:rsidTr="00A02648">
        <w:trPr>
          <w:trHeight w:val="303"/>
        </w:trPr>
        <w:tc>
          <w:tcPr>
            <w:tcW w:w="5515" w:type="dxa"/>
          </w:tcPr>
          <w:p w:rsidR="00A02648" w:rsidRDefault="00A02648" w:rsidP="00A02648">
            <w:pPr>
              <w:autoSpaceDE w:val="0"/>
              <w:autoSpaceDN w:val="0"/>
              <w:adjustRightInd w:val="0"/>
              <w:rPr>
                <w:rFonts w:cstheme="minorHAnsi"/>
                <w:sz w:val="24"/>
                <w:szCs w:val="24"/>
              </w:rPr>
            </w:pPr>
            <w:r>
              <w:rPr>
                <w:rFonts w:cstheme="minorHAnsi"/>
                <w:sz w:val="24"/>
                <w:szCs w:val="24"/>
              </w:rPr>
              <w:t>Average costs per WorkCover claim</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$14,964</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$29,958</w:t>
            </w:r>
          </w:p>
        </w:tc>
        <w:tc>
          <w:tcPr>
            <w:tcW w:w="1309" w:type="dxa"/>
          </w:tcPr>
          <w:p w:rsidR="00A02648" w:rsidRDefault="00A02648" w:rsidP="00A02648">
            <w:pPr>
              <w:autoSpaceDE w:val="0"/>
              <w:autoSpaceDN w:val="0"/>
              <w:adjustRightInd w:val="0"/>
              <w:jc w:val="right"/>
              <w:rPr>
                <w:rFonts w:cstheme="minorHAnsi"/>
                <w:sz w:val="24"/>
                <w:szCs w:val="24"/>
              </w:rPr>
            </w:pPr>
            <w:r>
              <w:rPr>
                <w:rFonts w:cstheme="minorHAnsi"/>
                <w:sz w:val="24"/>
                <w:szCs w:val="24"/>
              </w:rPr>
              <w:t>$66,035</w:t>
            </w:r>
          </w:p>
        </w:tc>
      </w:tr>
    </w:tbl>
    <w:p w:rsidR="005E6EC7" w:rsidRDefault="005E6EC7" w:rsidP="00D861AE">
      <w:pPr>
        <w:autoSpaceDE w:val="0"/>
        <w:autoSpaceDN w:val="0"/>
        <w:adjustRightInd w:val="0"/>
        <w:spacing w:after="0" w:line="240" w:lineRule="auto"/>
        <w:rPr>
          <w:rFonts w:cstheme="minorHAnsi"/>
          <w:sz w:val="24"/>
          <w:szCs w:val="24"/>
        </w:rPr>
      </w:pPr>
    </w:p>
    <w:p w:rsidR="00A02648" w:rsidRPr="00A02648" w:rsidRDefault="00A02648" w:rsidP="00D861AE">
      <w:pPr>
        <w:autoSpaceDE w:val="0"/>
        <w:autoSpaceDN w:val="0"/>
        <w:adjustRightInd w:val="0"/>
        <w:spacing w:after="0" w:line="240" w:lineRule="auto"/>
        <w:rPr>
          <w:rFonts w:cstheme="minorHAnsi"/>
          <w:sz w:val="24"/>
          <w:szCs w:val="24"/>
        </w:rPr>
      </w:pPr>
      <w:r w:rsidRPr="00A02648">
        <w:rPr>
          <w:rFonts w:cstheme="minorHAnsi"/>
          <w:sz w:val="24"/>
          <w:szCs w:val="24"/>
        </w:rPr>
        <w:t>Notes:</w:t>
      </w:r>
    </w:p>
    <w:p w:rsidR="00A02648" w:rsidRPr="00A02648" w:rsidRDefault="00A02648" w:rsidP="00A02648">
      <w:pPr>
        <w:pStyle w:val="NoSpacing"/>
        <w:rPr>
          <w:sz w:val="24"/>
          <w:szCs w:val="24"/>
        </w:rPr>
      </w:pPr>
      <w:r w:rsidRPr="00A02648">
        <w:rPr>
          <w:sz w:val="24"/>
          <w:szCs w:val="24"/>
        </w:rPr>
        <w:t>*All Chisholm-related incidents for staff, students, contractors and visitors. Incidents increased in 2017 due to improved reporting practices.</w:t>
      </w:r>
    </w:p>
    <w:p w:rsidR="00A02648" w:rsidRPr="00A02648" w:rsidRDefault="00A02648" w:rsidP="00A02648">
      <w:pPr>
        <w:pStyle w:val="NoSpacing"/>
        <w:rPr>
          <w:sz w:val="24"/>
          <w:szCs w:val="24"/>
        </w:rPr>
      </w:pPr>
      <w:r w:rsidRPr="00A02648">
        <w:rPr>
          <w:sz w:val="24"/>
          <w:szCs w:val="24"/>
        </w:rPr>
        <w:t>**Lost times claims only.</w:t>
      </w:r>
    </w:p>
    <w:p w:rsidR="00A02648" w:rsidRPr="00A02648" w:rsidRDefault="00A02648" w:rsidP="00A02648">
      <w:pPr>
        <w:pStyle w:val="NoSpacing"/>
        <w:rPr>
          <w:sz w:val="24"/>
          <w:szCs w:val="24"/>
        </w:rPr>
      </w:pPr>
      <w:r w:rsidRPr="00A02648">
        <w:rPr>
          <w:sz w:val="24"/>
          <w:szCs w:val="24"/>
        </w:rPr>
        <w:t>***All claims.</w:t>
      </w:r>
    </w:p>
    <w:p w:rsidR="00A02648" w:rsidRDefault="00A02648" w:rsidP="00A02648">
      <w:pPr>
        <w:pStyle w:val="NoSpacing"/>
      </w:pPr>
    </w:p>
    <w:p w:rsidR="00D861AE" w:rsidRPr="00A02648" w:rsidRDefault="00D861AE" w:rsidP="00D861AE">
      <w:pPr>
        <w:autoSpaceDE w:val="0"/>
        <w:autoSpaceDN w:val="0"/>
        <w:adjustRightInd w:val="0"/>
        <w:spacing w:after="0" w:line="240" w:lineRule="auto"/>
        <w:rPr>
          <w:rFonts w:cstheme="minorHAnsi"/>
          <w:sz w:val="24"/>
          <w:szCs w:val="24"/>
        </w:rPr>
      </w:pPr>
      <w:r w:rsidRPr="00A02648">
        <w:rPr>
          <w:rFonts w:cstheme="minorHAnsi"/>
          <w:sz w:val="24"/>
          <w:szCs w:val="24"/>
        </w:rPr>
        <w:t>&lt;pp&gt;</w:t>
      </w:r>
      <w:r w:rsidR="007829BB" w:rsidRPr="00A02648">
        <w:rPr>
          <w:rFonts w:cstheme="minorHAnsi"/>
          <w:sz w:val="24"/>
          <w:szCs w:val="24"/>
        </w:rPr>
        <w:t>22</w:t>
      </w:r>
    </w:p>
    <w:p w:rsidR="00D861AE" w:rsidRPr="00A02648" w:rsidRDefault="00D861AE" w:rsidP="00D861AE">
      <w:pPr>
        <w:autoSpaceDE w:val="0"/>
        <w:autoSpaceDN w:val="0"/>
        <w:adjustRightInd w:val="0"/>
        <w:spacing w:after="0" w:line="240" w:lineRule="auto"/>
        <w:rPr>
          <w:rFonts w:cstheme="minorHAnsi"/>
          <w:sz w:val="24"/>
          <w:szCs w:val="24"/>
        </w:rPr>
      </w:pPr>
    </w:p>
    <w:p w:rsidR="00D861AE" w:rsidRPr="00A02648" w:rsidRDefault="00D861AE" w:rsidP="006914D6">
      <w:pPr>
        <w:pStyle w:val="Heading3"/>
      </w:pPr>
      <w:r w:rsidRPr="00A02648">
        <w:t>WorkCover/Return to Work</w:t>
      </w:r>
    </w:p>
    <w:p w:rsidR="002432A2" w:rsidRDefault="002432A2" w:rsidP="00D861AE">
      <w:pPr>
        <w:autoSpaceDE w:val="0"/>
        <w:autoSpaceDN w:val="0"/>
        <w:adjustRightInd w:val="0"/>
        <w:spacing w:after="0" w:line="240" w:lineRule="auto"/>
        <w:rPr>
          <w:rFonts w:cstheme="minorHAnsi"/>
          <w:sz w:val="24"/>
          <w:szCs w:val="24"/>
        </w:rPr>
      </w:pPr>
    </w:p>
    <w:p w:rsidR="00D861AE" w:rsidRPr="00A02648" w:rsidRDefault="00D861AE" w:rsidP="00D861AE">
      <w:pPr>
        <w:autoSpaceDE w:val="0"/>
        <w:autoSpaceDN w:val="0"/>
        <w:adjustRightInd w:val="0"/>
        <w:spacing w:after="0" w:line="240" w:lineRule="auto"/>
        <w:rPr>
          <w:rFonts w:cstheme="minorHAnsi"/>
          <w:sz w:val="24"/>
          <w:szCs w:val="24"/>
        </w:rPr>
      </w:pPr>
      <w:r w:rsidRPr="00A02648">
        <w:rPr>
          <w:rFonts w:cstheme="minorHAnsi"/>
          <w:sz w:val="24"/>
          <w:szCs w:val="24"/>
        </w:rPr>
        <w:t>Of the eight accepted claims in 2017, only three claims have not yet returned to their full hours or duties and continue to receive active claims management and injury management support.</w:t>
      </w:r>
    </w:p>
    <w:p w:rsidR="00D861AE" w:rsidRDefault="00D861AE" w:rsidP="00D861AE">
      <w:pPr>
        <w:autoSpaceDE w:val="0"/>
        <w:autoSpaceDN w:val="0"/>
        <w:adjustRightInd w:val="0"/>
        <w:spacing w:after="0" w:line="240" w:lineRule="auto"/>
        <w:rPr>
          <w:rFonts w:cstheme="minorHAnsi"/>
          <w:sz w:val="24"/>
          <w:szCs w:val="24"/>
        </w:rPr>
      </w:pPr>
      <w:r w:rsidRPr="00A02648">
        <w:rPr>
          <w:rFonts w:cstheme="minorHAnsi"/>
          <w:sz w:val="24"/>
          <w:szCs w:val="24"/>
        </w:rPr>
        <w:t>Despite only eight accepted WorkCover claims in 2017, the WorkCover premium for 2017/2018 responded to the higher claims costs of historical claims. However, due to improvements in injury management, claims management and return to work outcomes, WorkCover performance is improving significantly and the 2018/2019 premium is expected to respond positively.</w:t>
      </w:r>
    </w:p>
    <w:p w:rsidR="00A02648" w:rsidRDefault="00A02648" w:rsidP="00D861AE">
      <w:pPr>
        <w:autoSpaceDE w:val="0"/>
        <w:autoSpaceDN w:val="0"/>
        <w:adjustRightInd w:val="0"/>
        <w:spacing w:after="0" w:line="240" w:lineRule="auto"/>
        <w:rPr>
          <w:rFonts w:cstheme="minorHAnsi"/>
          <w:sz w:val="24"/>
          <w:szCs w:val="24"/>
        </w:rPr>
      </w:pPr>
    </w:p>
    <w:p w:rsidR="00A02648" w:rsidRDefault="00A02648" w:rsidP="00A02648">
      <w:pPr>
        <w:pStyle w:val="NoSpacing"/>
      </w:pPr>
      <w:r>
        <w:t>2017</w:t>
      </w:r>
    </w:p>
    <w:tbl>
      <w:tblPr>
        <w:tblStyle w:val="TableGrid"/>
        <w:tblW w:w="0" w:type="auto"/>
        <w:tblLook w:val="04A0" w:firstRow="1" w:lastRow="0" w:firstColumn="1" w:lastColumn="0" w:noHBand="0" w:noVBand="1"/>
      </w:tblPr>
      <w:tblGrid>
        <w:gridCol w:w="8217"/>
        <w:gridCol w:w="799"/>
      </w:tblGrid>
      <w:tr w:rsidR="00A02648" w:rsidTr="00A02648">
        <w:tc>
          <w:tcPr>
            <w:tcW w:w="8217" w:type="dxa"/>
          </w:tcPr>
          <w:p w:rsidR="00A02648" w:rsidRDefault="00E46644" w:rsidP="00A02648">
            <w:pPr>
              <w:pStyle w:val="NoSpacing"/>
            </w:pPr>
            <w:r>
              <w:t>Number of new claims for WorkCover</w:t>
            </w:r>
          </w:p>
        </w:tc>
        <w:tc>
          <w:tcPr>
            <w:tcW w:w="799" w:type="dxa"/>
          </w:tcPr>
          <w:p w:rsidR="00A02648" w:rsidRDefault="00E46644" w:rsidP="00716DA0">
            <w:pPr>
              <w:pStyle w:val="NoSpacing"/>
              <w:jc w:val="right"/>
            </w:pPr>
            <w:r>
              <w:t>13</w:t>
            </w:r>
          </w:p>
        </w:tc>
      </w:tr>
      <w:tr w:rsidR="00A02648" w:rsidTr="00A02648">
        <w:tc>
          <w:tcPr>
            <w:tcW w:w="8217" w:type="dxa"/>
          </w:tcPr>
          <w:p w:rsidR="00A02648" w:rsidRDefault="00E46644" w:rsidP="00A02648">
            <w:pPr>
              <w:pStyle w:val="NoSpacing"/>
            </w:pPr>
            <w:r>
              <w:t>Accepted claims</w:t>
            </w:r>
          </w:p>
        </w:tc>
        <w:tc>
          <w:tcPr>
            <w:tcW w:w="799" w:type="dxa"/>
          </w:tcPr>
          <w:p w:rsidR="00A02648" w:rsidRDefault="00716DA0" w:rsidP="00716DA0">
            <w:pPr>
              <w:pStyle w:val="NoSpacing"/>
              <w:jc w:val="right"/>
            </w:pPr>
            <w:r>
              <w:t>8</w:t>
            </w:r>
          </w:p>
        </w:tc>
      </w:tr>
      <w:tr w:rsidR="00A02648" w:rsidTr="00A02648">
        <w:tc>
          <w:tcPr>
            <w:tcW w:w="8217" w:type="dxa"/>
          </w:tcPr>
          <w:p w:rsidR="00A02648" w:rsidRDefault="00E46644" w:rsidP="00A02648">
            <w:pPr>
              <w:pStyle w:val="NoSpacing"/>
            </w:pPr>
            <w:r>
              <w:t>Rejected claims</w:t>
            </w:r>
          </w:p>
        </w:tc>
        <w:tc>
          <w:tcPr>
            <w:tcW w:w="799" w:type="dxa"/>
          </w:tcPr>
          <w:p w:rsidR="00A02648" w:rsidRDefault="00716DA0" w:rsidP="00716DA0">
            <w:pPr>
              <w:pStyle w:val="NoSpacing"/>
              <w:jc w:val="right"/>
            </w:pPr>
            <w:r>
              <w:t>5</w:t>
            </w:r>
          </w:p>
        </w:tc>
      </w:tr>
      <w:tr w:rsidR="00A02648" w:rsidTr="00A02648">
        <w:tc>
          <w:tcPr>
            <w:tcW w:w="8217" w:type="dxa"/>
          </w:tcPr>
          <w:p w:rsidR="00A02648" w:rsidRDefault="00E46644" w:rsidP="00A02648">
            <w:pPr>
              <w:pStyle w:val="NoSpacing"/>
            </w:pPr>
            <w:r>
              <w:t xml:space="preserve">Pending WorkCover decisions </w:t>
            </w:r>
          </w:p>
        </w:tc>
        <w:tc>
          <w:tcPr>
            <w:tcW w:w="799" w:type="dxa"/>
          </w:tcPr>
          <w:p w:rsidR="00A02648" w:rsidRDefault="00716DA0" w:rsidP="00716DA0">
            <w:pPr>
              <w:pStyle w:val="NoSpacing"/>
              <w:jc w:val="right"/>
            </w:pPr>
            <w:r>
              <w:t>0</w:t>
            </w:r>
          </w:p>
        </w:tc>
      </w:tr>
      <w:tr w:rsidR="00A02648" w:rsidTr="00A02648">
        <w:tc>
          <w:tcPr>
            <w:tcW w:w="8217" w:type="dxa"/>
          </w:tcPr>
          <w:p w:rsidR="00A02648" w:rsidRDefault="00E46644" w:rsidP="00A02648">
            <w:pPr>
              <w:pStyle w:val="NoSpacing"/>
            </w:pPr>
            <w:r>
              <w:t>Conciliation after rejection</w:t>
            </w:r>
          </w:p>
        </w:tc>
        <w:tc>
          <w:tcPr>
            <w:tcW w:w="799" w:type="dxa"/>
          </w:tcPr>
          <w:p w:rsidR="00A02648" w:rsidRDefault="00716DA0" w:rsidP="00716DA0">
            <w:pPr>
              <w:pStyle w:val="NoSpacing"/>
              <w:jc w:val="right"/>
            </w:pPr>
            <w:r>
              <w:t>2</w:t>
            </w:r>
          </w:p>
        </w:tc>
      </w:tr>
    </w:tbl>
    <w:p w:rsidR="00716DA0" w:rsidRDefault="00716DA0" w:rsidP="00A02648">
      <w:pPr>
        <w:pStyle w:val="NoSpacing"/>
        <w:rPr>
          <w:sz w:val="24"/>
          <w:szCs w:val="24"/>
        </w:rPr>
      </w:pPr>
    </w:p>
    <w:p w:rsidR="00A02648" w:rsidRDefault="00716DA0" w:rsidP="00A02648">
      <w:pPr>
        <w:pStyle w:val="NoSpacing"/>
        <w:rPr>
          <w:sz w:val="24"/>
          <w:szCs w:val="24"/>
        </w:rPr>
      </w:pPr>
      <w:r>
        <w:rPr>
          <w:sz w:val="24"/>
          <w:szCs w:val="24"/>
        </w:rPr>
        <w:t>On a rolling average, the number of premium sensitive claims at the end of 2017 was 31.</w:t>
      </w:r>
    </w:p>
    <w:p w:rsidR="00716DA0" w:rsidRDefault="00716DA0" w:rsidP="00A02648">
      <w:pPr>
        <w:pStyle w:val="NoSpacing"/>
        <w:rPr>
          <w:sz w:val="24"/>
          <w:szCs w:val="24"/>
        </w:rPr>
      </w:pPr>
    </w:p>
    <w:tbl>
      <w:tblPr>
        <w:tblStyle w:val="TableGrid"/>
        <w:tblW w:w="0" w:type="auto"/>
        <w:tblLook w:val="04A0" w:firstRow="1" w:lastRow="0" w:firstColumn="1" w:lastColumn="0" w:noHBand="0" w:noVBand="1"/>
      </w:tblPr>
      <w:tblGrid>
        <w:gridCol w:w="3114"/>
        <w:gridCol w:w="992"/>
        <w:gridCol w:w="992"/>
        <w:gridCol w:w="993"/>
        <w:gridCol w:w="992"/>
        <w:gridCol w:w="992"/>
        <w:gridCol w:w="941"/>
      </w:tblGrid>
      <w:tr w:rsidR="00CE40F3" w:rsidTr="00CE40F3">
        <w:tc>
          <w:tcPr>
            <w:tcW w:w="3114" w:type="dxa"/>
          </w:tcPr>
          <w:p w:rsidR="00CE40F3" w:rsidRDefault="00CE40F3" w:rsidP="00A02648">
            <w:pPr>
              <w:pStyle w:val="NoSpacing"/>
              <w:rPr>
                <w:sz w:val="24"/>
                <w:szCs w:val="24"/>
              </w:rPr>
            </w:pPr>
          </w:p>
        </w:tc>
        <w:tc>
          <w:tcPr>
            <w:tcW w:w="992" w:type="dxa"/>
          </w:tcPr>
          <w:p w:rsidR="00CE40F3" w:rsidRDefault="00CE40F3" w:rsidP="00CE40F3">
            <w:pPr>
              <w:pStyle w:val="NoSpacing"/>
              <w:jc w:val="right"/>
              <w:rPr>
                <w:sz w:val="24"/>
                <w:szCs w:val="24"/>
              </w:rPr>
            </w:pPr>
            <w:r>
              <w:rPr>
                <w:sz w:val="24"/>
                <w:szCs w:val="24"/>
              </w:rPr>
              <w:t>2012</w:t>
            </w:r>
          </w:p>
        </w:tc>
        <w:tc>
          <w:tcPr>
            <w:tcW w:w="992" w:type="dxa"/>
          </w:tcPr>
          <w:p w:rsidR="00CE40F3" w:rsidRDefault="00CE40F3" w:rsidP="00CE40F3">
            <w:pPr>
              <w:pStyle w:val="NoSpacing"/>
              <w:jc w:val="right"/>
              <w:rPr>
                <w:sz w:val="24"/>
                <w:szCs w:val="24"/>
              </w:rPr>
            </w:pPr>
            <w:r>
              <w:rPr>
                <w:sz w:val="24"/>
                <w:szCs w:val="24"/>
              </w:rPr>
              <w:t>2013</w:t>
            </w:r>
          </w:p>
        </w:tc>
        <w:tc>
          <w:tcPr>
            <w:tcW w:w="993" w:type="dxa"/>
          </w:tcPr>
          <w:p w:rsidR="00CE40F3" w:rsidRDefault="00CE40F3" w:rsidP="00CE40F3">
            <w:pPr>
              <w:pStyle w:val="NoSpacing"/>
              <w:jc w:val="right"/>
              <w:rPr>
                <w:sz w:val="24"/>
                <w:szCs w:val="24"/>
              </w:rPr>
            </w:pPr>
            <w:r>
              <w:rPr>
                <w:sz w:val="24"/>
                <w:szCs w:val="24"/>
              </w:rPr>
              <w:t>2014</w:t>
            </w:r>
          </w:p>
        </w:tc>
        <w:tc>
          <w:tcPr>
            <w:tcW w:w="992" w:type="dxa"/>
          </w:tcPr>
          <w:p w:rsidR="00CE40F3" w:rsidRDefault="00CE40F3" w:rsidP="00CE40F3">
            <w:pPr>
              <w:pStyle w:val="NoSpacing"/>
              <w:jc w:val="right"/>
              <w:rPr>
                <w:sz w:val="24"/>
                <w:szCs w:val="24"/>
              </w:rPr>
            </w:pPr>
            <w:r>
              <w:rPr>
                <w:sz w:val="24"/>
                <w:szCs w:val="24"/>
              </w:rPr>
              <w:t>2015</w:t>
            </w:r>
          </w:p>
        </w:tc>
        <w:tc>
          <w:tcPr>
            <w:tcW w:w="992" w:type="dxa"/>
          </w:tcPr>
          <w:p w:rsidR="00CE40F3" w:rsidRDefault="00CE40F3" w:rsidP="00CE40F3">
            <w:pPr>
              <w:pStyle w:val="NoSpacing"/>
              <w:jc w:val="right"/>
              <w:rPr>
                <w:sz w:val="24"/>
                <w:szCs w:val="24"/>
              </w:rPr>
            </w:pPr>
            <w:r>
              <w:rPr>
                <w:sz w:val="24"/>
                <w:szCs w:val="24"/>
              </w:rPr>
              <w:t>2016</w:t>
            </w:r>
          </w:p>
        </w:tc>
        <w:tc>
          <w:tcPr>
            <w:tcW w:w="941" w:type="dxa"/>
          </w:tcPr>
          <w:p w:rsidR="00CE40F3" w:rsidRDefault="00CE40F3" w:rsidP="00CE40F3">
            <w:pPr>
              <w:pStyle w:val="NoSpacing"/>
              <w:jc w:val="right"/>
              <w:rPr>
                <w:sz w:val="24"/>
                <w:szCs w:val="24"/>
              </w:rPr>
            </w:pPr>
            <w:r>
              <w:rPr>
                <w:sz w:val="24"/>
                <w:szCs w:val="24"/>
              </w:rPr>
              <w:t>2017</w:t>
            </w:r>
          </w:p>
        </w:tc>
      </w:tr>
      <w:tr w:rsidR="00CE40F3" w:rsidTr="00CE40F3">
        <w:tc>
          <w:tcPr>
            <w:tcW w:w="3114" w:type="dxa"/>
          </w:tcPr>
          <w:p w:rsidR="00CE40F3" w:rsidRDefault="00CE40F3" w:rsidP="00A02648">
            <w:pPr>
              <w:pStyle w:val="NoSpacing"/>
              <w:rPr>
                <w:sz w:val="24"/>
                <w:szCs w:val="24"/>
              </w:rPr>
            </w:pPr>
            <w:r>
              <w:rPr>
                <w:sz w:val="24"/>
                <w:szCs w:val="24"/>
              </w:rPr>
              <w:lastRenderedPageBreak/>
              <w:t>No. of accepted claims</w:t>
            </w:r>
          </w:p>
        </w:tc>
        <w:tc>
          <w:tcPr>
            <w:tcW w:w="992" w:type="dxa"/>
          </w:tcPr>
          <w:p w:rsidR="00CE40F3" w:rsidRDefault="00CE40F3" w:rsidP="00CE40F3">
            <w:pPr>
              <w:pStyle w:val="NoSpacing"/>
              <w:jc w:val="right"/>
              <w:rPr>
                <w:sz w:val="24"/>
                <w:szCs w:val="24"/>
              </w:rPr>
            </w:pPr>
            <w:r>
              <w:rPr>
                <w:sz w:val="24"/>
                <w:szCs w:val="24"/>
              </w:rPr>
              <w:t>7</w:t>
            </w:r>
          </w:p>
        </w:tc>
        <w:tc>
          <w:tcPr>
            <w:tcW w:w="992" w:type="dxa"/>
          </w:tcPr>
          <w:p w:rsidR="00CE40F3" w:rsidRDefault="00CE40F3" w:rsidP="00CE40F3">
            <w:pPr>
              <w:pStyle w:val="NoSpacing"/>
              <w:jc w:val="right"/>
              <w:rPr>
                <w:sz w:val="24"/>
                <w:szCs w:val="24"/>
              </w:rPr>
            </w:pPr>
            <w:r>
              <w:rPr>
                <w:sz w:val="24"/>
                <w:szCs w:val="24"/>
              </w:rPr>
              <w:t>4</w:t>
            </w:r>
          </w:p>
        </w:tc>
        <w:tc>
          <w:tcPr>
            <w:tcW w:w="993" w:type="dxa"/>
          </w:tcPr>
          <w:p w:rsidR="00CE40F3" w:rsidRDefault="00CE40F3" w:rsidP="00CE40F3">
            <w:pPr>
              <w:pStyle w:val="NoSpacing"/>
              <w:jc w:val="right"/>
              <w:rPr>
                <w:sz w:val="24"/>
                <w:szCs w:val="24"/>
              </w:rPr>
            </w:pPr>
            <w:r>
              <w:rPr>
                <w:sz w:val="24"/>
                <w:szCs w:val="24"/>
              </w:rPr>
              <w:t>15</w:t>
            </w:r>
          </w:p>
        </w:tc>
        <w:tc>
          <w:tcPr>
            <w:tcW w:w="992" w:type="dxa"/>
          </w:tcPr>
          <w:p w:rsidR="00CE40F3" w:rsidRDefault="00CE40F3" w:rsidP="00CE40F3">
            <w:pPr>
              <w:pStyle w:val="NoSpacing"/>
              <w:jc w:val="right"/>
              <w:rPr>
                <w:sz w:val="24"/>
                <w:szCs w:val="24"/>
              </w:rPr>
            </w:pPr>
            <w:r>
              <w:rPr>
                <w:sz w:val="24"/>
                <w:szCs w:val="24"/>
              </w:rPr>
              <w:t>15</w:t>
            </w:r>
          </w:p>
        </w:tc>
        <w:tc>
          <w:tcPr>
            <w:tcW w:w="992" w:type="dxa"/>
          </w:tcPr>
          <w:p w:rsidR="00CE40F3" w:rsidRDefault="00CE40F3" w:rsidP="00CE40F3">
            <w:pPr>
              <w:pStyle w:val="NoSpacing"/>
              <w:jc w:val="right"/>
              <w:rPr>
                <w:sz w:val="24"/>
                <w:szCs w:val="24"/>
              </w:rPr>
            </w:pPr>
            <w:r>
              <w:rPr>
                <w:sz w:val="24"/>
                <w:szCs w:val="24"/>
              </w:rPr>
              <w:t>3</w:t>
            </w:r>
          </w:p>
        </w:tc>
        <w:tc>
          <w:tcPr>
            <w:tcW w:w="941" w:type="dxa"/>
          </w:tcPr>
          <w:p w:rsidR="00CE40F3" w:rsidRDefault="00CE40F3" w:rsidP="00CE40F3">
            <w:pPr>
              <w:pStyle w:val="NoSpacing"/>
              <w:jc w:val="right"/>
              <w:rPr>
                <w:sz w:val="24"/>
                <w:szCs w:val="24"/>
              </w:rPr>
            </w:pPr>
            <w:r>
              <w:rPr>
                <w:sz w:val="24"/>
                <w:szCs w:val="24"/>
              </w:rPr>
              <w:t>8</w:t>
            </w:r>
          </w:p>
        </w:tc>
      </w:tr>
    </w:tbl>
    <w:p w:rsidR="00716DA0" w:rsidRDefault="00716DA0" w:rsidP="00D861AE">
      <w:pPr>
        <w:autoSpaceDE w:val="0"/>
        <w:autoSpaceDN w:val="0"/>
        <w:adjustRightInd w:val="0"/>
        <w:spacing w:after="0" w:line="240" w:lineRule="auto"/>
        <w:rPr>
          <w:rFonts w:cstheme="minorHAnsi"/>
          <w:color w:val="FF0000"/>
        </w:rPr>
      </w:pPr>
    </w:p>
    <w:p w:rsidR="0087319C" w:rsidRPr="00CE40F3" w:rsidRDefault="0087319C" w:rsidP="0087319C">
      <w:pPr>
        <w:autoSpaceDE w:val="0"/>
        <w:autoSpaceDN w:val="0"/>
        <w:adjustRightInd w:val="0"/>
        <w:spacing w:after="0" w:line="240" w:lineRule="auto"/>
        <w:rPr>
          <w:rFonts w:cstheme="minorHAnsi"/>
          <w:sz w:val="24"/>
          <w:szCs w:val="24"/>
        </w:rPr>
      </w:pPr>
      <w:r w:rsidRPr="00CE40F3">
        <w:rPr>
          <w:rFonts w:cstheme="minorHAnsi"/>
          <w:sz w:val="24"/>
          <w:szCs w:val="24"/>
        </w:rPr>
        <w:t>&lt;pp&gt;</w:t>
      </w:r>
      <w:r w:rsidR="007829BB" w:rsidRPr="00CE40F3">
        <w:rPr>
          <w:rFonts w:cstheme="minorHAnsi"/>
          <w:sz w:val="24"/>
          <w:szCs w:val="24"/>
        </w:rPr>
        <w:t>23</w:t>
      </w:r>
    </w:p>
    <w:p w:rsidR="0087319C" w:rsidRDefault="0087319C" w:rsidP="0087319C">
      <w:pPr>
        <w:autoSpaceDE w:val="0"/>
        <w:autoSpaceDN w:val="0"/>
        <w:adjustRightInd w:val="0"/>
        <w:spacing w:after="0" w:line="240" w:lineRule="auto"/>
        <w:rPr>
          <w:rFonts w:cstheme="minorHAnsi"/>
        </w:rPr>
      </w:pPr>
    </w:p>
    <w:p w:rsidR="0087319C" w:rsidRDefault="0087319C" w:rsidP="006914D6">
      <w:pPr>
        <w:pStyle w:val="Heading2"/>
      </w:pPr>
      <w:r>
        <w:t>Statistical Overview</w:t>
      </w:r>
    </w:p>
    <w:p w:rsidR="0087319C" w:rsidRDefault="0087319C" w:rsidP="0087319C">
      <w:pPr>
        <w:autoSpaceDE w:val="0"/>
        <w:autoSpaceDN w:val="0"/>
        <w:adjustRightInd w:val="0"/>
        <w:spacing w:after="0" w:line="240" w:lineRule="auto"/>
        <w:rPr>
          <w:rFonts w:cstheme="minorHAnsi"/>
        </w:rPr>
      </w:pPr>
    </w:p>
    <w:p w:rsidR="0087319C" w:rsidRDefault="0087319C" w:rsidP="006914D6">
      <w:pPr>
        <w:pStyle w:val="Heading3"/>
      </w:pPr>
      <w:r w:rsidRPr="00CE40F3">
        <w:t>Chisholm Consolidated (Includes Chisholm Online)</w:t>
      </w:r>
    </w:p>
    <w:p w:rsidR="00DA36C5" w:rsidRDefault="00DA36C5" w:rsidP="0087319C">
      <w:pPr>
        <w:autoSpaceDE w:val="0"/>
        <w:autoSpaceDN w:val="0"/>
        <w:adjustRightInd w:val="0"/>
        <w:spacing w:after="0" w:line="240" w:lineRule="auto"/>
        <w:rPr>
          <w:rFonts w:cstheme="minorHAnsi"/>
          <w:caps/>
          <w:sz w:val="24"/>
          <w:szCs w:val="24"/>
        </w:rPr>
      </w:pPr>
    </w:p>
    <w:tbl>
      <w:tblPr>
        <w:tblStyle w:val="TableGrid"/>
        <w:tblW w:w="0" w:type="auto"/>
        <w:tblLook w:val="04A0" w:firstRow="1" w:lastRow="0" w:firstColumn="1" w:lastColumn="0" w:noHBand="0" w:noVBand="1"/>
      </w:tblPr>
      <w:tblGrid>
        <w:gridCol w:w="7083"/>
        <w:gridCol w:w="992"/>
        <w:gridCol w:w="941"/>
      </w:tblGrid>
      <w:tr w:rsidR="00DA36C5" w:rsidTr="00DA36C5">
        <w:tc>
          <w:tcPr>
            <w:tcW w:w="7083" w:type="dxa"/>
          </w:tcPr>
          <w:p w:rsidR="00DA36C5" w:rsidRDefault="00DA36C5" w:rsidP="00DA36C5">
            <w:r>
              <w:t>Student enrolments</w:t>
            </w:r>
          </w:p>
        </w:tc>
        <w:tc>
          <w:tcPr>
            <w:tcW w:w="992" w:type="dxa"/>
          </w:tcPr>
          <w:p w:rsidR="00DA36C5" w:rsidRDefault="00DA36C5" w:rsidP="00DA36C5">
            <w:pPr>
              <w:jc w:val="right"/>
            </w:pPr>
            <w:r>
              <w:t>2017</w:t>
            </w:r>
          </w:p>
        </w:tc>
        <w:tc>
          <w:tcPr>
            <w:tcW w:w="941" w:type="dxa"/>
          </w:tcPr>
          <w:p w:rsidR="00DA36C5" w:rsidRDefault="00DA36C5" w:rsidP="00DA36C5">
            <w:pPr>
              <w:jc w:val="right"/>
            </w:pPr>
            <w:r>
              <w:t>2016</w:t>
            </w:r>
          </w:p>
        </w:tc>
      </w:tr>
      <w:tr w:rsidR="00DA36C5" w:rsidTr="00DA36C5">
        <w:tc>
          <w:tcPr>
            <w:tcW w:w="7083" w:type="dxa"/>
          </w:tcPr>
          <w:p w:rsidR="00DA36C5" w:rsidRDefault="00DA36C5" w:rsidP="00DA36C5">
            <w:r>
              <w:t>Government-funded accredited programs</w:t>
            </w:r>
          </w:p>
        </w:tc>
        <w:tc>
          <w:tcPr>
            <w:tcW w:w="992" w:type="dxa"/>
          </w:tcPr>
          <w:p w:rsidR="00DA36C5" w:rsidRDefault="00DA36C5" w:rsidP="00DA36C5">
            <w:pPr>
              <w:jc w:val="right"/>
            </w:pPr>
            <w:r>
              <w:t>16,095</w:t>
            </w:r>
          </w:p>
        </w:tc>
        <w:tc>
          <w:tcPr>
            <w:tcW w:w="941" w:type="dxa"/>
          </w:tcPr>
          <w:p w:rsidR="00DA36C5" w:rsidRDefault="00DA36C5" w:rsidP="00DA36C5">
            <w:pPr>
              <w:jc w:val="right"/>
            </w:pPr>
            <w:r>
              <w:t>15,206</w:t>
            </w:r>
          </w:p>
        </w:tc>
      </w:tr>
      <w:tr w:rsidR="00DA36C5" w:rsidTr="00DA36C5">
        <w:tc>
          <w:tcPr>
            <w:tcW w:w="7083" w:type="dxa"/>
          </w:tcPr>
          <w:p w:rsidR="00DA36C5" w:rsidRDefault="00DA36C5" w:rsidP="00DA36C5">
            <w:r>
              <w:t>Fee for service programs</w:t>
            </w:r>
          </w:p>
        </w:tc>
        <w:tc>
          <w:tcPr>
            <w:tcW w:w="992" w:type="dxa"/>
          </w:tcPr>
          <w:p w:rsidR="00DA36C5" w:rsidRDefault="00DA36C5" w:rsidP="00DA36C5">
            <w:pPr>
              <w:jc w:val="right"/>
            </w:pPr>
            <w:r>
              <w:t>18,890</w:t>
            </w:r>
          </w:p>
        </w:tc>
        <w:tc>
          <w:tcPr>
            <w:tcW w:w="941" w:type="dxa"/>
          </w:tcPr>
          <w:p w:rsidR="00DA36C5" w:rsidRDefault="00DA36C5" w:rsidP="00DA36C5">
            <w:pPr>
              <w:jc w:val="right"/>
            </w:pPr>
            <w:r>
              <w:t>19,020</w:t>
            </w:r>
          </w:p>
        </w:tc>
      </w:tr>
      <w:tr w:rsidR="00DA36C5" w:rsidTr="00DA36C5">
        <w:tc>
          <w:tcPr>
            <w:tcW w:w="7083" w:type="dxa"/>
          </w:tcPr>
          <w:p w:rsidR="00DA36C5" w:rsidRDefault="00DA36C5" w:rsidP="00DA36C5">
            <w:r>
              <w:t>(Less) student enrolments in both government accredited programs and fee for service programs</w:t>
            </w:r>
          </w:p>
        </w:tc>
        <w:tc>
          <w:tcPr>
            <w:tcW w:w="992" w:type="dxa"/>
          </w:tcPr>
          <w:p w:rsidR="00DA36C5" w:rsidRDefault="00DA36C5" w:rsidP="00DA36C5">
            <w:pPr>
              <w:jc w:val="right"/>
            </w:pPr>
            <w:r>
              <w:t>-1,254</w:t>
            </w:r>
          </w:p>
        </w:tc>
        <w:tc>
          <w:tcPr>
            <w:tcW w:w="941" w:type="dxa"/>
          </w:tcPr>
          <w:p w:rsidR="00DA36C5" w:rsidRDefault="00DA36C5" w:rsidP="00DA36C5">
            <w:pPr>
              <w:jc w:val="right"/>
            </w:pPr>
            <w:r>
              <w:t>-1,285</w:t>
            </w:r>
          </w:p>
        </w:tc>
      </w:tr>
      <w:tr w:rsidR="00DA36C5" w:rsidTr="00DA36C5">
        <w:tc>
          <w:tcPr>
            <w:tcW w:w="7083" w:type="dxa"/>
          </w:tcPr>
          <w:p w:rsidR="00DA36C5" w:rsidRDefault="00DA36C5" w:rsidP="00DA36C5">
            <w:r>
              <w:t>Total net student enrolments</w:t>
            </w:r>
          </w:p>
        </w:tc>
        <w:tc>
          <w:tcPr>
            <w:tcW w:w="992" w:type="dxa"/>
          </w:tcPr>
          <w:p w:rsidR="00DA36C5" w:rsidRDefault="00DA36C5" w:rsidP="00DA36C5">
            <w:pPr>
              <w:jc w:val="right"/>
            </w:pPr>
            <w:r>
              <w:t>33,731</w:t>
            </w:r>
          </w:p>
        </w:tc>
        <w:tc>
          <w:tcPr>
            <w:tcW w:w="941" w:type="dxa"/>
          </w:tcPr>
          <w:p w:rsidR="00DA36C5" w:rsidRDefault="00DA36C5" w:rsidP="00DA36C5">
            <w:pPr>
              <w:jc w:val="right"/>
            </w:pPr>
            <w:r>
              <w:t>32,941</w:t>
            </w:r>
          </w:p>
        </w:tc>
      </w:tr>
    </w:tbl>
    <w:p w:rsidR="00DA36C5" w:rsidRDefault="00DA36C5" w:rsidP="0087319C">
      <w:pPr>
        <w:autoSpaceDE w:val="0"/>
        <w:autoSpaceDN w:val="0"/>
        <w:adjustRightInd w:val="0"/>
        <w:spacing w:after="0" w:line="240" w:lineRule="auto"/>
        <w:rPr>
          <w:rFonts w:cstheme="minorHAnsi"/>
          <w:caps/>
          <w:sz w:val="24"/>
          <w:szCs w:val="24"/>
        </w:rPr>
      </w:pPr>
    </w:p>
    <w:tbl>
      <w:tblPr>
        <w:tblStyle w:val="TableGrid"/>
        <w:tblW w:w="0" w:type="auto"/>
        <w:tblLook w:val="04A0" w:firstRow="1" w:lastRow="0" w:firstColumn="1" w:lastColumn="0" w:noHBand="0" w:noVBand="1"/>
      </w:tblPr>
      <w:tblGrid>
        <w:gridCol w:w="6580"/>
        <w:gridCol w:w="1218"/>
        <w:gridCol w:w="1218"/>
      </w:tblGrid>
      <w:tr w:rsidR="00DA36C5" w:rsidTr="00DA36C5">
        <w:tc>
          <w:tcPr>
            <w:tcW w:w="7083" w:type="dxa"/>
          </w:tcPr>
          <w:p w:rsidR="00DA36C5" w:rsidRDefault="00DA36C5" w:rsidP="00DA36C5">
            <w:r>
              <w:t>Student contact hour delivery</w:t>
            </w:r>
          </w:p>
        </w:tc>
        <w:tc>
          <w:tcPr>
            <w:tcW w:w="992" w:type="dxa"/>
          </w:tcPr>
          <w:p w:rsidR="00DA36C5" w:rsidRDefault="00DA36C5" w:rsidP="00DA36C5">
            <w:pPr>
              <w:jc w:val="right"/>
            </w:pPr>
            <w:r>
              <w:t>2017</w:t>
            </w:r>
          </w:p>
        </w:tc>
        <w:tc>
          <w:tcPr>
            <w:tcW w:w="941" w:type="dxa"/>
          </w:tcPr>
          <w:p w:rsidR="00DA36C5" w:rsidRDefault="00DA36C5" w:rsidP="00DA36C5">
            <w:pPr>
              <w:jc w:val="right"/>
            </w:pPr>
            <w:r>
              <w:t>2016</w:t>
            </w:r>
          </w:p>
        </w:tc>
      </w:tr>
      <w:tr w:rsidR="00DA36C5" w:rsidTr="00DA36C5">
        <w:tc>
          <w:tcPr>
            <w:tcW w:w="7083" w:type="dxa"/>
          </w:tcPr>
          <w:p w:rsidR="00DA36C5" w:rsidRDefault="00DA36C5" w:rsidP="00DA36C5">
            <w:r>
              <w:t>Government-funded accredited programs</w:t>
            </w:r>
          </w:p>
        </w:tc>
        <w:tc>
          <w:tcPr>
            <w:tcW w:w="992" w:type="dxa"/>
          </w:tcPr>
          <w:p w:rsidR="00DA36C5" w:rsidRDefault="00DA36C5" w:rsidP="00DA36C5">
            <w:pPr>
              <w:jc w:val="right"/>
            </w:pPr>
            <w:r>
              <w:t>7,144,694</w:t>
            </w:r>
          </w:p>
        </w:tc>
        <w:tc>
          <w:tcPr>
            <w:tcW w:w="941" w:type="dxa"/>
          </w:tcPr>
          <w:p w:rsidR="00DA36C5" w:rsidRDefault="00DA36C5" w:rsidP="00DA36C5">
            <w:pPr>
              <w:jc w:val="right"/>
            </w:pPr>
            <w:r>
              <w:t>6,721,317</w:t>
            </w:r>
          </w:p>
        </w:tc>
      </w:tr>
      <w:tr w:rsidR="00DA36C5" w:rsidTr="00DA36C5">
        <w:tc>
          <w:tcPr>
            <w:tcW w:w="7083" w:type="dxa"/>
          </w:tcPr>
          <w:p w:rsidR="00DA36C5" w:rsidRDefault="00DA36C5" w:rsidP="00DA36C5">
            <w:r>
              <w:t>Fee for service programs</w:t>
            </w:r>
          </w:p>
        </w:tc>
        <w:tc>
          <w:tcPr>
            <w:tcW w:w="992" w:type="dxa"/>
          </w:tcPr>
          <w:p w:rsidR="00DA36C5" w:rsidRDefault="00DA36C5" w:rsidP="00DA36C5">
            <w:pPr>
              <w:jc w:val="right"/>
            </w:pPr>
            <w:r>
              <w:t>4,380,999</w:t>
            </w:r>
          </w:p>
        </w:tc>
        <w:tc>
          <w:tcPr>
            <w:tcW w:w="941" w:type="dxa"/>
          </w:tcPr>
          <w:p w:rsidR="00DA36C5" w:rsidRDefault="00DA36C5" w:rsidP="00DA36C5">
            <w:pPr>
              <w:jc w:val="right"/>
            </w:pPr>
            <w:r>
              <w:t>4,175,488</w:t>
            </w:r>
          </w:p>
        </w:tc>
      </w:tr>
      <w:tr w:rsidR="00DA36C5" w:rsidTr="00DA36C5">
        <w:tc>
          <w:tcPr>
            <w:tcW w:w="7083" w:type="dxa"/>
          </w:tcPr>
          <w:p w:rsidR="00DA36C5" w:rsidRDefault="00DA36C5" w:rsidP="00DA36C5">
            <w:r>
              <w:t>Total student contact hour delivery</w:t>
            </w:r>
          </w:p>
        </w:tc>
        <w:tc>
          <w:tcPr>
            <w:tcW w:w="992" w:type="dxa"/>
          </w:tcPr>
          <w:p w:rsidR="00DA36C5" w:rsidRDefault="00DA36C5" w:rsidP="00DA36C5">
            <w:pPr>
              <w:jc w:val="right"/>
            </w:pPr>
            <w:r>
              <w:t>11,525,693</w:t>
            </w:r>
          </w:p>
        </w:tc>
        <w:tc>
          <w:tcPr>
            <w:tcW w:w="941" w:type="dxa"/>
          </w:tcPr>
          <w:p w:rsidR="00DA36C5" w:rsidRDefault="00DA36C5" w:rsidP="00DA36C5">
            <w:pPr>
              <w:jc w:val="right"/>
            </w:pPr>
            <w:r>
              <w:t>10,896,805</w:t>
            </w:r>
          </w:p>
        </w:tc>
      </w:tr>
    </w:tbl>
    <w:p w:rsidR="0097406F" w:rsidRDefault="0097406F" w:rsidP="0087319C">
      <w:pPr>
        <w:autoSpaceDE w:val="0"/>
        <w:autoSpaceDN w:val="0"/>
        <w:adjustRightInd w:val="0"/>
        <w:spacing w:after="0" w:line="240" w:lineRule="auto"/>
        <w:rPr>
          <w:rFonts w:cstheme="minorHAnsi"/>
          <w:caps/>
          <w:sz w:val="24"/>
          <w:szCs w:val="24"/>
        </w:rPr>
      </w:pPr>
    </w:p>
    <w:tbl>
      <w:tblPr>
        <w:tblStyle w:val="TableGrid"/>
        <w:tblW w:w="0" w:type="auto"/>
        <w:tblLook w:val="04A0" w:firstRow="1" w:lastRow="0" w:firstColumn="1" w:lastColumn="0" w:noHBand="0" w:noVBand="1"/>
      </w:tblPr>
      <w:tblGrid>
        <w:gridCol w:w="4415"/>
        <w:gridCol w:w="1339"/>
        <w:gridCol w:w="983"/>
        <w:gridCol w:w="1339"/>
        <w:gridCol w:w="940"/>
      </w:tblGrid>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 xml:space="preserve">Student </w:t>
            </w:r>
          </w:p>
        </w:tc>
        <w:tc>
          <w:tcPr>
            <w:tcW w:w="993" w:type="dxa"/>
          </w:tcPr>
          <w:p w:rsidR="00895275" w:rsidRDefault="00895275" w:rsidP="0087319C">
            <w:pPr>
              <w:autoSpaceDE w:val="0"/>
              <w:autoSpaceDN w:val="0"/>
              <w:adjustRightInd w:val="0"/>
              <w:rPr>
                <w:rFonts w:cstheme="minorHAnsi"/>
                <w:sz w:val="24"/>
                <w:szCs w:val="24"/>
              </w:rPr>
            </w:pPr>
          </w:p>
        </w:tc>
        <w:tc>
          <w:tcPr>
            <w:tcW w:w="992" w:type="dxa"/>
          </w:tcPr>
          <w:p w:rsidR="00895275" w:rsidRDefault="00895275" w:rsidP="0087319C">
            <w:pPr>
              <w:autoSpaceDE w:val="0"/>
              <w:autoSpaceDN w:val="0"/>
              <w:adjustRightInd w:val="0"/>
              <w:rPr>
                <w:rFonts w:cstheme="minorHAnsi"/>
                <w:sz w:val="24"/>
                <w:szCs w:val="24"/>
              </w:rPr>
            </w:pPr>
            <w:r>
              <w:rPr>
                <w:rFonts w:cstheme="minorHAnsi"/>
                <w:sz w:val="24"/>
                <w:szCs w:val="24"/>
              </w:rPr>
              <w:t>2017</w:t>
            </w:r>
          </w:p>
        </w:tc>
        <w:tc>
          <w:tcPr>
            <w:tcW w:w="992" w:type="dxa"/>
          </w:tcPr>
          <w:p w:rsidR="00895275" w:rsidRDefault="00895275" w:rsidP="0087319C">
            <w:pPr>
              <w:autoSpaceDE w:val="0"/>
              <w:autoSpaceDN w:val="0"/>
              <w:adjustRightInd w:val="0"/>
              <w:rPr>
                <w:rFonts w:cstheme="minorHAnsi"/>
                <w:sz w:val="24"/>
                <w:szCs w:val="24"/>
              </w:rPr>
            </w:pPr>
          </w:p>
        </w:tc>
        <w:tc>
          <w:tcPr>
            <w:tcW w:w="941" w:type="dxa"/>
          </w:tcPr>
          <w:p w:rsidR="00895275" w:rsidRDefault="00895275" w:rsidP="0087319C">
            <w:pPr>
              <w:autoSpaceDE w:val="0"/>
              <w:autoSpaceDN w:val="0"/>
              <w:adjustRightInd w:val="0"/>
              <w:rPr>
                <w:rFonts w:cstheme="minorHAnsi"/>
                <w:sz w:val="24"/>
                <w:szCs w:val="24"/>
              </w:rPr>
            </w:pPr>
            <w:r>
              <w:rPr>
                <w:rFonts w:cstheme="minorHAnsi"/>
                <w:sz w:val="24"/>
                <w:szCs w:val="24"/>
              </w:rPr>
              <w:t>2016</w:t>
            </w:r>
          </w:p>
        </w:tc>
      </w:tr>
      <w:tr w:rsidR="00895275" w:rsidTr="00895275">
        <w:tc>
          <w:tcPr>
            <w:tcW w:w="5098" w:type="dxa"/>
          </w:tcPr>
          <w:p w:rsidR="00895275" w:rsidRDefault="00895275" w:rsidP="0087319C">
            <w:pPr>
              <w:autoSpaceDE w:val="0"/>
              <w:autoSpaceDN w:val="0"/>
              <w:adjustRightInd w:val="0"/>
              <w:rPr>
                <w:rFonts w:cstheme="minorHAnsi"/>
                <w:sz w:val="24"/>
                <w:szCs w:val="24"/>
              </w:rPr>
            </w:pP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Student enrolments</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Per cent</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Student enrolments</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Per cent</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Under 15 years</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243</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0.7%</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234</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0.7%</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15 – 19</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11,244</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33.3%</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10,961</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33.3%</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20 – 24</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7,552</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22.4%</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6,993</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21.2%</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25 – 39</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7,976</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23.6%</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6,949</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21.1%</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40 – 64</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6,503</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19.3%</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7,484</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22.7%</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Over 65</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213</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0.6%</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320</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1.0%</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Not stated</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0.0%</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0.0%</w:t>
            </w:r>
          </w:p>
        </w:tc>
      </w:tr>
      <w:tr w:rsidR="00895275" w:rsidTr="00895275">
        <w:tc>
          <w:tcPr>
            <w:tcW w:w="5098" w:type="dxa"/>
          </w:tcPr>
          <w:p w:rsidR="00895275" w:rsidRDefault="00895275" w:rsidP="0087319C">
            <w:pPr>
              <w:autoSpaceDE w:val="0"/>
              <w:autoSpaceDN w:val="0"/>
              <w:adjustRightInd w:val="0"/>
              <w:rPr>
                <w:rFonts w:cstheme="minorHAnsi"/>
                <w:sz w:val="24"/>
                <w:szCs w:val="24"/>
              </w:rPr>
            </w:pPr>
            <w:r>
              <w:rPr>
                <w:rFonts w:cstheme="minorHAnsi"/>
                <w:sz w:val="24"/>
                <w:szCs w:val="24"/>
              </w:rPr>
              <w:t xml:space="preserve">Total </w:t>
            </w:r>
          </w:p>
        </w:tc>
        <w:tc>
          <w:tcPr>
            <w:tcW w:w="993"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33,731</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100.0%</w:t>
            </w:r>
          </w:p>
        </w:tc>
        <w:tc>
          <w:tcPr>
            <w:tcW w:w="992"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32,941</w:t>
            </w:r>
          </w:p>
        </w:tc>
        <w:tc>
          <w:tcPr>
            <w:tcW w:w="941" w:type="dxa"/>
          </w:tcPr>
          <w:p w:rsidR="00895275" w:rsidRDefault="00895275" w:rsidP="00895275">
            <w:pPr>
              <w:autoSpaceDE w:val="0"/>
              <w:autoSpaceDN w:val="0"/>
              <w:adjustRightInd w:val="0"/>
              <w:jc w:val="right"/>
              <w:rPr>
                <w:rFonts w:cstheme="minorHAnsi"/>
                <w:sz w:val="24"/>
                <w:szCs w:val="24"/>
              </w:rPr>
            </w:pPr>
            <w:r>
              <w:rPr>
                <w:rFonts w:cstheme="minorHAnsi"/>
                <w:sz w:val="24"/>
                <w:szCs w:val="24"/>
              </w:rPr>
              <w:t>100.0%</w:t>
            </w:r>
          </w:p>
        </w:tc>
      </w:tr>
    </w:tbl>
    <w:p w:rsidR="0097406F" w:rsidRDefault="0097406F" w:rsidP="0087319C">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390"/>
        <w:gridCol w:w="1343"/>
        <w:gridCol w:w="935"/>
        <w:gridCol w:w="1408"/>
        <w:gridCol w:w="940"/>
      </w:tblGrid>
      <w:tr w:rsidR="00A33DC3" w:rsidTr="00A33DC3">
        <w:tc>
          <w:tcPr>
            <w:tcW w:w="4390" w:type="dxa"/>
          </w:tcPr>
          <w:p w:rsidR="00A33DC3" w:rsidRDefault="00A33DC3" w:rsidP="0087319C">
            <w:pPr>
              <w:autoSpaceDE w:val="0"/>
              <w:autoSpaceDN w:val="0"/>
              <w:adjustRightInd w:val="0"/>
              <w:rPr>
                <w:rFonts w:cstheme="minorHAnsi"/>
                <w:sz w:val="24"/>
                <w:szCs w:val="24"/>
              </w:rPr>
            </w:pPr>
            <w:r>
              <w:rPr>
                <w:rFonts w:cstheme="minorHAnsi"/>
                <w:sz w:val="24"/>
                <w:szCs w:val="24"/>
              </w:rPr>
              <w:t>Student enrolments by gender</w:t>
            </w:r>
          </w:p>
        </w:tc>
        <w:tc>
          <w:tcPr>
            <w:tcW w:w="1343" w:type="dxa"/>
          </w:tcPr>
          <w:p w:rsidR="00A33DC3" w:rsidRDefault="00A33DC3" w:rsidP="00A33DC3">
            <w:pPr>
              <w:autoSpaceDE w:val="0"/>
              <w:autoSpaceDN w:val="0"/>
              <w:adjustRightInd w:val="0"/>
              <w:jc w:val="right"/>
              <w:rPr>
                <w:rFonts w:cstheme="minorHAnsi"/>
                <w:sz w:val="24"/>
                <w:szCs w:val="24"/>
              </w:rPr>
            </w:pPr>
          </w:p>
        </w:tc>
        <w:tc>
          <w:tcPr>
            <w:tcW w:w="935"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2017</w:t>
            </w:r>
          </w:p>
        </w:tc>
        <w:tc>
          <w:tcPr>
            <w:tcW w:w="1408" w:type="dxa"/>
          </w:tcPr>
          <w:p w:rsidR="00A33DC3" w:rsidRDefault="00A33DC3" w:rsidP="00A33DC3">
            <w:pPr>
              <w:autoSpaceDE w:val="0"/>
              <w:autoSpaceDN w:val="0"/>
              <w:adjustRightInd w:val="0"/>
              <w:jc w:val="right"/>
              <w:rPr>
                <w:rFonts w:cstheme="minorHAnsi"/>
                <w:sz w:val="24"/>
                <w:szCs w:val="24"/>
              </w:rPr>
            </w:pPr>
          </w:p>
        </w:tc>
        <w:tc>
          <w:tcPr>
            <w:tcW w:w="940"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2016</w:t>
            </w:r>
          </w:p>
        </w:tc>
      </w:tr>
      <w:tr w:rsidR="00A33DC3" w:rsidTr="00A33DC3">
        <w:tc>
          <w:tcPr>
            <w:tcW w:w="4390" w:type="dxa"/>
          </w:tcPr>
          <w:p w:rsidR="00A33DC3" w:rsidRDefault="00A33DC3" w:rsidP="0087319C">
            <w:pPr>
              <w:autoSpaceDE w:val="0"/>
              <w:autoSpaceDN w:val="0"/>
              <w:adjustRightInd w:val="0"/>
              <w:rPr>
                <w:rFonts w:cstheme="minorHAnsi"/>
                <w:sz w:val="24"/>
                <w:szCs w:val="24"/>
              </w:rPr>
            </w:pPr>
          </w:p>
        </w:tc>
        <w:tc>
          <w:tcPr>
            <w:tcW w:w="1343"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Student enrolments</w:t>
            </w:r>
          </w:p>
        </w:tc>
        <w:tc>
          <w:tcPr>
            <w:tcW w:w="935"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 xml:space="preserve">Per cent </w:t>
            </w:r>
          </w:p>
        </w:tc>
        <w:tc>
          <w:tcPr>
            <w:tcW w:w="1408"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Student enrolments</w:t>
            </w:r>
          </w:p>
        </w:tc>
        <w:tc>
          <w:tcPr>
            <w:tcW w:w="940"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Per cent</w:t>
            </w:r>
          </w:p>
        </w:tc>
      </w:tr>
      <w:tr w:rsidR="00A33DC3" w:rsidTr="00A33DC3">
        <w:tc>
          <w:tcPr>
            <w:tcW w:w="4390" w:type="dxa"/>
          </w:tcPr>
          <w:p w:rsidR="00A33DC3" w:rsidRDefault="00A33DC3" w:rsidP="0087319C">
            <w:pPr>
              <w:autoSpaceDE w:val="0"/>
              <w:autoSpaceDN w:val="0"/>
              <w:adjustRightInd w:val="0"/>
              <w:rPr>
                <w:rFonts w:cstheme="minorHAnsi"/>
                <w:sz w:val="24"/>
                <w:szCs w:val="24"/>
              </w:rPr>
            </w:pPr>
            <w:r>
              <w:rPr>
                <w:rFonts w:cstheme="minorHAnsi"/>
                <w:sz w:val="24"/>
                <w:szCs w:val="24"/>
              </w:rPr>
              <w:t>Female</w:t>
            </w:r>
          </w:p>
        </w:tc>
        <w:tc>
          <w:tcPr>
            <w:tcW w:w="1343"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13,373</w:t>
            </w:r>
          </w:p>
        </w:tc>
        <w:tc>
          <w:tcPr>
            <w:tcW w:w="935"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39.6%</w:t>
            </w:r>
          </w:p>
        </w:tc>
        <w:tc>
          <w:tcPr>
            <w:tcW w:w="1408"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13,934</w:t>
            </w:r>
          </w:p>
        </w:tc>
        <w:tc>
          <w:tcPr>
            <w:tcW w:w="940"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42.3%</w:t>
            </w:r>
          </w:p>
        </w:tc>
      </w:tr>
      <w:tr w:rsidR="00A33DC3" w:rsidTr="00A33DC3">
        <w:tc>
          <w:tcPr>
            <w:tcW w:w="4390" w:type="dxa"/>
          </w:tcPr>
          <w:p w:rsidR="00A33DC3" w:rsidRDefault="00A33DC3" w:rsidP="0087319C">
            <w:pPr>
              <w:autoSpaceDE w:val="0"/>
              <w:autoSpaceDN w:val="0"/>
              <w:adjustRightInd w:val="0"/>
              <w:rPr>
                <w:rFonts w:cstheme="minorHAnsi"/>
                <w:sz w:val="24"/>
                <w:szCs w:val="24"/>
              </w:rPr>
            </w:pPr>
            <w:r>
              <w:rPr>
                <w:rFonts w:cstheme="minorHAnsi"/>
                <w:sz w:val="24"/>
                <w:szCs w:val="24"/>
              </w:rPr>
              <w:t>Male</w:t>
            </w:r>
          </w:p>
        </w:tc>
        <w:tc>
          <w:tcPr>
            <w:tcW w:w="1343"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20,323</w:t>
            </w:r>
          </w:p>
        </w:tc>
        <w:tc>
          <w:tcPr>
            <w:tcW w:w="935"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60.3%</w:t>
            </w:r>
          </w:p>
        </w:tc>
        <w:tc>
          <w:tcPr>
            <w:tcW w:w="1408"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19,007</w:t>
            </w:r>
          </w:p>
        </w:tc>
        <w:tc>
          <w:tcPr>
            <w:tcW w:w="940"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57.7%</w:t>
            </w:r>
          </w:p>
        </w:tc>
      </w:tr>
      <w:tr w:rsidR="00A33DC3" w:rsidTr="00A33DC3">
        <w:tc>
          <w:tcPr>
            <w:tcW w:w="4390" w:type="dxa"/>
          </w:tcPr>
          <w:p w:rsidR="00A33DC3" w:rsidRDefault="00A33DC3" w:rsidP="0087319C">
            <w:pPr>
              <w:autoSpaceDE w:val="0"/>
              <w:autoSpaceDN w:val="0"/>
              <w:adjustRightInd w:val="0"/>
              <w:rPr>
                <w:rFonts w:cstheme="minorHAnsi"/>
                <w:sz w:val="24"/>
                <w:szCs w:val="24"/>
              </w:rPr>
            </w:pPr>
            <w:r>
              <w:rPr>
                <w:rFonts w:cstheme="minorHAnsi"/>
                <w:sz w:val="24"/>
                <w:szCs w:val="24"/>
              </w:rPr>
              <w:t xml:space="preserve">X </w:t>
            </w:r>
            <w:r w:rsidR="00EB53E5">
              <w:rPr>
                <w:rFonts w:cstheme="minorHAnsi"/>
                <w:sz w:val="24"/>
                <w:szCs w:val="24"/>
              </w:rPr>
              <w:t>Indeterminate</w:t>
            </w:r>
            <w:r>
              <w:rPr>
                <w:rFonts w:cstheme="minorHAnsi"/>
                <w:sz w:val="24"/>
                <w:szCs w:val="24"/>
              </w:rPr>
              <w:t>/Intersex/Unspecified</w:t>
            </w:r>
          </w:p>
        </w:tc>
        <w:tc>
          <w:tcPr>
            <w:tcW w:w="1343"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35</w:t>
            </w:r>
          </w:p>
        </w:tc>
        <w:tc>
          <w:tcPr>
            <w:tcW w:w="935"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0.1%</w:t>
            </w:r>
          </w:p>
        </w:tc>
        <w:tc>
          <w:tcPr>
            <w:tcW w:w="1408"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w:t>
            </w:r>
          </w:p>
        </w:tc>
        <w:tc>
          <w:tcPr>
            <w:tcW w:w="940"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0.0%</w:t>
            </w:r>
          </w:p>
        </w:tc>
      </w:tr>
      <w:tr w:rsidR="00A33DC3" w:rsidTr="00A33DC3">
        <w:tc>
          <w:tcPr>
            <w:tcW w:w="4390" w:type="dxa"/>
          </w:tcPr>
          <w:p w:rsidR="00A33DC3" w:rsidRDefault="00A33DC3" w:rsidP="0087319C">
            <w:pPr>
              <w:autoSpaceDE w:val="0"/>
              <w:autoSpaceDN w:val="0"/>
              <w:adjustRightInd w:val="0"/>
              <w:rPr>
                <w:rFonts w:cstheme="minorHAnsi"/>
                <w:sz w:val="24"/>
                <w:szCs w:val="24"/>
              </w:rPr>
            </w:pPr>
            <w:r>
              <w:rPr>
                <w:rFonts w:cstheme="minorHAnsi"/>
                <w:sz w:val="24"/>
                <w:szCs w:val="24"/>
              </w:rPr>
              <w:t>Total</w:t>
            </w:r>
          </w:p>
        </w:tc>
        <w:tc>
          <w:tcPr>
            <w:tcW w:w="1343"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33,731</w:t>
            </w:r>
          </w:p>
        </w:tc>
        <w:tc>
          <w:tcPr>
            <w:tcW w:w="935"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100.0%</w:t>
            </w:r>
          </w:p>
        </w:tc>
        <w:tc>
          <w:tcPr>
            <w:tcW w:w="1408"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32,941</w:t>
            </w:r>
          </w:p>
        </w:tc>
        <w:tc>
          <w:tcPr>
            <w:tcW w:w="940" w:type="dxa"/>
          </w:tcPr>
          <w:p w:rsidR="00A33DC3" w:rsidRDefault="00A33DC3" w:rsidP="00A33DC3">
            <w:pPr>
              <w:autoSpaceDE w:val="0"/>
              <w:autoSpaceDN w:val="0"/>
              <w:adjustRightInd w:val="0"/>
              <w:jc w:val="right"/>
              <w:rPr>
                <w:rFonts w:cstheme="minorHAnsi"/>
                <w:sz w:val="24"/>
                <w:szCs w:val="24"/>
              </w:rPr>
            </w:pPr>
            <w:r>
              <w:rPr>
                <w:rFonts w:cstheme="minorHAnsi"/>
                <w:sz w:val="24"/>
                <w:szCs w:val="24"/>
              </w:rPr>
              <w:t>100.0%</w:t>
            </w:r>
          </w:p>
        </w:tc>
      </w:tr>
    </w:tbl>
    <w:p w:rsidR="00A33DC3" w:rsidRDefault="00A33DC3" w:rsidP="0087319C">
      <w:pPr>
        <w:autoSpaceDE w:val="0"/>
        <w:autoSpaceDN w:val="0"/>
        <w:adjustRightInd w:val="0"/>
        <w:spacing w:after="0" w:line="240" w:lineRule="auto"/>
        <w:rPr>
          <w:rFonts w:cstheme="minorHAnsi"/>
          <w:sz w:val="24"/>
          <w:szCs w:val="24"/>
        </w:rPr>
      </w:pPr>
    </w:p>
    <w:p w:rsidR="00D02C09" w:rsidRDefault="00D02C09" w:rsidP="0087319C">
      <w:pPr>
        <w:autoSpaceDE w:val="0"/>
        <w:autoSpaceDN w:val="0"/>
        <w:adjustRightInd w:val="0"/>
        <w:spacing w:after="0" w:line="240" w:lineRule="auto"/>
        <w:rPr>
          <w:rFonts w:cstheme="minorHAnsi"/>
          <w:sz w:val="24"/>
          <w:szCs w:val="24"/>
        </w:rPr>
      </w:pPr>
      <w:r>
        <w:rPr>
          <w:rFonts w:cstheme="minorHAnsi"/>
          <w:sz w:val="24"/>
          <w:szCs w:val="24"/>
        </w:rPr>
        <w:t>&lt;pp&gt;24</w:t>
      </w:r>
    </w:p>
    <w:p w:rsidR="00D02C09" w:rsidRDefault="00D02C09" w:rsidP="0087319C">
      <w:pPr>
        <w:autoSpaceDE w:val="0"/>
        <w:autoSpaceDN w:val="0"/>
        <w:adjustRightInd w:val="0"/>
        <w:spacing w:after="0" w:line="240" w:lineRule="auto"/>
        <w:rPr>
          <w:rFonts w:cstheme="minorHAnsi"/>
          <w:sz w:val="24"/>
          <w:szCs w:val="24"/>
        </w:rPr>
      </w:pPr>
    </w:p>
    <w:p w:rsidR="00A33D74" w:rsidRDefault="00A33D74" w:rsidP="0087319C">
      <w:pPr>
        <w:autoSpaceDE w:val="0"/>
        <w:autoSpaceDN w:val="0"/>
        <w:adjustRightInd w:val="0"/>
        <w:spacing w:after="0" w:line="240" w:lineRule="auto"/>
        <w:rPr>
          <w:rFonts w:cstheme="minorHAnsi"/>
          <w:sz w:val="24"/>
          <w:szCs w:val="24"/>
        </w:rPr>
        <w:sectPr w:rsidR="00A33D74">
          <w:pgSz w:w="11906" w:h="16838"/>
          <w:pgMar w:top="1440" w:right="1440" w:bottom="1440" w:left="1440" w:header="708" w:footer="708" w:gutter="0"/>
          <w:cols w:space="708"/>
          <w:docGrid w:linePitch="360"/>
        </w:sectPr>
      </w:pPr>
    </w:p>
    <w:p w:rsidR="00485842" w:rsidRDefault="00485842" w:rsidP="006914D6">
      <w:pPr>
        <w:pStyle w:val="Heading3"/>
      </w:pPr>
      <w:r>
        <w:lastRenderedPageBreak/>
        <w:t>Course enrolment and student contact hours by campus</w:t>
      </w:r>
    </w:p>
    <w:p w:rsidR="00485842" w:rsidRDefault="00485842" w:rsidP="0087319C">
      <w:pPr>
        <w:autoSpaceDE w:val="0"/>
        <w:autoSpaceDN w:val="0"/>
        <w:adjustRightInd w:val="0"/>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tbl>
      <w:tblPr>
        <w:tblStyle w:val="TableGrid"/>
        <w:tblW w:w="14601" w:type="dxa"/>
        <w:tblInd w:w="-856" w:type="dxa"/>
        <w:tblLook w:val="04A0" w:firstRow="1" w:lastRow="0" w:firstColumn="1" w:lastColumn="0" w:noHBand="0" w:noVBand="1"/>
      </w:tblPr>
      <w:tblGrid>
        <w:gridCol w:w="3101"/>
        <w:gridCol w:w="1458"/>
        <w:gridCol w:w="1272"/>
        <w:gridCol w:w="1697"/>
        <w:gridCol w:w="1272"/>
        <w:gridCol w:w="1559"/>
        <w:gridCol w:w="1272"/>
        <w:gridCol w:w="1697"/>
        <w:gridCol w:w="1273"/>
      </w:tblGrid>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Campus</w:t>
            </w:r>
          </w:p>
        </w:tc>
        <w:tc>
          <w:tcPr>
            <w:tcW w:w="1458"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Course enrolments*</w:t>
            </w:r>
          </w:p>
        </w:tc>
        <w:tc>
          <w:tcPr>
            <w:tcW w:w="1272"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Per cent</w:t>
            </w:r>
          </w:p>
        </w:tc>
        <w:tc>
          <w:tcPr>
            <w:tcW w:w="1697"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Student contact hours</w:t>
            </w:r>
          </w:p>
        </w:tc>
        <w:tc>
          <w:tcPr>
            <w:tcW w:w="1272"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Per cent</w:t>
            </w:r>
          </w:p>
        </w:tc>
        <w:tc>
          <w:tcPr>
            <w:tcW w:w="1559"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Course enrolments*</w:t>
            </w:r>
          </w:p>
        </w:tc>
        <w:tc>
          <w:tcPr>
            <w:tcW w:w="1272" w:type="dxa"/>
            <w:vAlign w:val="bottom"/>
          </w:tcPr>
          <w:p w:rsidR="00485842" w:rsidRDefault="00485842" w:rsidP="00485842">
            <w:pPr>
              <w:autoSpaceDE w:val="0"/>
              <w:autoSpaceDN w:val="0"/>
              <w:adjustRightInd w:val="0"/>
              <w:jc w:val="right"/>
              <w:rPr>
                <w:rFonts w:cstheme="minorHAnsi"/>
                <w:sz w:val="24"/>
                <w:szCs w:val="24"/>
              </w:rPr>
            </w:pPr>
          </w:p>
          <w:p w:rsidR="00485842" w:rsidRDefault="00485842" w:rsidP="00485842">
            <w:pPr>
              <w:autoSpaceDE w:val="0"/>
              <w:autoSpaceDN w:val="0"/>
              <w:adjustRightInd w:val="0"/>
              <w:jc w:val="right"/>
              <w:rPr>
                <w:rFonts w:cstheme="minorHAnsi"/>
                <w:sz w:val="24"/>
                <w:szCs w:val="24"/>
              </w:rPr>
            </w:pPr>
            <w:r>
              <w:rPr>
                <w:rFonts w:cstheme="minorHAnsi"/>
                <w:sz w:val="24"/>
                <w:szCs w:val="24"/>
              </w:rPr>
              <w:t>Per cent</w:t>
            </w:r>
          </w:p>
        </w:tc>
        <w:tc>
          <w:tcPr>
            <w:tcW w:w="1697"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Student contact hours</w:t>
            </w:r>
          </w:p>
        </w:tc>
        <w:tc>
          <w:tcPr>
            <w:tcW w:w="1273" w:type="dxa"/>
            <w:vAlign w:val="bottom"/>
          </w:tcPr>
          <w:p w:rsidR="00485842" w:rsidRDefault="00485842" w:rsidP="00485842">
            <w:pPr>
              <w:autoSpaceDE w:val="0"/>
              <w:autoSpaceDN w:val="0"/>
              <w:adjustRightInd w:val="0"/>
              <w:jc w:val="right"/>
              <w:rPr>
                <w:rFonts w:cstheme="minorHAnsi"/>
                <w:sz w:val="24"/>
                <w:szCs w:val="24"/>
              </w:rPr>
            </w:pPr>
            <w:r>
              <w:rPr>
                <w:rFonts w:cstheme="minorHAnsi"/>
                <w:sz w:val="24"/>
                <w:szCs w:val="24"/>
              </w:rPr>
              <w:t>Per cent</w:t>
            </w:r>
          </w:p>
        </w:tc>
      </w:tr>
      <w:tr w:rsidR="00A33D74" w:rsidTr="00A33D74">
        <w:trPr>
          <w:trHeight w:val="306"/>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Dandenong</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9,978</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25.4%</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2,931,937</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25.4%</w:t>
            </w:r>
          </w:p>
        </w:tc>
        <w:tc>
          <w:tcPr>
            <w:tcW w:w="1559" w:type="dxa"/>
          </w:tcPr>
          <w:p w:rsidR="00485842" w:rsidRPr="00A33D74" w:rsidRDefault="00A33D74" w:rsidP="0064043C">
            <w:pPr>
              <w:autoSpaceDE w:val="0"/>
              <w:autoSpaceDN w:val="0"/>
              <w:adjustRightInd w:val="0"/>
              <w:jc w:val="right"/>
              <w:rPr>
                <w:rFonts w:cstheme="minorHAnsi"/>
                <w:sz w:val="24"/>
                <w:szCs w:val="24"/>
              </w:rPr>
            </w:pPr>
            <w:r w:rsidRPr="00A33D74">
              <w:rPr>
                <w:rFonts w:cstheme="minorHAnsi"/>
                <w:sz w:val="24"/>
                <w:szCs w:val="24"/>
              </w:rPr>
              <w:t>9,973</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24.4%</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2,853,861</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26.2</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Frankston</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7,808</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19.9%</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2,455,190</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21.3%</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7,716</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19.7%</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2,408,649</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22.1</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Berwick</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4,310</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11.0%</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1,729,975</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15.0%</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3,508</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9.0%</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1,630,021</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15.0</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Offshore delivery</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4,555</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11.6%</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1,706,997</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14.8%</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4,681</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11.3%</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1,488,543</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13.7</w:t>
            </w:r>
            <w:r w:rsidR="0061450E">
              <w:rPr>
                <w:rFonts w:cstheme="minorHAnsi"/>
                <w:sz w:val="24"/>
                <w:szCs w:val="24"/>
              </w:rPr>
              <w:t>%</w:t>
            </w:r>
          </w:p>
        </w:tc>
      </w:tr>
      <w:tr w:rsidR="00A33D74" w:rsidTr="00A33D74">
        <w:trPr>
          <w:trHeight w:val="306"/>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Workplace</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5,941</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15.1%</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1,113,955</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9.7%</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6,947</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19.1%</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1,002,550</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9.2</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Cranbourne</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1,910</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4.9%</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413,629</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3.6%</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1,798</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5.0%</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450,633</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4.1</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Chisholm Online</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1,166</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3.0%</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315,319</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2.7%</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1,174</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3.3%</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253,995</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2.3</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Auspiced schools</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987</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2.5%</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209,768</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1.8%</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1,036</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2.9%</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241,328</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2.2</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 xml:space="preserve">Mornington Peninsula </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866</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2.2%</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163,295</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1.4%</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661</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1.8%</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190,925</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1.8</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Adult Migrant English Program (AMEP) campuses</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591</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1.5%</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126,076</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1.1%</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0.0%</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0.0</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Chisholm @ 311</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339</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0.9%</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123,555</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1.1%</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450</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1.2%</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160,004</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1.5</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Bass Coast</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415</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1.1%</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92,929</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0.8%</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396</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1.1%</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132,114</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1.5</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City campus – Flinders Lane(in 2016 – identified as Chisholm Hair Academy)</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138</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0.4%</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81,195</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0.7%</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225</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0.7%</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44,686</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0.4</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City campus – Lonsdale Street</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183</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0.5%</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52,012</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0.5%</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0.0%</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0.0</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Online</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92</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0.2%</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9,861</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0.1%</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189</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0.5%</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20,314</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0.2</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Pakenham</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0.0%</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0.0%</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40</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0.1%</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19,182</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0.2</w:t>
            </w:r>
            <w:r w:rsidR="0061450E">
              <w:rPr>
                <w:rFonts w:cstheme="minorHAnsi"/>
                <w:sz w:val="24"/>
                <w:szCs w:val="24"/>
              </w:rPr>
              <w:t>%</w:t>
            </w:r>
          </w:p>
        </w:tc>
      </w:tr>
      <w:tr w:rsidR="00A33D74" w:rsidTr="00A33D74">
        <w:trPr>
          <w:trHeight w:val="295"/>
        </w:trPr>
        <w:tc>
          <w:tcPr>
            <w:tcW w:w="3101" w:type="dxa"/>
          </w:tcPr>
          <w:p w:rsidR="00485842" w:rsidRDefault="00485842" w:rsidP="0087319C">
            <w:pPr>
              <w:autoSpaceDE w:val="0"/>
              <w:autoSpaceDN w:val="0"/>
              <w:adjustRightInd w:val="0"/>
              <w:rPr>
                <w:rFonts w:cstheme="minorHAnsi"/>
                <w:sz w:val="24"/>
                <w:szCs w:val="24"/>
              </w:rPr>
            </w:pPr>
            <w:r>
              <w:rPr>
                <w:rFonts w:cstheme="minorHAnsi"/>
                <w:sz w:val="24"/>
                <w:szCs w:val="24"/>
              </w:rPr>
              <w:t>Total</w:t>
            </w:r>
          </w:p>
        </w:tc>
        <w:tc>
          <w:tcPr>
            <w:tcW w:w="1458"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39,279</w:t>
            </w:r>
          </w:p>
        </w:tc>
        <w:tc>
          <w:tcPr>
            <w:tcW w:w="1272" w:type="dxa"/>
          </w:tcPr>
          <w:p w:rsidR="00485842" w:rsidRDefault="0064043C" w:rsidP="0064043C">
            <w:pPr>
              <w:autoSpaceDE w:val="0"/>
              <w:autoSpaceDN w:val="0"/>
              <w:adjustRightInd w:val="0"/>
              <w:jc w:val="right"/>
              <w:rPr>
                <w:rFonts w:cstheme="minorHAnsi"/>
                <w:sz w:val="24"/>
                <w:szCs w:val="24"/>
              </w:rPr>
            </w:pPr>
            <w:r>
              <w:rPr>
                <w:rFonts w:cstheme="minorHAnsi"/>
                <w:sz w:val="24"/>
                <w:szCs w:val="24"/>
              </w:rPr>
              <w:t>100.0%</w:t>
            </w:r>
          </w:p>
        </w:tc>
        <w:tc>
          <w:tcPr>
            <w:tcW w:w="1697"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11,525,693</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100.0%</w:t>
            </w:r>
          </w:p>
        </w:tc>
        <w:tc>
          <w:tcPr>
            <w:tcW w:w="1559" w:type="dxa"/>
          </w:tcPr>
          <w:p w:rsidR="00485842" w:rsidRPr="00A33D74" w:rsidRDefault="00A33D74" w:rsidP="00A33D74">
            <w:pPr>
              <w:autoSpaceDE w:val="0"/>
              <w:autoSpaceDN w:val="0"/>
              <w:adjustRightInd w:val="0"/>
              <w:jc w:val="right"/>
              <w:rPr>
                <w:rFonts w:cstheme="minorHAnsi"/>
                <w:sz w:val="24"/>
                <w:szCs w:val="24"/>
              </w:rPr>
            </w:pPr>
            <w:r w:rsidRPr="00A33D74">
              <w:rPr>
                <w:rFonts w:cstheme="minorHAnsi"/>
                <w:sz w:val="24"/>
                <w:szCs w:val="24"/>
              </w:rPr>
              <w:t>38,794</w:t>
            </w:r>
          </w:p>
        </w:tc>
        <w:tc>
          <w:tcPr>
            <w:tcW w:w="1272" w:type="dxa"/>
          </w:tcPr>
          <w:p w:rsidR="00485842" w:rsidRDefault="00A33D74" w:rsidP="0064043C">
            <w:pPr>
              <w:autoSpaceDE w:val="0"/>
              <w:autoSpaceDN w:val="0"/>
              <w:adjustRightInd w:val="0"/>
              <w:jc w:val="right"/>
              <w:rPr>
                <w:rFonts w:cstheme="minorHAnsi"/>
                <w:sz w:val="24"/>
                <w:szCs w:val="24"/>
              </w:rPr>
            </w:pPr>
            <w:r>
              <w:rPr>
                <w:rFonts w:cstheme="minorHAnsi"/>
                <w:sz w:val="24"/>
                <w:szCs w:val="24"/>
              </w:rPr>
              <w:t>100.0%</w:t>
            </w:r>
          </w:p>
        </w:tc>
        <w:tc>
          <w:tcPr>
            <w:tcW w:w="1697" w:type="dxa"/>
          </w:tcPr>
          <w:p w:rsidR="00485842" w:rsidRPr="00A33D74" w:rsidRDefault="00A33D74" w:rsidP="0061450E">
            <w:pPr>
              <w:autoSpaceDE w:val="0"/>
              <w:autoSpaceDN w:val="0"/>
              <w:adjustRightInd w:val="0"/>
              <w:jc w:val="right"/>
              <w:rPr>
                <w:rFonts w:cstheme="minorHAnsi"/>
                <w:sz w:val="24"/>
                <w:szCs w:val="24"/>
              </w:rPr>
            </w:pPr>
            <w:r w:rsidRPr="00A33D74">
              <w:rPr>
                <w:rFonts w:cstheme="minorHAnsi"/>
                <w:sz w:val="24"/>
                <w:szCs w:val="24"/>
              </w:rPr>
              <w:t>10,896,805</w:t>
            </w:r>
          </w:p>
        </w:tc>
        <w:tc>
          <w:tcPr>
            <w:tcW w:w="1273" w:type="dxa"/>
          </w:tcPr>
          <w:p w:rsidR="00485842" w:rsidRDefault="00A33D74" w:rsidP="0061450E">
            <w:pPr>
              <w:autoSpaceDE w:val="0"/>
              <w:autoSpaceDN w:val="0"/>
              <w:adjustRightInd w:val="0"/>
              <w:jc w:val="right"/>
              <w:rPr>
                <w:rFonts w:cstheme="minorHAnsi"/>
                <w:sz w:val="24"/>
                <w:szCs w:val="24"/>
              </w:rPr>
            </w:pPr>
            <w:r>
              <w:rPr>
                <w:rFonts w:cstheme="minorHAnsi"/>
                <w:sz w:val="24"/>
                <w:szCs w:val="24"/>
              </w:rPr>
              <w:t>100.0%</w:t>
            </w:r>
          </w:p>
        </w:tc>
      </w:tr>
    </w:tbl>
    <w:p w:rsidR="00A33D74" w:rsidRDefault="00A33D74" w:rsidP="0087319C">
      <w:pPr>
        <w:autoSpaceDE w:val="0"/>
        <w:autoSpaceDN w:val="0"/>
        <w:adjustRightInd w:val="0"/>
        <w:spacing w:after="0" w:line="240" w:lineRule="auto"/>
        <w:rPr>
          <w:rFonts w:cstheme="minorHAnsi"/>
          <w:caps/>
          <w:sz w:val="24"/>
          <w:szCs w:val="24"/>
        </w:rPr>
        <w:sectPr w:rsidR="00A33D74" w:rsidSect="00A33D74">
          <w:pgSz w:w="16838" w:h="11906" w:orient="landscape"/>
          <w:pgMar w:top="1440" w:right="1440" w:bottom="1440" w:left="1440" w:header="709" w:footer="709" w:gutter="0"/>
          <w:cols w:space="708"/>
          <w:docGrid w:linePitch="360"/>
        </w:sectPr>
      </w:pPr>
    </w:p>
    <w:p w:rsidR="0087319C" w:rsidRDefault="0087319C" w:rsidP="0087319C">
      <w:pPr>
        <w:autoSpaceDE w:val="0"/>
        <w:autoSpaceDN w:val="0"/>
        <w:adjustRightInd w:val="0"/>
        <w:spacing w:after="0" w:line="240" w:lineRule="auto"/>
        <w:rPr>
          <w:rFonts w:cstheme="minorHAnsi"/>
        </w:rPr>
      </w:pPr>
      <w:r>
        <w:rPr>
          <w:rFonts w:cstheme="minorHAnsi"/>
        </w:rPr>
        <w:lastRenderedPageBreak/>
        <w:t>&lt;pp&gt;</w:t>
      </w:r>
      <w:r w:rsidR="007829BB">
        <w:rPr>
          <w:rFonts w:cstheme="minorHAnsi"/>
        </w:rPr>
        <w:t>25</w:t>
      </w:r>
    </w:p>
    <w:p w:rsidR="0087319C" w:rsidRDefault="0087319C" w:rsidP="0087319C">
      <w:pPr>
        <w:autoSpaceDE w:val="0"/>
        <w:autoSpaceDN w:val="0"/>
        <w:adjustRightInd w:val="0"/>
        <w:spacing w:after="0" w:line="240" w:lineRule="auto"/>
        <w:rPr>
          <w:rFonts w:cstheme="minorHAnsi"/>
        </w:rPr>
      </w:pPr>
    </w:p>
    <w:p w:rsidR="0087319C" w:rsidRDefault="0087319C" w:rsidP="006914D6">
      <w:pPr>
        <w:pStyle w:val="Heading2"/>
      </w:pPr>
      <w:r>
        <w:t>International Work</w:t>
      </w:r>
    </w:p>
    <w:p w:rsidR="0087319C" w:rsidRDefault="0087319C" w:rsidP="0087319C">
      <w:pPr>
        <w:autoSpaceDE w:val="0"/>
        <w:autoSpaceDN w:val="0"/>
        <w:adjustRightInd w:val="0"/>
        <w:spacing w:after="0" w:line="240" w:lineRule="auto"/>
        <w:rPr>
          <w:rFonts w:cstheme="minorHAnsi"/>
        </w:rPr>
      </w:pP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Chisholm International continued its success in 2017, with trans-national projects delivering quality results and impressive returns in China, Vietnam, Qatar and other key markets.</w:t>
      </w: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Improved brand awareness of Chisholm increased international interest and inbound international delegations, further strengthening global relations. A renewed focus on providing quality education and training to international students achieved significant increases in visa approval rates for offshore applicants. This translated into renewed market confidence in Chisholm’s value proposition.</w:t>
      </w:r>
    </w:p>
    <w:p w:rsidR="0087319C" w:rsidRPr="00EF4889" w:rsidRDefault="0087319C" w:rsidP="0087319C">
      <w:pPr>
        <w:autoSpaceDE w:val="0"/>
        <w:autoSpaceDN w:val="0"/>
        <w:adjustRightInd w:val="0"/>
        <w:spacing w:after="0" w:line="240" w:lineRule="auto"/>
        <w:rPr>
          <w:rFonts w:cstheme="minorHAnsi"/>
          <w:sz w:val="24"/>
          <w:szCs w:val="24"/>
        </w:rPr>
      </w:pPr>
    </w:p>
    <w:p w:rsidR="0087319C" w:rsidRPr="00EF4889" w:rsidRDefault="0087319C" w:rsidP="006914D6">
      <w:pPr>
        <w:pStyle w:val="Heading2"/>
      </w:pPr>
      <w:r w:rsidRPr="00EF4889">
        <w:t>Transnational Projects</w:t>
      </w:r>
    </w:p>
    <w:p w:rsidR="0087319C" w:rsidRPr="00EF4889" w:rsidRDefault="0087319C" w:rsidP="0087319C">
      <w:pPr>
        <w:autoSpaceDE w:val="0"/>
        <w:autoSpaceDN w:val="0"/>
        <w:adjustRightInd w:val="0"/>
        <w:spacing w:after="0" w:line="240" w:lineRule="auto"/>
        <w:rPr>
          <w:rFonts w:cstheme="minorHAnsi"/>
          <w:sz w:val="24"/>
          <w:szCs w:val="24"/>
        </w:rPr>
      </w:pPr>
    </w:p>
    <w:p w:rsidR="0087319C" w:rsidRPr="00EF4889" w:rsidRDefault="0087319C" w:rsidP="006914D6">
      <w:pPr>
        <w:pStyle w:val="Heading3"/>
      </w:pPr>
      <w:r w:rsidRPr="00EF4889">
        <w:t>Vietnam</w:t>
      </w:r>
    </w:p>
    <w:p w:rsidR="002432A2" w:rsidRDefault="002432A2" w:rsidP="006914D6">
      <w:pPr>
        <w:pStyle w:val="Heading3"/>
      </w:pP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The Government of Vietnam has contracted Chisholm to assist with the rapid transformation of the nation’s vocational training sector to help drive economic growth. Chisholm has developed full qualification packages for 12 high-demand trades, incorporating qualification guidelines, units of competency, learning guides, assessment tools, equipment lists and delivery schedules.</w:t>
      </w: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In 2017, Chisholm has trained 127 Vietnamese educators so they have the trade knowledge and teaching expertise to train local students to a high level of competency’. This brings the total to 320 over 4 years.</w:t>
      </w: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During 2017, Chisholm conducted audits in 24 vocational colleges selected by the Government of Vietnam to trial the new training packages. Chisholm’s capabilities have allowed the project to progress quickly and to effectively help the government build a stronger vocational training sector aligned with industry and government priorities. Chisholm and selected vocational colleges are jointly delivering Australian qualifications in Vietnam under the quality assurance of Chisholm.</w:t>
      </w: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It is anticipated this project will be ongoing as the delivery of the training packages is introduced across all vocational colleges in Vietnam.</w:t>
      </w:r>
    </w:p>
    <w:p w:rsidR="00EF4889" w:rsidRDefault="00EF4889" w:rsidP="0087319C">
      <w:pPr>
        <w:autoSpaceDE w:val="0"/>
        <w:autoSpaceDN w:val="0"/>
        <w:adjustRightInd w:val="0"/>
        <w:spacing w:after="0" w:line="240" w:lineRule="auto"/>
        <w:rPr>
          <w:rFonts w:cstheme="minorHAnsi"/>
          <w:sz w:val="24"/>
          <w:szCs w:val="24"/>
        </w:rPr>
      </w:pP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&lt;pp</w:t>
      </w:r>
      <w:r w:rsidR="007829BB">
        <w:rPr>
          <w:rFonts w:cstheme="minorHAnsi"/>
          <w:sz w:val="24"/>
          <w:szCs w:val="24"/>
        </w:rPr>
        <w:t>&gt;</w:t>
      </w:r>
      <w:r w:rsidR="007829BB" w:rsidRPr="00EF4889">
        <w:rPr>
          <w:rFonts w:cstheme="minorHAnsi"/>
          <w:sz w:val="24"/>
          <w:szCs w:val="24"/>
        </w:rPr>
        <w:t>26</w:t>
      </w:r>
    </w:p>
    <w:p w:rsidR="0087319C" w:rsidRPr="00EF4889" w:rsidRDefault="0087319C" w:rsidP="0087319C">
      <w:pPr>
        <w:autoSpaceDE w:val="0"/>
        <w:autoSpaceDN w:val="0"/>
        <w:adjustRightInd w:val="0"/>
        <w:spacing w:after="0" w:line="240" w:lineRule="auto"/>
        <w:rPr>
          <w:rFonts w:cstheme="minorHAnsi"/>
          <w:sz w:val="24"/>
          <w:szCs w:val="24"/>
        </w:rPr>
      </w:pPr>
    </w:p>
    <w:p w:rsidR="0087319C" w:rsidRPr="00EF4889" w:rsidRDefault="0087319C" w:rsidP="006914D6">
      <w:pPr>
        <w:pStyle w:val="Heading3"/>
      </w:pPr>
      <w:r w:rsidRPr="00EF4889">
        <w:t>Overseas Visits</w:t>
      </w:r>
    </w:p>
    <w:p w:rsidR="002432A2" w:rsidRDefault="002432A2" w:rsidP="0087319C">
      <w:pPr>
        <w:autoSpaceDE w:val="0"/>
        <w:autoSpaceDN w:val="0"/>
        <w:adjustRightInd w:val="0"/>
        <w:spacing w:after="0" w:line="240" w:lineRule="auto"/>
        <w:rPr>
          <w:rFonts w:cstheme="minorHAnsi"/>
          <w:sz w:val="24"/>
          <w:szCs w:val="24"/>
        </w:rPr>
      </w:pP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Chisholm continued its business development activities during 2017 to secure new international project opportunities. Chisholm also delivered</w:t>
      </w:r>
      <w:r w:rsidR="00AA59FF" w:rsidRPr="00EF4889">
        <w:rPr>
          <w:rFonts w:cstheme="minorHAnsi"/>
          <w:sz w:val="24"/>
          <w:szCs w:val="24"/>
        </w:rPr>
        <w:t xml:space="preserve"> two Asia VET Mobility projects </w:t>
      </w:r>
      <w:r w:rsidRPr="00EF4889">
        <w:rPr>
          <w:rFonts w:cstheme="minorHAnsi"/>
          <w:sz w:val="24"/>
          <w:szCs w:val="24"/>
        </w:rPr>
        <w:t>funded by the Australian Government’s Department of</w:t>
      </w:r>
      <w:r w:rsidR="00AA59FF" w:rsidRPr="00EF4889">
        <w:rPr>
          <w:rFonts w:cstheme="minorHAnsi"/>
          <w:sz w:val="24"/>
          <w:szCs w:val="24"/>
        </w:rPr>
        <w:t xml:space="preserve"> </w:t>
      </w:r>
      <w:r w:rsidRPr="00EF4889">
        <w:rPr>
          <w:rFonts w:cstheme="minorHAnsi"/>
          <w:sz w:val="24"/>
          <w:szCs w:val="24"/>
        </w:rPr>
        <w:t>Education in 2017. One group of Chisholm’s tourism and</w:t>
      </w:r>
      <w:r w:rsidR="00AA59FF" w:rsidRPr="00EF4889">
        <w:rPr>
          <w:rFonts w:cstheme="minorHAnsi"/>
          <w:sz w:val="24"/>
          <w:szCs w:val="24"/>
        </w:rPr>
        <w:t xml:space="preserve"> </w:t>
      </w:r>
      <w:r w:rsidRPr="00EF4889">
        <w:rPr>
          <w:rFonts w:cstheme="minorHAnsi"/>
          <w:sz w:val="24"/>
          <w:szCs w:val="24"/>
        </w:rPr>
        <w:t>hospitality students partici</w:t>
      </w:r>
      <w:r w:rsidR="00AA59FF" w:rsidRPr="00EF4889">
        <w:rPr>
          <w:rFonts w:cstheme="minorHAnsi"/>
          <w:sz w:val="24"/>
          <w:szCs w:val="24"/>
        </w:rPr>
        <w:t xml:space="preserve">pated in a 10-day study tour of </w:t>
      </w:r>
      <w:r w:rsidRPr="00EF4889">
        <w:rPr>
          <w:rFonts w:cstheme="minorHAnsi"/>
          <w:sz w:val="24"/>
          <w:szCs w:val="24"/>
        </w:rPr>
        <w:t>China and Hong Kong. Another group of Chisholm’</w:t>
      </w:r>
      <w:r w:rsidR="00AA59FF" w:rsidRPr="00EF4889">
        <w:rPr>
          <w:rFonts w:cstheme="minorHAnsi"/>
          <w:sz w:val="24"/>
          <w:szCs w:val="24"/>
        </w:rPr>
        <w:t xml:space="preserve">s early </w:t>
      </w:r>
      <w:r w:rsidRPr="00EF4889">
        <w:rPr>
          <w:rFonts w:cstheme="minorHAnsi"/>
          <w:sz w:val="24"/>
          <w:szCs w:val="24"/>
        </w:rPr>
        <w:t>childhood education stude</w:t>
      </w:r>
      <w:r w:rsidR="00AA59FF" w:rsidRPr="00EF4889">
        <w:rPr>
          <w:rFonts w:cstheme="minorHAnsi"/>
          <w:sz w:val="24"/>
          <w:szCs w:val="24"/>
        </w:rPr>
        <w:t xml:space="preserve">nts visited childhood education </w:t>
      </w:r>
      <w:r w:rsidRPr="00EF4889">
        <w:rPr>
          <w:rFonts w:cstheme="minorHAnsi"/>
          <w:sz w:val="24"/>
          <w:szCs w:val="24"/>
        </w:rPr>
        <w:t>centres and vocational schools in Singapore and China.</w:t>
      </w:r>
    </w:p>
    <w:p w:rsidR="0087319C" w:rsidRPr="00EF4889" w:rsidRDefault="0087319C" w:rsidP="0087319C">
      <w:pPr>
        <w:autoSpaceDE w:val="0"/>
        <w:autoSpaceDN w:val="0"/>
        <w:adjustRightInd w:val="0"/>
        <w:spacing w:after="0" w:line="240" w:lineRule="auto"/>
        <w:rPr>
          <w:rFonts w:cstheme="minorHAnsi"/>
          <w:sz w:val="24"/>
          <w:szCs w:val="24"/>
        </w:rPr>
      </w:pPr>
      <w:r w:rsidRPr="00EF4889">
        <w:rPr>
          <w:rFonts w:cstheme="minorHAnsi"/>
          <w:sz w:val="24"/>
          <w:szCs w:val="24"/>
        </w:rPr>
        <w:t>Students benefited from exp</w:t>
      </w:r>
      <w:r w:rsidR="00AA59FF" w:rsidRPr="00EF4889">
        <w:rPr>
          <w:rFonts w:cstheme="minorHAnsi"/>
          <w:sz w:val="24"/>
          <w:szCs w:val="24"/>
        </w:rPr>
        <w:t xml:space="preserve">eriencing first-hand a range of </w:t>
      </w:r>
      <w:r w:rsidRPr="00EF4889">
        <w:rPr>
          <w:rFonts w:cstheme="minorHAnsi"/>
          <w:sz w:val="24"/>
          <w:szCs w:val="24"/>
        </w:rPr>
        <w:t>different cultures and approac</w:t>
      </w:r>
      <w:r w:rsidR="00AA59FF" w:rsidRPr="00EF4889">
        <w:rPr>
          <w:rFonts w:cstheme="minorHAnsi"/>
          <w:sz w:val="24"/>
          <w:szCs w:val="24"/>
        </w:rPr>
        <w:t xml:space="preserve">hes to the knowledge and skills </w:t>
      </w:r>
      <w:r w:rsidRPr="00EF4889">
        <w:rPr>
          <w:rFonts w:cstheme="minorHAnsi"/>
          <w:sz w:val="24"/>
          <w:szCs w:val="24"/>
        </w:rPr>
        <w:t>they are developing in their courses.</w:t>
      </w:r>
    </w:p>
    <w:p w:rsidR="00AA59FF" w:rsidRPr="00EF4889" w:rsidRDefault="00AA59FF" w:rsidP="0087319C">
      <w:pPr>
        <w:autoSpaceDE w:val="0"/>
        <w:autoSpaceDN w:val="0"/>
        <w:adjustRightInd w:val="0"/>
        <w:spacing w:after="0" w:line="240" w:lineRule="auto"/>
        <w:rPr>
          <w:rFonts w:cstheme="minorHAnsi"/>
          <w:sz w:val="24"/>
          <w:szCs w:val="24"/>
        </w:rPr>
      </w:pPr>
    </w:p>
    <w:p w:rsidR="00AA59FF" w:rsidRPr="00EF4889" w:rsidRDefault="00AA59FF" w:rsidP="006914D6">
      <w:pPr>
        <w:pStyle w:val="Heading3"/>
      </w:pPr>
      <w:r w:rsidRPr="00EF4889">
        <w:lastRenderedPageBreak/>
        <w:t>Overseas Operations</w:t>
      </w:r>
    </w:p>
    <w:p w:rsidR="002432A2" w:rsidRDefault="002432A2" w:rsidP="00AA59FF">
      <w:pPr>
        <w:autoSpaceDE w:val="0"/>
        <w:autoSpaceDN w:val="0"/>
        <w:adjustRightInd w:val="0"/>
        <w:spacing w:after="0" w:line="240" w:lineRule="auto"/>
        <w:rPr>
          <w:rFonts w:cstheme="minorHAnsi"/>
          <w:sz w:val="24"/>
          <w:szCs w:val="24"/>
        </w:rPr>
      </w:pP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Nature of strategic and operational risks</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The Chisholm Internatio</w:t>
      </w:r>
      <w:r w:rsidR="00EF4889">
        <w:rPr>
          <w:rFonts w:cstheme="minorHAnsi"/>
          <w:sz w:val="24"/>
          <w:szCs w:val="24"/>
        </w:rPr>
        <w:t xml:space="preserve">nal Strategy embraces strategic partnerships that provide </w:t>
      </w:r>
      <w:r w:rsidRPr="00EF4889">
        <w:rPr>
          <w:rFonts w:cstheme="minorHAnsi"/>
          <w:sz w:val="24"/>
          <w:szCs w:val="24"/>
        </w:rPr>
        <w:t>opportunit</w:t>
      </w:r>
      <w:r w:rsidR="00EF4889">
        <w:rPr>
          <w:rFonts w:cstheme="minorHAnsi"/>
          <w:sz w:val="24"/>
          <w:szCs w:val="24"/>
        </w:rPr>
        <w:t xml:space="preserve">ies for revenue growth, </w:t>
      </w:r>
      <w:r w:rsidRPr="00EF4889">
        <w:rPr>
          <w:rFonts w:cstheme="minorHAnsi"/>
          <w:sz w:val="24"/>
          <w:szCs w:val="24"/>
        </w:rPr>
        <w:t>capacity building, profe</w:t>
      </w:r>
      <w:r w:rsidR="00EF4889">
        <w:rPr>
          <w:rFonts w:cstheme="minorHAnsi"/>
          <w:sz w:val="24"/>
          <w:szCs w:val="24"/>
        </w:rPr>
        <w:t xml:space="preserve">ssional development and student </w:t>
      </w:r>
      <w:r w:rsidRPr="00EF4889">
        <w:rPr>
          <w:rFonts w:cstheme="minorHAnsi"/>
          <w:sz w:val="24"/>
          <w:szCs w:val="24"/>
        </w:rPr>
        <w:t>mobility. The strategy drives a</w:t>
      </w:r>
      <w:r w:rsidR="00EF4889">
        <w:rPr>
          <w:rFonts w:cstheme="minorHAnsi"/>
          <w:sz w:val="24"/>
          <w:szCs w:val="24"/>
        </w:rPr>
        <w:t xml:space="preserve">ctivities that target countries </w:t>
      </w:r>
      <w:r w:rsidRPr="00EF4889">
        <w:rPr>
          <w:rFonts w:cstheme="minorHAnsi"/>
          <w:sz w:val="24"/>
          <w:szCs w:val="24"/>
        </w:rPr>
        <w:t>and partners across the gl</w:t>
      </w:r>
      <w:r w:rsidR="00EF4889">
        <w:rPr>
          <w:rFonts w:cstheme="minorHAnsi"/>
          <w:sz w:val="24"/>
          <w:szCs w:val="24"/>
        </w:rPr>
        <w:t xml:space="preserve">obe. The international strategy </w:t>
      </w:r>
      <w:r w:rsidRPr="00EF4889">
        <w:rPr>
          <w:rFonts w:cstheme="minorHAnsi"/>
          <w:sz w:val="24"/>
          <w:szCs w:val="24"/>
        </w:rPr>
        <w:t>is underpinned by robust risk analysis at all stages of</w:t>
      </w:r>
      <w:r w:rsidR="00EF4889">
        <w:rPr>
          <w:rFonts w:cstheme="minorHAnsi"/>
          <w:sz w:val="24"/>
          <w:szCs w:val="24"/>
        </w:rPr>
        <w:t xml:space="preserve"> </w:t>
      </w:r>
      <w:r w:rsidRPr="00EF4889">
        <w:rPr>
          <w:rFonts w:cstheme="minorHAnsi"/>
          <w:sz w:val="24"/>
          <w:szCs w:val="24"/>
        </w:rPr>
        <w:t>engagement and the risks ass</w:t>
      </w:r>
      <w:r w:rsidR="00EF4889">
        <w:rPr>
          <w:rFonts w:cstheme="minorHAnsi"/>
          <w:sz w:val="24"/>
          <w:szCs w:val="24"/>
        </w:rPr>
        <w:t xml:space="preserve">ociated with all activities are </w:t>
      </w:r>
      <w:r w:rsidRPr="00EF4889">
        <w:rPr>
          <w:rFonts w:cstheme="minorHAnsi"/>
          <w:sz w:val="24"/>
          <w:szCs w:val="24"/>
        </w:rPr>
        <w:t>carefully managed and mitigated.</w:t>
      </w:r>
    </w:p>
    <w:p w:rsidR="0087319C" w:rsidRPr="00EF4889" w:rsidRDefault="0087319C" w:rsidP="00D861AE">
      <w:pPr>
        <w:autoSpaceDE w:val="0"/>
        <w:autoSpaceDN w:val="0"/>
        <w:adjustRightInd w:val="0"/>
        <w:spacing w:after="0" w:line="240" w:lineRule="auto"/>
        <w:rPr>
          <w:rFonts w:cstheme="minorHAnsi"/>
          <w:sz w:val="24"/>
          <w:szCs w:val="24"/>
        </w:rPr>
      </w:pPr>
    </w:p>
    <w:p w:rsidR="00AA59FF" w:rsidRPr="00EF4889" w:rsidRDefault="00AA59FF" w:rsidP="006914D6">
      <w:pPr>
        <w:pStyle w:val="Heading3"/>
      </w:pPr>
      <w:r w:rsidRPr="00EF4889">
        <w:t>Delegations and Study Tours</w:t>
      </w:r>
    </w:p>
    <w:p w:rsidR="002432A2" w:rsidRDefault="002432A2" w:rsidP="00AA59FF">
      <w:pPr>
        <w:autoSpaceDE w:val="0"/>
        <w:autoSpaceDN w:val="0"/>
        <w:adjustRightInd w:val="0"/>
        <w:spacing w:after="0" w:line="240" w:lineRule="auto"/>
        <w:rPr>
          <w:rFonts w:cstheme="minorHAnsi"/>
          <w:sz w:val="24"/>
          <w:szCs w:val="24"/>
        </w:rPr>
      </w:pP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Strong demand continued for Chisholm to host international delegations from overseas who are actively seeking collaborative partnerships with Australian institutes. These included:</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Xuzhou delegation – China – July</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Changchun study tour – China – July</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CEC study tour – China – July</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Ministry of Education – China – August</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Gyeongbuk Provincial College – Korea – October</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Guizhou Province – China – November</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South Perak Region – Malaysia – November</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Guangdon Province – China – November.</w:t>
      </w:r>
    </w:p>
    <w:p w:rsidR="00AA59FF" w:rsidRPr="00EF4889" w:rsidRDefault="00AA59FF" w:rsidP="00AA59FF">
      <w:pPr>
        <w:autoSpaceDE w:val="0"/>
        <w:autoSpaceDN w:val="0"/>
        <w:adjustRightInd w:val="0"/>
        <w:spacing w:after="0" w:line="240" w:lineRule="auto"/>
        <w:rPr>
          <w:rFonts w:cstheme="minorHAnsi"/>
          <w:sz w:val="24"/>
          <w:szCs w:val="24"/>
        </w:rPr>
      </w:pPr>
    </w:p>
    <w:p w:rsidR="00AA59FF" w:rsidRPr="00EF4889" w:rsidRDefault="00AA59FF" w:rsidP="006914D6">
      <w:pPr>
        <w:pStyle w:val="Heading3"/>
      </w:pPr>
      <w:r w:rsidRPr="00EF4889">
        <w:t>China</w:t>
      </w:r>
    </w:p>
    <w:p w:rsidR="002432A2" w:rsidRDefault="002432A2" w:rsidP="00AA59FF">
      <w:pPr>
        <w:autoSpaceDE w:val="0"/>
        <w:autoSpaceDN w:val="0"/>
        <w:adjustRightInd w:val="0"/>
        <w:spacing w:after="0" w:line="240" w:lineRule="auto"/>
        <w:rPr>
          <w:rFonts w:cstheme="minorHAnsi"/>
          <w:sz w:val="24"/>
          <w:szCs w:val="24"/>
        </w:rPr>
      </w:pP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Chisholm continues to work c</w:t>
      </w:r>
      <w:r w:rsidR="003F7A37" w:rsidRPr="00EF4889">
        <w:rPr>
          <w:rFonts w:cstheme="minorHAnsi"/>
          <w:sz w:val="24"/>
          <w:szCs w:val="24"/>
        </w:rPr>
        <w:t xml:space="preserve">ollaboratively with 13 colleges </w:t>
      </w:r>
      <w:r w:rsidRPr="00EF4889">
        <w:rPr>
          <w:rFonts w:cstheme="minorHAnsi"/>
          <w:sz w:val="24"/>
          <w:szCs w:val="24"/>
        </w:rPr>
        <w:t>across China – including eight electricit</w:t>
      </w:r>
      <w:r w:rsidR="003F7A37" w:rsidRPr="00EF4889">
        <w:rPr>
          <w:rFonts w:cstheme="minorHAnsi"/>
          <w:sz w:val="24"/>
          <w:szCs w:val="24"/>
        </w:rPr>
        <w:t xml:space="preserve">y company </w:t>
      </w:r>
      <w:r w:rsidRPr="00EF4889">
        <w:rPr>
          <w:rFonts w:cstheme="minorHAnsi"/>
          <w:sz w:val="24"/>
          <w:szCs w:val="24"/>
        </w:rPr>
        <w:t>vocational colleges – to d</w:t>
      </w:r>
      <w:r w:rsidR="003F7A37" w:rsidRPr="00EF4889">
        <w:rPr>
          <w:rFonts w:cstheme="minorHAnsi"/>
          <w:sz w:val="24"/>
          <w:szCs w:val="24"/>
        </w:rPr>
        <w:t xml:space="preserve">eliver Chisholm courses to more </w:t>
      </w:r>
      <w:r w:rsidRPr="00EF4889">
        <w:rPr>
          <w:rFonts w:cstheme="minorHAnsi"/>
          <w:sz w:val="24"/>
          <w:szCs w:val="24"/>
        </w:rPr>
        <w:t>than 3,300 students. The s</w:t>
      </w:r>
      <w:r w:rsidR="003F7A37" w:rsidRPr="00EF4889">
        <w:rPr>
          <w:rFonts w:cstheme="minorHAnsi"/>
          <w:sz w:val="24"/>
          <w:szCs w:val="24"/>
        </w:rPr>
        <w:t xml:space="preserve">uccess of this project rests on </w:t>
      </w:r>
      <w:r w:rsidRPr="00EF4889">
        <w:rPr>
          <w:rFonts w:cstheme="minorHAnsi"/>
          <w:sz w:val="24"/>
          <w:szCs w:val="24"/>
        </w:rPr>
        <w:t>providing expertise for student</w:t>
      </w:r>
      <w:r w:rsidR="003F7A37" w:rsidRPr="00EF4889">
        <w:rPr>
          <w:rFonts w:cstheme="minorHAnsi"/>
          <w:sz w:val="24"/>
          <w:szCs w:val="24"/>
        </w:rPr>
        <w:t xml:space="preserve"> training in the colleges along </w:t>
      </w:r>
      <w:r w:rsidRPr="00EF4889">
        <w:rPr>
          <w:rFonts w:cstheme="minorHAnsi"/>
          <w:sz w:val="24"/>
          <w:szCs w:val="24"/>
        </w:rPr>
        <w:t>with a supporting framewor</w:t>
      </w:r>
      <w:r w:rsidR="003F7A37" w:rsidRPr="00EF4889">
        <w:rPr>
          <w:rFonts w:cstheme="minorHAnsi"/>
          <w:sz w:val="24"/>
          <w:szCs w:val="24"/>
        </w:rPr>
        <w:t xml:space="preserve">k for professional development, </w:t>
      </w:r>
      <w:r w:rsidRPr="00EF4889">
        <w:rPr>
          <w:rFonts w:cstheme="minorHAnsi"/>
          <w:sz w:val="24"/>
          <w:szCs w:val="24"/>
        </w:rPr>
        <w:t xml:space="preserve">appropriate local quality </w:t>
      </w:r>
      <w:r w:rsidR="003F7A37" w:rsidRPr="00EF4889">
        <w:rPr>
          <w:rFonts w:cstheme="minorHAnsi"/>
          <w:sz w:val="24"/>
          <w:szCs w:val="24"/>
        </w:rPr>
        <w:t xml:space="preserve">and risk frameworks and regular </w:t>
      </w:r>
      <w:r w:rsidRPr="00EF4889">
        <w:rPr>
          <w:rFonts w:cstheme="minorHAnsi"/>
          <w:sz w:val="24"/>
          <w:szCs w:val="24"/>
        </w:rPr>
        <w:t>joint management meetings in China.</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xml:space="preserve">The joint program offers the </w:t>
      </w:r>
      <w:r w:rsidR="003F7A37" w:rsidRPr="00EF4889">
        <w:rPr>
          <w:rFonts w:cstheme="minorHAnsi"/>
          <w:sz w:val="24"/>
          <w:szCs w:val="24"/>
        </w:rPr>
        <w:t xml:space="preserve">Chinese colleges a key point of </w:t>
      </w:r>
      <w:r w:rsidRPr="00EF4889">
        <w:rPr>
          <w:rFonts w:cstheme="minorHAnsi"/>
          <w:sz w:val="24"/>
          <w:szCs w:val="24"/>
        </w:rPr>
        <w:t xml:space="preserve">difference when attracting </w:t>
      </w:r>
      <w:r w:rsidR="003F7A37" w:rsidRPr="00EF4889">
        <w:rPr>
          <w:rFonts w:cstheme="minorHAnsi"/>
          <w:sz w:val="24"/>
          <w:szCs w:val="24"/>
        </w:rPr>
        <w:t xml:space="preserve">new students. Graduates can use </w:t>
      </w:r>
      <w:r w:rsidRPr="00EF4889">
        <w:rPr>
          <w:rFonts w:cstheme="minorHAnsi"/>
          <w:sz w:val="24"/>
          <w:szCs w:val="24"/>
        </w:rPr>
        <w:t xml:space="preserve">their dual qualifications to consider other global </w:t>
      </w:r>
      <w:r w:rsidR="003F7A37" w:rsidRPr="00EF4889">
        <w:rPr>
          <w:rFonts w:cstheme="minorHAnsi"/>
          <w:sz w:val="24"/>
          <w:szCs w:val="24"/>
        </w:rPr>
        <w:t xml:space="preserve">and career </w:t>
      </w:r>
      <w:r w:rsidRPr="00EF4889">
        <w:rPr>
          <w:rFonts w:cstheme="minorHAnsi"/>
          <w:sz w:val="24"/>
          <w:szCs w:val="24"/>
        </w:rPr>
        <w:t>options. The collaboration p</w:t>
      </w:r>
      <w:r w:rsidR="003F7A37" w:rsidRPr="00EF4889">
        <w:rPr>
          <w:rFonts w:cstheme="minorHAnsi"/>
          <w:sz w:val="24"/>
          <w:szCs w:val="24"/>
        </w:rPr>
        <w:t xml:space="preserve">rovides the local industry with </w:t>
      </w:r>
      <w:r w:rsidRPr="00EF4889">
        <w:rPr>
          <w:rFonts w:cstheme="minorHAnsi"/>
          <w:sz w:val="24"/>
          <w:szCs w:val="24"/>
        </w:rPr>
        <w:t>a work-ready pool of bilingual</w:t>
      </w:r>
      <w:r w:rsidR="003F7A37" w:rsidRPr="00EF4889">
        <w:rPr>
          <w:rFonts w:cstheme="minorHAnsi"/>
          <w:sz w:val="24"/>
          <w:szCs w:val="24"/>
        </w:rPr>
        <w:t xml:space="preserve"> local talent. For graduates of </w:t>
      </w:r>
      <w:r w:rsidRPr="00EF4889">
        <w:rPr>
          <w:rFonts w:cstheme="minorHAnsi"/>
          <w:sz w:val="24"/>
          <w:szCs w:val="24"/>
        </w:rPr>
        <w:t>the program, the tangible benefi</w:t>
      </w:r>
      <w:r w:rsidR="003F7A37" w:rsidRPr="00EF4889">
        <w:rPr>
          <w:rFonts w:cstheme="minorHAnsi"/>
          <w:sz w:val="24"/>
          <w:szCs w:val="24"/>
        </w:rPr>
        <w:t xml:space="preserve">ts include dual qualifications, </w:t>
      </w:r>
      <w:r w:rsidRPr="00EF4889">
        <w:rPr>
          <w:rFonts w:cstheme="minorHAnsi"/>
          <w:sz w:val="24"/>
          <w:szCs w:val="24"/>
        </w:rPr>
        <w:t>skills linked to prospecti</w:t>
      </w:r>
      <w:r w:rsidR="003F7A37" w:rsidRPr="00EF4889">
        <w:rPr>
          <w:rFonts w:cstheme="minorHAnsi"/>
          <w:sz w:val="24"/>
          <w:szCs w:val="24"/>
        </w:rPr>
        <w:t xml:space="preserve">ve employment, improved English </w:t>
      </w:r>
      <w:r w:rsidRPr="00EF4889">
        <w:rPr>
          <w:rFonts w:cstheme="minorHAnsi"/>
          <w:sz w:val="24"/>
          <w:szCs w:val="24"/>
        </w:rPr>
        <w:t>language skills and greater learning capacity.</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In 2017, a new agreem</w:t>
      </w:r>
      <w:r w:rsidR="003F7A37" w:rsidRPr="00EF4889">
        <w:rPr>
          <w:rFonts w:cstheme="minorHAnsi"/>
          <w:sz w:val="24"/>
          <w:szCs w:val="24"/>
        </w:rPr>
        <w:t xml:space="preserve">ent was signed with the Beijing </w:t>
      </w:r>
      <w:r w:rsidRPr="00EF4889">
        <w:rPr>
          <w:rFonts w:cstheme="minorHAnsi"/>
          <w:sz w:val="24"/>
          <w:szCs w:val="24"/>
        </w:rPr>
        <w:t>Polytechnic College. Th</w:t>
      </w:r>
      <w:r w:rsidR="003F7A37" w:rsidRPr="00EF4889">
        <w:rPr>
          <w:rFonts w:cstheme="minorHAnsi"/>
          <w:sz w:val="24"/>
          <w:szCs w:val="24"/>
        </w:rPr>
        <w:t xml:space="preserve">is agreement makes Chisholm the </w:t>
      </w:r>
      <w:r w:rsidRPr="00EF4889">
        <w:rPr>
          <w:rFonts w:cstheme="minorHAnsi"/>
          <w:sz w:val="24"/>
          <w:szCs w:val="24"/>
        </w:rPr>
        <w:t xml:space="preserve">first signed provider for a </w:t>
      </w:r>
      <w:r w:rsidR="003F7A37" w:rsidRPr="00EF4889">
        <w:rPr>
          <w:rFonts w:cstheme="minorHAnsi"/>
          <w:sz w:val="24"/>
          <w:szCs w:val="24"/>
        </w:rPr>
        <w:t xml:space="preserve">project approved by the Beijing </w:t>
      </w:r>
      <w:r w:rsidRPr="00EF4889">
        <w:rPr>
          <w:rFonts w:cstheme="minorHAnsi"/>
          <w:sz w:val="24"/>
          <w:szCs w:val="24"/>
        </w:rPr>
        <w:t>government that funds outgoing students to</w:t>
      </w:r>
      <w:r w:rsidR="003F7A37" w:rsidRPr="00EF4889">
        <w:rPr>
          <w:rFonts w:cstheme="minorHAnsi"/>
          <w:sz w:val="24"/>
          <w:szCs w:val="24"/>
        </w:rPr>
        <w:t xml:space="preserve"> offshore </w:t>
      </w:r>
      <w:r w:rsidRPr="00EF4889">
        <w:rPr>
          <w:rFonts w:cstheme="minorHAnsi"/>
          <w:sz w:val="24"/>
          <w:szCs w:val="24"/>
        </w:rPr>
        <w:t>providers. The program has</w:t>
      </w:r>
      <w:r w:rsidR="003F7A37" w:rsidRPr="00EF4889">
        <w:rPr>
          <w:rFonts w:cstheme="minorHAnsi"/>
          <w:sz w:val="24"/>
          <w:szCs w:val="24"/>
        </w:rPr>
        <w:t xml:space="preserve"> students in the pipeline which </w:t>
      </w:r>
      <w:r w:rsidRPr="00EF4889">
        <w:rPr>
          <w:rFonts w:cstheme="minorHAnsi"/>
          <w:sz w:val="24"/>
          <w:szCs w:val="24"/>
        </w:rPr>
        <w:t>will see them transition i</w:t>
      </w:r>
      <w:r w:rsidR="003F7A37" w:rsidRPr="00EF4889">
        <w:rPr>
          <w:rFonts w:cstheme="minorHAnsi"/>
          <w:sz w:val="24"/>
          <w:szCs w:val="24"/>
        </w:rPr>
        <w:t xml:space="preserve">nto Chisholm engineering degree </w:t>
      </w:r>
      <w:r w:rsidRPr="00EF4889">
        <w:rPr>
          <w:rFonts w:cstheme="minorHAnsi"/>
          <w:sz w:val="24"/>
          <w:szCs w:val="24"/>
        </w:rPr>
        <w:t>programs in 2020.</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In addition, a new teacher training agreement was signed</w:t>
      </w:r>
      <w:r w:rsidR="003F7A37" w:rsidRPr="00EF4889">
        <w:rPr>
          <w:rFonts w:cstheme="minorHAnsi"/>
          <w:sz w:val="24"/>
          <w:szCs w:val="24"/>
        </w:rPr>
        <w:t xml:space="preserve"> </w:t>
      </w:r>
      <w:r w:rsidRPr="00EF4889">
        <w:rPr>
          <w:rFonts w:cstheme="minorHAnsi"/>
          <w:sz w:val="24"/>
          <w:szCs w:val="24"/>
        </w:rPr>
        <w:t>with Chongqing Industry Polytechnic to provide five wee</w:t>
      </w:r>
      <w:r w:rsidR="003F7A37" w:rsidRPr="00EF4889">
        <w:rPr>
          <w:rFonts w:cstheme="minorHAnsi"/>
          <w:sz w:val="24"/>
          <w:szCs w:val="24"/>
        </w:rPr>
        <w:t xml:space="preserve">ks </w:t>
      </w:r>
      <w:r w:rsidRPr="00EF4889">
        <w:rPr>
          <w:rFonts w:cstheme="minorHAnsi"/>
          <w:sz w:val="24"/>
          <w:szCs w:val="24"/>
        </w:rPr>
        <w:t>of training and assessment delivery in China in March 2018.</w:t>
      </w:r>
    </w:p>
    <w:p w:rsidR="00AA59FF" w:rsidRPr="00EF4889" w:rsidRDefault="00AA59FF" w:rsidP="00AA59FF">
      <w:pPr>
        <w:autoSpaceDE w:val="0"/>
        <w:autoSpaceDN w:val="0"/>
        <w:adjustRightInd w:val="0"/>
        <w:spacing w:after="0" w:line="240" w:lineRule="auto"/>
        <w:rPr>
          <w:rFonts w:cstheme="minorHAnsi"/>
          <w:sz w:val="24"/>
          <w:szCs w:val="24"/>
        </w:rPr>
      </w:pPr>
    </w:p>
    <w:p w:rsidR="00AA59FF" w:rsidRPr="00EF4889" w:rsidRDefault="00AA59FF" w:rsidP="006914D6">
      <w:pPr>
        <w:pStyle w:val="Heading3"/>
      </w:pPr>
      <w:r w:rsidRPr="00EF4889">
        <w:t>Qatar</w:t>
      </w:r>
    </w:p>
    <w:p w:rsidR="002432A2" w:rsidRDefault="002432A2" w:rsidP="00AA59FF">
      <w:pPr>
        <w:autoSpaceDE w:val="0"/>
        <w:autoSpaceDN w:val="0"/>
        <w:adjustRightInd w:val="0"/>
        <w:spacing w:after="0" w:line="240" w:lineRule="auto"/>
        <w:rPr>
          <w:rFonts w:cstheme="minorHAnsi"/>
          <w:sz w:val="24"/>
          <w:szCs w:val="24"/>
        </w:rPr>
      </w:pP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lastRenderedPageBreak/>
        <w:t>Chisholm completed it</w:t>
      </w:r>
      <w:r w:rsidR="003F7A37" w:rsidRPr="00EF4889">
        <w:rPr>
          <w:rFonts w:cstheme="minorHAnsi"/>
          <w:sz w:val="24"/>
          <w:szCs w:val="24"/>
        </w:rPr>
        <w:t xml:space="preserve">s long-running training project </w:t>
      </w:r>
      <w:r w:rsidRPr="00EF4889">
        <w:rPr>
          <w:rFonts w:cstheme="minorHAnsi"/>
          <w:sz w:val="24"/>
          <w:szCs w:val="24"/>
        </w:rPr>
        <w:t>delivered in partnershi</w:t>
      </w:r>
      <w:r w:rsidR="003F7A37" w:rsidRPr="00EF4889">
        <w:rPr>
          <w:rFonts w:cstheme="minorHAnsi"/>
          <w:sz w:val="24"/>
          <w:szCs w:val="24"/>
        </w:rPr>
        <w:t xml:space="preserve">p with Qatar Petroleum in 2017. </w:t>
      </w:r>
      <w:r w:rsidRPr="00EF4889">
        <w:rPr>
          <w:rFonts w:cstheme="minorHAnsi"/>
          <w:sz w:val="24"/>
          <w:szCs w:val="24"/>
        </w:rPr>
        <w:t>Since the program was la</w:t>
      </w:r>
      <w:r w:rsidR="003F7A37" w:rsidRPr="00EF4889">
        <w:rPr>
          <w:rFonts w:cstheme="minorHAnsi"/>
          <w:sz w:val="24"/>
          <w:szCs w:val="24"/>
        </w:rPr>
        <w:t>unched in 2012, more than 1,200</w:t>
      </w:r>
      <w:r w:rsidRPr="00EF4889">
        <w:rPr>
          <w:rFonts w:cstheme="minorHAnsi"/>
          <w:sz w:val="24"/>
          <w:szCs w:val="24"/>
        </w:rPr>
        <w:t>employees of Qatar Petroleum h</w:t>
      </w:r>
      <w:r w:rsidR="003F7A37" w:rsidRPr="00EF4889">
        <w:rPr>
          <w:rFonts w:cstheme="minorHAnsi"/>
          <w:sz w:val="24"/>
          <w:szCs w:val="24"/>
        </w:rPr>
        <w:t xml:space="preserve">ave received Australian </w:t>
      </w:r>
      <w:r w:rsidRPr="00EF4889">
        <w:rPr>
          <w:rFonts w:cstheme="minorHAnsi"/>
          <w:sz w:val="24"/>
          <w:szCs w:val="24"/>
        </w:rPr>
        <w:t>qualifications in technica</w:t>
      </w:r>
      <w:r w:rsidR="003F7A37" w:rsidRPr="00EF4889">
        <w:rPr>
          <w:rFonts w:cstheme="minorHAnsi"/>
          <w:sz w:val="24"/>
          <w:szCs w:val="24"/>
        </w:rPr>
        <w:t xml:space="preserve">l trades. Chisholm has provided </w:t>
      </w:r>
      <w:r w:rsidRPr="00EF4889">
        <w:rPr>
          <w:rFonts w:cstheme="minorHAnsi"/>
          <w:sz w:val="24"/>
          <w:szCs w:val="24"/>
        </w:rPr>
        <w:t>the quality frameworks, sup</w:t>
      </w:r>
      <w:r w:rsidR="003F7A37" w:rsidRPr="00EF4889">
        <w:rPr>
          <w:rFonts w:cstheme="minorHAnsi"/>
          <w:sz w:val="24"/>
          <w:szCs w:val="24"/>
        </w:rPr>
        <w:t xml:space="preserve">port for high quality technical </w:t>
      </w:r>
      <w:r w:rsidRPr="00EF4889">
        <w:rPr>
          <w:rFonts w:cstheme="minorHAnsi"/>
          <w:sz w:val="24"/>
          <w:szCs w:val="24"/>
        </w:rPr>
        <w:t>training, moderation and val</w:t>
      </w:r>
      <w:r w:rsidR="003F7A37" w:rsidRPr="00EF4889">
        <w:rPr>
          <w:rFonts w:cstheme="minorHAnsi"/>
          <w:sz w:val="24"/>
          <w:szCs w:val="24"/>
        </w:rPr>
        <w:t xml:space="preserve">idation of trainee assessments, </w:t>
      </w:r>
      <w:r w:rsidRPr="00EF4889">
        <w:rPr>
          <w:rFonts w:cstheme="minorHAnsi"/>
          <w:sz w:val="24"/>
          <w:szCs w:val="24"/>
        </w:rPr>
        <w:t>quality audits, and tra</w:t>
      </w:r>
      <w:r w:rsidR="003F7A37" w:rsidRPr="00EF4889">
        <w:rPr>
          <w:rFonts w:cstheme="minorHAnsi"/>
          <w:sz w:val="24"/>
          <w:szCs w:val="24"/>
        </w:rPr>
        <w:t xml:space="preserve">ining and development for Qatar </w:t>
      </w:r>
      <w:r w:rsidRPr="00EF4889">
        <w:rPr>
          <w:rFonts w:cstheme="minorHAnsi"/>
          <w:sz w:val="24"/>
          <w:szCs w:val="24"/>
        </w:rPr>
        <w:t>Petroleum instructors.</w:t>
      </w: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The success of this projec</w:t>
      </w:r>
      <w:r w:rsidR="003F7A37" w:rsidRPr="00EF4889">
        <w:rPr>
          <w:rFonts w:cstheme="minorHAnsi"/>
          <w:sz w:val="24"/>
          <w:szCs w:val="24"/>
        </w:rPr>
        <w:t xml:space="preserve">t has led to Chisholm forming a </w:t>
      </w:r>
      <w:r w:rsidRPr="00EF4889">
        <w:rPr>
          <w:rFonts w:cstheme="minorHAnsi"/>
          <w:sz w:val="24"/>
          <w:szCs w:val="24"/>
        </w:rPr>
        <w:t xml:space="preserve">partnership with Qatar </w:t>
      </w:r>
      <w:r w:rsidR="003F7A37" w:rsidRPr="00EF4889">
        <w:rPr>
          <w:rFonts w:cstheme="minorHAnsi"/>
          <w:sz w:val="24"/>
          <w:szCs w:val="24"/>
        </w:rPr>
        <w:t xml:space="preserve">Independent Technical School to </w:t>
      </w:r>
      <w:r w:rsidRPr="00EF4889">
        <w:rPr>
          <w:rFonts w:cstheme="minorHAnsi"/>
          <w:sz w:val="24"/>
          <w:szCs w:val="24"/>
        </w:rPr>
        <w:t>continue to provide the same services to its students.</w:t>
      </w:r>
    </w:p>
    <w:p w:rsidR="00AA59FF" w:rsidRPr="00EF4889" w:rsidRDefault="00AA59FF" w:rsidP="00AA59FF">
      <w:pPr>
        <w:autoSpaceDE w:val="0"/>
        <w:autoSpaceDN w:val="0"/>
        <w:adjustRightInd w:val="0"/>
        <w:spacing w:after="0" w:line="240" w:lineRule="auto"/>
        <w:rPr>
          <w:rFonts w:cstheme="minorHAnsi"/>
          <w:sz w:val="24"/>
          <w:szCs w:val="24"/>
        </w:rPr>
      </w:pPr>
    </w:p>
    <w:p w:rsidR="00AA59FF" w:rsidRPr="00EF4889" w:rsidRDefault="00AA59FF" w:rsidP="006914D6">
      <w:pPr>
        <w:pStyle w:val="Heading3"/>
      </w:pPr>
      <w:r w:rsidRPr="00EF4889">
        <w:t>Thailand</w:t>
      </w:r>
    </w:p>
    <w:p w:rsidR="002432A2" w:rsidRDefault="002432A2" w:rsidP="00AA59FF">
      <w:pPr>
        <w:autoSpaceDE w:val="0"/>
        <w:autoSpaceDN w:val="0"/>
        <w:adjustRightInd w:val="0"/>
        <w:spacing w:after="0" w:line="240" w:lineRule="auto"/>
        <w:rPr>
          <w:rFonts w:cstheme="minorHAnsi"/>
          <w:sz w:val="24"/>
          <w:szCs w:val="24"/>
        </w:rPr>
      </w:pPr>
    </w:p>
    <w:p w:rsidR="00AA59FF" w:rsidRPr="00EF4889" w:rsidRDefault="00AA59FF" w:rsidP="00AA59FF">
      <w:pPr>
        <w:autoSpaceDE w:val="0"/>
        <w:autoSpaceDN w:val="0"/>
        <w:adjustRightInd w:val="0"/>
        <w:spacing w:after="0" w:line="240" w:lineRule="auto"/>
        <w:rPr>
          <w:rFonts w:cstheme="minorHAnsi"/>
          <w:sz w:val="24"/>
          <w:szCs w:val="24"/>
        </w:rPr>
      </w:pPr>
      <w:r w:rsidRPr="00EF4889">
        <w:rPr>
          <w:rFonts w:cstheme="minorHAnsi"/>
          <w:sz w:val="24"/>
          <w:szCs w:val="24"/>
        </w:rPr>
        <w:t xml:space="preserve">Chisholm continues to provide </w:t>
      </w:r>
      <w:r w:rsidR="003F7A37" w:rsidRPr="00EF4889">
        <w:rPr>
          <w:rFonts w:cstheme="minorHAnsi"/>
          <w:sz w:val="24"/>
          <w:szCs w:val="24"/>
        </w:rPr>
        <w:t xml:space="preserve">technical expertise in Thailand </w:t>
      </w:r>
      <w:r w:rsidRPr="00EF4889">
        <w:rPr>
          <w:rFonts w:cstheme="minorHAnsi"/>
          <w:sz w:val="24"/>
          <w:szCs w:val="24"/>
        </w:rPr>
        <w:t>through the Chevron Enjoy Sc</w:t>
      </w:r>
      <w:r w:rsidR="003F7A37" w:rsidRPr="00EF4889">
        <w:rPr>
          <w:rFonts w:cstheme="minorHAnsi"/>
          <w:sz w:val="24"/>
          <w:szCs w:val="24"/>
        </w:rPr>
        <w:t xml:space="preserve">ience Project, managed by Kenan </w:t>
      </w:r>
      <w:r w:rsidRPr="00EF4889">
        <w:rPr>
          <w:rFonts w:cstheme="minorHAnsi"/>
          <w:sz w:val="24"/>
          <w:szCs w:val="24"/>
        </w:rPr>
        <w:t>Foundation Asia. The project e</w:t>
      </w:r>
      <w:r w:rsidR="003F7A37" w:rsidRPr="00EF4889">
        <w:rPr>
          <w:rFonts w:cstheme="minorHAnsi"/>
          <w:sz w:val="24"/>
          <w:szCs w:val="24"/>
        </w:rPr>
        <w:t xml:space="preserve">stablishes industry hubs in key </w:t>
      </w:r>
      <w:r w:rsidRPr="00EF4889">
        <w:rPr>
          <w:rFonts w:cstheme="minorHAnsi"/>
          <w:sz w:val="24"/>
          <w:szCs w:val="24"/>
        </w:rPr>
        <w:t>areas of manufacturing, tech</w:t>
      </w:r>
      <w:r w:rsidR="003F7A37" w:rsidRPr="00EF4889">
        <w:rPr>
          <w:rFonts w:cstheme="minorHAnsi"/>
          <w:sz w:val="24"/>
          <w:szCs w:val="24"/>
        </w:rPr>
        <w:t xml:space="preserve">nology and automotive. Chisholm </w:t>
      </w:r>
      <w:r w:rsidRPr="00EF4889">
        <w:rPr>
          <w:rFonts w:cstheme="minorHAnsi"/>
          <w:sz w:val="24"/>
          <w:szCs w:val="24"/>
        </w:rPr>
        <w:t>has designed the imple</w:t>
      </w:r>
      <w:r w:rsidR="003F7A37" w:rsidRPr="00EF4889">
        <w:rPr>
          <w:rFonts w:cstheme="minorHAnsi"/>
          <w:sz w:val="24"/>
          <w:szCs w:val="24"/>
        </w:rPr>
        <w:t xml:space="preserve">mentation strategy and detailed </w:t>
      </w:r>
      <w:r w:rsidRPr="00EF4889">
        <w:rPr>
          <w:rFonts w:cstheme="minorHAnsi"/>
          <w:sz w:val="24"/>
          <w:szCs w:val="24"/>
        </w:rPr>
        <w:t>design plan to establish thes</w:t>
      </w:r>
      <w:r w:rsidR="003F7A37" w:rsidRPr="00EF4889">
        <w:rPr>
          <w:rFonts w:cstheme="minorHAnsi"/>
          <w:sz w:val="24"/>
          <w:szCs w:val="24"/>
        </w:rPr>
        <w:t xml:space="preserve">e hubs in key industrial areas. </w:t>
      </w:r>
      <w:r w:rsidRPr="00EF4889">
        <w:rPr>
          <w:rFonts w:cstheme="minorHAnsi"/>
          <w:sz w:val="24"/>
          <w:szCs w:val="24"/>
        </w:rPr>
        <w:t>Chisholm’s strategy incl</w:t>
      </w:r>
      <w:r w:rsidR="003F7A37" w:rsidRPr="00EF4889">
        <w:rPr>
          <w:rFonts w:cstheme="minorHAnsi"/>
          <w:sz w:val="24"/>
          <w:szCs w:val="24"/>
        </w:rPr>
        <w:t xml:space="preserve">udes building the capacities of </w:t>
      </w:r>
      <w:r w:rsidRPr="00EF4889">
        <w:rPr>
          <w:rFonts w:cstheme="minorHAnsi"/>
          <w:sz w:val="24"/>
          <w:szCs w:val="24"/>
        </w:rPr>
        <w:t>institutions and teaching profes</w:t>
      </w:r>
      <w:r w:rsidR="003F7A37" w:rsidRPr="00EF4889">
        <w:rPr>
          <w:rFonts w:cstheme="minorHAnsi"/>
          <w:sz w:val="24"/>
          <w:szCs w:val="24"/>
        </w:rPr>
        <w:t xml:space="preserve">sionals, adopting international </w:t>
      </w:r>
      <w:r w:rsidRPr="00EF4889">
        <w:rPr>
          <w:rFonts w:cstheme="minorHAnsi"/>
          <w:sz w:val="24"/>
          <w:szCs w:val="24"/>
        </w:rPr>
        <w:t>models and linking institutions with employers.</w:t>
      </w:r>
    </w:p>
    <w:p w:rsidR="003F7A37" w:rsidRPr="00EF4889" w:rsidRDefault="003F7A37" w:rsidP="00AA59FF">
      <w:pPr>
        <w:autoSpaceDE w:val="0"/>
        <w:autoSpaceDN w:val="0"/>
        <w:adjustRightInd w:val="0"/>
        <w:spacing w:after="0" w:line="240" w:lineRule="auto"/>
        <w:rPr>
          <w:rFonts w:cstheme="minorHAnsi"/>
          <w:sz w:val="24"/>
          <w:szCs w:val="24"/>
        </w:rPr>
      </w:pPr>
    </w:p>
    <w:p w:rsidR="003F7A37" w:rsidRPr="00EF4889" w:rsidRDefault="003F7A37" w:rsidP="00AA59FF">
      <w:pPr>
        <w:autoSpaceDE w:val="0"/>
        <w:autoSpaceDN w:val="0"/>
        <w:adjustRightInd w:val="0"/>
        <w:spacing w:after="0" w:line="240" w:lineRule="auto"/>
        <w:rPr>
          <w:rFonts w:cstheme="minorHAnsi"/>
          <w:sz w:val="24"/>
          <w:szCs w:val="24"/>
        </w:rPr>
      </w:pPr>
      <w:r w:rsidRPr="00EF4889">
        <w:rPr>
          <w:rFonts w:cstheme="minorHAnsi"/>
          <w:sz w:val="24"/>
          <w:szCs w:val="24"/>
        </w:rPr>
        <w:t>&lt;pp&gt;</w:t>
      </w:r>
      <w:r w:rsidR="007829BB" w:rsidRPr="00EF4889">
        <w:rPr>
          <w:rFonts w:cstheme="minorHAnsi"/>
          <w:sz w:val="24"/>
          <w:szCs w:val="24"/>
        </w:rPr>
        <w:t>27</w:t>
      </w:r>
    </w:p>
    <w:p w:rsidR="003F7A37" w:rsidRPr="00EF4889" w:rsidRDefault="003F7A37" w:rsidP="00AA59FF">
      <w:pPr>
        <w:autoSpaceDE w:val="0"/>
        <w:autoSpaceDN w:val="0"/>
        <w:adjustRightInd w:val="0"/>
        <w:spacing w:after="0" w:line="240" w:lineRule="auto"/>
        <w:rPr>
          <w:rFonts w:cstheme="minorHAnsi"/>
          <w:sz w:val="24"/>
          <w:szCs w:val="24"/>
        </w:rPr>
      </w:pPr>
    </w:p>
    <w:p w:rsidR="003F7A37" w:rsidRPr="00EF4889" w:rsidRDefault="003F7A37" w:rsidP="006914D6">
      <w:pPr>
        <w:pStyle w:val="Heading3"/>
      </w:pPr>
      <w:r w:rsidRPr="00EF4889">
        <w:t xml:space="preserve">International Student Recruitment </w:t>
      </w:r>
    </w:p>
    <w:p w:rsidR="002432A2" w:rsidRDefault="002432A2" w:rsidP="003F7A37">
      <w:pPr>
        <w:autoSpaceDE w:val="0"/>
        <w:autoSpaceDN w:val="0"/>
        <w:adjustRightInd w:val="0"/>
        <w:spacing w:after="0" w:line="240" w:lineRule="auto"/>
        <w:rPr>
          <w:rFonts w:cstheme="minorHAnsi"/>
          <w:sz w:val="24"/>
          <w:szCs w:val="24"/>
        </w:rPr>
      </w:pP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Chisholm welcomed international students from over 40 countries into dozens of programs during 2017 across a broad range of disciplines. Students enrolled in qualifications at Certificate III, IV, Diploma, Advanced Diploma and undergraduate levels.</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A summary of activities and achievements in 2017:</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The 2017 Victorian International Student of the Year (Vocational Education and</w:t>
      </w:r>
      <w:r w:rsidR="00EF4889">
        <w:rPr>
          <w:rFonts w:cstheme="minorHAnsi"/>
          <w:sz w:val="24"/>
          <w:szCs w:val="24"/>
        </w:rPr>
        <w:t xml:space="preserve"> Training) was Chisholm student </w:t>
      </w:r>
      <w:r w:rsidRPr="00EF4889">
        <w:rPr>
          <w:rFonts w:cstheme="minorHAnsi"/>
          <w:sz w:val="24"/>
          <w:szCs w:val="24"/>
        </w:rPr>
        <w:t>Samuel Shedrack Chukwuweonu, studying an Advanced Diploma</w:t>
      </w:r>
      <w:r w:rsidR="00EF4889">
        <w:rPr>
          <w:rFonts w:cstheme="minorHAnsi"/>
          <w:sz w:val="24"/>
          <w:szCs w:val="24"/>
        </w:rPr>
        <w:t xml:space="preserve"> of Computer Systems Technology </w:t>
      </w:r>
      <w:r w:rsidRPr="00EF4889">
        <w:rPr>
          <w:rFonts w:cstheme="minorHAnsi"/>
          <w:sz w:val="24"/>
          <w:szCs w:val="24"/>
        </w:rPr>
        <w:t>(Cyber Security).</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Chisholm achieved greater than 90 per cent visa approvals against offers made to international students across its two primary 2017 intakes, following a renewed focus on quality and risk management. This work contributed to a significant improvement in Chisholm’s international risk profile and associated market confidence.</w:t>
      </w:r>
    </w:p>
    <w:p w:rsidR="00EF4889" w:rsidRDefault="00EF4889" w:rsidP="003F7A37">
      <w:pPr>
        <w:autoSpaceDE w:val="0"/>
        <w:autoSpaceDN w:val="0"/>
        <w:adjustRightInd w:val="0"/>
        <w:spacing w:after="0" w:line="240" w:lineRule="auto"/>
        <w:rPr>
          <w:rFonts w:cstheme="minorHAnsi"/>
          <w:sz w:val="24"/>
          <w:szCs w:val="24"/>
        </w:rPr>
      </w:pP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The development, implementation and resourcing of Chisholm’s International Student Success and Welfare Framework delivered measurable improvements in student retention and completion rates. The framework provided key insights into the Chisholm’s international potential as well as the requirements of enrolled students.</w:t>
      </w:r>
    </w:p>
    <w:p w:rsidR="003F7A37" w:rsidRPr="00EF4889" w:rsidRDefault="003F7A37" w:rsidP="003F7A37">
      <w:pPr>
        <w:autoSpaceDE w:val="0"/>
        <w:autoSpaceDN w:val="0"/>
        <w:adjustRightInd w:val="0"/>
        <w:spacing w:after="0" w:line="240" w:lineRule="auto"/>
        <w:rPr>
          <w:rFonts w:cstheme="minorHAnsi"/>
          <w:sz w:val="24"/>
          <w:szCs w:val="24"/>
        </w:rPr>
      </w:pPr>
    </w:p>
    <w:p w:rsidR="003F7A37" w:rsidRPr="002D21F1" w:rsidRDefault="003F7A37" w:rsidP="006914D6">
      <w:pPr>
        <w:pStyle w:val="Heading3"/>
      </w:pPr>
      <w:r w:rsidRPr="002D21F1">
        <w:t>Performance Measures and Targets</w:t>
      </w:r>
    </w:p>
    <w:p w:rsidR="002432A2" w:rsidRDefault="002432A2" w:rsidP="003F7A37">
      <w:pPr>
        <w:autoSpaceDE w:val="0"/>
        <w:autoSpaceDN w:val="0"/>
        <w:adjustRightInd w:val="0"/>
        <w:spacing w:after="0" w:line="240" w:lineRule="auto"/>
        <w:rPr>
          <w:rFonts w:cstheme="minorHAnsi"/>
          <w:sz w:val="24"/>
          <w:szCs w:val="24"/>
        </w:rPr>
      </w:pP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Chisholm’s offshore opportunities and contracted partnership projects are managed within a strict quality and </w:t>
      </w:r>
      <w:r w:rsidR="00A376F4" w:rsidRPr="00EF4889">
        <w:rPr>
          <w:rFonts w:cstheme="minorHAnsi"/>
          <w:sz w:val="24"/>
          <w:szCs w:val="24"/>
        </w:rPr>
        <w:t xml:space="preserve">project management environment. </w:t>
      </w:r>
      <w:r w:rsidRPr="00EF4889">
        <w:rPr>
          <w:rFonts w:cstheme="minorHAnsi"/>
          <w:sz w:val="24"/>
          <w:szCs w:val="24"/>
        </w:rPr>
        <w:t>This env</w:t>
      </w:r>
      <w:r w:rsidR="00A376F4" w:rsidRPr="00EF4889">
        <w:rPr>
          <w:rFonts w:cstheme="minorHAnsi"/>
          <w:sz w:val="24"/>
          <w:szCs w:val="24"/>
        </w:rPr>
        <w:t xml:space="preserve">ironment supports growth in </w:t>
      </w:r>
      <w:r w:rsidRPr="00EF4889">
        <w:rPr>
          <w:rFonts w:cstheme="minorHAnsi"/>
          <w:sz w:val="24"/>
          <w:szCs w:val="24"/>
        </w:rPr>
        <w:t>inter</w:t>
      </w:r>
      <w:r w:rsidR="00A376F4" w:rsidRPr="00EF4889">
        <w:rPr>
          <w:rFonts w:cstheme="minorHAnsi"/>
          <w:sz w:val="24"/>
          <w:szCs w:val="24"/>
        </w:rPr>
        <w:t xml:space="preserve">national project operations and </w:t>
      </w:r>
      <w:r w:rsidRPr="00EF4889">
        <w:rPr>
          <w:rFonts w:cstheme="minorHAnsi"/>
          <w:sz w:val="24"/>
          <w:szCs w:val="24"/>
        </w:rPr>
        <w:t>provi</w:t>
      </w:r>
      <w:r w:rsidR="00A376F4" w:rsidRPr="00EF4889">
        <w:rPr>
          <w:rFonts w:cstheme="minorHAnsi"/>
          <w:sz w:val="24"/>
          <w:szCs w:val="24"/>
        </w:rPr>
        <w:t xml:space="preserve">des opportunities to strengthen </w:t>
      </w:r>
      <w:r w:rsidRPr="00EF4889">
        <w:rPr>
          <w:rFonts w:cstheme="minorHAnsi"/>
          <w:sz w:val="24"/>
          <w:szCs w:val="24"/>
        </w:rPr>
        <w:t>pa</w:t>
      </w:r>
      <w:r w:rsidR="00A376F4" w:rsidRPr="00EF4889">
        <w:rPr>
          <w:rFonts w:cstheme="minorHAnsi"/>
          <w:sz w:val="24"/>
          <w:szCs w:val="24"/>
        </w:rPr>
        <w:t xml:space="preserve">rtner relationships to build on </w:t>
      </w:r>
      <w:r w:rsidRPr="00EF4889">
        <w:rPr>
          <w:rFonts w:cstheme="minorHAnsi"/>
          <w:sz w:val="24"/>
          <w:szCs w:val="24"/>
        </w:rPr>
        <w:t>existing international activities.</w:t>
      </w:r>
    </w:p>
    <w:p w:rsidR="003F7A37" w:rsidRPr="00EF4889" w:rsidRDefault="00A376F4"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To promote optimum performance </w:t>
      </w:r>
      <w:r w:rsidR="003F7A37" w:rsidRPr="00EF4889">
        <w:rPr>
          <w:rFonts w:cstheme="minorHAnsi"/>
          <w:sz w:val="24"/>
          <w:szCs w:val="24"/>
        </w:rPr>
        <w:t>and outcomes:</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lastRenderedPageBreak/>
        <w:t xml:space="preserve">• </w:t>
      </w:r>
      <w:r w:rsidR="00EB53E5" w:rsidRPr="00EF4889">
        <w:rPr>
          <w:rFonts w:cstheme="minorHAnsi"/>
          <w:sz w:val="24"/>
          <w:szCs w:val="24"/>
        </w:rPr>
        <w:t>All</w:t>
      </w:r>
      <w:r w:rsidRPr="00EF4889">
        <w:rPr>
          <w:rFonts w:cstheme="minorHAnsi"/>
          <w:sz w:val="24"/>
          <w:szCs w:val="24"/>
        </w:rPr>
        <w:t xml:space="preserve"> pipeline project activities are</w:t>
      </w:r>
      <w:r w:rsidR="00A376F4" w:rsidRPr="00EF4889">
        <w:rPr>
          <w:rFonts w:cstheme="minorHAnsi"/>
          <w:sz w:val="24"/>
          <w:szCs w:val="24"/>
        </w:rPr>
        <w:t xml:space="preserve"> </w:t>
      </w:r>
      <w:r w:rsidRPr="00EF4889">
        <w:rPr>
          <w:rFonts w:cstheme="minorHAnsi"/>
          <w:sz w:val="24"/>
          <w:szCs w:val="24"/>
        </w:rPr>
        <w:t>carefully assessed to determine risk</w:t>
      </w:r>
      <w:r w:rsidR="00A376F4" w:rsidRPr="00EF4889">
        <w:rPr>
          <w:rFonts w:cstheme="minorHAnsi"/>
          <w:sz w:val="24"/>
          <w:szCs w:val="24"/>
        </w:rPr>
        <w:t xml:space="preserve"> </w:t>
      </w:r>
      <w:r w:rsidRPr="00EF4889">
        <w:rPr>
          <w:rFonts w:cstheme="minorHAnsi"/>
          <w:sz w:val="24"/>
          <w:szCs w:val="24"/>
        </w:rPr>
        <w:t>profi</w:t>
      </w:r>
      <w:r w:rsidR="00A376F4" w:rsidRPr="00EF4889">
        <w:rPr>
          <w:rFonts w:cstheme="minorHAnsi"/>
          <w:sz w:val="24"/>
          <w:szCs w:val="24"/>
        </w:rPr>
        <w:t xml:space="preserve">le, commercial viability, match </w:t>
      </w:r>
      <w:r w:rsidRPr="00EF4889">
        <w:rPr>
          <w:rFonts w:cstheme="minorHAnsi"/>
          <w:sz w:val="24"/>
          <w:szCs w:val="24"/>
        </w:rPr>
        <w:t>to Ins</w:t>
      </w:r>
      <w:r w:rsidR="00A376F4" w:rsidRPr="00EF4889">
        <w:rPr>
          <w:rFonts w:cstheme="minorHAnsi"/>
          <w:sz w:val="24"/>
          <w:szCs w:val="24"/>
        </w:rPr>
        <w:t xml:space="preserve">titute capability and strategic purpose prior to and during the </w:t>
      </w:r>
      <w:r w:rsidRPr="00EF4889">
        <w:rPr>
          <w:rFonts w:cstheme="minorHAnsi"/>
          <w:sz w:val="24"/>
          <w:szCs w:val="24"/>
        </w:rPr>
        <w:t>development cycle</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EB53E5" w:rsidRPr="00EF4889">
        <w:rPr>
          <w:rFonts w:cstheme="minorHAnsi"/>
          <w:sz w:val="24"/>
          <w:szCs w:val="24"/>
        </w:rPr>
        <w:t>All</w:t>
      </w:r>
      <w:r w:rsidR="00A376F4" w:rsidRPr="00EF4889">
        <w:rPr>
          <w:rFonts w:cstheme="minorHAnsi"/>
          <w:sz w:val="24"/>
          <w:szCs w:val="24"/>
        </w:rPr>
        <w:t xml:space="preserve"> contracts and agreements are </w:t>
      </w:r>
      <w:r w:rsidRPr="00EF4889">
        <w:rPr>
          <w:rFonts w:cstheme="minorHAnsi"/>
          <w:sz w:val="24"/>
          <w:szCs w:val="24"/>
        </w:rPr>
        <w:t>caref</w:t>
      </w:r>
      <w:r w:rsidR="00A376F4" w:rsidRPr="00EF4889">
        <w:rPr>
          <w:rFonts w:cstheme="minorHAnsi"/>
          <w:sz w:val="24"/>
          <w:szCs w:val="24"/>
        </w:rPr>
        <w:t xml:space="preserve">ully reviewed to ensure fit for </w:t>
      </w:r>
      <w:r w:rsidRPr="00EF4889">
        <w:rPr>
          <w:rFonts w:cstheme="minorHAnsi"/>
          <w:sz w:val="24"/>
          <w:szCs w:val="24"/>
        </w:rPr>
        <w:t>purpose with the scope of services</w:t>
      </w:r>
    </w:p>
    <w:p w:rsidR="003F7A37" w:rsidRPr="00EF4889" w:rsidRDefault="00A376F4"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EB53E5" w:rsidRPr="00EF4889">
        <w:rPr>
          <w:rFonts w:cstheme="minorHAnsi"/>
          <w:sz w:val="24"/>
          <w:szCs w:val="24"/>
        </w:rPr>
        <w:t>Each</w:t>
      </w:r>
      <w:r w:rsidRPr="00EF4889">
        <w:rPr>
          <w:rFonts w:cstheme="minorHAnsi"/>
          <w:sz w:val="24"/>
          <w:szCs w:val="24"/>
        </w:rPr>
        <w:t xml:space="preserve"> activity is assessed for </w:t>
      </w:r>
      <w:r w:rsidR="003F7A37" w:rsidRPr="00EF4889">
        <w:rPr>
          <w:rFonts w:cstheme="minorHAnsi"/>
          <w:sz w:val="24"/>
          <w:szCs w:val="24"/>
        </w:rPr>
        <w:t>pro</w:t>
      </w:r>
      <w:r w:rsidRPr="00EF4889">
        <w:rPr>
          <w:rFonts w:cstheme="minorHAnsi"/>
          <w:sz w:val="24"/>
          <w:szCs w:val="24"/>
        </w:rPr>
        <w:t xml:space="preserve">ject performance against client </w:t>
      </w:r>
      <w:r w:rsidR="003F7A37" w:rsidRPr="00EF4889">
        <w:rPr>
          <w:rFonts w:cstheme="minorHAnsi"/>
          <w:sz w:val="24"/>
          <w:szCs w:val="24"/>
        </w:rPr>
        <w:t>requirements</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EB53E5" w:rsidRPr="00EF4889">
        <w:rPr>
          <w:rFonts w:cstheme="minorHAnsi"/>
          <w:sz w:val="24"/>
          <w:szCs w:val="24"/>
        </w:rPr>
        <w:t>Detailed</w:t>
      </w:r>
      <w:r w:rsidR="00A376F4" w:rsidRPr="00EF4889">
        <w:rPr>
          <w:rFonts w:cstheme="minorHAnsi"/>
          <w:sz w:val="24"/>
          <w:szCs w:val="24"/>
        </w:rPr>
        <w:t xml:space="preserve"> financial planning and </w:t>
      </w:r>
      <w:r w:rsidRPr="00EF4889">
        <w:rPr>
          <w:rFonts w:cstheme="minorHAnsi"/>
          <w:sz w:val="24"/>
          <w:szCs w:val="24"/>
        </w:rPr>
        <w:t>m</w:t>
      </w:r>
      <w:r w:rsidR="00A376F4" w:rsidRPr="00EF4889">
        <w:rPr>
          <w:rFonts w:cstheme="minorHAnsi"/>
          <w:sz w:val="24"/>
          <w:szCs w:val="24"/>
        </w:rPr>
        <w:t xml:space="preserve">anagement ensures that projects are commercially viable and managed to maximise commercial </w:t>
      </w:r>
      <w:r w:rsidRPr="00EF4889">
        <w:rPr>
          <w:rFonts w:cstheme="minorHAnsi"/>
          <w:sz w:val="24"/>
          <w:szCs w:val="24"/>
        </w:rPr>
        <w:t>return and Institute benefit.</w:t>
      </w:r>
    </w:p>
    <w:p w:rsidR="003F7A37" w:rsidRPr="00EF4889" w:rsidRDefault="003F7A37" w:rsidP="003F7A37">
      <w:pPr>
        <w:autoSpaceDE w:val="0"/>
        <w:autoSpaceDN w:val="0"/>
        <w:adjustRightInd w:val="0"/>
        <w:spacing w:after="0" w:line="240" w:lineRule="auto"/>
        <w:rPr>
          <w:rFonts w:cstheme="minorHAnsi"/>
          <w:sz w:val="24"/>
          <w:szCs w:val="24"/>
        </w:rPr>
      </w:pPr>
    </w:p>
    <w:p w:rsidR="003F7A37" w:rsidRPr="002D21F1" w:rsidRDefault="003F7A37" w:rsidP="006914D6">
      <w:pPr>
        <w:pStyle w:val="Heading3"/>
      </w:pPr>
      <w:r w:rsidRPr="002D21F1">
        <w:t>Strategies Established to Manage Risks</w:t>
      </w:r>
    </w:p>
    <w:p w:rsidR="002432A2" w:rsidRDefault="002432A2" w:rsidP="003F7A37">
      <w:pPr>
        <w:autoSpaceDE w:val="0"/>
        <w:autoSpaceDN w:val="0"/>
        <w:adjustRightInd w:val="0"/>
        <w:spacing w:after="0" w:line="240" w:lineRule="auto"/>
        <w:rPr>
          <w:rFonts w:cstheme="minorHAnsi"/>
          <w:sz w:val="24"/>
          <w:szCs w:val="24"/>
        </w:rPr>
      </w:pP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Th</w:t>
      </w:r>
      <w:r w:rsidR="00A376F4" w:rsidRPr="00EF4889">
        <w:rPr>
          <w:rFonts w:cstheme="minorHAnsi"/>
          <w:sz w:val="24"/>
          <w:szCs w:val="24"/>
        </w:rPr>
        <w:t xml:space="preserve">e Risk Management Plan outlines </w:t>
      </w:r>
      <w:r w:rsidRPr="00EF4889">
        <w:rPr>
          <w:rFonts w:cstheme="minorHAnsi"/>
          <w:sz w:val="24"/>
          <w:szCs w:val="24"/>
        </w:rPr>
        <w:t>specific</w:t>
      </w:r>
      <w:r w:rsidR="00A376F4" w:rsidRPr="00EF4889">
        <w:rPr>
          <w:rFonts w:cstheme="minorHAnsi"/>
          <w:sz w:val="24"/>
          <w:szCs w:val="24"/>
        </w:rPr>
        <w:t xml:space="preserve"> strategies to mitigate risk in </w:t>
      </w:r>
      <w:r w:rsidRPr="00EF4889">
        <w:rPr>
          <w:rFonts w:cstheme="minorHAnsi"/>
          <w:sz w:val="24"/>
          <w:szCs w:val="24"/>
        </w:rPr>
        <w:t>two categories:</w:t>
      </w:r>
    </w:p>
    <w:p w:rsidR="00A376F4" w:rsidRPr="00EF4889" w:rsidRDefault="00A376F4" w:rsidP="003F7A37">
      <w:pPr>
        <w:autoSpaceDE w:val="0"/>
        <w:autoSpaceDN w:val="0"/>
        <w:adjustRightInd w:val="0"/>
        <w:spacing w:after="0" w:line="240" w:lineRule="auto"/>
        <w:rPr>
          <w:rFonts w:cstheme="minorHAnsi"/>
          <w:sz w:val="24"/>
          <w:szCs w:val="24"/>
        </w:rPr>
      </w:pP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1. St</w:t>
      </w:r>
      <w:r w:rsidR="00A376F4" w:rsidRPr="00EF4889">
        <w:rPr>
          <w:rFonts w:cstheme="minorHAnsi"/>
          <w:sz w:val="24"/>
          <w:szCs w:val="24"/>
        </w:rPr>
        <w:t xml:space="preserve">rategic risk – any risks beyond </w:t>
      </w:r>
      <w:r w:rsidRPr="00EF4889">
        <w:rPr>
          <w:rFonts w:cstheme="minorHAnsi"/>
          <w:sz w:val="24"/>
          <w:szCs w:val="24"/>
        </w:rPr>
        <w:t>the con</w:t>
      </w:r>
      <w:r w:rsidR="00A376F4" w:rsidRPr="00EF4889">
        <w:rPr>
          <w:rFonts w:cstheme="minorHAnsi"/>
          <w:sz w:val="24"/>
          <w:szCs w:val="24"/>
        </w:rPr>
        <w:t xml:space="preserve">trol of the Board and Executive must be responded to through </w:t>
      </w:r>
      <w:r w:rsidRPr="00EF4889">
        <w:rPr>
          <w:rFonts w:cstheme="minorHAnsi"/>
          <w:sz w:val="24"/>
          <w:szCs w:val="24"/>
        </w:rPr>
        <w:t>changes i</w:t>
      </w:r>
      <w:r w:rsidR="00A376F4" w:rsidRPr="00EF4889">
        <w:rPr>
          <w:rFonts w:cstheme="minorHAnsi"/>
          <w:sz w:val="24"/>
          <w:szCs w:val="24"/>
        </w:rPr>
        <w:t xml:space="preserve">n strategy direction to protect </w:t>
      </w:r>
      <w:r w:rsidRPr="00EF4889">
        <w:rPr>
          <w:rFonts w:cstheme="minorHAnsi"/>
          <w:sz w:val="24"/>
          <w:szCs w:val="24"/>
        </w:rPr>
        <w:t>Chisholm’s business.</w:t>
      </w:r>
    </w:p>
    <w:p w:rsidR="00A376F4"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2. Op</w:t>
      </w:r>
      <w:r w:rsidR="00A376F4" w:rsidRPr="00EF4889">
        <w:rPr>
          <w:rFonts w:cstheme="minorHAnsi"/>
          <w:sz w:val="24"/>
          <w:szCs w:val="24"/>
        </w:rPr>
        <w:t xml:space="preserve">erational risk – the downstream risks that can be managed and </w:t>
      </w:r>
      <w:r w:rsidRPr="00EF4889">
        <w:rPr>
          <w:rFonts w:cstheme="minorHAnsi"/>
          <w:sz w:val="24"/>
          <w:szCs w:val="24"/>
        </w:rPr>
        <w:t>m</w:t>
      </w:r>
      <w:r w:rsidR="00A376F4" w:rsidRPr="00EF4889">
        <w:rPr>
          <w:rFonts w:cstheme="minorHAnsi"/>
          <w:sz w:val="24"/>
          <w:szCs w:val="24"/>
        </w:rPr>
        <w:t xml:space="preserve">itigated against which may have </w:t>
      </w:r>
      <w:r w:rsidRPr="00EF4889">
        <w:rPr>
          <w:rFonts w:cstheme="minorHAnsi"/>
          <w:sz w:val="24"/>
          <w:szCs w:val="24"/>
        </w:rPr>
        <w:t>strate</w:t>
      </w:r>
      <w:r w:rsidR="00A376F4" w:rsidRPr="00EF4889">
        <w:rPr>
          <w:rFonts w:cstheme="minorHAnsi"/>
          <w:sz w:val="24"/>
          <w:szCs w:val="24"/>
        </w:rPr>
        <w:t xml:space="preserve">gic impact but can be addressed through operational management. </w:t>
      </w:r>
    </w:p>
    <w:p w:rsidR="00A376F4" w:rsidRPr="00EF4889" w:rsidRDefault="00A376F4" w:rsidP="003F7A37">
      <w:pPr>
        <w:autoSpaceDE w:val="0"/>
        <w:autoSpaceDN w:val="0"/>
        <w:adjustRightInd w:val="0"/>
        <w:spacing w:after="0" w:line="240" w:lineRule="auto"/>
        <w:rPr>
          <w:rFonts w:cstheme="minorHAnsi"/>
          <w:sz w:val="24"/>
          <w:szCs w:val="24"/>
        </w:rPr>
      </w:pP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The mi</w:t>
      </w:r>
      <w:r w:rsidR="00A376F4" w:rsidRPr="00EF4889">
        <w:rPr>
          <w:rFonts w:cstheme="minorHAnsi"/>
          <w:sz w:val="24"/>
          <w:szCs w:val="24"/>
        </w:rPr>
        <w:t xml:space="preserve">tigation measures for all risks under both these categories are </w:t>
      </w:r>
      <w:r w:rsidRPr="00EF4889">
        <w:rPr>
          <w:rFonts w:cstheme="minorHAnsi"/>
          <w:sz w:val="24"/>
          <w:szCs w:val="24"/>
        </w:rPr>
        <w:t>carefully revie</w:t>
      </w:r>
      <w:r w:rsidR="00A376F4" w:rsidRPr="00EF4889">
        <w:rPr>
          <w:rFonts w:cstheme="minorHAnsi"/>
          <w:sz w:val="24"/>
          <w:szCs w:val="24"/>
        </w:rPr>
        <w:t xml:space="preserve">wed and evaluated so the </w:t>
      </w:r>
      <w:r w:rsidRPr="00EF4889">
        <w:rPr>
          <w:rFonts w:cstheme="minorHAnsi"/>
          <w:sz w:val="24"/>
          <w:szCs w:val="24"/>
        </w:rPr>
        <w:t>Chi</w:t>
      </w:r>
      <w:r w:rsidR="00A376F4" w:rsidRPr="00EF4889">
        <w:rPr>
          <w:rFonts w:cstheme="minorHAnsi"/>
          <w:sz w:val="24"/>
          <w:szCs w:val="24"/>
        </w:rPr>
        <w:t xml:space="preserve">sholm leadership and management </w:t>
      </w:r>
      <w:r w:rsidRPr="00EF4889">
        <w:rPr>
          <w:rFonts w:cstheme="minorHAnsi"/>
          <w:sz w:val="24"/>
          <w:szCs w:val="24"/>
        </w:rPr>
        <w:t>can re</w:t>
      </w:r>
      <w:r w:rsidR="002D21F1">
        <w:rPr>
          <w:rFonts w:cstheme="minorHAnsi"/>
          <w:sz w:val="24"/>
          <w:szCs w:val="24"/>
        </w:rPr>
        <w:t xml:space="preserve">spond to the changing nature of </w:t>
      </w:r>
      <w:r w:rsidR="00A376F4" w:rsidRPr="00EF4889">
        <w:rPr>
          <w:rFonts w:cstheme="minorHAnsi"/>
          <w:sz w:val="24"/>
          <w:szCs w:val="24"/>
        </w:rPr>
        <w:t xml:space="preserve">International education and training. </w:t>
      </w:r>
      <w:r w:rsidRPr="00EF4889">
        <w:rPr>
          <w:rFonts w:cstheme="minorHAnsi"/>
          <w:sz w:val="24"/>
          <w:szCs w:val="24"/>
        </w:rPr>
        <w:t>This</w:t>
      </w:r>
      <w:r w:rsidR="00A376F4" w:rsidRPr="00EF4889">
        <w:rPr>
          <w:rFonts w:cstheme="minorHAnsi"/>
          <w:sz w:val="24"/>
          <w:szCs w:val="24"/>
        </w:rPr>
        <w:t xml:space="preserve"> includes the Australian Skills </w:t>
      </w:r>
      <w:r w:rsidRPr="00EF4889">
        <w:rPr>
          <w:rFonts w:cstheme="minorHAnsi"/>
          <w:sz w:val="24"/>
          <w:szCs w:val="24"/>
        </w:rPr>
        <w:t>Qua</w:t>
      </w:r>
      <w:r w:rsidR="00A376F4" w:rsidRPr="00EF4889">
        <w:rPr>
          <w:rFonts w:cstheme="minorHAnsi"/>
          <w:sz w:val="24"/>
          <w:szCs w:val="24"/>
        </w:rPr>
        <w:t xml:space="preserve">lity Authority requirements for </w:t>
      </w:r>
      <w:r w:rsidRPr="00EF4889">
        <w:rPr>
          <w:rFonts w:cstheme="minorHAnsi"/>
          <w:sz w:val="24"/>
          <w:szCs w:val="24"/>
        </w:rPr>
        <w:t>offshor</w:t>
      </w:r>
      <w:r w:rsidR="00A376F4" w:rsidRPr="00EF4889">
        <w:rPr>
          <w:rFonts w:cstheme="minorHAnsi"/>
          <w:sz w:val="24"/>
          <w:szCs w:val="24"/>
        </w:rPr>
        <w:t xml:space="preserve">e delivery and the requirements </w:t>
      </w:r>
      <w:r w:rsidRPr="00EF4889">
        <w:rPr>
          <w:rFonts w:cstheme="minorHAnsi"/>
          <w:sz w:val="24"/>
          <w:szCs w:val="24"/>
        </w:rPr>
        <w:t xml:space="preserve">of the </w:t>
      </w:r>
      <w:r w:rsidR="002D21F1">
        <w:rPr>
          <w:rFonts w:cstheme="minorHAnsi"/>
          <w:sz w:val="24"/>
          <w:szCs w:val="24"/>
        </w:rPr>
        <w:t xml:space="preserve">Education Services for Overseas </w:t>
      </w:r>
      <w:r w:rsidRPr="00EF4889">
        <w:rPr>
          <w:rFonts w:cstheme="minorHAnsi"/>
          <w:sz w:val="24"/>
          <w:szCs w:val="24"/>
        </w:rPr>
        <w:t>Students Act 2000.</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Chisholm provides:</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443639" w:rsidRPr="00EF4889">
        <w:rPr>
          <w:rFonts w:cstheme="minorHAnsi"/>
          <w:sz w:val="24"/>
          <w:szCs w:val="24"/>
        </w:rPr>
        <w:t>Regular</w:t>
      </w:r>
      <w:r w:rsidR="00A376F4" w:rsidRPr="00EF4889">
        <w:rPr>
          <w:rFonts w:cstheme="minorHAnsi"/>
          <w:sz w:val="24"/>
          <w:szCs w:val="24"/>
        </w:rPr>
        <w:t xml:space="preserve"> reports to the Board regarding </w:t>
      </w:r>
      <w:r w:rsidRPr="00EF4889">
        <w:rPr>
          <w:rFonts w:cstheme="minorHAnsi"/>
          <w:sz w:val="24"/>
          <w:szCs w:val="24"/>
        </w:rPr>
        <w:t>Chisholm’s offshore activities</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443639" w:rsidRPr="00EF4889">
        <w:rPr>
          <w:rFonts w:cstheme="minorHAnsi"/>
          <w:sz w:val="24"/>
          <w:szCs w:val="24"/>
        </w:rPr>
        <w:t>Frequent</w:t>
      </w:r>
      <w:r w:rsidR="00A376F4" w:rsidRPr="00EF4889">
        <w:rPr>
          <w:rFonts w:cstheme="minorHAnsi"/>
          <w:sz w:val="24"/>
          <w:szCs w:val="24"/>
        </w:rPr>
        <w:t xml:space="preserve"> consultation with senior management and relevant government departments on </w:t>
      </w:r>
      <w:r w:rsidRPr="00EF4889">
        <w:rPr>
          <w:rFonts w:cstheme="minorHAnsi"/>
          <w:sz w:val="24"/>
          <w:szCs w:val="24"/>
        </w:rPr>
        <w:t>str</w:t>
      </w:r>
      <w:r w:rsidR="00A376F4" w:rsidRPr="00EF4889">
        <w:rPr>
          <w:rFonts w:cstheme="minorHAnsi"/>
          <w:sz w:val="24"/>
          <w:szCs w:val="24"/>
        </w:rPr>
        <w:t xml:space="preserve">ategic direction with a view to </w:t>
      </w:r>
      <w:r w:rsidRPr="00EF4889">
        <w:rPr>
          <w:rFonts w:cstheme="minorHAnsi"/>
          <w:sz w:val="24"/>
          <w:szCs w:val="24"/>
        </w:rPr>
        <w:t>minimising potential risk factors</w:t>
      </w:r>
    </w:p>
    <w:p w:rsidR="003F7A37" w:rsidRPr="00EF4889" w:rsidRDefault="00A376F4"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443639" w:rsidRPr="00EF4889">
        <w:rPr>
          <w:rFonts w:cstheme="minorHAnsi"/>
          <w:sz w:val="24"/>
          <w:szCs w:val="24"/>
        </w:rPr>
        <w:t>A</w:t>
      </w:r>
      <w:r w:rsidRPr="00EF4889">
        <w:rPr>
          <w:rFonts w:cstheme="minorHAnsi"/>
          <w:sz w:val="24"/>
          <w:szCs w:val="24"/>
        </w:rPr>
        <w:t xml:space="preserve"> short, medium and long-term </w:t>
      </w:r>
      <w:r w:rsidR="003F7A37" w:rsidRPr="00EF4889">
        <w:rPr>
          <w:rFonts w:cstheme="minorHAnsi"/>
          <w:sz w:val="24"/>
          <w:szCs w:val="24"/>
        </w:rPr>
        <w:t>p</w:t>
      </w:r>
      <w:r w:rsidRPr="00EF4889">
        <w:rPr>
          <w:rFonts w:cstheme="minorHAnsi"/>
          <w:sz w:val="24"/>
          <w:szCs w:val="24"/>
        </w:rPr>
        <w:t xml:space="preserve">ipeline of activities to ensure ongoing international presence </w:t>
      </w:r>
      <w:r w:rsidR="003F7A37" w:rsidRPr="00EF4889">
        <w:rPr>
          <w:rFonts w:cstheme="minorHAnsi"/>
          <w:sz w:val="24"/>
          <w:szCs w:val="24"/>
        </w:rPr>
        <w:t>and business viability</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443639" w:rsidRPr="00EF4889">
        <w:rPr>
          <w:rFonts w:cstheme="minorHAnsi"/>
          <w:sz w:val="24"/>
          <w:szCs w:val="24"/>
        </w:rPr>
        <w:t>A</w:t>
      </w:r>
      <w:r w:rsidRPr="00EF4889">
        <w:rPr>
          <w:rFonts w:cstheme="minorHAnsi"/>
          <w:sz w:val="24"/>
          <w:szCs w:val="24"/>
        </w:rPr>
        <w:t xml:space="preserve"> bu</w:t>
      </w:r>
      <w:r w:rsidR="00A376F4" w:rsidRPr="00EF4889">
        <w:rPr>
          <w:rFonts w:cstheme="minorHAnsi"/>
          <w:sz w:val="24"/>
          <w:szCs w:val="24"/>
        </w:rPr>
        <w:t xml:space="preserve">siness case outlining new major </w:t>
      </w:r>
      <w:r w:rsidRPr="00EF4889">
        <w:rPr>
          <w:rFonts w:cstheme="minorHAnsi"/>
          <w:sz w:val="24"/>
          <w:szCs w:val="24"/>
        </w:rPr>
        <w:t>international activities to th</w:t>
      </w:r>
      <w:r w:rsidR="00A376F4" w:rsidRPr="00EF4889">
        <w:rPr>
          <w:rFonts w:cstheme="minorHAnsi"/>
          <w:sz w:val="24"/>
          <w:szCs w:val="24"/>
        </w:rPr>
        <w:t xml:space="preserve">e Board for consideration and approval </w:t>
      </w:r>
      <w:r w:rsidRPr="00EF4889">
        <w:rPr>
          <w:rFonts w:cstheme="minorHAnsi"/>
          <w:sz w:val="24"/>
          <w:szCs w:val="24"/>
        </w:rPr>
        <w:t>before the activity commences</w:t>
      </w:r>
    </w:p>
    <w:p w:rsidR="003F7A37" w:rsidRPr="00EF4889" w:rsidRDefault="003F7A37" w:rsidP="003F7A37">
      <w:pPr>
        <w:autoSpaceDE w:val="0"/>
        <w:autoSpaceDN w:val="0"/>
        <w:adjustRightInd w:val="0"/>
        <w:spacing w:after="0" w:line="240" w:lineRule="auto"/>
        <w:rPr>
          <w:rFonts w:cstheme="minorHAnsi"/>
          <w:sz w:val="24"/>
          <w:szCs w:val="24"/>
        </w:rPr>
      </w:pPr>
      <w:r w:rsidRPr="00EF4889">
        <w:rPr>
          <w:rFonts w:cstheme="minorHAnsi"/>
          <w:sz w:val="24"/>
          <w:szCs w:val="24"/>
        </w:rPr>
        <w:t xml:space="preserve">• </w:t>
      </w:r>
      <w:r w:rsidR="00443639" w:rsidRPr="00EF4889">
        <w:rPr>
          <w:rFonts w:cstheme="minorHAnsi"/>
          <w:sz w:val="24"/>
          <w:szCs w:val="24"/>
        </w:rPr>
        <w:t>Continual</w:t>
      </w:r>
      <w:r w:rsidR="00A376F4" w:rsidRPr="00EF4889">
        <w:rPr>
          <w:rFonts w:cstheme="minorHAnsi"/>
          <w:sz w:val="24"/>
          <w:szCs w:val="24"/>
        </w:rPr>
        <w:t xml:space="preserve"> scanning of the business </w:t>
      </w:r>
      <w:r w:rsidRPr="00EF4889">
        <w:rPr>
          <w:rFonts w:cstheme="minorHAnsi"/>
          <w:sz w:val="24"/>
          <w:szCs w:val="24"/>
        </w:rPr>
        <w:t>envir</w:t>
      </w:r>
      <w:r w:rsidR="00A376F4" w:rsidRPr="00EF4889">
        <w:rPr>
          <w:rFonts w:cstheme="minorHAnsi"/>
          <w:sz w:val="24"/>
          <w:szCs w:val="24"/>
        </w:rPr>
        <w:t xml:space="preserve">onment in each of the countries in which Chisholm operates to </w:t>
      </w:r>
      <w:r w:rsidRPr="00EF4889">
        <w:rPr>
          <w:rFonts w:cstheme="minorHAnsi"/>
          <w:sz w:val="24"/>
          <w:szCs w:val="24"/>
        </w:rPr>
        <w:t>identify change to the risk situation.</w:t>
      </w:r>
    </w:p>
    <w:p w:rsidR="003F7A37" w:rsidRPr="00EF4889" w:rsidRDefault="003F7A37" w:rsidP="003F7A37">
      <w:pPr>
        <w:autoSpaceDE w:val="0"/>
        <w:autoSpaceDN w:val="0"/>
        <w:adjustRightInd w:val="0"/>
        <w:spacing w:after="0" w:line="240" w:lineRule="auto"/>
        <w:rPr>
          <w:rFonts w:cstheme="minorHAnsi"/>
          <w:sz w:val="24"/>
          <w:szCs w:val="24"/>
        </w:rPr>
      </w:pPr>
    </w:p>
    <w:p w:rsidR="003F7A37" w:rsidRPr="00EF4889" w:rsidRDefault="00A376F4" w:rsidP="003F7A37">
      <w:pPr>
        <w:autoSpaceDE w:val="0"/>
        <w:autoSpaceDN w:val="0"/>
        <w:adjustRightInd w:val="0"/>
        <w:spacing w:after="0" w:line="240" w:lineRule="auto"/>
        <w:rPr>
          <w:rFonts w:cstheme="minorHAnsi"/>
          <w:sz w:val="24"/>
          <w:szCs w:val="24"/>
        </w:rPr>
      </w:pPr>
      <w:r w:rsidRPr="00EF4889">
        <w:rPr>
          <w:rFonts w:cstheme="minorHAnsi"/>
          <w:sz w:val="24"/>
          <w:szCs w:val="24"/>
        </w:rPr>
        <w:t>&lt;pp&gt;</w:t>
      </w:r>
      <w:r w:rsidR="007829BB" w:rsidRPr="00EF4889">
        <w:rPr>
          <w:rFonts w:cstheme="minorHAnsi"/>
          <w:sz w:val="24"/>
          <w:szCs w:val="24"/>
        </w:rPr>
        <w:t>28</w:t>
      </w:r>
    </w:p>
    <w:p w:rsidR="00A376F4" w:rsidRPr="00EF4889" w:rsidRDefault="00A376F4" w:rsidP="003F7A37">
      <w:pPr>
        <w:autoSpaceDE w:val="0"/>
        <w:autoSpaceDN w:val="0"/>
        <w:adjustRightInd w:val="0"/>
        <w:spacing w:after="0" w:line="240" w:lineRule="auto"/>
        <w:rPr>
          <w:rFonts w:cstheme="minorHAnsi"/>
          <w:sz w:val="24"/>
          <w:szCs w:val="24"/>
        </w:rPr>
      </w:pPr>
    </w:p>
    <w:p w:rsidR="00A376F4" w:rsidRPr="00EF4889" w:rsidRDefault="00A376F4" w:rsidP="006914D6">
      <w:pPr>
        <w:pStyle w:val="Heading2"/>
      </w:pPr>
      <w:r w:rsidRPr="00EF4889">
        <w:t xml:space="preserve">Financial Performance Summary </w:t>
      </w:r>
    </w:p>
    <w:p w:rsidR="00A376F4" w:rsidRPr="00EF4889" w:rsidRDefault="00A376F4" w:rsidP="003F7A37">
      <w:pPr>
        <w:autoSpaceDE w:val="0"/>
        <w:autoSpaceDN w:val="0"/>
        <w:adjustRightInd w:val="0"/>
        <w:spacing w:after="0" w:line="240" w:lineRule="auto"/>
        <w:rPr>
          <w:rFonts w:cstheme="minorHAnsi"/>
          <w:sz w:val="24"/>
          <w:szCs w:val="24"/>
        </w:rPr>
      </w:pPr>
    </w:p>
    <w:p w:rsidR="00A376F4" w:rsidRPr="00EF4889" w:rsidRDefault="00A376F4" w:rsidP="00A376F4">
      <w:pPr>
        <w:autoSpaceDE w:val="0"/>
        <w:autoSpaceDN w:val="0"/>
        <w:adjustRightInd w:val="0"/>
        <w:spacing w:after="0" w:line="240" w:lineRule="auto"/>
        <w:rPr>
          <w:rFonts w:cstheme="minorHAnsi"/>
          <w:sz w:val="24"/>
          <w:szCs w:val="24"/>
        </w:rPr>
      </w:pPr>
      <w:r w:rsidRPr="00EF4889">
        <w:rPr>
          <w:rFonts w:cstheme="minorHAnsi"/>
          <w:sz w:val="24"/>
          <w:szCs w:val="24"/>
        </w:rPr>
        <w:t>The Chisholm Group (‘the Group’), comprising Chisholm Institute, Caroline Chisholm Education Foundation, Chisholm Online and Chisholm Academy recorded a net surplus of $33.2 million (2016: $13.4 million surplus) compared to a Board approved budget net surplus of $25.7 million for 2017 largely as a result of higher than projected training revenues coupled with salary savings. Overall, income and expenses from transactions excluding capital contributions and depreciation were not significantly different from budget. The comprehensive result was a $51.5 million surplus (2016: $23.2 million surplus) due to an $18.3 million increase in land and buildings following a full asset revaluation.</w:t>
      </w:r>
    </w:p>
    <w:p w:rsidR="00A376F4" w:rsidRDefault="00A376F4" w:rsidP="00A376F4">
      <w:pPr>
        <w:autoSpaceDE w:val="0"/>
        <w:autoSpaceDN w:val="0"/>
        <w:adjustRightInd w:val="0"/>
        <w:spacing w:after="0" w:line="240" w:lineRule="auto"/>
        <w:rPr>
          <w:rFonts w:cstheme="minorHAnsi"/>
          <w:sz w:val="24"/>
          <w:szCs w:val="24"/>
        </w:rPr>
      </w:pPr>
      <w:r w:rsidRPr="00EF4889">
        <w:rPr>
          <w:rFonts w:cstheme="minorHAnsi"/>
          <w:sz w:val="24"/>
          <w:szCs w:val="24"/>
        </w:rPr>
        <w:lastRenderedPageBreak/>
        <w:t>During the year the Group continued to apply a prudent financial approach in a challenging environment while providing quality delivery. Chisholm remains focused on excellent quality training and education, growing its revenues, closely monitoring its costs, improving efficiency and productivity towards financial sustainability; and is committed to reinvestment in educational, operational and capital initiatives.</w:t>
      </w:r>
    </w:p>
    <w:p w:rsidR="00AC14AF" w:rsidRDefault="00AC14AF" w:rsidP="00A376F4">
      <w:pPr>
        <w:autoSpaceDE w:val="0"/>
        <w:autoSpaceDN w:val="0"/>
        <w:adjustRightInd w:val="0"/>
        <w:spacing w:after="0" w:line="240" w:lineRule="auto"/>
        <w:rPr>
          <w:rFonts w:cstheme="minorHAnsi"/>
          <w:sz w:val="24"/>
          <w:szCs w:val="24"/>
        </w:rPr>
      </w:pPr>
    </w:p>
    <w:tbl>
      <w:tblPr>
        <w:tblStyle w:val="TableGrid"/>
        <w:tblW w:w="10390" w:type="dxa"/>
        <w:tblInd w:w="-714" w:type="dxa"/>
        <w:tblLook w:val="04A0" w:firstRow="1" w:lastRow="0" w:firstColumn="1" w:lastColumn="0" w:noHBand="0" w:noVBand="1"/>
      </w:tblPr>
      <w:tblGrid>
        <w:gridCol w:w="4930"/>
        <w:gridCol w:w="1436"/>
        <w:gridCol w:w="1006"/>
        <w:gridCol w:w="1006"/>
        <w:gridCol w:w="1006"/>
        <w:gridCol w:w="1006"/>
      </w:tblGrid>
      <w:tr w:rsidR="00AC14AF" w:rsidTr="00AC14AF">
        <w:trPr>
          <w:trHeight w:val="316"/>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Consolidated</w:t>
            </w:r>
          </w:p>
        </w:tc>
        <w:tc>
          <w:tcPr>
            <w:tcW w:w="850" w:type="dxa"/>
          </w:tcPr>
          <w:p w:rsidR="00AC14AF" w:rsidRDefault="00AC14AF" w:rsidP="00AC14AF">
            <w:pPr>
              <w:autoSpaceDE w:val="0"/>
              <w:autoSpaceDN w:val="0"/>
              <w:adjustRightInd w:val="0"/>
              <w:jc w:val="right"/>
              <w:rPr>
                <w:rFonts w:cstheme="minorHAnsi"/>
                <w:sz w:val="24"/>
                <w:szCs w:val="24"/>
              </w:rPr>
            </w:pPr>
            <w:r>
              <w:rPr>
                <w:rFonts w:cstheme="minorHAnsi"/>
                <w:sz w:val="24"/>
                <w:szCs w:val="24"/>
              </w:rPr>
              <w:t>2017</w:t>
            </w:r>
          </w:p>
        </w:tc>
        <w:tc>
          <w:tcPr>
            <w:tcW w:w="851" w:type="dxa"/>
          </w:tcPr>
          <w:p w:rsidR="00AC14AF" w:rsidRDefault="00AC14AF" w:rsidP="00AC14AF">
            <w:pPr>
              <w:autoSpaceDE w:val="0"/>
              <w:autoSpaceDN w:val="0"/>
              <w:adjustRightInd w:val="0"/>
              <w:jc w:val="right"/>
              <w:rPr>
                <w:rFonts w:cstheme="minorHAnsi"/>
                <w:sz w:val="24"/>
                <w:szCs w:val="24"/>
              </w:rPr>
            </w:pPr>
            <w:r>
              <w:rPr>
                <w:rFonts w:cstheme="minorHAnsi"/>
                <w:sz w:val="24"/>
                <w:szCs w:val="24"/>
              </w:rPr>
              <w:t>2016</w:t>
            </w:r>
          </w:p>
        </w:tc>
        <w:tc>
          <w:tcPr>
            <w:tcW w:w="850" w:type="dxa"/>
          </w:tcPr>
          <w:p w:rsidR="00AC14AF" w:rsidRDefault="00AC14AF" w:rsidP="00AC14AF">
            <w:pPr>
              <w:autoSpaceDE w:val="0"/>
              <w:autoSpaceDN w:val="0"/>
              <w:adjustRightInd w:val="0"/>
              <w:jc w:val="right"/>
              <w:rPr>
                <w:rFonts w:cstheme="minorHAnsi"/>
                <w:sz w:val="24"/>
                <w:szCs w:val="24"/>
              </w:rPr>
            </w:pPr>
            <w:r>
              <w:rPr>
                <w:rFonts w:cstheme="minorHAnsi"/>
                <w:sz w:val="24"/>
                <w:szCs w:val="24"/>
              </w:rPr>
              <w:t>2015</w:t>
            </w:r>
          </w:p>
        </w:tc>
        <w:tc>
          <w:tcPr>
            <w:tcW w:w="851" w:type="dxa"/>
          </w:tcPr>
          <w:p w:rsidR="00AC14AF" w:rsidRDefault="00AC14AF" w:rsidP="00AC14AF">
            <w:pPr>
              <w:autoSpaceDE w:val="0"/>
              <w:autoSpaceDN w:val="0"/>
              <w:adjustRightInd w:val="0"/>
              <w:jc w:val="right"/>
              <w:rPr>
                <w:rFonts w:cstheme="minorHAnsi"/>
                <w:sz w:val="24"/>
                <w:szCs w:val="24"/>
              </w:rPr>
            </w:pPr>
            <w:r>
              <w:rPr>
                <w:rFonts w:cstheme="minorHAnsi"/>
                <w:sz w:val="24"/>
                <w:szCs w:val="24"/>
              </w:rPr>
              <w:t>2014</w:t>
            </w:r>
          </w:p>
        </w:tc>
        <w:tc>
          <w:tcPr>
            <w:tcW w:w="892" w:type="dxa"/>
          </w:tcPr>
          <w:p w:rsidR="00AC14AF" w:rsidRDefault="00AC14AF" w:rsidP="00AC14AF">
            <w:pPr>
              <w:autoSpaceDE w:val="0"/>
              <w:autoSpaceDN w:val="0"/>
              <w:adjustRightInd w:val="0"/>
              <w:jc w:val="right"/>
              <w:rPr>
                <w:rFonts w:cstheme="minorHAnsi"/>
                <w:sz w:val="24"/>
                <w:szCs w:val="24"/>
              </w:rPr>
            </w:pPr>
            <w:r>
              <w:rPr>
                <w:rFonts w:cstheme="minorHAnsi"/>
                <w:sz w:val="24"/>
                <w:szCs w:val="24"/>
              </w:rPr>
              <w:t>2013</w:t>
            </w:r>
          </w:p>
        </w:tc>
      </w:tr>
      <w:tr w:rsidR="00AC14AF" w:rsidTr="00AC14AF">
        <w:trPr>
          <w:trHeight w:val="327"/>
        </w:trPr>
        <w:tc>
          <w:tcPr>
            <w:tcW w:w="6096" w:type="dxa"/>
          </w:tcPr>
          <w:p w:rsidR="00AC14AF" w:rsidRDefault="00AC14AF" w:rsidP="00AC14AF">
            <w:pPr>
              <w:autoSpaceDE w:val="0"/>
              <w:autoSpaceDN w:val="0"/>
              <w:adjustRightInd w:val="0"/>
              <w:rPr>
                <w:rFonts w:cstheme="minorHAnsi"/>
                <w:sz w:val="24"/>
                <w:szCs w:val="24"/>
              </w:rPr>
            </w:pPr>
            <w:r>
              <w:rPr>
                <w:rFonts w:cstheme="minorHAnsi"/>
                <w:sz w:val="24"/>
                <w:szCs w:val="24"/>
              </w:rPr>
              <w:t>Summary of financial results</w:t>
            </w:r>
          </w:p>
        </w:tc>
        <w:tc>
          <w:tcPr>
            <w:tcW w:w="850" w:type="dxa"/>
          </w:tcPr>
          <w:p w:rsidR="00AC14AF" w:rsidRDefault="00AC14AF" w:rsidP="00AC14AF">
            <w:pPr>
              <w:autoSpaceDE w:val="0"/>
              <w:autoSpaceDN w:val="0"/>
              <w:adjustRightInd w:val="0"/>
              <w:jc w:val="right"/>
              <w:rPr>
                <w:rFonts w:cstheme="minorHAnsi"/>
                <w:sz w:val="24"/>
                <w:szCs w:val="24"/>
              </w:rPr>
            </w:pPr>
            <w:r>
              <w:rPr>
                <w:rFonts w:cstheme="minorHAnsi"/>
                <w:sz w:val="24"/>
                <w:szCs w:val="24"/>
              </w:rPr>
              <w:t>$’000</w:t>
            </w:r>
          </w:p>
        </w:tc>
        <w:tc>
          <w:tcPr>
            <w:tcW w:w="851" w:type="dxa"/>
          </w:tcPr>
          <w:p w:rsidR="00AC14AF" w:rsidRDefault="00AC14AF" w:rsidP="00AC14AF">
            <w:r w:rsidRPr="00E00434">
              <w:rPr>
                <w:rFonts w:cstheme="minorHAnsi"/>
                <w:sz w:val="24"/>
                <w:szCs w:val="24"/>
              </w:rPr>
              <w:t>$’000</w:t>
            </w:r>
          </w:p>
        </w:tc>
        <w:tc>
          <w:tcPr>
            <w:tcW w:w="850" w:type="dxa"/>
          </w:tcPr>
          <w:p w:rsidR="00AC14AF" w:rsidRDefault="00AC14AF" w:rsidP="00AC14AF">
            <w:r w:rsidRPr="00E00434">
              <w:rPr>
                <w:rFonts w:cstheme="minorHAnsi"/>
                <w:sz w:val="24"/>
                <w:szCs w:val="24"/>
              </w:rPr>
              <w:t>$’000</w:t>
            </w:r>
          </w:p>
        </w:tc>
        <w:tc>
          <w:tcPr>
            <w:tcW w:w="851" w:type="dxa"/>
          </w:tcPr>
          <w:p w:rsidR="00AC14AF" w:rsidRDefault="00AC14AF" w:rsidP="00AC14AF">
            <w:r w:rsidRPr="00E00434">
              <w:rPr>
                <w:rFonts w:cstheme="minorHAnsi"/>
                <w:sz w:val="24"/>
                <w:szCs w:val="24"/>
              </w:rPr>
              <w:t>$’000</w:t>
            </w:r>
          </w:p>
        </w:tc>
        <w:tc>
          <w:tcPr>
            <w:tcW w:w="892" w:type="dxa"/>
          </w:tcPr>
          <w:p w:rsidR="00AC14AF" w:rsidRDefault="00AC14AF" w:rsidP="00AC14AF">
            <w:r w:rsidRPr="00E00434">
              <w:rPr>
                <w:rFonts w:cstheme="minorHAnsi"/>
                <w:sz w:val="24"/>
                <w:szCs w:val="24"/>
              </w:rPr>
              <w:t>$’000</w:t>
            </w:r>
          </w:p>
        </w:tc>
      </w:tr>
      <w:tr w:rsidR="00AC14AF" w:rsidTr="00AC14AF">
        <w:trPr>
          <w:trHeight w:val="316"/>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Total income from  transactions</w:t>
            </w:r>
          </w:p>
        </w:tc>
        <w:tc>
          <w:tcPr>
            <w:tcW w:w="850" w:type="dxa"/>
          </w:tcPr>
          <w:p w:rsidR="00AC14AF" w:rsidRPr="00AC14AF" w:rsidRDefault="00AC14AF" w:rsidP="00AC14AF">
            <w:pPr>
              <w:tabs>
                <w:tab w:val="left" w:pos="430"/>
              </w:tabs>
              <w:autoSpaceDE w:val="0"/>
              <w:autoSpaceDN w:val="0"/>
              <w:adjustRightInd w:val="0"/>
              <w:rPr>
                <w:rFonts w:cstheme="minorHAnsi"/>
                <w:sz w:val="24"/>
                <w:szCs w:val="24"/>
              </w:rPr>
            </w:pPr>
            <w:r w:rsidRPr="00AC14AF">
              <w:rPr>
                <w:rFonts w:cstheme="minorHAnsi"/>
                <w:sz w:val="24"/>
                <w:szCs w:val="24"/>
              </w:rPr>
              <w:tab/>
              <w:t>165,564</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141,123</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125,453</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143,705</w:t>
            </w:r>
          </w:p>
        </w:tc>
        <w:tc>
          <w:tcPr>
            <w:tcW w:w="892"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135,682</w:t>
            </w:r>
          </w:p>
        </w:tc>
      </w:tr>
      <w:tr w:rsidR="00AC14AF" w:rsidTr="00AC14AF">
        <w:trPr>
          <w:trHeight w:val="316"/>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Total expenses from transactions</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132,216</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121,724</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119,284</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113,105</w:t>
            </w:r>
          </w:p>
        </w:tc>
        <w:tc>
          <w:tcPr>
            <w:tcW w:w="892"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105,514</w:t>
            </w:r>
          </w:p>
        </w:tc>
      </w:tr>
      <w:tr w:rsidR="00AC14AF" w:rsidTr="00AC14AF">
        <w:trPr>
          <w:trHeight w:val="316"/>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Net result from transactions (Net operating balance)</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33,348</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19,399</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6,169</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30,600</w:t>
            </w:r>
          </w:p>
        </w:tc>
        <w:tc>
          <w:tcPr>
            <w:tcW w:w="892" w:type="dxa"/>
          </w:tcPr>
          <w:p w:rsidR="00AC14AF" w:rsidRPr="00AC14AF" w:rsidRDefault="00AC14AF" w:rsidP="00AC14AF">
            <w:pPr>
              <w:autoSpaceDE w:val="0"/>
              <w:autoSpaceDN w:val="0"/>
              <w:adjustRightInd w:val="0"/>
              <w:jc w:val="center"/>
              <w:rPr>
                <w:rFonts w:cstheme="minorHAnsi"/>
                <w:sz w:val="24"/>
                <w:szCs w:val="24"/>
              </w:rPr>
            </w:pPr>
            <w:r w:rsidRPr="00AC14AF">
              <w:rPr>
                <w:rFonts w:cstheme="minorHAnsi"/>
                <w:sz w:val="24"/>
                <w:szCs w:val="24"/>
              </w:rPr>
              <w:t>30,168</w:t>
            </w:r>
          </w:p>
        </w:tc>
      </w:tr>
      <w:tr w:rsidR="00AC14AF" w:rsidTr="00AC14AF">
        <w:trPr>
          <w:trHeight w:val="327"/>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Other economic flows included in net result</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(156)</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(5,954)</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(91)</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(894)</w:t>
            </w:r>
          </w:p>
        </w:tc>
        <w:tc>
          <w:tcPr>
            <w:tcW w:w="892"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690</w:t>
            </w:r>
          </w:p>
        </w:tc>
      </w:tr>
      <w:tr w:rsidR="00AC14AF" w:rsidTr="00AC14AF">
        <w:trPr>
          <w:trHeight w:val="316"/>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Net result</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33,192</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13,445</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6,078</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29,706</w:t>
            </w:r>
          </w:p>
        </w:tc>
        <w:tc>
          <w:tcPr>
            <w:tcW w:w="892"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30,858</w:t>
            </w:r>
          </w:p>
        </w:tc>
      </w:tr>
      <w:tr w:rsidR="00AC14AF" w:rsidTr="00AC14AF">
        <w:trPr>
          <w:trHeight w:val="316"/>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Other economic flows – other comprehensive income</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18,325</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9,804</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(2,158)</w:t>
            </w:r>
          </w:p>
        </w:tc>
        <w:tc>
          <w:tcPr>
            <w:tcW w:w="892"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(136)</w:t>
            </w:r>
          </w:p>
        </w:tc>
      </w:tr>
      <w:tr w:rsidR="00AC14AF" w:rsidTr="00AC14AF">
        <w:trPr>
          <w:trHeight w:val="327"/>
        </w:trPr>
        <w:tc>
          <w:tcPr>
            <w:tcW w:w="6096" w:type="dxa"/>
          </w:tcPr>
          <w:p w:rsidR="00AC14AF" w:rsidRDefault="00AC14AF" w:rsidP="00A376F4">
            <w:pPr>
              <w:autoSpaceDE w:val="0"/>
              <w:autoSpaceDN w:val="0"/>
              <w:adjustRightInd w:val="0"/>
              <w:rPr>
                <w:rFonts w:cstheme="minorHAnsi"/>
                <w:sz w:val="24"/>
                <w:szCs w:val="24"/>
              </w:rPr>
            </w:pPr>
            <w:r>
              <w:rPr>
                <w:rFonts w:cstheme="minorHAnsi"/>
                <w:sz w:val="24"/>
                <w:szCs w:val="24"/>
              </w:rPr>
              <w:t>Comprehensive result</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51,517</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23,249</w:t>
            </w:r>
          </w:p>
        </w:tc>
        <w:tc>
          <w:tcPr>
            <w:tcW w:w="850"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6,078</w:t>
            </w:r>
          </w:p>
        </w:tc>
        <w:tc>
          <w:tcPr>
            <w:tcW w:w="851"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27,548</w:t>
            </w:r>
          </w:p>
        </w:tc>
        <w:tc>
          <w:tcPr>
            <w:tcW w:w="892" w:type="dxa"/>
          </w:tcPr>
          <w:p w:rsidR="00AC14AF" w:rsidRPr="00AC14AF" w:rsidRDefault="00AC14AF" w:rsidP="00AC14AF">
            <w:pPr>
              <w:autoSpaceDE w:val="0"/>
              <w:autoSpaceDN w:val="0"/>
              <w:adjustRightInd w:val="0"/>
              <w:jc w:val="right"/>
              <w:rPr>
                <w:rFonts w:cstheme="minorHAnsi"/>
                <w:sz w:val="24"/>
                <w:szCs w:val="24"/>
              </w:rPr>
            </w:pPr>
            <w:r w:rsidRPr="00AC14AF">
              <w:rPr>
                <w:rFonts w:cstheme="minorHAnsi"/>
                <w:sz w:val="24"/>
                <w:szCs w:val="24"/>
              </w:rPr>
              <w:t>30,722</w:t>
            </w:r>
          </w:p>
        </w:tc>
      </w:tr>
    </w:tbl>
    <w:p w:rsidR="00AC14AF" w:rsidRDefault="00AC14AF" w:rsidP="00A376F4">
      <w:pPr>
        <w:autoSpaceDE w:val="0"/>
        <w:autoSpaceDN w:val="0"/>
        <w:adjustRightInd w:val="0"/>
        <w:spacing w:after="0" w:line="240" w:lineRule="auto"/>
        <w:rPr>
          <w:rFonts w:cstheme="minorHAnsi"/>
          <w:sz w:val="24"/>
          <w:szCs w:val="24"/>
        </w:rPr>
      </w:pPr>
    </w:p>
    <w:p w:rsidR="00A376F4" w:rsidRPr="00AC14AF" w:rsidRDefault="00A376F4" w:rsidP="00A376F4">
      <w:pPr>
        <w:autoSpaceDE w:val="0"/>
        <w:autoSpaceDN w:val="0"/>
        <w:adjustRightInd w:val="0"/>
        <w:spacing w:after="0" w:line="240" w:lineRule="auto"/>
        <w:rPr>
          <w:rFonts w:cstheme="minorHAnsi"/>
          <w:sz w:val="24"/>
          <w:szCs w:val="24"/>
        </w:rPr>
      </w:pPr>
      <w:r w:rsidRPr="00AC14AF">
        <w:rPr>
          <w:rFonts w:cstheme="minorHAnsi"/>
          <w:sz w:val="24"/>
          <w:szCs w:val="24"/>
        </w:rPr>
        <w:t>At 31 December 2017, Chisholm Institute’s consolidated net assets were $374.6 million (2016: $323.1 million). The increase in net assets was due to the following:</w:t>
      </w:r>
    </w:p>
    <w:p w:rsidR="00A376F4" w:rsidRPr="00AC14AF" w:rsidRDefault="00A376F4" w:rsidP="00A376F4">
      <w:pPr>
        <w:autoSpaceDE w:val="0"/>
        <w:autoSpaceDN w:val="0"/>
        <w:adjustRightInd w:val="0"/>
        <w:spacing w:after="0" w:line="240" w:lineRule="auto"/>
        <w:rPr>
          <w:rFonts w:cstheme="minorHAnsi"/>
          <w:sz w:val="24"/>
          <w:szCs w:val="24"/>
        </w:rPr>
      </w:pPr>
      <w:r w:rsidRPr="00AC14AF">
        <w:rPr>
          <w:rFonts w:cstheme="minorHAnsi"/>
          <w:sz w:val="24"/>
          <w:szCs w:val="24"/>
        </w:rPr>
        <w:t xml:space="preserve">• </w:t>
      </w:r>
      <w:r w:rsidR="00443639" w:rsidRPr="00AC14AF">
        <w:rPr>
          <w:rFonts w:cstheme="minorHAnsi"/>
          <w:sz w:val="24"/>
          <w:szCs w:val="24"/>
        </w:rPr>
        <w:t>Favourable</w:t>
      </w:r>
      <w:r w:rsidRPr="00AC14AF">
        <w:rPr>
          <w:rFonts w:cstheme="minorHAnsi"/>
          <w:sz w:val="24"/>
          <w:szCs w:val="24"/>
        </w:rPr>
        <w:t xml:space="preserve"> trading result for the year</w:t>
      </w:r>
    </w:p>
    <w:p w:rsidR="00A376F4" w:rsidRPr="00AC14AF" w:rsidRDefault="00A376F4" w:rsidP="00A376F4">
      <w:pPr>
        <w:autoSpaceDE w:val="0"/>
        <w:autoSpaceDN w:val="0"/>
        <w:adjustRightInd w:val="0"/>
        <w:spacing w:after="0" w:line="240" w:lineRule="auto"/>
        <w:rPr>
          <w:rFonts w:cstheme="minorHAnsi"/>
          <w:sz w:val="24"/>
          <w:szCs w:val="24"/>
        </w:rPr>
      </w:pPr>
      <w:r w:rsidRPr="00AC14AF">
        <w:rPr>
          <w:rFonts w:cstheme="minorHAnsi"/>
          <w:sz w:val="24"/>
          <w:szCs w:val="24"/>
        </w:rPr>
        <w:t>• increased capital activity in relation to the Frankston Redevelopment Project, Berwick Centre for Health and Casey Tech School</w:t>
      </w:r>
    </w:p>
    <w:p w:rsidR="00A376F4" w:rsidRPr="00AC14AF" w:rsidRDefault="00A376F4" w:rsidP="00A376F4">
      <w:pPr>
        <w:autoSpaceDE w:val="0"/>
        <w:autoSpaceDN w:val="0"/>
        <w:adjustRightInd w:val="0"/>
        <w:spacing w:after="0" w:line="240" w:lineRule="auto"/>
        <w:rPr>
          <w:rFonts w:cstheme="minorHAnsi"/>
          <w:sz w:val="24"/>
          <w:szCs w:val="24"/>
        </w:rPr>
      </w:pPr>
      <w:r w:rsidRPr="00AC14AF">
        <w:rPr>
          <w:rFonts w:cstheme="minorHAnsi"/>
          <w:sz w:val="24"/>
          <w:szCs w:val="24"/>
        </w:rPr>
        <w:t xml:space="preserve">• </w:t>
      </w:r>
      <w:r w:rsidR="00443639" w:rsidRPr="00AC14AF">
        <w:rPr>
          <w:rFonts w:cstheme="minorHAnsi"/>
          <w:sz w:val="24"/>
          <w:szCs w:val="24"/>
        </w:rPr>
        <w:t>Revaluation</w:t>
      </w:r>
      <w:r w:rsidRPr="00AC14AF">
        <w:rPr>
          <w:rFonts w:cstheme="minorHAnsi"/>
          <w:sz w:val="24"/>
          <w:szCs w:val="24"/>
        </w:rPr>
        <w:t xml:space="preserve"> of land and buildings.</w:t>
      </w:r>
    </w:p>
    <w:p w:rsidR="00A376F4" w:rsidRPr="00AC14AF" w:rsidRDefault="00A376F4" w:rsidP="00A376F4">
      <w:pPr>
        <w:autoSpaceDE w:val="0"/>
        <w:autoSpaceDN w:val="0"/>
        <w:adjustRightInd w:val="0"/>
        <w:spacing w:after="0" w:line="240" w:lineRule="auto"/>
        <w:rPr>
          <w:rFonts w:ascii="ProximaNovaA-Light" w:hAnsi="ProximaNovaA-Light" w:cs="ProximaNovaA-Light"/>
          <w:color w:val="FF0000"/>
          <w:sz w:val="24"/>
          <w:szCs w:val="24"/>
        </w:rPr>
      </w:pPr>
    </w:p>
    <w:p w:rsidR="00A376F4" w:rsidRPr="00AC14AF" w:rsidRDefault="00A376F4" w:rsidP="00A376F4">
      <w:pPr>
        <w:kinsoku w:val="0"/>
        <w:overflowPunct w:val="0"/>
        <w:autoSpaceDE w:val="0"/>
        <w:autoSpaceDN w:val="0"/>
        <w:adjustRightInd w:val="0"/>
        <w:spacing w:before="7" w:after="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3986"/>
        <w:gridCol w:w="1006"/>
        <w:gridCol w:w="1006"/>
        <w:gridCol w:w="1006"/>
        <w:gridCol w:w="1006"/>
        <w:gridCol w:w="1006"/>
      </w:tblGrid>
      <w:tr w:rsidR="00997C14" w:rsidRPr="00AC14AF" w:rsidTr="005E6EC7">
        <w:tc>
          <w:tcPr>
            <w:tcW w:w="4815" w:type="dxa"/>
          </w:tcPr>
          <w:p w:rsidR="00997C14" w:rsidRPr="00AC14AF" w:rsidRDefault="00997C14" w:rsidP="005E6EC7">
            <w:pPr>
              <w:rPr>
                <w:sz w:val="24"/>
                <w:szCs w:val="24"/>
              </w:rPr>
            </w:pPr>
            <w:r w:rsidRPr="00AC14AF">
              <w:rPr>
                <w:sz w:val="24"/>
                <w:szCs w:val="24"/>
              </w:rPr>
              <w:t>Consolidated</w:t>
            </w:r>
          </w:p>
        </w:tc>
        <w:tc>
          <w:tcPr>
            <w:tcW w:w="850" w:type="dxa"/>
          </w:tcPr>
          <w:p w:rsidR="00997C14" w:rsidRPr="00AC14AF" w:rsidRDefault="00997C14" w:rsidP="005E6EC7">
            <w:pPr>
              <w:jc w:val="right"/>
              <w:rPr>
                <w:sz w:val="24"/>
                <w:szCs w:val="24"/>
              </w:rPr>
            </w:pPr>
            <w:r w:rsidRPr="00AC14AF">
              <w:rPr>
                <w:sz w:val="24"/>
                <w:szCs w:val="24"/>
              </w:rPr>
              <w:t>2017</w:t>
            </w:r>
          </w:p>
        </w:tc>
        <w:tc>
          <w:tcPr>
            <w:tcW w:w="851" w:type="dxa"/>
          </w:tcPr>
          <w:p w:rsidR="00997C14" w:rsidRPr="00AC14AF" w:rsidRDefault="00997C14" w:rsidP="005E6EC7">
            <w:pPr>
              <w:jc w:val="right"/>
              <w:rPr>
                <w:sz w:val="24"/>
                <w:szCs w:val="24"/>
              </w:rPr>
            </w:pPr>
            <w:r w:rsidRPr="00AC14AF">
              <w:rPr>
                <w:sz w:val="24"/>
                <w:szCs w:val="24"/>
              </w:rPr>
              <w:t>2016</w:t>
            </w:r>
          </w:p>
        </w:tc>
        <w:tc>
          <w:tcPr>
            <w:tcW w:w="850" w:type="dxa"/>
          </w:tcPr>
          <w:p w:rsidR="00997C14" w:rsidRPr="00AC14AF" w:rsidRDefault="00997C14" w:rsidP="005E6EC7">
            <w:pPr>
              <w:jc w:val="right"/>
              <w:rPr>
                <w:sz w:val="24"/>
                <w:szCs w:val="24"/>
              </w:rPr>
            </w:pPr>
            <w:r w:rsidRPr="00AC14AF">
              <w:rPr>
                <w:sz w:val="24"/>
                <w:szCs w:val="24"/>
              </w:rPr>
              <w:t>2015</w:t>
            </w:r>
          </w:p>
        </w:tc>
        <w:tc>
          <w:tcPr>
            <w:tcW w:w="851" w:type="dxa"/>
          </w:tcPr>
          <w:p w:rsidR="00997C14" w:rsidRPr="00AC14AF" w:rsidRDefault="00997C14" w:rsidP="005E6EC7">
            <w:pPr>
              <w:jc w:val="right"/>
              <w:rPr>
                <w:sz w:val="24"/>
                <w:szCs w:val="24"/>
              </w:rPr>
            </w:pPr>
            <w:r w:rsidRPr="00AC14AF">
              <w:rPr>
                <w:sz w:val="24"/>
                <w:szCs w:val="24"/>
              </w:rPr>
              <w:t>2014</w:t>
            </w:r>
          </w:p>
        </w:tc>
        <w:tc>
          <w:tcPr>
            <w:tcW w:w="799" w:type="dxa"/>
          </w:tcPr>
          <w:p w:rsidR="00997C14" w:rsidRPr="00AC14AF" w:rsidRDefault="00997C14" w:rsidP="005E6EC7">
            <w:pPr>
              <w:jc w:val="right"/>
              <w:rPr>
                <w:sz w:val="24"/>
                <w:szCs w:val="24"/>
              </w:rPr>
            </w:pPr>
            <w:r w:rsidRPr="00AC14AF">
              <w:rPr>
                <w:sz w:val="24"/>
                <w:szCs w:val="24"/>
              </w:rPr>
              <w:t>2013</w:t>
            </w:r>
          </w:p>
        </w:tc>
      </w:tr>
      <w:tr w:rsidR="00997C14" w:rsidRPr="00AC14AF" w:rsidTr="005E6EC7">
        <w:tc>
          <w:tcPr>
            <w:tcW w:w="4815" w:type="dxa"/>
          </w:tcPr>
          <w:p w:rsidR="00997C14" w:rsidRPr="00AC14AF" w:rsidRDefault="00997C14" w:rsidP="005E6EC7">
            <w:pPr>
              <w:rPr>
                <w:sz w:val="24"/>
                <w:szCs w:val="24"/>
              </w:rPr>
            </w:pPr>
            <w:r w:rsidRPr="00AC14AF">
              <w:rPr>
                <w:sz w:val="24"/>
                <w:szCs w:val="24"/>
              </w:rPr>
              <w:t>Summary of financial position</w:t>
            </w:r>
          </w:p>
        </w:tc>
        <w:tc>
          <w:tcPr>
            <w:tcW w:w="850" w:type="dxa"/>
          </w:tcPr>
          <w:p w:rsidR="00997C14" w:rsidRPr="00AC14AF" w:rsidRDefault="00997C14" w:rsidP="005E6EC7">
            <w:pPr>
              <w:jc w:val="right"/>
              <w:rPr>
                <w:sz w:val="24"/>
                <w:szCs w:val="24"/>
              </w:rPr>
            </w:pPr>
            <w:r w:rsidRPr="00AC14AF">
              <w:rPr>
                <w:sz w:val="24"/>
                <w:szCs w:val="24"/>
              </w:rPr>
              <w:t>$’000</w:t>
            </w:r>
          </w:p>
        </w:tc>
        <w:tc>
          <w:tcPr>
            <w:tcW w:w="851" w:type="dxa"/>
          </w:tcPr>
          <w:p w:rsidR="00997C14" w:rsidRPr="00AC14AF" w:rsidRDefault="00997C14" w:rsidP="005E6EC7">
            <w:pPr>
              <w:jc w:val="right"/>
              <w:rPr>
                <w:sz w:val="24"/>
                <w:szCs w:val="24"/>
              </w:rPr>
            </w:pPr>
            <w:r w:rsidRPr="00AC14AF">
              <w:rPr>
                <w:sz w:val="24"/>
                <w:szCs w:val="24"/>
              </w:rPr>
              <w:t>$’000</w:t>
            </w:r>
          </w:p>
        </w:tc>
        <w:tc>
          <w:tcPr>
            <w:tcW w:w="850" w:type="dxa"/>
          </w:tcPr>
          <w:p w:rsidR="00997C14" w:rsidRPr="00AC14AF" w:rsidRDefault="00997C14" w:rsidP="005E6EC7">
            <w:pPr>
              <w:jc w:val="right"/>
              <w:rPr>
                <w:sz w:val="24"/>
                <w:szCs w:val="24"/>
              </w:rPr>
            </w:pPr>
            <w:r w:rsidRPr="00AC14AF">
              <w:rPr>
                <w:sz w:val="24"/>
                <w:szCs w:val="24"/>
              </w:rPr>
              <w:t>$’000</w:t>
            </w:r>
          </w:p>
        </w:tc>
        <w:tc>
          <w:tcPr>
            <w:tcW w:w="851" w:type="dxa"/>
          </w:tcPr>
          <w:p w:rsidR="00997C14" w:rsidRPr="00AC14AF" w:rsidRDefault="00997C14" w:rsidP="005E6EC7">
            <w:pPr>
              <w:jc w:val="right"/>
              <w:rPr>
                <w:sz w:val="24"/>
                <w:szCs w:val="24"/>
              </w:rPr>
            </w:pPr>
            <w:r w:rsidRPr="00AC14AF">
              <w:rPr>
                <w:sz w:val="24"/>
                <w:szCs w:val="24"/>
              </w:rPr>
              <w:t>$’000</w:t>
            </w:r>
          </w:p>
        </w:tc>
        <w:tc>
          <w:tcPr>
            <w:tcW w:w="799" w:type="dxa"/>
          </w:tcPr>
          <w:p w:rsidR="00997C14" w:rsidRPr="00AC14AF" w:rsidRDefault="00997C14" w:rsidP="005E6EC7">
            <w:pPr>
              <w:jc w:val="right"/>
              <w:rPr>
                <w:sz w:val="24"/>
                <w:szCs w:val="24"/>
              </w:rPr>
            </w:pPr>
            <w:r w:rsidRPr="00AC14AF">
              <w:rPr>
                <w:sz w:val="24"/>
                <w:szCs w:val="24"/>
              </w:rPr>
              <w:t>$’000</w:t>
            </w:r>
          </w:p>
        </w:tc>
      </w:tr>
      <w:tr w:rsidR="00997C14" w:rsidRPr="00AC14AF" w:rsidTr="005E6EC7">
        <w:tc>
          <w:tcPr>
            <w:tcW w:w="4815" w:type="dxa"/>
          </w:tcPr>
          <w:p w:rsidR="00997C14" w:rsidRPr="00AC14AF" w:rsidRDefault="00997C14" w:rsidP="005E6EC7">
            <w:pPr>
              <w:rPr>
                <w:sz w:val="24"/>
                <w:szCs w:val="24"/>
              </w:rPr>
            </w:pPr>
            <w:r w:rsidRPr="00AC14AF">
              <w:rPr>
                <w:sz w:val="24"/>
                <w:szCs w:val="24"/>
              </w:rPr>
              <w:t>Total assets</w:t>
            </w:r>
          </w:p>
        </w:tc>
        <w:tc>
          <w:tcPr>
            <w:tcW w:w="850" w:type="dxa"/>
          </w:tcPr>
          <w:p w:rsidR="00997C14" w:rsidRPr="00AC14AF" w:rsidRDefault="00997C14" w:rsidP="005E6EC7">
            <w:pPr>
              <w:jc w:val="right"/>
              <w:rPr>
                <w:sz w:val="24"/>
                <w:szCs w:val="24"/>
              </w:rPr>
            </w:pPr>
            <w:r w:rsidRPr="00AC14AF">
              <w:rPr>
                <w:sz w:val="24"/>
                <w:szCs w:val="24"/>
              </w:rPr>
              <w:t>396,949</w:t>
            </w:r>
          </w:p>
        </w:tc>
        <w:tc>
          <w:tcPr>
            <w:tcW w:w="851" w:type="dxa"/>
          </w:tcPr>
          <w:p w:rsidR="00997C14" w:rsidRPr="00AC14AF" w:rsidRDefault="00997C14" w:rsidP="005E6EC7">
            <w:pPr>
              <w:jc w:val="right"/>
              <w:rPr>
                <w:sz w:val="24"/>
                <w:szCs w:val="24"/>
              </w:rPr>
            </w:pPr>
            <w:r w:rsidRPr="00AC14AF">
              <w:rPr>
                <w:sz w:val="24"/>
                <w:szCs w:val="24"/>
              </w:rPr>
              <w:t>344,822</w:t>
            </w:r>
          </w:p>
        </w:tc>
        <w:tc>
          <w:tcPr>
            <w:tcW w:w="850" w:type="dxa"/>
          </w:tcPr>
          <w:p w:rsidR="00997C14" w:rsidRPr="00AC14AF" w:rsidRDefault="00997C14" w:rsidP="005E6EC7">
            <w:pPr>
              <w:jc w:val="right"/>
              <w:rPr>
                <w:sz w:val="24"/>
                <w:szCs w:val="24"/>
              </w:rPr>
            </w:pPr>
            <w:r w:rsidRPr="00AC14AF">
              <w:rPr>
                <w:sz w:val="24"/>
                <w:szCs w:val="24"/>
              </w:rPr>
              <w:t>319,549</w:t>
            </w:r>
          </w:p>
        </w:tc>
        <w:tc>
          <w:tcPr>
            <w:tcW w:w="851" w:type="dxa"/>
          </w:tcPr>
          <w:p w:rsidR="00997C14" w:rsidRPr="00AC14AF" w:rsidRDefault="00997C14" w:rsidP="005E6EC7">
            <w:pPr>
              <w:jc w:val="right"/>
              <w:rPr>
                <w:sz w:val="24"/>
                <w:szCs w:val="24"/>
              </w:rPr>
            </w:pPr>
            <w:r w:rsidRPr="00AC14AF">
              <w:rPr>
                <w:sz w:val="24"/>
                <w:szCs w:val="24"/>
              </w:rPr>
              <w:t>315,499</w:t>
            </w:r>
          </w:p>
        </w:tc>
        <w:tc>
          <w:tcPr>
            <w:tcW w:w="799" w:type="dxa"/>
          </w:tcPr>
          <w:p w:rsidR="00997C14" w:rsidRPr="00AC14AF" w:rsidRDefault="00997C14" w:rsidP="005E6EC7">
            <w:pPr>
              <w:jc w:val="right"/>
              <w:rPr>
                <w:sz w:val="24"/>
                <w:szCs w:val="24"/>
              </w:rPr>
            </w:pPr>
            <w:r w:rsidRPr="00AC14AF">
              <w:rPr>
                <w:sz w:val="24"/>
                <w:szCs w:val="24"/>
              </w:rPr>
              <w:t>288,367</w:t>
            </w:r>
          </w:p>
        </w:tc>
      </w:tr>
      <w:tr w:rsidR="00997C14" w:rsidRPr="00AC14AF" w:rsidTr="005E6EC7">
        <w:tc>
          <w:tcPr>
            <w:tcW w:w="4815" w:type="dxa"/>
          </w:tcPr>
          <w:p w:rsidR="00997C14" w:rsidRPr="00AC14AF" w:rsidRDefault="00997C14" w:rsidP="005E6EC7">
            <w:pPr>
              <w:rPr>
                <w:sz w:val="24"/>
                <w:szCs w:val="24"/>
              </w:rPr>
            </w:pPr>
            <w:r w:rsidRPr="00AC14AF">
              <w:rPr>
                <w:sz w:val="24"/>
                <w:szCs w:val="24"/>
              </w:rPr>
              <w:t xml:space="preserve">Total liabilities </w:t>
            </w:r>
          </w:p>
        </w:tc>
        <w:tc>
          <w:tcPr>
            <w:tcW w:w="850" w:type="dxa"/>
          </w:tcPr>
          <w:p w:rsidR="00997C14" w:rsidRPr="00AC14AF" w:rsidRDefault="00997C14" w:rsidP="005E6EC7">
            <w:pPr>
              <w:jc w:val="right"/>
              <w:rPr>
                <w:sz w:val="24"/>
                <w:szCs w:val="24"/>
              </w:rPr>
            </w:pPr>
            <w:r w:rsidRPr="00AC14AF">
              <w:rPr>
                <w:sz w:val="24"/>
                <w:szCs w:val="24"/>
              </w:rPr>
              <w:t>22,343</w:t>
            </w:r>
          </w:p>
        </w:tc>
        <w:tc>
          <w:tcPr>
            <w:tcW w:w="851" w:type="dxa"/>
          </w:tcPr>
          <w:p w:rsidR="00997C14" w:rsidRPr="00AC14AF" w:rsidRDefault="00997C14" w:rsidP="005E6EC7">
            <w:pPr>
              <w:jc w:val="right"/>
              <w:rPr>
                <w:sz w:val="24"/>
                <w:szCs w:val="24"/>
              </w:rPr>
            </w:pPr>
            <w:r w:rsidRPr="00AC14AF">
              <w:rPr>
                <w:sz w:val="24"/>
                <w:szCs w:val="24"/>
              </w:rPr>
              <w:t>21,732</w:t>
            </w:r>
          </w:p>
        </w:tc>
        <w:tc>
          <w:tcPr>
            <w:tcW w:w="850" w:type="dxa"/>
          </w:tcPr>
          <w:p w:rsidR="00997C14" w:rsidRPr="00AC14AF" w:rsidRDefault="00997C14" w:rsidP="005E6EC7">
            <w:pPr>
              <w:jc w:val="right"/>
              <w:rPr>
                <w:sz w:val="24"/>
                <w:szCs w:val="24"/>
              </w:rPr>
            </w:pPr>
            <w:r w:rsidRPr="00AC14AF">
              <w:rPr>
                <w:sz w:val="24"/>
                <w:szCs w:val="24"/>
              </w:rPr>
              <w:t>19,707</w:t>
            </w:r>
          </w:p>
        </w:tc>
        <w:tc>
          <w:tcPr>
            <w:tcW w:w="851" w:type="dxa"/>
          </w:tcPr>
          <w:p w:rsidR="00997C14" w:rsidRPr="00AC14AF" w:rsidRDefault="00997C14" w:rsidP="005E6EC7">
            <w:pPr>
              <w:jc w:val="right"/>
              <w:rPr>
                <w:sz w:val="24"/>
                <w:szCs w:val="24"/>
              </w:rPr>
            </w:pPr>
            <w:r w:rsidRPr="00AC14AF">
              <w:rPr>
                <w:sz w:val="24"/>
                <w:szCs w:val="24"/>
              </w:rPr>
              <w:t>21,736</w:t>
            </w:r>
          </w:p>
        </w:tc>
        <w:tc>
          <w:tcPr>
            <w:tcW w:w="799" w:type="dxa"/>
          </w:tcPr>
          <w:p w:rsidR="00997C14" w:rsidRPr="00AC14AF" w:rsidRDefault="00997C14" w:rsidP="005E6EC7">
            <w:pPr>
              <w:jc w:val="right"/>
              <w:rPr>
                <w:sz w:val="24"/>
                <w:szCs w:val="24"/>
              </w:rPr>
            </w:pPr>
            <w:r w:rsidRPr="00AC14AF">
              <w:rPr>
                <w:sz w:val="24"/>
                <w:szCs w:val="24"/>
              </w:rPr>
              <w:t>22,152</w:t>
            </w:r>
          </w:p>
        </w:tc>
      </w:tr>
      <w:tr w:rsidR="00997C14" w:rsidRPr="00AC14AF" w:rsidTr="005E6EC7">
        <w:tc>
          <w:tcPr>
            <w:tcW w:w="4815" w:type="dxa"/>
          </w:tcPr>
          <w:p w:rsidR="00997C14" w:rsidRPr="00AC14AF" w:rsidRDefault="00997C14" w:rsidP="005E6EC7">
            <w:pPr>
              <w:rPr>
                <w:sz w:val="24"/>
                <w:szCs w:val="24"/>
              </w:rPr>
            </w:pPr>
            <w:r w:rsidRPr="00AC14AF">
              <w:rPr>
                <w:sz w:val="24"/>
                <w:szCs w:val="24"/>
              </w:rPr>
              <w:t>Net assets</w:t>
            </w:r>
          </w:p>
        </w:tc>
        <w:tc>
          <w:tcPr>
            <w:tcW w:w="850" w:type="dxa"/>
          </w:tcPr>
          <w:p w:rsidR="00997C14" w:rsidRPr="00AC14AF" w:rsidRDefault="00997C14" w:rsidP="005E6EC7">
            <w:pPr>
              <w:jc w:val="right"/>
              <w:rPr>
                <w:sz w:val="24"/>
                <w:szCs w:val="24"/>
              </w:rPr>
            </w:pPr>
            <w:r w:rsidRPr="00AC14AF">
              <w:rPr>
                <w:sz w:val="24"/>
                <w:szCs w:val="24"/>
              </w:rPr>
              <w:t>374,606</w:t>
            </w:r>
          </w:p>
        </w:tc>
        <w:tc>
          <w:tcPr>
            <w:tcW w:w="851" w:type="dxa"/>
          </w:tcPr>
          <w:p w:rsidR="00997C14" w:rsidRPr="00AC14AF" w:rsidRDefault="00997C14" w:rsidP="005E6EC7">
            <w:pPr>
              <w:jc w:val="right"/>
              <w:rPr>
                <w:sz w:val="24"/>
                <w:szCs w:val="24"/>
              </w:rPr>
            </w:pPr>
            <w:r w:rsidRPr="00AC14AF">
              <w:rPr>
                <w:sz w:val="24"/>
                <w:szCs w:val="24"/>
              </w:rPr>
              <w:t>323,090</w:t>
            </w:r>
          </w:p>
        </w:tc>
        <w:tc>
          <w:tcPr>
            <w:tcW w:w="850" w:type="dxa"/>
          </w:tcPr>
          <w:p w:rsidR="00997C14" w:rsidRPr="00AC14AF" w:rsidRDefault="00997C14" w:rsidP="005E6EC7">
            <w:pPr>
              <w:jc w:val="right"/>
              <w:rPr>
                <w:sz w:val="24"/>
                <w:szCs w:val="24"/>
              </w:rPr>
            </w:pPr>
            <w:r w:rsidRPr="00AC14AF">
              <w:rPr>
                <w:sz w:val="24"/>
                <w:szCs w:val="24"/>
              </w:rPr>
              <w:t>299,842</w:t>
            </w:r>
          </w:p>
        </w:tc>
        <w:tc>
          <w:tcPr>
            <w:tcW w:w="851" w:type="dxa"/>
          </w:tcPr>
          <w:p w:rsidR="00997C14" w:rsidRPr="00AC14AF" w:rsidRDefault="00997C14" w:rsidP="005E6EC7">
            <w:pPr>
              <w:jc w:val="right"/>
              <w:rPr>
                <w:sz w:val="24"/>
                <w:szCs w:val="24"/>
              </w:rPr>
            </w:pPr>
            <w:r w:rsidRPr="00AC14AF">
              <w:rPr>
                <w:sz w:val="24"/>
                <w:szCs w:val="24"/>
              </w:rPr>
              <w:t>293,763</w:t>
            </w:r>
          </w:p>
        </w:tc>
        <w:tc>
          <w:tcPr>
            <w:tcW w:w="799" w:type="dxa"/>
          </w:tcPr>
          <w:p w:rsidR="00997C14" w:rsidRPr="00AC14AF" w:rsidRDefault="00997C14" w:rsidP="005E6EC7">
            <w:pPr>
              <w:jc w:val="right"/>
              <w:rPr>
                <w:sz w:val="24"/>
                <w:szCs w:val="24"/>
              </w:rPr>
            </w:pPr>
            <w:r w:rsidRPr="00AC14AF">
              <w:rPr>
                <w:sz w:val="24"/>
                <w:szCs w:val="24"/>
              </w:rPr>
              <w:t>266,215</w:t>
            </w:r>
          </w:p>
        </w:tc>
      </w:tr>
    </w:tbl>
    <w:p w:rsidR="00997C14" w:rsidRPr="00AC14AF" w:rsidRDefault="00997C14" w:rsidP="00A376F4">
      <w:pPr>
        <w:autoSpaceDE w:val="0"/>
        <w:autoSpaceDN w:val="0"/>
        <w:adjustRightInd w:val="0"/>
        <w:spacing w:after="0" w:line="240" w:lineRule="auto"/>
        <w:rPr>
          <w:rFonts w:cstheme="minorHAnsi"/>
          <w:sz w:val="24"/>
          <w:szCs w:val="24"/>
        </w:rPr>
      </w:pPr>
    </w:p>
    <w:p w:rsidR="00A376F4" w:rsidRPr="00AC14AF" w:rsidRDefault="00A376F4" w:rsidP="00A376F4">
      <w:pPr>
        <w:autoSpaceDE w:val="0"/>
        <w:autoSpaceDN w:val="0"/>
        <w:adjustRightInd w:val="0"/>
        <w:spacing w:after="0" w:line="240" w:lineRule="auto"/>
        <w:rPr>
          <w:rFonts w:cstheme="minorHAnsi"/>
          <w:sz w:val="24"/>
          <w:szCs w:val="24"/>
        </w:rPr>
      </w:pPr>
      <w:r w:rsidRPr="00AC14AF">
        <w:rPr>
          <w:rFonts w:cstheme="minorHAnsi"/>
          <w:sz w:val="24"/>
          <w:szCs w:val="24"/>
        </w:rPr>
        <w:t>&lt;pp&gt;</w:t>
      </w:r>
      <w:r w:rsidR="007829BB" w:rsidRPr="00AC14AF">
        <w:rPr>
          <w:rFonts w:cstheme="minorHAnsi"/>
          <w:sz w:val="24"/>
          <w:szCs w:val="24"/>
        </w:rPr>
        <w:t>29</w:t>
      </w:r>
    </w:p>
    <w:p w:rsidR="00A376F4" w:rsidRDefault="00A376F4" w:rsidP="00A376F4">
      <w:pPr>
        <w:autoSpaceDE w:val="0"/>
        <w:autoSpaceDN w:val="0"/>
        <w:adjustRightInd w:val="0"/>
        <w:spacing w:after="0" w:line="240" w:lineRule="auto"/>
        <w:rPr>
          <w:rFonts w:cstheme="minorHAnsi"/>
        </w:rPr>
      </w:pPr>
    </w:p>
    <w:p w:rsidR="00A376F4" w:rsidRDefault="00A376F4" w:rsidP="006914D6">
      <w:pPr>
        <w:pStyle w:val="Heading2"/>
      </w:pPr>
      <w:r>
        <w:t>Board and Committees</w:t>
      </w:r>
    </w:p>
    <w:p w:rsidR="00A376F4" w:rsidRDefault="00A376F4" w:rsidP="00A376F4">
      <w:pPr>
        <w:autoSpaceDE w:val="0"/>
        <w:autoSpaceDN w:val="0"/>
        <w:adjustRightInd w:val="0"/>
        <w:spacing w:after="0" w:line="240" w:lineRule="auto"/>
        <w:rPr>
          <w:rFonts w:cstheme="minorHAnsi"/>
        </w:rPr>
      </w:pPr>
    </w:p>
    <w:p w:rsidR="00A376F4" w:rsidRPr="002D21F1" w:rsidRDefault="00A376F4" w:rsidP="00A376F4">
      <w:pPr>
        <w:autoSpaceDE w:val="0"/>
        <w:autoSpaceDN w:val="0"/>
        <w:adjustRightInd w:val="0"/>
        <w:spacing w:after="0" w:line="240" w:lineRule="auto"/>
        <w:rPr>
          <w:rFonts w:cstheme="minorHAnsi"/>
          <w:sz w:val="24"/>
          <w:szCs w:val="24"/>
        </w:rPr>
      </w:pPr>
      <w:r w:rsidRPr="002D21F1">
        <w:rPr>
          <w:rFonts w:cstheme="minorHAnsi"/>
          <w:sz w:val="24"/>
          <w:szCs w:val="24"/>
        </w:rPr>
        <w:t>Chisholm Institute is Victoria’s premier public VET provider, prominently located across Me</w:t>
      </w:r>
      <w:r w:rsidR="00983296" w:rsidRPr="002D21F1">
        <w:rPr>
          <w:rFonts w:cstheme="minorHAnsi"/>
          <w:sz w:val="24"/>
          <w:szCs w:val="24"/>
        </w:rPr>
        <w:t xml:space="preserve">lbourne’s south east industrial </w:t>
      </w:r>
      <w:r w:rsidRPr="002D21F1">
        <w:rPr>
          <w:rFonts w:cstheme="minorHAnsi"/>
          <w:sz w:val="24"/>
          <w:szCs w:val="24"/>
        </w:rPr>
        <w:t>heartland and residential growth corridors.</w:t>
      </w:r>
    </w:p>
    <w:p w:rsidR="00A376F4" w:rsidRPr="002D21F1" w:rsidRDefault="00A376F4" w:rsidP="00A376F4">
      <w:pPr>
        <w:autoSpaceDE w:val="0"/>
        <w:autoSpaceDN w:val="0"/>
        <w:adjustRightInd w:val="0"/>
        <w:spacing w:after="0" w:line="240" w:lineRule="auto"/>
        <w:rPr>
          <w:rFonts w:cstheme="minorHAnsi"/>
          <w:sz w:val="24"/>
          <w:szCs w:val="24"/>
        </w:rPr>
      </w:pPr>
      <w:r w:rsidRPr="002D21F1">
        <w:rPr>
          <w:rFonts w:cstheme="minorHAnsi"/>
          <w:sz w:val="24"/>
          <w:szCs w:val="24"/>
        </w:rPr>
        <w:t>Chisholm Institute is structured to encourage innovative and responsive leadership fro</w:t>
      </w:r>
      <w:r w:rsidR="00983296" w:rsidRPr="002D21F1">
        <w:rPr>
          <w:rFonts w:cstheme="minorHAnsi"/>
          <w:sz w:val="24"/>
          <w:szCs w:val="24"/>
        </w:rPr>
        <w:t xml:space="preserve">m within and across all levels. </w:t>
      </w:r>
      <w:r w:rsidRPr="002D21F1">
        <w:rPr>
          <w:rFonts w:cstheme="minorHAnsi"/>
          <w:sz w:val="24"/>
          <w:szCs w:val="24"/>
        </w:rPr>
        <w:t>Teaching and professional business areas are organised in business groups under the responsibility of directors.</w:t>
      </w:r>
    </w:p>
    <w:p w:rsidR="00983296" w:rsidRDefault="00983296" w:rsidP="00A376F4">
      <w:pPr>
        <w:autoSpaceDE w:val="0"/>
        <w:autoSpaceDN w:val="0"/>
        <w:adjustRightInd w:val="0"/>
        <w:spacing w:after="0" w:line="240" w:lineRule="auto"/>
        <w:rPr>
          <w:rFonts w:cstheme="minorHAnsi"/>
          <w:szCs w:val="18"/>
        </w:rPr>
      </w:pPr>
    </w:p>
    <w:p w:rsidR="00983296" w:rsidRDefault="00983296" w:rsidP="006914D6">
      <w:pPr>
        <w:pStyle w:val="Heading3"/>
      </w:pPr>
      <w:r w:rsidRPr="002D21F1">
        <w:t>2017 Board Members</w:t>
      </w:r>
    </w:p>
    <w:p w:rsidR="00771CE1" w:rsidRPr="002D21F1" w:rsidRDefault="00771CE1" w:rsidP="00A376F4">
      <w:pPr>
        <w:autoSpaceDE w:val="0"/>
        <w:autoSpaceDN w:val="0"/>
        <w:adjustRightInd w:val="0"/>
        <w:spacing w:after="0" w:line="240" w:lineRule="auto"/>
        <w:rPr>
          <w:rFonts w:cstheme="minorHAnsi"/>
          <w:caps/>
          <w:szCs w:val="18"/>
        </w:rPr>
      </w:pPr>
    </w:p>
    <w:tbl>
      <w:tblPr>
        <w:tblStyle w:val="TableGrid"/>
        <w:tblW w:w="0" w:type="auto"/>
        <w:tblLook w:val="04A0" w:firstRow="1" w:lastRow="0" w:firstColumn="1" w:lastColumn="0" w:noHBand="0" w:noVBand="1"/>
      </w:tblPr>
      <w:tblGrid>
        <w:gridCol w:w="3005"/>
        <w:gridCol w:w="4361"/>
        <w:gridCol w:w="1650"/>
      </w:tblGrid>
      <w:tr w:rsidR="00771CE1" w:rsidTr="005E6EC7">
        <w:tc>
          <w:tcPr>
            <w:tcW w:w="3005" w:type="dxa"/>
          </w:tcPr>
          <w:p w:rsidR="00771CE1" w:rsidRPr="00AB7682" w:rsidRDefault="00771CE1" w:rsidP="005E6EC7">
            <w:pPr>
              <w:rPr>
                <w:sz w:val="24"/>
                <w:szCs w:val="24"/>
              </w:rPr>
            </w:pPr>
            <w:r>
              <w:rPr>
                <w:sz w:val="24"/>
                <w:szCs w:val="24"/>
              </w:rPr>
              <w:t>Full name</w:t>
            </w:r>
          </w:p>
        </w:tc>
        <w:tc>
          <w:tcPr>
            <w:tcW w:w="4361" w:type="dxa"/>
          </w:tcPr>
          <w:p w:rsidR="00771CE1" w:rsidRPr="00AB7682" w:rsidRDefault="00771CE1" w:rsidP="005E6EC7">
            <w:pPr>
              <w:rPr>
                <w:sz w:val="24"/>
                <w:szCs w:val="24"/>
              </w:rPr>
            </w:pPr>
            <w:r>
              <w:rPr>
                <w:sz w:val="24"/>
                <w:szCs w:val="24"/>
              </w:rPr>
              <w:t>Category</w:t>
            </w:r>
          </w:p>
        </w:tc>
        <w:tc>
          <w:tcPr>
            <w:tcW w:w="1650" w:type="dxa"/>
          </w:tcPr>
          <w:p w:rsidR="00771CE1" w:rsidRPr="00AB7682" w:rsidRDefault="00771CE1" w:rsidP="005E6EC7">
            <w:pPr>
              <w:rPr>
                <w:sz w:val="24"/>
                <w:szCs w:val="24"/>
              </w:rPr>
            </w:pPr>
            <w:r>
              <w:rPr>
                <w:sz w:val="24"/>
                <w:szCs w:val="24"/>
              </w:rPr>
              <w:t>Term</w:t>
            </w:r>
          </w:p>
        </w:tc>
      </w:tr>
      <w:tr w:rsidR="00771CE1" w:rsidTr="005E6EC7">
        <w:tc>
          <w:tcPr>
            <w:tcW w:w="3005" w:type="dxa"/>
          </w:tcPr>
          <w:p w:rsidR="00771CE1" w:rsidRPr="00AB7682" w:rsidRDefault="00771CE1" w:rsidP="005E6EC7">
            <w:pPr>
              <w:rPr>
                <w:sz w:val="24"/>
                <w:szCs w:val="24"/>
              </w:rPr>
            </w:pPr>
            <w:r>
              <w:rPr>
                <w:sz w:val="24"/>
                <w:szCs w:val="24"/>
              </w:rPr>
              <w:t>Stephen Marks</w:t>
            </w:r>
          </w:p>
        </w:tc>
        <w:tc>
          <w:tcPr>
            <w:tcW w:w="4361" w:type="dxa"/>
          </w:tcPr>
          <w:p w:rsidR="00771CE1" w:rsidRPr="00AB7682" w:rsidRDefault="00771CE1" w:rsidP="005E6EC7">
            <w:pPr>
              <w:rPr>
                <w:sz w:val="24"/>
                <w:szCs w:val="24"/>
              </w:rPr>
            </w:pPr>
            <w:r>
              <w:rPr>
                <w:sz w:val="24"/>
                <w:szCs w:val="24"/>
              </w:rPr>
              <w:t>Ministerial Appointed Director</w:t>
            </w:r>
          </w:p>
        </w:tc>
        <w:tc>
          <w:tcPr>
            <w:tcW w:w="1650" w:type="dxa"/>
          </w:tcPr>
          <w:p w:rsidR="00771CE1" w:rsidRPr="00AB7682" w:rsidRDefault="00771CE1" w:rsidP="005E6EC7">
            <w:pPr>
              <w:rPr>
                <w:sz w:val="24"/>
                <w:szCs w:val="24"/>
              </w:rPr>
            </w:pPr>
            <w:r>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lastRenderedPageBreak/>
              <w:t>Maria Peters</w:t>
            </w:r>
          </w:p>
        </w:tc>
        <w:tc>
          <w:tcPr>
            <w:tcW w:w="4361" w:type="dxa"/>
          </w:tcPr>
          <w:p w:rsidR="00771CE1" w:rsidRPr="00AB7682" w:rsidRDefault="00771CE1" w:rsidP="005E6EC7">
            <w:pPr>
              <w:rPr>
                <w:sz w:val="24"/>
                <w:szCs w:val="24"/>
              </w:rPr>
            </w:pPr>
            <w:r>
              <w:rPr>
                <w:sz w:val="24"/>
                <w:szCs w:val="24"/>
              </w:rPr>
              <w:t>Director and Chief Executive Officer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Todd Hartley</w:t>
            </w:r>
          </w:p>
        </w:tc>
        <w:tc>
          <w:tcPr>
            <w:tcW w:w="4361" w:type="dxa"/>
          </w:tcPr>
          <w:p w:rsidR="00771CE1" w:rsidRPr="00AB7682" w:rsidRDefault="00771CE1" w:rsidP="005E6EC7">
            <w:pPr>
              <w:rPr>
                <w:sz w:val="24"/>
                <w:szCs w:val="24"/>
              </w:rPr>
            </w:pPr>
            <w:r>
              <w:rPr>
                <w:sz w:val="24"/>
                <w:szCs w:val="24"/>
              </w:rPr>
              <w:t>Ministerial Appointed Director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John Bennie</w:t>
            </w:r>
          </w:p>
        </w:tc>
        <w:tc>
          <w:tcPr>
            <w:tcW w:w="4361" w:type="dxa"/>
          </w:tcPr>
          <w:p w:rsidR="00771CE1" w:rsidRPr="00AB7682" w:rsidRDefault="00771CE1" w:rsidP="005E6EC7">
            <w:pPr>
              <w:rPr>
                <w:sz w:val="24"/>
                <w:szCs w:val="24"/>
              </w:rPr>
            </w:pPr>
            <w:r>
              <w:rPr>
                <w:sz w:val="24"/>
                <w:szCs w:val="24"/>
              </w:rPr>
              <w:t>Ministerial Appointed Director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Professor Anne Jones</w:t>
            </w:r>
          </w:p>
        </w:tc>
        <w:tc>
          <w:tcPr>
            <w:tcW w:w="4361" w:type="dxa"/>
          </w:tcPr>
          <w:p w:rsidR="00771CE1" w:rsidRPr="00AB7682" w:rsidRDefault="00771CE1" w:rsidP="005E6EC7">
            <w:pPr>
              <w:rPr>
                <w:sz w:val="24"/>
                <w:szCs w:val="24"/>
              </w:rPr>
            </w:pPr>
            <w:r>
              <w:rPr>
                <w:sz w:val="24"/>
                <w:szCs w:val="24"/>
              </w:rPr>
              <w:t>Ministerial Appointed Director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Dr Mei Ling Doery</w:t>
            </w:r>
          </w:p>
        </w:tc>
        <w:tc>
          <w:tcPr>
            <w:tcW w:w="4361" w:type="dxa"/>
          </w:tcPr>
          <w:p w:rsidR="00771CE1" w:rsidRPr="00AB7682" w:rsidRDefault="00771CE1" w:rsidP="005E6EC7">
            <w:pPr>
              <w:rPr>
                <w:sz w:val="24"/>
                <w:szCs w:val="24"/>
              </w:rPr>
            </w:pPr>
            <w:r>
              <w:rPr>
                <w:sz w:val="24"/>
                <w:szCs w:val="24"/>
              </w:rPr>
              <w:t>Ministerial Appointed Director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Peter Malone</w:t>
            </w:r>
          </w:p>
        </w:tc>
        <w:tc>
          <w:tcPr>
            <w:tcW w:w="4361" w:type="dxa"/>
          </w:tcPr>
          <w:p w:rsidR="00771CE1" w:rsidRPr="00AB7682" w:rsidRDefault="00771CE1" w:rsidP="005E6EC7">
            <w:pPr>
              <w:rPr>
                <w:sz w:val="24"/>
                <w:szCs w:val="24"/>
              </w:rPr>
            </w:pPr>
            <w:r>
              <w:rPr>
                <w:sz w:val="24"/>
                <w:szCs w:val="24"/>
              </w:rPr>
              <w:t xml:space="preserve">Staff Elected Director </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 xml:space="preserve">Lisa Norman </w:t>
            </w:r>
          </w:p>
        </w:tc>
        <w:tc>
          <w:tcPr>
            <w:tcW w:w="4361" w:type="dxa"/>
          </w:tcPr>
          <w:p w:rsidR="00771CE1" w:rsidRPr="00AB7682" w:rsidRDefault="00771CE1" w:rsidP="005E6EC7">
            <w:pPr>
              <w:rPr>
                <w:sz w:val="24"/>
                <w:szCs w:val="24"/>
              </w:rPr>
            </w:pPr>
            <w:r>
              <w:rPr>
                <w:sz w:val="24"/>
                <w:szCs w:val="24"/>
              </w:rPr>
              <w:t>Board Co-opted Director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 xml:space="preserve">Sandra Anderson </w:t>
            </w:r>
          </w:p>
        </w:tc>
        <w:tc>
          <w:tcPr>
            <w:tcW w:w="4361" w:type="dxa"/>
          </w:tcPr>
          <w:p w:rsidR="00771CE1" w:rsidRDefault="00771CE1" w:rsidP="005E6EC7">
            <w:r w:rsidRPr="00C97C94">
              <w:rPr>
                <w:sz w:val="24"/>
                <w:szCs w:val="24"/>
              </w:rPr>
              <w:t>Board Co-opted Director</w:t>
            </w:r>
          </w:p>
        </w:tc>
        <w:tc>
          <w:tcPr>
            <w:tcW w:w="1650" w:type="dxa"/>
          </w:tcPr>
          <w:p w:rsidR="00771CE1" w:rsidRDefault="00771CE1" w:rsidP="005E6EC7">
            <w:r w:rsidRPr="00D02ED7">
              <w:rPr>
                <w:sz w:val="24"/>
                <w:szCs w:val="24"/>
              </w:rPr>
              <w:t>Full year</w:t>
            </w:r>
          </w:p>
        </w:tc>
      </w:tr>
      <w:tr w:rsidR="00771CE1" w:rsidTr="005E6EC7">
        <w:tc>
          <w:tcPr>
            <w:tcW w:w="3005" w:type="dxa"/>
          </w:tcPr>
          <w:p w:rsidR="00771CE1" w:rsidRPr="00AB7682" w:rsidRDefault="00771CE1" w:rsidP="005E6EC7">
            <w:pPr>
              <w:rPr>
                <w:sz w:val="24"/>
                <w:szCs w:val="24"/>
              </w:rPr>
            </w:pPr>
            <w:r>
              <w:rPr>
                <w:sz w:val="24"/>
                <w:szCs w:val="24"/>
              </w:rPr>
              <w:t xml:space="preserve">David Mann </w:t>
            </w:r>
          </w:p>
        </w:tc>
        <w:tc>
          <w:tcPr>
            <w:tcW w:w="4361" w:type="dxa"/>
          </w:tcPr>
          <w:p w:rsidR="00771CE1" w:rsidRDefault="00771CE1" w:rsidP="005E6EC7">
            <w:r w:rsidRPr="00C97C94">
              <w:rPr>
                <w:sz w:val="24"/>
                <w:szCs w:val="24"/>
              </w:rPr>
              <w:t>Board Co-opted Director</w:t>
            </w:r>
          </w:p>
        </w:tc>
        <w:tc>
          <w:tcPr>
            <w:tcW w:w="1650" w:type="dxa"/>
          </w:tcPr>
          <w:p w:rsidR="00771CE1" w:rsidRDefault="00771CE1" w:rsidP="005E6EC7">
            <w:r w:rsidRPr="00D02ED7">
              <w:rPr>
                <w:sz w:val="24"/>
                <w:szCs w:val="24"/>
              </w:rPr>
              <w:t>Full year</w:t>
            </w:r>
          </w:p>
        </w:tc>
      </w:tr>
    </w:tbl>
    <w:p w:rsidR="00983296" w:rsidRDefault="00983296" w:rsidP="00A376F4">
      <w:pPr>
        <w:autoSpaceDE w:val="0"/>
        <w:autoSpaceDN w:val="0"/>
        <w:adjustRightInd w:val="0"/>
        <w:spacing w:after="0" w:line="240" w:lineRule="auto"/>
        <w:rPr>
          <w:rFonts w:cstheme="minorHAnsi"/>
          <w:szCs w:val="18"/>
        </w:rPr>
      </w:pPr>
    </w:p>
    <w:p w:rsidR="00983296" w:rsidRPr="002D21F1" w:rsidRDefault="00983296" w:rsidP="00A376F4">
      <w:pPr>
        <w:autoSpaceDE w:val="0"/>
        <w:autoSpaceDN w:val="0"/>
        <w:adjustRightInd w:val="0"/>
        <w:spacing w:after="0" w:line="240" w:lineRule="auto"/>
        <w:rPr>
          <w:rFonts w:cstheme="minorHAnsi"/>
          <w:sz w:val="24"/>
          <w:szCs w:val="24"/>
        </w:rPr>
      </w:pPr>
      <w:r w:rsidRPr="002D21F1">
        <w:rPr>
          <w:rFonts w:cstheme="minorHAnsi"/>
          <w:sz w:val="24"/>
          <w:szCs w:val="24"/>
        </w:rPr>
        <w:t>Maria Peters</w:t>
      </w:r>
    </w:p>
    <w:p w:rsidR="00983296" w:rsidRPr="002D21F1" w:rsidRDefault="00983296" w:rsidP="00A376F4">
      <w:pPr>
        <w:autoSpaceDE w:val="0"/>
        <w:autoSpaceDN w:val="0"/>
        <w:adjustRightInd w:val="0"/>
        <w:spacing w:after="0" w:line="240" w:lineRule="auto"/>
        <w:rPr>
          <w:rFonts w:cstheme="minorHAnsi"/>
          <w:sz w:val="24"/>
          <w:szCs w:val="24"/>
        </w:rPr>
      </w:pPr>
      <w:r w:rsidRPr="002D21F1">
        <w:rPr>
          <w:rFonts w:cstheme="minorHAnsi"/>
          <w:sz w:val="24"/>
          <w:szCs w:val="24"/>
        </w:rPr>
        <w:t xml:space="preserve">Director and Chief Executive Officer </w:t>
      </w:r>
    </w:p>
    <w:p w:rsidR="00983296" w:rsidRPr="002D21F1" w:rsidRDefault="00983296" w:rsidP="00983296">
      <w:pPr>
        <w:autoSpaceDE w:val="0"/>
        <w:autoSpaceDN w:val="0"/>
        <w:adjustRightInd w:val="0"/>
        <w:spacing w:after="0" w:line="240" w:lineRule="auto"/>
        <w:rPr>
          <w:rFonts w:cstheme="minorHAnsi"/>
          <w:sz w:val="24"/>
          <w:szCs w:val="24"/>
        </w:rPr>
      </w:pPr>
      <w:r w:rsidRPr="002D21F1">
        <w:rPr>
          <w:rFonts w:cstheme="minorHAnsi"/>
          <w:sz w:val="24"/>
          <w:szCs w:val="24"/>
        </w:rPr>
        <w:t>Maria has extensive experience in vocational education within Victoria and internationally. Maria has led significant educational innovation within the VET sector aimed at improving participation and ensuring strong student and industry outcomes. Maria has been at the forefront of effective organisational change and management in the TAFE sector.</w:t>
      </w:r>
    </w:p>
    <w:p w:rsidR="00983296" w:rsidRPr="002D21F1" w:rsidRDefault="00983296" w:rsidP="00983296">
      <w:pPr>
        <w:autoSpaceDE w:val="0"/>
        <w:autoSpaceDN w:val="0"/>
        <w:adjustRightInd w:val="0"/>
        <w:spacing w:after="0" w:line="240" w:lineRule="auto"/>
        <w:rPr>
          <w:rFonts w:cstheme="minorHAnsi"/>
          <w:sz w:val="24"/>
          <w:szCs w:val="24"/>
        </w:rPr>
      </w:pPr>
    </w:p>
    <w:p w:rsidR="00983296" w:rsidRPr="002D21F1" w:rsidRDefault="00201504" w:rsidP="00983296">
      <w:pPr>
        <w:autoSpaceDE w:val="0"/>
        <w:autoSpaceDN w:val="0"/>
        <w:adjustRightInd w:val="0"/>
        <w:spacing w:after="0" w:line="240" w:lineRule="auto"/>
        <w:rPr>
          <w:rFonts w:cstheme="minorHAnsi"/>
          <w:sz w:val="24"/>
          <w:szCs w:val="24"/>
        </w:rPr>
      </w:pPr>
      <w:r w:rsidRPr="002D21F1">
        <w:rPr>
          <w:rFonts w:cstheme="minorHAnsi"/>
          <w:sz w:val="24"/>
          <w:szCs w:val="24"/>
        </w:rPr>
        <w:t>Stephen G. Marks</w:t>
      </w:r>
    </w:p>
    <w:p w:rsidR="00201504" w:rsidRPr="002D21F1" w:rsidRDefault="00201504" w:rsidP="00983296">
      <w:pPr>
        <w:autoSpaceDE w:val="0"/>
        <w:autoSpaceDN w:val="0"/>
        <w:adjustRightInd w:val="0"/>
        <w:spacing w:after="0" w:line="240" w:lineRule="auto"/>
        <w:rPr>
          <w:rFonts w:cstheme="minorHAnsi"/>
          <w:sz w:val="24"/>
          <w:szCs w:val="24"/>
        </w:rPr>
      </w:pPr>
      <w:r w:rsidRPr="002D21F1">
        <w:rPr>
          <w:rFonts w:cstheme="minorHAnsi"/>
          <w:sz w:val="24"/>
          <w:szCs w:val="24"/>
        </w:rPr>
        <w:t>Ministerial Appointed Director</w:t>
      </w:r>
    </w:p>
    <w:p w:rsidR="00201504" w:rsidRPr="002D21F1" w:rsidRDefault="00201504" w:rsidP="00201504">
      <w:pPr>
        <w:autoSpaceDE w:val="0"/>
        <w:autoSpaceDN w:val="0"/>
        <w:adjustRightInd w:val="0"/>
        <w:spacing w:after="0" w:line="240" w:lineRule="auto"/>
        <w:rPr>
          <w:rFonts w:cstheme="minorHAnsi"/>
          <w:sz w:val="24"/>
          <w:szCs w:val="24"/>
        </w:rPr>
      </w:pPr>
      <w:r w:rsidRPr="002D21F1">
        <w:rPr>
          <w:rFonts w:cstheme="minorHAnsi"/>
          <w:sz w:val="24"/>
          <w:szCs w:val="24"/>
        </w:rPr>
        <w:t>With more than 40 years’ experience as a chartered accountant, Stephen is currently a professional director and a board member of the St Vincent’s Institute and a range of other organisations.</w:t>
      </w:r>
    </w:p>
    <w:p w:rsidR="00201504" w:rsidRPr="002D21F1" w:rsidRDefault="00201504" w:rsidP="00201504">
      <w:pPr>
        <w:autoSpaceDE w:val="0"/>
        <w:autoSpaceDN w:val="0"/>
        <w:adjustRightInd w:val="0"/>
        <w:spacing w:after="0" w:line="240" w:lineRule="auto"/>
        <w:rPr>
          <w:rFonts w:cstheme="minorHAnsi"/>
          <w:sz w:val="24"/>
          <w:szCs w:val="24"/>
        </w:rPr>
      </w:pPr>
    </w:p>
    <w:p w:rsidR="00201504" w:rsidRPr="002D21F1" w:rsidRDefault="00201504" w:rsidP="00201504">
      <w:pPr>
        <w:autoSpaceDE w:val="0"/>
        <w:autoSpaceDN w:val="0"/>
        <w:adjustRightInd w:val="0"/>
        <w:spacing w:after="0" w:line="240" w:lineRule="auto"/>
        <w:rPr>
          <w:rFonts w:cstheme="minorHAnsi"/>
          <w:sz w:val="24"/>
          <w:szCs w:val="24"/>
        </w:rPr>
      </w:pPr>
      <w:r w:rsidRPr="002D21F1">
        <w:rPr>
          <w:rFonts w:cstheme="minorHAnsi"/>
          <w:sz w:val="24"/>
          <w:szCs w:val="24"/>
        </w:rPr>
        <w:t>&lt;pp&gt;</w:t>
      </w:r>
      <w:r w:rsidR="007829BB" w:rsidRPr="002D21F1">
        <w:rPr>
          <w:rFonts w:cstheme="minorHAnsi"/>
          <w:sz w:val="24"/>
          <w:szCs w:val="24"/>
        </w:rPr>
        <w:t>30</w:t>
      </w:r>
    </w:p>
    <w:p w:rsidR="00201504" w:rsidRPr="002D21F1" w:rsidRDefault="00201504" w:rsidP="00201504">
      <w:pPr>
        <w:autoSpaceDE w:val="0"/>
        <w:autoSpaceDN w:val="0"/>
        <w:adjustRightInd w:val="0"/>
        <w:spacing w:after="0" w:line="240" w:lineRule="auto"/>
        <w:rPr>
          <w:rFonts w:cstheme="minorHAnsi"/>
          <w:sz w:val="24"/>
          <w:szCs w:val="24"/>
        </w:rPr>
      </w:pPr>
    </w:p>
    <w:p w:rsidR="00201504" w:rsidRPr="002D21F1" w:rsidRDefault="00482ACF" w:rsidP="00201504">
      <w:pPr>
        <w:autoSpaceDE w:val="0"/>
        <w:autoSpaceDN w:val="0"/>
        <w:adjustRightInd w:val="0"/>
        <w:spacing w:after="0" w:line="240" w:lineRule="auto"/>
        <w:rPr>
          <w:rFonts w:cstheme="minorHAnsi"/>
          <w:sz w:val="24"/>
          <w:szCs w:val="24"/>
        </w:rPr>
      </w:pPr>
      <w:r w:rsidRPr="002D21F1">
        <w:rPr>
          <w:rFonts w:cstheme="minorHAnsi"/>
          <w:sz w:val="24"/>
          <w:szCs w:val="24"/>
        </w:rPr>
        <w:t>Todd Hartley</w:t>
      </w:r>
    </w:p>
    <w:p w:rsidR="00482ACF" w:rsidRPr="002D21F1" w:rsidRDefault="00482ACF" w:rsidP="00201504">
      <w:pPr>
        <w:autoSpaceDE w:val="0"/>
        <w:autoSpaceDN w:val="0"/>
        <w:adjustRightInd w:val="0"/>
        <w:spacing w:after="0" w:line="240" w:lineRule="auto"/>
        <w:rPr>
          <w:rFonts w:cstheme="minorHAnsi"/>
          <w:sz w:val="24"/>
          <w:szCs w:val="24"/>
        </w:rPr>
      </w:pPr>
      <w:r w:rsidRPr="002D21F1">
        <w:rPr>
          <w:rFonts w:cstheme="minorHAnsi"/>
          <w:sz w:val="24"/>
          <w:szCs w:val="24"/>
        </w:rPr>
        <w:t>Ministerial Appointed Director</w:t>
      </w: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Todd is Managing Director of Hilton Manufacturing, a leading Dand</w:t>
      </w:r>
      <w:r w:rsidR="00174774">
        <w:rPr>
          <w:rFonts w:cstheme="minorHAnsi"/>
          <w:sz w:val="24"/>
          <w:szCs w:val="24"/>
        </w:rPr>
        <w:t xml:space="preserve">enong South firm. Todd has over </w:t>
      </w:r>
      <w:r w:rsidRPr="002D21F1">
        <w:rPr>
          <w:rFonts w:cstheme="minorHAnsi"/>
          <w:sz w:val="24"/>
          <w:szCs w:val="24"/>
        </w:rPr>
        <w:t xml:space="preserve">25 years’ experience in the industry in southern Melbourne including a broad range of manufacturing networks and associations. Todd’s particular strengths are </w:t>
      </w:r>
      <w:r w:rsidR="00174774">
        <w:rPr>
          <w:rFonts w:cstheme="minorHAnsi"/>
          <w:sz w:val="24"/>
          <w:szCs w:val="24"/>
        </w:rPr>
        <w:t xml:space="preserve">in commercial </w:t>
      </w:r>
      <w:r w:rsidRPr="002D21F1">
        <w:rPr>
          <w:rFonts w:cstheme="minorHAnsi"/>
          <w:sz w:val="24"/>
          <w:szCs w:val="24"/>
        </w:rPr>
        <w:t>enterprise, technology innovation and facility management.</w:t>
      </w:r>
    </w:p>
    <w:p w:rsidR="00482ACF" w:rsidRPr="002D21F1" w:rsidRDefault="00482ACF" w:rsidP="00201504">
      <w:pPr>
        <w:autoSpaceDE w:val="0"/>
        <w:autoSpaceDN w:val="0"/>
        <w:adjustRightInd w:val="0"/>
        <w:spacing w:after="0" w:line="240" w:lineRule="auto"/>
        <w:rPr>
          <w:rFonts w:cstheme="minorHAnsi"/>
          <w:sz w:val="24"/>
          <w:szCs w:val="24"/>
        </w:rPr>
      </w:pPr>
    </w:p>
    <w:p w:rsidR="00482ACF" w:rsidRPr="002D21F1" w:rsidRDefault="00482ACF" w:rsidP="00201504">
      <w:pPr>
        <w:autoSpaceDE w:val="0"/>
        <w:autoSpaceDN w:val="0"/>
        <w:adjustRightInd w:val="0"/>
        <w:spacing w:after="0" w:line="240" w:lineRule="auto"/>
        <w:rPr>
          <w:rFonts w:cstheme="minorHAnsi"/>
          <w:sz w:val="24"/>
          <w:szCs w:val="24"/>
        </w:rPr>
      </w:pPr>
      <w:r w:rsidRPr="002D21F1">
        <w:rPr>
          <w:rFonts w:cstheme="minorHAnsi"/>
          <w:sz w:val="24"/>
          <w:szCs w:val="24"/>
        </w:rPr>
        <w:t>John Bennie PSM</w:t>
      </w:r>
    </w:p>
    <w:p w:rsidR="00482ACF" w:rsidRPr="002D21F1" w:rsidRDefault="00482ACF" w:rsidP="00201504">
      <w:pPr>
        <w:autoSpaceDE w:val="0"/>
        <w:autoSpaceDN w:val="0"/>
        <w:adjustRightInd w:val="0"/>
        <w:spacing w:after="0" w:line="240" w:lineRule="auto"/>
        <w:rPr>
          <w:rFonts w:cstheme="minorHAnsi"/>
          <w:sz w:val="24"/>
          <w:szCs w:val="24"/>
        </w:rPr>
      </w:pPr>
      <w:r w:rsidRPr="002D21F1">
        <w:rPr>
          <w:rFonts w:cstheme="minorHAnsi"/>
          <w:sz w:val="24"/>
          <w:szCs w:val="24"/>
        </w:rPr>
        <w:t>Ministerial Appointed Director</w:t>
      </w: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John has been CEO of Greater Dandenong City Council since 200</w:t>
      </w:r>
      <w:r w:rsidR="00174774">
        <w:rPr>
          <w:rFonts w:cstheme="minorHAnsi"/>
          <w:sz w:val="24"/>
          <w:szCs w:val="24"/>
        </w:rPr>
        <w:t xml:space="preserve">6. He is former director of the </w:t>
      </w:r>
      <w:r w:rsidRPr="002D21F1">
        <w:rPr>
          <w:rFonts w:cstheme="minorHAnsi"/>
          <w:sz w:val="24"/>
          <w:szCs w:val="24"/>
        </w:rPr>
        <w:t>South East Melbourne Manufacturers’ Alliance, immediate past Chair of the Southern Melbourne Regional Development Australia Committee and National President of LGMA. He was previously CEO of Manningham City Council a</w:t>
      </w:r>
      <w:r w:rsidR="00174774">
        <w:rPr>
          <w:rFonts w:cstheme="minorHAnsi"/>
          <w:sz w:val="24"/>
          <w:szCs w:val="24"/>
        </w:rPr>
        <w:t xml:space="preserve">nd a board member of South East Development (Melbourne) Area </w:t>
      </w:r>
      <w:r w:rsidRPr="002D21F1">
        <w:rPr>
          <w:rFonts w:cstheme="minorHAnsi"/>
          <w:sz w:val="24"/>
          <w:szCs w:val="24"/>
        </w:rPr>
        <w:t>Consultative Committee.</w:t>
      </w:r>
    </w:p>
    <w:p w:rsidR="00482ACF" w:rsidRPr="002D21F1" w:rsidRDefault="00482ACF" w:rsidP="00482ACF">
      <w:pPr>
        <w:autoSpaceDE w:val="0"/>
        <w:autoSpaceDN w:val="0"/>
        <w:adjustRightInd w:val="0"/>
        <w:spacing w:after="0" w:line="240" w:lineRule="auto"/>
        <w:rPr>
          <w:rFonts w:cstheme="minorHAnsi"/>
          <w:sz w:val="24"/>
          <w:szCs w:val="24"/>
        </w:rPr>
      </w:pP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Professor Anne Jones</w:t>
      </w: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 xml:space="preserve">Ministerial Appointed Director </w:t>
      </w: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 xml:space="preserve">Anne is a researcher and consultant in VET policy. Her work </w:t>
      </w:r>
      <w:r w:rsidR="00174774">
        <w:rPr>
          <w:rFonts w:cstheme="minorHAnsi"/>
          <w:sz w:val="24"/>
          <w:szCs w:val="24"/>
        </w:rPr>
        <w:t xml:space="preserve">has included 16 years in senior </w:t>
      </w:r>
      <w:r w:rsidRPr="002D21F1">
        <w:rPr>
          <w:rFonts w:cstheme="minorHAnsi"/>
          <w:sz w:val="24"/>
          <w:szCs w:val="24"/>
        </w:rPr>
        <w:t>executive roles such as Deput</w:t>
      </w:r>
      <w:r w:rsidR="00174774">
        <w:rPr>
          <w:rFonts w:cstheme="minorHAnsi"/>
          <w:sz w:val="24"/>
          <w:szCs w:val="24"/>
        </w:rPr>
        <w:t xml:space="preserve">y Vice Chancellor (Academic and Students), Deputy Vice </w:t>
      </w:r>
      <w:r w:rsidRPr="002D21F1">
        <w:rPr>
          <w:rFonts w:cstheme="minorHAnsi"/>
          <w:sz w:val="24"/>
          <w:szCs w:val="24"/>
        </w:rPr>
        <w:t xml:space="preserve">Chancellor and Director TAFE at Victoria University and </w:t>
      </w:r>
      <w:r w:rsidR="00174774">
        <w:rPr>
          <w:rFonts w:cstheme="minorHAnsi"/>
          <w:sz w:val="24"/>
          <w:szCs w:val="24"/>
        </w:rPr>
        <w:t xml:space="preserve">Executive Director Learning and </w:t>
      </w:r>
      <w:r w:rsidRPr="002D21F1">
        <w:rPr>
          <w:rFonts w:cstheme="minorHAnsi"/>
          <w:sz w:val="24"/>
          <w:szCs w:val="24"/>
        </w:rPr>
        <w:t>Academic Affairs at Box Hill Institute. Anne has led</w:t>
      </w:r>
      <w:r w:rsidR="00174774">
        <w:rPr>
          <w:rFonts w:cstheme="minorHAnsi"/>
          <w:sz w:val="24"/>
          <w:szCs w:val="24"/>
        </w:rPr>
        <w:t xml:space="preserve"> a wide range of VET and higher </w:t>
      </w:r>
      <w:r w:rsidRPr="002D21F1">
        <w:rPr>
          <w:rFonts w:cstheme="minorHAnsi"/>
          <w:sz w:val="24"/>
          <w:szCs w:val="24"/>
        </w:rPr>
        <w:t>educational programs.</w:t>
      </w:r>
    </w:p>
    <w:p w:rsidR="00482ACF" w:rsidRPr="002D21F1" w:rsidRDefault="00482ACF" w:rsidP="00482ACF">
      <w:pPr>
        <w:autoSpaceDE w:val="0"/>
        <w:autoSpaceDN w:val="0"/>
        <w:adjustRightInd w:val="0"/>
        <w:spacing w:after="0" w:line="240" w:lineRule="auto"/>
        <w:rPr>
          <w:rFonts w:cstheme="minorHAnsi"/>
          <w:sz w:val="24"/>
          <w:szCs w:val="24"/>
        </w:rPr>
      </w:pP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Dr Mei Ling Doery</w:t>
      </w: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Ministerial Appointed Director</w:t>
      </w: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Mei is a Physician strategist at the intersection of medicine, innovation and design with a particular interest in the emotional factors that imp</w:t>
      </w:r>
      <w:r w:rsidR="00174774">
        <w:rPr>
          <w:rFonts w:cstheme="minorHAnsi"/>
          <w:sz w:val="24"/>
          <w:szCs w:val="24"/>
        </w:rPr>
        <w:t xml:space="preserve">act decision making relating to </w:t>
      </w:r>
      <w:r w:rsidRPr="002D21F1">
        <w:rPr>
          <w:rFonts w:cstheme="minorHAnsi"/>
          <w:sz w:val="24"/>
          <w:szCs w:val="24"/>
        </w:rPr>
        <w:t>preventative health and performance. Her mission is to better align capital with people and businesses that serve the creation of long-term human value. Mei’s perspective on contemporary health challenges is informed by her current role as medical advisor for the Department of Veteran Affairs, and past roles with the Australian Defence Force, team doctor for an AFL Football Team, Executive Physician at BUPA Wellness, Board Member to the Victorian Health Promotion Foundation, and as independent advisor to several organisations including the Parliament of Victoria and Commonwealth Scientific Research and Industrial Organisation (CSIRO).</w:t>
      </w:r>
    </w:p>
    <w:p w:rsidR="00482ACF" w:rsidRPr="002D21F1" w:rsidRDefault="00482ACF" w:rsidP="00482ACF">
      <w:pPr>
        <w:autoSpaceDE w:val="0"/>
        <w:autoSpaceDN w:val="0"/>
        <w:adjustRightInd w:val="0"/>
        <w:spacing w:after="0" w:line="240" w:lineRule="auto"/>
        <w:rPr>
          <w:rFonts w:cstheme="minorHAnsi"/>
          <w:sz w:val="24"/>
          <w:szCs w:val="24"/>
        </w:rPr>
      </w:pPr>
    </w:p>
    <w:p w:rsidR="00482ACF" w:rsidRPr="002D21F1" w:rsidRDefault="00482ACF" w:rsidP="00482ACF">
      <w:pPr>
        <w:autoSpaceDE w:val="0"/>
        <w:autoSpaceDN w:val="0"/>
        <w:adjustRightInd w:val="0"/>
        <w:spacing w:after="0" w:line="240" w:lineRule="auto"/>
        <w:rPr>
          <w:rFonts w:cstheme="minorHAnsi"/>
          <w:sz w:val="24"/>
          <w:szCs w:val="24"/>
        </w:rPr>
      </w:pPr>
      <w:r w:rsidRPr="002D21F1">
        <w:rPr>
          <w:rFonts w:cstheme="minorHAnsi"/>
          <w:sz w:val="24"/>
          <w:szCs w:val="24"/>
        </w:rPr>
        <w:t>&lt;pp&gt;</w:t>
      </w:r>
      <w:r w:rsidR="007829BB" w:rsidRPr="002D21F1">
        <w:rPr>
          <w:rFonts w:cstheme="minorHAnsi"/>
          <w:sz w:val="24"/>
          <w:szCs w:val="24"/>
        </w:rPr>
        <w:t>31</w:t>
      </w:r>
    </w:p>
    <w:p w:rsidR="00482ACF" w:rsidRPr="002D21F1" w:rsidRDefault="00482ACF" w:rsidP="00482ACF">
      <w:pPr>
        <w:autoSpaceDE w:val="0"/>
        <w:autoSpaceDN w:val="0"/>
        <w:adjustRightInd w:val="0"/>
        <w:spacing w:after="0" w:line="240" w:lineRule="auto"/>
        <w:rPr>
          <w:rFonts w:cstheme="minorHAnsi"/>
          <w:sz w:val="24"/>
          <w:szCs w:val="24"/>
        </w:rPr>
      </w:pPr>
    </w:p>
    <w:p w:rsidR="00482ACF" w:rsidRPr="002D21F1" w:rsidRDefault="00706C3B" w:rsidP="00482ACF">
      <w:pPr>
        <w:autoSpaceDE w:val="0"/>
        <w:autoSpaceDN w:val="0"/>
        <w:adjustRightInd w:val="0"/>
        <w:spacing w:after="0" w:line="240" w:lineRule="auto"/>
        <w:rPr>
          <w:rFonts w:cstheme="minorHAnsi"/>
          <w:sz w:val="24"/>
          <w:szCs w:val="24"/>
        </w:rPr>
      </w:pPr>
      <w:r w:rsidRPr="002D21F1">
        <w:rPr>
          <w:rFonts w:cstheme="minorHAnsi"/>
          <w:sz w:val="24"/>
          <w:szCs w:val="24"/>
        </w:rPr>
        <w:t>Peter Malone</w:t>
      </w:r>
    </w:p>
    <w:p w:rsidR="00706C3B" w:rsidRPr="002D21F1" w:rsidRDefault="00706C3B" w:rsidP="00482ACF">
      <w:pPr>
        <w:autoSpaceDE w:val="0"/>
        <w:autoSpaceDN w:val="0"/>
        <w:adjustRightInd w:val="0"/>
        <w:spacing w:after="0" w:line="240" w:lineRule="auto"/>
        <w:rPr>
          <w:rFonts w:cstheme="minorHAnsi"/>
          <w:sz w:val="24"/>
          <w:szCs w:val="24"/>
        </w:rPr>
      </w:pPr>
      <w:r w:rsidRPr="002D21F1">
        <w:rPr>
          <w:rFonts w:cstheme="minorHAnsi"/>
          <w:sz w:val="24"/>
          <w:szCs w:val="24"/>
        </w:rPr>
        <w:t>Staff Elected Director</w:t>
      </w: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Before joining the TAFE sector, Peter was an officer in the Royal Australian Navy. Peter has a diverse background including research assistant at CSIRO, teaching English at Monash University, foreign language teaching, traditional sciences (pure and applied) and laboratory technology.</w:t>
      </w:r>
    </w:p>
    <w:p w:rsidR="00706C3B" w:rsidRPr="002D21F1" w:rsidRDefault="00706C3B" w:rsidP="00482ACF">
      <w:pPr>
        <w:autoSpaceDE w:val="0"/>
        <w:autoSpaceDN w:val="0"/>
        <w:adjustRightInd w:val="0"/>
        <w:spacing w:after="0" w:line="240" w:lineRule="auto"/>
        <w:rPr>
          <w:rFonts w:cstheme="minorHAnsi"/>
          <w:sz w:val="24"/>
          <w:szCs w:val="24"/>
        </w:rPr>
      </w:pPr>
    </w:p>
    <w:p w:rsidR="00706C3B" w:rsidRPr="002D21F1" w:rsidRDefault="00706C3B" w:rsidP="00482ACF">
      <w:pPr>
        <w:autoSpaceDE w:val="0"/>
        <w:autoSpaceDN w:val="0"/>
        <w:adjustRightInd w:val="0"/>
        <w:spacing w:after="0" w:line="240" w:lineRule="auto"/>
        <w:rPr>
          <w:rFonts w:cstheme="minorHAnsi"/>
          <w:sz w:val="24"/>
          <w:szCs w:val="24"/>
        </w:rPr>
      </w:pPr>
      <w:r w:rsidRPr="002D21F1">
        <w:rPr>
          <w:rFonts w:cstheme="minorHAnsi"/>
          <w:sz w:val="24"/>
          <w:szCs w:val="24"/>
        </w:rPr>
        <w:t xml:space="preserve">Lisa Norman </w:t>
      </w:r>
    </w:p>
    <w:p w:rsidR="00706C3B" w:rsidRPr="002D21F1" w:rsidRDefault="00706C3B" w:rsidP="00482ACF">
      <w:pPr>
        <w:autoSpaceDE w:val="0"/>
        <w:autoSpaceDN w:val="0"/>
        <w:adjustRightInd w:val="0"/>
        <w:spacing w:after="0" w:line="240" w:lineRule="auto"/>
        <w:rPr>
          <w:rFonts w:cstheme="minorHAnsi"/>
          <w:sz w:val="24"/>
          <w:szCs w:val="24"/>
        </w:rPr>
      </w:pPr>
      <w:r w:rsidRPr="002D21F1">
        <w:rPr>
          <w:rFonts w:cstheme="minorHAnsi"/>
          <w:sz w:val="24"/>
          <w:szCs w:val="24"/>
        </w:rPr>
        <w:t xml:space="preserve">Board Co-opted Director </w:t>
      </w: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Lisa is CEO of St John of God Berwick Hospital. Lisa has worked in the health industry for 30 years and 15 years in executive leadership roles. Initially gaining qualifications as a registered nurse, she went on to gain qualifications in critical care nursing specialising in emergency and trauma nursing. She also has a Graduate Certificate in Catholic Leadership and Culture. Lisa led the commissioning of a new 190-bed, $120 million hospital in Berwick, opening early 2018.</w:t>
      </w:r>
    </w:p>
    <w:p w:rsidR="00706C3B" w:rsidRPr="002D21F1" w:rsidRDefault="00706C3B" w:rsidP="00706C3B">
      <w:pPr>
        <w:autoSpaceDE w:val="0"/>
        <w:autoSpaceDN w:val="0"/>
        <w:adjustRightInd w:val="0"/>
        <w:spacing w:after="0" w:line="240" w:lineRule="auto"/>
        <w:rPr>
          <w:rFonts w:cstheme="minorHAnsi"/>
          <w:sz w:val="24"/>
          <w:szCs w:val="24"/>
        </w:rPr>
      </w:pP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Sandra (Sam) Anderson</w:t>
      </w: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Board Co-opted Director</w:t>
      </w: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 xml:space="preserve">Sam has 20 </w:t>
      </w:r>
      <w:r w:rsidR="00174774" w:rsidRPr="002D21F1">
        <w:rPr>
          <w:rFonts w:cstheme="minorHAnsi"/>
          <w:sz w:val="24"/>
          <w:szCs w:val="24"/>
        </w:rPr>
        <w:t>years’ experience</w:t>
      </w:r>
      <w:r w:rsidRPr="002D21F1">
        <w:rPr>
          <w:rFonts w:cstheme="minorHAnsi"/>
          <w:sz w:val="24"/>
          <w:szCs w:val="24"/>
        </w:rPr>
        <w:t xml:space="preserve"> as a senior finance executive,</w:t>
      </w:r>
      <w:r w:rsidR="00174774">
        <w:rPr>
          <w:rFonts w:cstheme="minorHAnsi"/>
          <w:sz w:val="24"/>
          <w:szCs w:val="24"/>
        </w:rPr>
        <w:t xml:space="preserve"> and 10 years’ experience as a C </w:t>
      </w:r>
      <w:r w:rsidRPr="002D21F1">
        <w:rPr>
          <w:rFonts w:cstheme="minorHAnsi"/>
          <w:sz w:val="24"/>
          <w:szCs w:val="24"/>
        </w:rPr>
        <w:t>suite executive in listed companies.</w:t>
      </w:r>
      <w:r w:rsidR="00174774">
        <w:rPr>
          <w:rFonts w:cstheme="minorHAnsi"/>
          <w:sz w:val="24"/>
          <w:szCs w:val="24"/>
        </w:rPr>
        <w:t xml:space="preserve"> She is Chair of the Australian </w:t>
      </w:r>
      <w:r w:rsidRPr="002D21F1">
        <w:rPr>
          <w:rFonts w:cstheme="minorHAnsi"/>
          <w:sz w:val="24"/>
          <w:szCs w:val="24"/>
        </w:rPr>
        <w:t>Packaging Covenant Organisation Limited, a Director of Beyond Bank Australia, Australian Hearing Services, Agriculture Victoria Services Pty Ltd and a Trustee of the Melbourne Convention and Exhibition Trust. Sam is also Chair of the Audit and Ri</w:t>
      </w:r>
      <w:r w:rsidR="00174774">
        <w:rPr>
          <w:rFonts w:cstheme="minorHAnsi"/>
          <w:sz w:val="24"/>
          <w:szCs w:val="24"/>
        </w:rPr>
        <w:t xml:space="preserve">sk Management Committee for the </w:t>
      </w:r>
      <w:r w:rsidRPr="002D21F1">
        <w:rPr>
          <w:rFonts w:cstheme="minorHAnsi"/>
          <w:sz w:val="24"/>
          <w:szCs w:val="24"/>
        </w:rPr>
        <w:t>Department of Premier and Cabinet.</w:t>
      </w:r>
    </w:p>
    <w:p w:rsidR="00482ACF" w:rsidRPr="002D21F1" w:rsidRDefault="00482ACF" w:rsidP="00201504">
      <w:pPr>
        <w:autoSpaceDE w:val="0"/>
        <w:autoSpaceDN w:val="0"/>
        <w:adjustRightInd w:val="0"/>
        <w:spacing w:after="0" w:line="240" w:lineRule="auto"/>
        <w:rPr>
          <w:rFonts w:cstheme="minorHAnsi"/>
          <w:sz w:val="24"/>
          <w:szCs w:val="24"/>
        </w:rPr>
      </w:pPr>
    </w:p>
    <w:p w:rsidR="00482ACF" w:rsidRPr="002D21F1" w:rsidRDefault="00706C3B" w:rsidP="00201504">
      <w:pPr>
        <w:autoSpaceDE w:val="0"/>
        <w:autoSpaceDN w:val="0"/>
        <w:adjustRightInd w:val="0"/>
        <w:spacing w:after="0" w:line="240" w:lineRule="auto"/>
        <w:rPr>
          <w:rFonts w:cstheme="minorHAnsi"/>
          <w:sz w:val="24"/>
          <w:szCs w:val="24"/>
        </w:rPr>
      </w:pPr>
      <w:r w:rsidRPr="002D21F1">
        <w:rPr>
          <w:rFonts w:cstheme="minorHAnsi"/>
          <w:sz w:val="24"/>
          <w:szCs w:val="24"/>
        </w:rPr>
        <w:t>David Mann OAM, FAICD</w:t>
      </w:r>
    </w:p>
    <w:p w:rsidR="00706C3B" w:rsidRPr="002D21F1" w:rsidRDefault="00706C3B" w:rsidP="00201504">
      <w:pPr>
        <w:autoSpaceDE w:val="0"/>
        <w:autoSpaceDN w:val="0"/>
        <w:adjustRightInd w:val="0"/>
        <w:spacing w:after="0" w:line="240" w:lineRule="auto"/>
        <w:rPr>
          <w:rFonts w:cstheme="minorHAnsi"/>
          <w:sz w:val="24"/>
          <w:szCs w:val="24"/>
        </w:rPr>
      </w:pPr>
      <w:r w:rsidRPr="002D21F1">
        <w:rPr>
          <w:rFonts w:cstheme="minorHAnsi"/>
          <w:sz w:val="24"/>
          <w:szCs w:val="24"/>
        </w:rPr>
        <w:t>Board Co-opted Director</w:t>
      </w: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 xml:space="preserve">David is Chairman of Entertainment Assist, the Victoria Police Blue Ribbon Foundation and the Victoria Police Blue Ribbon Day Community Council. David is also a board member of The Production Company, Connected Communities Melbourne, the Queen Victoria Market board and the Small Business Advisory Council, as </w:t>
      </w:r>
      <w:r w:rsidR="00174774">
        <w:rPr>
          <w:rFonts w:cstheme="minorHAnsi"/>
          <w:sz w:val="24"/>
          <w:szCs w:val="24"/>
        </w:rPr>
        <w:t xml:space="preserve">well as Managing Director, Mann </w:t>
      </w:r>
      <w:r w:rsidRPr="002D21F1">
        <w:rPr>
          <w:rFonts w:cstheme="minorHAnsi"/>
          <w:sz w:val="24"/>
          <w:szCs w:val="24"/>
        </w:rPr>
        <w:lastRenderedPageBreak/>
        <w:t>Promotions Pty Ltd, a company for promotions, marketing, public relations and crisis management.</w:t>
      </w:r>
    </w:p>
    <w:p w:rsidR="00482ACF" w:rsidRPr="002D21F1" w:rsidRDefault="00482ACF" w:rsidP="00201504">
      <w:pPr>
        <w:autoSpaceDE w:val="0"/>
        <w:autoSpaceDN w:val="0"/>
        <w:adjustRightInd w:val="0"/>
        <w:spacing w:after="0" w:line="240" w:lineRule="auto"/>
        <w:rPr>
          <w:rFonts w:cstheme="minorHAnsi"/>
          <w:sz w:val="24"/>
          <w:szCs w:val="24"/>
        </w:rPr>
      </w:pPr>
    </w:p>
    <w:p w:rsidR="00201504" w:rsidRPr="002D21F1" w:rsidRDefault="00706C3B" w:rsidP="00201504">
      <w:pPr>
        <w:autoSpaceDE w:val="0"/>
        <w:autoSpaceDN w:val="0"/>
        <w:adjustRightInd w:val="0"/>
        <w:spacing w:after="0" w:line="240" w:lineRule="auto"/>
        <w:rPr>
          <w:rFonts w:cstheme="minorHAnsi"/>
          <w:sz w:val="24"/>
          <w:szCs w:val="24"/>
        </w:rPr>
      </w:pPr>
      <w:r w:rsidRPr="002D21F1">
        <w:rPr>
          <w:rFonts w:cstheme="minorHAnsi"/>
          <w:sz w:val="24"/>
          <w:szCs w:val="24"/>
        </w:rPr>
        <w:t>&lt;pp&gt;</w:t>
      </w:r>
      <w:r w:rsidR="007829BB" w:rsidRPr="002D21F1">
        <w:rPr>
          <w:rFonts w:cstheme="minorHAnsi"/>
          <w:sz w:val="24"/>
          <w:szCs w:val="24"/>
        </w:rPr>
        <w:t>32</w:t>
      </w:r>
    </w:p>
    <w:p w:rsidR="00201504" w:rsidRPr="002D21F1" w:rsidRDefault="00201504" w:rsidP="00201504">
      <w:pPr>
        <w:autoSpaceDE w:val="0"/>
        <w:autoSpaceDN w:val="0"/>
        <w:adjustRightInd w:val="0"/>
        <w:spacing w:after="0" w:line="240" w:lineRule="auto"/>
        <w:rPr>
          <w:rFonts w:cstheme="minorHAnsi"/>
          <w:sz w:val="24"/>
          <w:szCs w:val="24"/>
        </w:rPr>
      </w:pPr>
    </w:p>
    <w:p w:rsidR="00706C3B" w:rsidRPr="002D21F1" w:rsidRDefault="00706C3B" w:rsidP="006914D6">
      <w:pPr>
        <w:pStyle w:val="Heading2"/>
      </w:pPr>
      <w:r w:rsidRPr="002D21F1">
        <w:t>Executive Directors Group</w:t>
      </w:r>
    </w:p>
    <w:p w:rsidR="00706C3B" w:rsidRPr="002D21F1" w:rsidRDefault="00706C3B" w:rsidP="00201504">
      <w:pPr>
        <w:autoSpaceDE w:val="0"/>
        <w:autoSpaceDN w:val="0"/>
        <w:adjustRightInd w:val="0"/>
        <w:spacing w:after="0" w:line="240" w:lineRule="auto"/>
        <w:rPr>
          <w:rFonts w:cstheme="minorHAnsi"/>
          <w:sz w:val="24"/>
          <w:szCs w:val="24"/>
        </w:rPr>
      </w:pPr>
    </w:p>
    <w:p w:rsidR="00706C3B" w:rsidRPr="00B45A2C" w:rsidRDefault="00706C3B" w:rsidP="006914D6">
      <w:pPr>
        <w:pStyle w:val="Heading3"/>
      </w:pPr>
      <w:r w:rsidRPr="00B45A2C">
        <w:t xml:space="preserve">Senior Management Team </w:t>
      </w:r>
    </w:p>
    <w:p w:rsidR="00706C3B" w:rsidRPr="002D21F1" w:rsidRDefault="00706C3B" w:rsidP="00706C3B">
      <w:pPr>
        <w:autoSpaceDE w:val="0"/>
        <w:autoSpaceDN w:val="0"/>
        <w:adjustRightInd w:val="0"/>
        <w:spacing w:after="0" w:line="240" w:lineRule="auto"/>
        <w:rPr>
          <w:rFonts w:cstheme="minorHAnsi"/>
          <w:sz w:val="24"/>
          <w:szCs w:val="24"/>
        </w:rPr>
      </w:pPr>
      <w:r w:rsidRPr="002D21F1">
        <w:rPr>
          <w:rFonts w:cstheme="minorHAnsi"/>
          <w:sz w:val="24"/>
          <w:szCs w:val="24"/>
        </w:rPr>
        <w:t>The focus of the Executive Directors Group is strategic leadership and business development, with day-to-day operations largely overseen by Business Area Managers under a policy and procedural framework established by the Executive Directors Group under the Board’s delegation framework.</w:t>
      </w:r>
    </w:p>
    <w:p w:rsidR="00706C3B" w:rsidRPr="002D21F1" w:rsidRDefault="00706C3B" w:rsidP="00706C3B">
      <w:pPr>
        <w:pStyle w:val="ListParagraph"/>
        <w:kinsoku w:val="0"/>
        <w:overflowPunct w:val="0"/>
        <w:rPr>
          <w:rFonts w:asciiTheme="minorHAnsi" w:hAnsiTheme="minorHAnsi" w:cstheme="minorHAnsi"/>
        </w:rPr>
      </w:pP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Maria Peters – Chief Executive Officer</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Grant Radford – Chief Operating Officer</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Stephen Varty – Chief of Education</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Shane Smith – Executive Director Educational Programs (to 1 December 2017)</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Russell Mitchell – Chief Commercial Officer (to 14 November 2017)</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Helen McNamara – Chief of Staff</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Noel Lyons – Chief Commercial Officer (from 20 November 2017)</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Amanda Achterberg – Executive Director Teaching &amp; Learning</w:t>
      </w: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Delia McIver – Executive Director People, Culture &amp; Safety</w:t>
      </w:r>
    </w:p>
    <w:p w:rsidR="00706C3B" w:rsidRPr="002D21F1" w:rsidRDefault="00706C3B" w:rsidP="00706C3B">
      <w:pPr>
        <w:pStyle w:val="ListParagraph"/>
        <w:kinsoku w:val="0"/>
        <w:overflowPunct w:val="0"/>
        <w:rPr>
          <w:rFonts w:asciiTheme="minorHAnsi" w:hAnsiTheme="minorHAnsi" w:cstheme="minorHAnsi"/>
        </w:rPr>
      </w:pP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&lt;pp&gt;</w:t>
      </w:r>
      <w:r w:rsidR="007829BB" w:rsidRPr="002D21F1">
        <w:rPr>
          <w:rFonts w:asciiTheme="minorHAnsi" w:hAnsiTheme="minorHAnsi" w:cstheme="minorHAnsi"/>
        </w:rPr>
        <w:t>33</w:t>
      </w:r>
    </w:p>
    <w:p w:rsidR="00706C3B" w:rsidRPr="002D21F1" w:rsidRDefault="00706C3B" w:rsidP="00706C3B">
      <w:pPr>
        <w:pStyle w:val="ListParagraph"/>
        <w:kinsoku w:val="0"/>
        <w:overflowPunct w:val="0"/>
        <w:rPr>
          <w:rFonts w:asciiTheme="minorHAnsi" w:hAnsiTheme="minorHAnsi" w:cstheme="minorHAnsi"/>
        </w:rPr>
      </w:pPr>
    </w:p>
    <w:p w:rsidR="00706C3B" w:rsidRPr="002D21F1" w:rsidRDefault="00706C3B" w:rsidP="006914D6">
      <w:pPr>
        <w:pStyle w:val="Heading2"/>
      </w:pPr>
      <w:r w:rsidRPr="002D21F1">
        <w:t xml:space="preserve">Corporate Governance </w:t>
      </w:r>
    </w:p>
    <w:p w:rsidR="00706C3B" w:rsidRPr="002D21F1" w:rsidRDefault="00706C3B" w:rsidP="00706C3B">
      <w:pPr>
        <w:pStyle w:val="ListParagraph"/>
        <w:kinsoku w:val="0"/>
        <w:overflowPunct w:val="0"/>
        <w:rPr>
          <w:rFonts w:asciiTheme="minorHAnsi" w:hAnsiTheme="minorHAnsi" w:cstheme="minorHAnsi"/>
        </w:rPr>
      </w:pPr>
    </w:p>
    <w:p w:rsidR="00706C3B" w:rsidRPr="002D21F1" w:rsidRDefault="00706C3B" w:rsidP="00706C3B">
      <w:pPr>
        <w:pStyle w:val="ListParagraph"/>
        <w:kinsoku w:val="0"/>
        <w:overflowPunct w:val="0"/>
        <w:rPr>
          <w:rFonts w:asciiTheme="minorHAnsi" w:hAnsiTheme="minorHAnsi" w:cstheme="minorHAnsi"/>
        </w:rPr>
      </w:pPr>
      <w:r w:rsidRPr="002D21F1">
        <w:rPr>
          <w:rFonts w:asciiTheme="minorHAnsi" w:hAnsiTheme="minorHAnsi" w:cstheme="minorHAnsi"/>
        </w:rPr>
        <w:t xml:space="preserve">Chisholm Institute and the governing Board of Chisholm Institute are established by the </w:t>
      </w:r>
      <w:r w:rsidRPr="00373CC7">
        <w:rPr>
          <w:rFonts w:asciiTheme="minorHAnsi" w:hAnsiTheme="minorHAnsi" w:cstheme="minorHAnsi"/>
        </w:rPr>
        <w:t>Education and Training Reform Act 2006 (Vic)</w:t>
      </w:r>
      <w:r w:rsidR="00F961CD" w:rsidRPr="00373CC7">
        <w:rPr>
          <w:rFonts w:asciiTheme="minorHAnsi" w:hAnsiTheme="minorHAnsi" w:cstheme="minorHAnsi"/>
        </w:rPr>
        <w:t>.</w:t>
      </w:r>
    </w:p>
    <w:p w:rsidR="00F961CD" w:rsidRPr="002D21F1" w:rsidRDefault="00F961CD" w:rsidP="00706C3B">
      <w:pPr>
        <w:pStyle w:val="ListParagraph"/>
        <w:kinsoku w:val="0"/>
        <w:overflowPunct w:val="0"/>
        <w:rPr>
          <w:rFonts w:asciiTheme="minorHAnsi" w:hAnsiTheme="minorHAnsi" w:cstheme="minorHAnsi"/>
        </w:rPr>
      </w:pP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Chisholm Institute is governed by a Board representative of government, industry and community. The Board’s governance structure includes a number of committees which support the work of the Board in executing its governance responsibilities: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Audit and Risk Management Committee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Education Committee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Infrastructure, Systems and Planning Committee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Remuneration Committee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Membership Committee.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The Board is ultimately responsible to the Victorian Government for the governance and management of the Institute and is accountable</w:t>
      </w:r>
      <w:r w:rsidR="00174774">
        <w:rPr>
          <w:rFonts w:cstheme="minorHAnsi"/>
          <w:sz w:val="24"/>
          <w:szCs w:val="24"/>
        </w:rPr>
        <w:t xml:space="preserve"> to the Victorian Minister with </w:t>
      </w:r>
      <w:r w:rsidRPr="002D21F1">
        <w:rPr>
          <w:rFonts w:cstheme="minorHAnsi"/>
          <w:sz w:val="24"/>
          <w:szCs w:val="24"/>
        </w:rPr>
        <w:t>accountability for Higher Education and Skills.</w:t>
      </w:r>
    </w:p>
    <w:p w:rsidR="00706C3B" w:rsidRPr="002D21F1" w:rsidRDefault="00706C3B" w:rsidP="00706C3B">
      <w:pPr>
        <w:autoSpaceDE w:val="0"/>
        <w:autoSpaceDN w:val="0"/>
        <w:adjustRightInd w:val="0"/>
        <w:spacing w:after="0" w:line="240" w:lineRule="auto"/>
        <w:rPr>
          <w:rFonts w:cstheme="minorHAnsi"/>
          <w:sz w:val="24"/>
          <w:szCs w:val="24"/>
        </w:rPr>
      </w:pPr>
    </w:p>
    <w:p w:rsidR="00F961CD" w:rsidRPr="00373CC7" w:rsidRDefault="00F961CD" w:rsidP="006914D6">
      <w:pPr>
        <w:pStyle w:val="Heading3"/>
      </w:pPr>
      <w:r w:rsidRPr="00373CC7">
        <w:t xml:space="preserve">Objectives, Functions, Powers and Duties </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The objectives of Chisholm Institute established by the Act and the Chisholm Institute Constitution are: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lastRenderedPageBreak/>
        <w:t>• To perform its functions for the public benefit by operating its businesses, delivering educational services and utilising assets that it manages on the State’s behalf as efficiently as possible and ensuring that it is sustainable in the medium to long term.</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ensure that its procedures, policies and practices are consistent with prudent commercial practice and endeavouring to maximise its contribution to the economy and wellbeing of the communities and industries served by the Institute and the State as a whole.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facilitate student learning, knowledge acquisition, skills for employment and vocational education and training through excellent teaching, innovation and educational leadership that delivers quality outcomes.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collaborate as part of a strong public training provider network which is mutually and commercially beneficial to enable the Institute to offer or provide educational services that meet the needs of industry partners and communities, including persons and groups that have particular education needs.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facilitate higher education through excellent teaching, innovation and educational leadership that delivers quality outcome.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facilitate increasing opportunities for apprenticeships and traineeships across the relevant Australian industry sectors.</w:t>
      </w:r>
    </w:p>
    <w:p w:rsidR="00F961CD" w:rsidRPr="002D21F1" w:rsidRDefault="00F961CD" w:rsidP="00F961CD">
      <w:pPr>
        <w:autoSpaceDE w:val="0"/>
        <w:autoSpaceDN w:val="0"/>
        <w:adjustRightInd w:val="0"/>
        <w:spacing w:after="0" w:line="240" w:lineRule="auto"/>
        <w:rPr>
          <w:rFonts w:cstheme="minorHAnsi"/>
          <w:sz w:val="24"/>
          <w:szCs w:val="24"/>
        </w:rPr>
      </w:pP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The functions of Chisholm Institute are: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provide the communities and industries serviced by the Institute with efficient and effective technical and further education programs and services.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To offer and conduct courses of study leading to the conferral of higher education awards.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Subject to the requirements of the Act, to operate as a group training organisation that employs apprentices and other trainees and places them with host employers.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The Institute has the power to do all things that are necessary or convenient to be done for or in connection with, or as incidental to, meeting its objectives or performing its functions.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However, the powers of Chisholm Institute are subject to, and must be ex</w:t>
      </w:r>
      <w:r w:rsidR="00174774">
        <w:rPr>
          <w:rFonts w:cstheme="minorHAnsi"/>
          <w:sz w:val="24"/>
          <w:szCs w:val="24"/>
        </w:rPr>
        <w:t xml:space="preserve">ercised in </w:t>
      </w:r>
      <w:r w:rsidRPr="002D21F1">
        <w:rPr>
          <w:rFonts w:cstheme="minorHAnsi"/>
          <w:sz w:val="24"/>
          <w:szCs w:val="24"/>
        </w:rPr>
        <w:t>accordance with the functions, duties and obligations conferred or imposed on the Institute by:</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xml:space="preserve">• </w:t>
      </w:r>
      <w:r w:rsidR="00443639" w:rsidRPr="002D21F1">
        <w:rPr>
          <w:rFonts w:cstheme="minorHAnsi"/>
          <w:sz w:val="24"/>
          <w:szCs w:val="24"/>
        </w:rPr>
        <w:t>The</w:t>
      </w:r>
      <w:r w:rsidRPr="002D21F1">
        <w:rPr>
          <w:rFonts w:cstheme="minorHAnsi"/>
          <w:sz w:val="24"/>
          <w:szCs w:val="24"/>
        </w:rPr>
        <w:t xml:space="preserve"> Education and Training Reform Act and other laws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xml:space="preserve">• </w:t>
      </w:r>
      <w:r w:rsidR="00443639" w:rsidRPr="002D21F1">
        <w:rPr>
          <w:rFonts w:cstheme="minorHAnsi"/>
          <w:sz w:val="24"/>
          <w:szCs w:val="24"/>
        </w:rPr>
        <w:t>The</w:t>
      </w:r>
      <w:r w:rsidRPr="002D21F1">
        <w:rPr>
          <w:rFonts w:cstheme="minorHAnsi"/>
          <w:sz w:val="24"/>
          <w:szCs w:val="24"/>
        </w:rPr>
        <w:t xml:space="preserve"> Chisholm Institute Constitution</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xml:space="preserve">• Ministerial and government directions and guidelines under the Act and other </w:t>
      </w:r>
      <w:r w:rsidR="00373CC7">
        <w:rPr>
          <w:rFonts w:cstheme="minorHAnsi"/>
          <w:sz w:val="24"/>
          <w:szCs w:val="24"/>
        </w:rPr>
        <w:t xml:space="preserve">legislation, laws and </w:t>
      </w:r>
      <w:r w:rsidRPr="002D21F1">
        <w:rPr>
          <w:rFonts w:cstheme="minorHAnsi"/>
          <w:sz w:val="24"/>
          <w:szCs w:val="24"/>
        </w:rPr>
        <w:t>conventions</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 xml:space="preserve">• </w:t>
      </w:r>
      <w:r w:rsidR="00443639" w:rsidRPr="002D21F1">
        <w:rPr>
          <w:rFonts w:cstheme="minorHAnsi"/>
          <w:sz w:val="24"/>
          <w:szCs w:val="24"/>
        </w:rPr>
        <w:t>The</w:t>
      </w:r>
      <w:r w:rsidRPr="002D21F1">
        <w:rPr>
          <w:rFonts w:cstheme="minorHAnsi"/>
          <w:sz w:val="24"/>
          <w:szCs w:val="24"/>
        </w:rPr>
        <w:t xml:space="preserve"> general administrative, social and economic directives and polici</w:t>
      </w:r>
      <w:r w:rsidR="00373CC7">
        <w:rPr>
          <w:rFonts w:cstheme="minorHAnsi"/>
          <w:sz w:val="24"/>
          <w:szCs w:val="24"/>
        </w:rPr>
        <w:t xml:space="preserve">es established by the Victorian </w:t>
      </w:r>
      <w:r w:rsidRPr="002D21F1">
        <w:rPr>
          <w:rFonts w:cstheme="minorHAnsi"/>
          <w:sz w:val="24"/>
          <w:szCs w:val="24"/>
        </w:rPr>
        <w:t>Government from time to time. The Chisholm Institute Board must ta</w:t>
      </w:r>
      <w:r w:rsidR="00A47E87" w:rsidRPr="002D21F1">
        <w:rPr>
          <w:rFonts w:cstheme="minorHAnsi"/>
          <w:sz w:val="24"/>
          <w:szCs w:val="24"/>
        </w:rPr>
        <w:t xml:space="preserve">ke all reasonable steps for the </w:t>
      </w:r>
      <w:r w:rsidRPr="002D21F1">
        <w:rPr>
          <w:rFonts w:cstheme="minorHAnsi"/>
          <w:sz w:val="24"/>
          <w:szCs w:val="24"/>
        </w:rPr>
        <w:t>advan</w:t>
      </w:r>
      <w:r w:rsidR="00A47E87" w:rsidRPr="002D21F1">
        <w:rPr>
          <w:rFonts w:cstheme="minorHAnsi"/>
          <w:sz w:val="24"/>
          <w:szCs w:val="24"/>
        </w:rPr>
        <w:t xml:space="preserve">cement of the objectives of the </w:t>
      </w:r>
      <w:r w:rsidRPr="002D21F1">
        <w:rPr>
          <w:rFonts w:cstheme="minorHAnsi"/>
          <w:sz w:val="24"/>
          <w:szCs w:val="24"/>
        </w:rPr>
        <w:t>Institute,</w:t>
      </w:r>
      <w:r w:rsidR="00A47E87" w:rsidRPr="002D21F1">
        <w:rPr>
          <w:rFonts w:cstheme="minorHAnsi"/>
          <w:sz w:val="24"/>
          <w:szCs w:val="24"/>
        </w:rPr>
        <w:t xml:space="preserve"> whilst operating in accordance </w:t>
      </w:r>
      <w:r w:rsidRPr="002D21F1">
        <w:rPr>
          <w:rFonts w:cstheme="minorHAnsi"/>
          <w:sz w:val="24"/>
          <w:szCs w:val="24"/>
        </w:rPr>
        <w:t>with the</w:t>
      </w:r>
      <w:r w:rsidR="00A47E87" w:rsidRPr="002D21F1">
        <w:rPr>
          <w:rFonts w:cstheme="minorHAnsi"/>
          <w:sz w:val="24"/>
          <w:szCs w:val="24"/>
        </w:rPr>
        <w:t xml:space="preserve"> economic and social objectives </w:t>
      </w:r>
      <w:r w:rsidRPr="002D21F1">
        <w:rPr>
          <w:rFonts w:cstheme="minorHAnsi"/>
          <w:sz w:val="24"/>
          <w:szCs w:val="24"/>
        </w:rPr>
        <w:t>and p</w:t>
      </w:r>
      <w:r w:rsidR="00A47E87" w:rsidRPr="002D21F1">
        <w:rPr>
          <w:rFonts w:cstheme="minorHAnsi"/>
          <w:sz w:val="24"/>
          <w:szCs w:val="24"/>
        </w:rPr>
        <w:t xml:space="preserve">ublic sector policy established </w:t>
      </w:r>
      <w:r w:rsidRPr="002D21F1">
        <w:rPr>
          <w:rFonts w:cstheme="minorHAnsi"/>
          <w:sz w:val="24"/>
          <w:szCs w:val="24"/>
        </w:rPr>
        <w:t xml:space="preserve">from time </w:t>
      </w:r>
      <w:r w:rsidR="00A47E87" w:rsidRPr="002D21F1">
        <w:rPr>
          <w:rFonts w:cstheme="minorHAnsi"/>
          <w:sz w:val="24"/>
          <w:szCs w:val="24"/>
        </w:rPr>
        <w:t xml:space="preserve">to time by the Minister. Whilst </w:t>
      </w:r>
      <w:r w:rsidRPr="002D21F1">
        <w:rPr>
          <w:rFonts w:cstheme="minorHAnsi"/>
          <w:sz w:val="24"/>
          <w:szCs w:val="24"/>
        </w:rPr>
        <w:t>meeting it</w:t>
      </w:r>
      <w:r w:rsidR="00A47E87" w:rsidRPr="002D21F1">
        <w:rPr>
          <w:rFonts w:cstheme="minorHAnsi"/>
          <w:sz w:val="24"/>
          <w:szCs w:val="24"/>
        </w:rPr>
        <w:t xml:space="preserve">s objectives, the Board is also </w:t>
      </w:r>
      <w:r w:rsidRPr="002D21F1">
        <w:rPr>
          <w:rFonts w:cstheme="minorHAnsi"/>
          <w:sz w:val="24"/>
          <w:szCs w:val="24"/>
        </w:rPr>
        <w:t>requi</w:t>
      </w:r>
      <w:r w:rsidR="00373CC7">
        <w:rPr>
          <w:rFonts w:cstheme="minorHAnsi"/>
          <w:sz w:val="24"/>
          <w:szCs w:val="24"/>
        </w:rPr>
        <w:t xml:space="preserve">red to comply with the Chisholm </w:t>
      </w:r>
      <w:r w:rsidRPr="002D21F1">
        <w:rPr>
          <w:rFonts w:cstheme="minorHAnsi"/>
          <w:sz w:val="24"/>
          <w:szCs w:val="24"/>
        </w:rPr>
        <w:t>Institute Constitu</w:t>
      </w:r>
      <w:r w:rsidR="00A47E87" w:rsidRPr="002D21F1">
        <w:rPr>
          <w:rFonts w:cstheme="minorHAnsi"/>
          <w:sz w:val="24"/>
          <w:szCs w:val="24"/>
        </w:rPr>
        <w:t xml:space="preserve">tion and provide all </w:t>
      </w:r>
      <w:r w:rsidRPr="002D21F1">
        <w:rPr>
          <w:rFonts w:cstheme="minorHAnsi"/>
          <w:sz w:val="24"/>
          <w:szCs w:val="24"/>
        </w:rPr>
        <w:t>as</w:t>
      </w:r>
      <w:r w:rsidR="00A47E87" w:rsidRPr="002D21F1">
        <w:rPr>
          <w:rFonts w:cstheme="minorHAnsi"/>
          <w:sz w:val="24"/>
          <w:szCs w:val="24"/>
        </w:rPr>
        <w:t xml:space="preserve">sistance and information to the </w:t>
      </w:r>
      <w:r w:rsidRPr="002D21F1">
        <w:rPr>
          <w:rFonts w:cstheme="minorHAnsi"/>
          <w:sz w:val="24"/>
          <w:szCs w:val="24"/>
        </w:rPr>
        <w:t>Minister, or the Minister’s delegates.</w:t>
      </w:r>
    </w:p>
    <w:p w:rsidR="00983296" w:rsidRPr="002D21F1" w:rsidRDefault="00983296" w:rsidP="00983296">
      <w:pPr>
        <w:autoSpaceDE w:val="0"/>
        <w:autoSpaceDN w:val="0"/>
        <w:adjustRightInd w:val="0"/>
        <w:spacing w:after="0" w:line="240" w:lineRule="auto"/>
        <w:rPr>
          <w:rFonts w:cstheme="minorHAnsi"/>
          <w:sz w:val="24"/>
          <w:szCs w:val="24"/>
        </w:rPr>
      </w:pPr>
    </w:p>
    <w:p w:rsidR="00F961CD" w:rsidRPr="00373CC7" w:rsidRDefault="00F961CD" w:rsidP="006914D6">
      <w:pPr>
        <w:pStyle w:val="Heading3"/>
      </w:pPr>
      <w:r w:rsidRPr="00373CC7">
        <w:t>Audit and Risk Management Committee</w:t>
      </w: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The</w:t>
      </w:r>
      <w:r w:rsidR="00A47E87" w:rsidRPr="002D21F1">
        <w:rPr>
          <w:rFonts w:cstheme="minorHAnsi"/>
          <w:sz w:val="24"/>
          <w:szCs w:val="24"/>
        </w:rPr>
        <w:t xml:space="preserve"> Board has established an Audit </w:t>
      </w:r>
      <w:r w:rsidRPr="002D21F1">
        <w:rPr>
          <w:rFonts w:cstheme="minorHAnsi"/>
          <w:sz w:val="24"/>
          <w:szCs w:val="24"/>
        </w:rPr>
        <w:t>and</w:t>
      </w:r>
      <w:r w:rsidR="00A47E87" w:rsidRPr="002D21F1">
        <w:rPr>
          <w:rFonts w:cstheme="minorHAnsi"/>
          <w:sz w:val="24"/>
          <w:szCs w:val="24"/>
        </w:rPr>
        <w:t xml:space="preserve"> Risk Management Committee with </w:t>
      </w:r>
      <w:r w:rsidRPr="002D21F1">
        <w:rPr>
          <w:rFonts w:cstheme="minorHAnsi"/>
          <w:sz w:val="24"/>
          <w:szCs w:val="24"/>
        </w:rPr>
        <w:t>responsi</w:t>
      </w:r>
      <w:r w:rsidR="00A47E87" w:rsidRPr="002D21F1">
        <w:rPr>
          <w:rFonts w:cstheme="minorHAnsi"/>
          <w:sz w:val="24"/>
          <w:szCs w:val="24"/>
        </w:rPr>
        <w:t xml:space="preserve">bilities to assist the board in </w:t>
      </w:r>
      <w:r w:rsidRPr="002D21F1">
        <w:rPr>
          <w:rFonts w:cstheme="minorHAnsi"/>
          <w:sz w:val="24"/>
          <w:szCs w:val="24"/>
        </w:rPr>
        <w:t>ensur</w:t>
      </w:r>
      <w:r w:rsidR="00A47E87" w:rsidRPr="002D21F1">
        <w:rPr>
          <w:rFonts w:cstheme="minorHAnsi"/>
          <w:sz w:val="24"/>
          <w:szCs w:val="24"/>
        </w:rPr>
        <w:t xml:space="preserve">ing that appropriate governance </w:t>
      </w:r>
      <w:r w:rsidRPr="002D21F1">
        <w:rPr>
          <w:rFonts w:cstheme="minorHAnsi"/>
          <w:sz w:val="24"/>
          <w:szCs w:val="24"/>
        </w:rPr>
        <w:t>is implemented a</w:t>
      </w:r>
      <w:r w:rsidR="00A47E87" w:rsidRPr="002D21F1">
        <w:rPr>
          <w:rFonts w:cstheme="minorHAnsi"/>
          <w:sz w:val="24"/>
          <w:szCs w:val="24"/>
        </w:rPr>
        <w:t xml:space="preserve">cross the Institute and </w:t>
      </w:r>
      <w:r w:rsidRPr="002D21F1">
        <w:rPr>
          <w:rFonts w:cstheme="minorHAnsi"/>
          <w:sz w:val="24"/>
          <w:szCs w:val="24"/>
        </w:rPr>
        <w:t>relevant con</w:t>
      </w:r>
      <w:r w:rsidR="00A47E87" w:rsidRPr="002D21F1">
        <w:rPr>
          <w:rFonts w:cstheme="minorHAnsi"/>
          <w:sz w:val="24"/>
          <w:szCs w:val="24"/>
        </w:rPr>
        <w:t xml:space="preserve">trolled entities in relation to </w:t>
      </w:r>
      <w:r w:rsidRPr="002D21F1">
        <w:rPr>
          <w:rFonts w:cstheme="minorHAnsi"/>
          <w:sz w:val="24"/>
          <w:szCs w:val="24"/>
        </w:rPr>
        <w:t>Intern</w:t>
      </w:r>
      <w:r w:rsidR="00174774">
        <w:rPr>
          <w:rFonts w:cstheme="minorHAnsi"/>
          <w:sz w:val="24"/>
          <w:szCs w:val="24"/>
        </w:rPr>
        <w:t xml:space="preserve">al control and risk </w:t>
      </w:r>
      <w:r w:rsidR="00A47E87" w:rsidRPr="002D21F1">
        <w:rPr>
          <w:rFonts w:cstheme="minorHAnsi"/>
          <w:sz w:val="24"/>
          <w:szCs w:val="24"/>
        </w:rPr>
        <w:t xml:space="preserve">management, </w:t>
      </w:r>
      <w:r w:rsidRPr="002D21F1">
        <w:rPr>
          <w:rFonts w:cstheme="minorHAnsi"/>
          <w:sz w:val="24"/>
          <w:szCs w:val="24"/>
        </w:rPr>
        <w:t>exte</w:t>
      </w:r>
      <w:r w:rsidR="00A47E87" w:rsidRPr="002D21F1">
        <w:rPr>
          <w:rFonts w:cstheme="minorHAnsi"/>
          <w:sz w:val="24"/>
          <w:szCs w:val="24"/>
        </w:rPr>
        <w:t xml:space="preserve">rnal and internal audit, and to </w:t>
      </w:r>
      <w:r w:rsidRPr="002D21F1">
        <w:rPr>
          <w:rFonts w:cstheme="minorHAnsi"/>
          <w:sz w:val="24"/>
          <w:szCs w:val="24"/>
        </w:rPr>
        <w:t>ind</w:t>
      </w:r>
      <w:r w:rsidR="00A47E87" w:rsidRPr="002D21F1">
        <w:rPr>
          <w:rFonts w:cstheme="minorHAnsi"/>
          <w:sz w:val="24"/>
          <w:szCs w:val="24"/>
        </w:rPr>
        <w:t xml:space="preserve">ependently review the financial </w:t>
      </w:r>
      <w:r w:rsidRPr="002D21F1">
        <w:rPr>
          <w:rFonts w:cstheme="minorHAnsi"/>
          <w:sz w:val="24"/>
          <w:szCs w:val="24"/>
        </w:rPr>
        <w:lastRenderedPageBreak/>
        <w:t>statem</w:t>
      </w:r>
      <w:r w:rsidR="00A47E87" w:rsidRPr="002D21F1">
        <w:rPr>
          <w:rFonts w:cstheme="minorHAnsi"/>
          <w:sz w:val="24"/>
          <w:szCs w:val="24"/>
        </w:rPr>
        <w:t xml:space="preserve">ents prior to recommending them </w:t>
      </w:r>
      <w:r w:rsidRPr="002D21F1">
        <w:rPr>
          <w:rFonts w:cstheme="minorHAnsi"/>
          <w:sz w:val="24"/>
          <w:szCs w:val="24"/>
        </w:rPr>
        <w:t xml:space="preserve">to the </w:t>
      </w:r>
      <w:r w:rsidR="00A47E87" w:rsidRPr="002D21F1">
        <w:rPr>
          <w:rFonts w:cstheme="minorHAnsi"/>
          <w:sz w:val="24"/>
          <w:szCs w:val="24"/>
        </w:rPr>
        <w:t xml:space="preserve">Board for adoption and approval </w:t>
      </w:r>
      <w:r w:rsidRPr="002D21F1">
        <w:rPr>
          <w:rFonts w:cstheme="minorHAnsi"/>
          <w:sz w:val="24"/>
          <w:szCs w:val="24"/>
        </w:rPr>
        <w:t>and release to Parliament.</w:t>
      </w:r>
    </w:p>
    <w:p w:rsidR="00F961CD" w:rsidRPr="002D21F1" w:rsidRDefault="00F961CD" w:rsidP="00F961CD">
      <w:pPr>
        <w:autoSpaceDE w:val="0"/>
        <w:autoSpaceDN w:val="0"/>
        <w:adjustRightInd w:val="0"/>
        <w:spacing w:after="0" w:line="240" w:lineRule="auto"/>
        <w:rPr>
          <w:rFonts w:cstheme="minorHAnsi"/>
          <w:sz w:val="24"/>
          <w:szCs w:val="24"/>
        </w:rPr>
      </w:pPr>
    </w:p>
    <w:p w:rsidR="00F961CD" w:rsidRPr="002D21F1" w:rsidRDefault="00F961CD" w:rsidP="00F961CD">
      <w:pPr>
        <w:autoSpaceDE w:val="0"/>
        <w:autoSpaceDN w:val="0"/>
        <w:adjustRightInd w:val="0"/>
        <w:spacing w:after="0" w:line="240" w:lineRule="auto"/>
        <w:rPr>
          <w:rFonts w:cstheme="minorHAnsi"/>
          <w:sz w:val="24"/>
          <w:szCs w:val="24"/>
        </w:rPr>
      </w:pPr>
      <w:r w:rsidRPr="002D21F1">
        <w:rPr>
          <w:rFonts w:cstheme="minorHAnsi"/>
          <w:sz w:val="24"/>
          <w:szCs w:val="24"/>
        </w:rPr>
        <w:t>&lt;pp&gt;</w:t>
      </w:r>
      <w:r w:rsidR="007829BB" w:rsidRPr="002D21F1">
        <w:rPr>
          <w:rFonts w:cstheme="minorHAnsi"/>
          <w:sz w:val="24"/>
          <w:szCs w:val="24"/>
        </w:rPr>
        <w:t>34</w:t>
      </w:r>
    </w:p>
    <w:p w:rsidR="00A47E87" w:rsidRPr="002D21F1" w:rsidRDefault="00A47E87" w:rsidP="00F961CD">
      <w:pPr>
        <w:autoSpaceDE w:val="0"/>
        <w:autoSpaceDN w:val="0"/>
        <w:adjustRightInd w:val="0"/>
        <w:spacing w:after="0" w:line="240" w:lineRule="auto"/>
        <w:rPr>
          <w:rFonts w:cstheme="minorHAnsi"/>
          <w:sz w:val="24"/>
          <w:szCs w:val="24"/>
        </w:rPr>
      </w:pPr>
    </w:p>
    <w:p w:rsidR="00A47E87" w:rsidRPr="002D21F1" w:rsidRDefault="00A47E87" w:rsidP="006914D6">
      <w:pPr>
        <w:pStyle w:val="Heading2"/>
      </w:pPr>
      <w:r w:rsidRPr="002D21F1">
        <w:t>Board Committees Chart and Membership</w:t>
      </w:r>
    </w:p>
    <w:p w:rsidR="00A47E87" w:rsidRPr="002D21F1" w:rsidRDefault="00A47E87" w:rsidP="00F961CD">
      <w:pPr>
        <w:autoSpaceDE w:val="0"/>
        <w:autoSpaceDN w:val="0"/>
        <w:adjustRightInd w:val="0"/>
        <w:spacing w:after="0" w:line="240" w:lineRule="auto"/>
        <w:rPr>
          <w:rFonts w:cstheme="minorHAnsi"/>
          <w:sz w:val="24"/>
          <w:szCs w:val="24"/>
        </w:rPr>
      </w:pPr>
    </w:p>
    <w:p w:rsidR="00A47E87" w:rsidRPr="002D21F1" w:rsidRDefault="00A47E87" w:rsidP="006914D6">
      <w:pPr>
        <w:pStyle w:val="Heading3"/>
      </w:pPr>
      <w:r w:rsidRPr="002D21F1">
        <w:t>Board</w:t>
      </w:r>
    </w:p>
    <w:p w:rsidR="00A47E87" w:rsidRPr="002D21F1" w:rsidRDefault="00A47E87" w:rsidP="00A47E87">
      <w:pPr>
        <w:pStyle w:val="ListParagraph"/>
        <w:numPr>
          <w:ilvl w:val="0"/>
          <w:numId w:val="3"/>
        </w:numPr>
        <w:rPr>
          <w:rFonts w:asciiTheme="minorHAnsi" w:hAnsiTheme="minorHAnsi" w:cstheme="minorHAnsi"/>
        </w:rPr>
      </w:pPr>
      <w:r w:rsidRPr="002D21F1">
        <w:rPr>
          <w:rFonts w:asciiTheme="minorHAnsi" w:hAnsiTheme="minorHAnsi" w:cstheme="minorHAnsi"/>
        </w:rPr>
        <w:t>Audit &amp; Risk Management Committee</w:t>
      </w:r>
    </w:p>
    <w:p w:rsidR="00A47E87" w:rsidRPr="002D21F1" w:rsidRDefault="00A47E87" w:rsidP="00A47E87">
      <w:pPr>
        <w:pStyle w:val="ListParagraph"/>
        <w:numPr>
          <w:ilvl w:val="0"/>
          <w:numId w:val="3"/>
        </w:numPr>
        <w:rPr>
          <w:rFonts w:asciiTheme="minorHAnsi" w:hAnsiTheme="minorHAnsi" w:cstheme="minorHAnsi"/>
        </w:rPr>
      </w:pPr>
      <w:r w:rsidRPr="002D21F1">
        <w:rPr>
          <w:rFonts w:asciiTheme="minorHAnsi" w:hAnsiTheme="minorHAnsi" w:cstheme="minorHAnsi"/>
        </w:rPr>
        <w:t>Education Committee</w:t>
      </w:r>
    </w:p>
    <w:p w:rsidR="00A47E87" w:rsidRPr="002D21F1" w:rsidRDefault="00A47E87" w:rsidP="00A47E87">
      <w:pPr>
        <w:pStyle w:val="ListParagraph"/>
        <w:numPr>
          <w:ilvl w:val="0"/>
          <w:numId w:val="3"/>
        </w:numPr>
        <w:rPr>
          <w:rFonts w:asciiTheme="minorHAnsi" w:hAnsiTheme="minorHAnsi" w:cstheme="minorHAnsi"/>
        </w:rPr>
      </w:pPr>
      <w:r w:rsidRPr="002D21F1">
        <w:rPr>
          <w:rFonts w:asciiTheme="minorHAnsi" w:hAnsiTheme="minorHAnsi" w:cstheme="minorHAnsi"/>
        </w:rPr>
        <w:t>Infrastructure Systems and Planning Committee</w:t>
      </w:r>
    </w:p>
    <w:p w:rsidR="00A47E87" w:rsidRPr="002D21F1" w:rsidRDefault="00A47E87" w:rsidP="00A47E87">
      <w:pPr>
        <w:pStyle w:val="ListParagraph"/>
        <w:numPr>
          <w:ilvl w:val="0"/>
          <w:numId w:val="3"/>
        </w:numPr>
        <w:rPr>
          <w:rFonts w:asciiTheme="minorHAnsi" w:hAnsiTheme="minorHAnsi" w:cstheme="minorHAnsi"/>
        </w:rPr>
      </w:pPr>
      <w:r w:rsidRPr="002D21F1">
        <w:rPr>
          <w:rFonts w:asciiTheme="minorHAnsi" w:hAnsiTheme="minorHAnsi" w:cstheme="minorHAnsi"/>
        </w:rPr>
        <w:t>Remuneration Committee</w:t>
      </w:r>
    </w:p>
    <w:p w:rsidR="00A47E87" w:rsidRPr="002D21F1" w:rsidRDefault="00A47E87" w:rsidP="00A47E87">
      <w:pPr>
        <w:pStyle w:val="ListParagraph"/>
        <w:numPr>
          <w:ilvl w:val="0"/>
          <w:numId w:val="3"/>
        </w:numPr>
        <w:rPr>
          <w:rFonts w:asciiTheme="minorHAnsi" w:hAnsiTheme="minorHAnsi" w:cstheme="minorHAnsi"/>
        </w:rPr>
      </w:pPr>
      <w:r w:rsidRPr="002D21F1">
        <w:rPr>
          <w:rFonts w:asciiTheme="minorHAnsi" w:hAnsiTheme="minorHAnsi" w:cstheme="minorHAnsi"/>
        </w:rPr>
        <w:t>Membership Committee</w:t>
      </w:r>
    </w:p>
    <w:p w:rsidR="00A47E87" w:rsidRPr="002D21F1" w:rsidRDefault="00A47E87" w:rsidP="00A47E87">
      <w:pPr>
        <w:rPr>
          <w:rFonts w:cstheme="minorHAnsi"/>
          <w:sz w:val="24"/>
          <w:szCs w:val="24"/>
        </w:rPr>
      </w:pPr>
    </w:p>
    <w:p w:rsidR="00A47E87" w:rsidRPr="00373CC7" w:rsidRDefault="00A47E87" w:rsidP="006914D6">
      <w:pPr>
        <w:pStyle w:val="Heading3"/>
      </w:pPr>
      <w:r w:rsidRPr="00373CC7">
        <w:t>Audit &amp; Risk Management Committee</w:t>
      </w:r>
    </w:p>
    <w:p w:rsidR="00174774" w:rsidRDefault="00174774"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Sandra (Sam) Andersen</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 and Committee Chair</w:t>
      </w:r>
    </w:p>
    <w:p w:rsidR="00373CC7" w:rsidRDefault="00373CC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John Bennie</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Todd Hartley</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Robert Comelli</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Co-opted Independent Member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Michael Said</w:t>
      </w:r>
    </w:p>
    <w:p w:rsidR="00A47E87" w:rsidRPr="002D21F1" w:rsidRDefault="00A47E87" w:rsidP="00A47E87">
      <w:pPr>
        <w:pStyle w:val="NoSpacing"/>
        <w:rPr>
          <w:rFonts w:cstheme="minorHAnsi"/>
          <w:sz w:val="24"/>
          <w:szCs w:val="24"/>
        </w:rPr>
      </w:pPr>
      <w:r w:rsidRPr="002D21F1">
        <w:rPr>
          <w:rFonts w:cstheme="minorHAnsi"/>
          <w:sz w:val="24"/>
          <w:szCs w:val="24"/>
        </w:rPr>
        <w:t>Board Co-opted Independent Member</w:t>
      </w:r>
    </w:p>
    <w:p w:rsidR="00A47E87" w:rsidRPr="002D21F1" w:rsidRDefault="00A47E87" w:rsidP="00A47E87">
      <w:pPr>
        <w:pStyle w:val="NoSpacing"/>
        <w:rPr>
          <w:rFonts w:cstheme="minorHAnsi"/>
          <w:sz w:val="24"/>
          <w:szCs w:val="24"/>
        </w:rPr>
      </w:pPr>
    </w:p>
    <w:p w:rsidR="00A47E87" w:rsidRPr="00373CC7" w:rsidRDefault="00A47E87" w:rsidP="006914D6">
      <w:pPr>
        <w:pStyle w:val="Heading3"/>
      </w:pPr>
      <w:r w:rsidRPr="00373CC7">
        <w:t>Education Committee</w:t>
      </w:r>
    </w:p>
    <w:p w:rsidR="00174774" w:rsidRDefault="00174774"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Anne Jones</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 and Committee Chair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Peter Malone</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Maria Peters</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Mei Ling Doery</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 (from 31 May)</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bCs/>
          <w:sz w:val="24"/>
          <w:szCs w:val="24"/>
        </w:rPr>
        <w:lastRenderedPageBreak/>
        <w:t>Kirsten Bright</w:t>
      </w:r>
    </w:p>
    <w:p w:rsidR="00A47E87" w:rsidRPr="002D21F1" w:rsidRDefault="00A47E87" w:rsidP="00A47E87">
      <w:pPr>
        <w:pStyle w:val="NoSpacing"/>
        <w:rPr>
          <w:rFonts w:cstheme="minorHAnsi"/>
          <w:sz w:val="24"/>
          <w:szCs w:val="24"/>
        </w:rPr>
      </w:pPr>
      <w:r w:rsidRPr="002D21F1">
        <w:rPr>
          <w:rFonts w:cstheme="minorHAnsi"/>
          <w:sz w:val="24"/>
          <w:szCs w:val="24"/>
        </w:rPr>
        <w:t>Co-opted Member (from 8 March)</w:t>
      </w:r>
    </w:p>
    <w:p w:rsidR="00A47E87" w:rsidRPr="002D21F1" w:rsidRDefault="00A47E87" w:rsidP="00A47E87">
      <w:pPr>
        <w:pStyle w:val="NoSpacing"/>
        <w:rPr>
          <w:rFonts w:cstheme="minorHAnsi"/>
          <w:sz w:val="24"/>
          <w:szCs w:val="24"/>
        </w:rPr>
      </w:pPr>
    </w:p>
    <w:p w:rsidR="00A47E87" w:rsidRPr="00373CC7" w:rsidRDefault="00A47E87" w:rsidP="006914D6">
      <w:pPr>
        <w:pStyle w:val="Heading3"/>
      </w:pPr>
      <w:r w:rsidRPr="00373CC7">
        <w:t>Infrastructure Systems and Planning Committee</w:t>
      </w:r>
    </w:p>
    <w:p w:rsidR="00174774" w:rsidRDefault="00174774"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Todd Hartley</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 and Committee Chair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John Bennie</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Robert Johnson</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Co-opted Member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Lisa Norman</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Mei Ling Doery</w:t>
      </w:r>
    </w:p>
    <w:p w:rsidR="00A47E87" w:rsidRPr="002D21F1" w:rsidRDefault="00A47E87" w:rsidP="00A47E87">
      <w:pPr>
        <w:pStyle w:val="NoSpacing"/>
        <w:rPr>
          <w:rFonts w:cstheme="minorHAnsi"/>
          <w:sz w:val="24"/>
          <w:szCs w:val="24"/>
        </w:rPr>
      </w:pPr>
      <w:r w:rsidRPr="002D21F1">
        <w:rPr>
          <w:rFonts w:cstheme="minorHAnsi"/>
          <w:sz w:val="24"/>
          <w:szCs w:val="24"/>
        </w:rPr>
        <w:t>Board Director</w:t>
      </w:r>
    </w:p>
    <w:p w:rsidR="00A47E87" w:rsidRPr="002D21F1" w:rsidRDefault="00A47E87" w:rsidP="00A47E87">
      <w:pPr>
        <w:pStyle w:val="NoSpacing"/>
        <w:rPr>
          <w:rFonts w:cstheme="minorHAnsi"/>
          <w:sz w:val="24"/>
          <w:szCs w:val="24"/>
        </w:rPr>
      </w:pPr>
    </w:p>
    <w:p w:rsidR="00A47E87" w:rsidRPr="00373CC7" w:rsidRDefault="00A47E87" w:rsidP="006914D6">
      <w:pPr>
        <w:pStyle w:val="Heading3"/>
      </w:pPr>
      <w:r w:rsidRPr="00373CC7">
        <w:t>Remuneration Committee</w:t>
      </w:r>
    </w:p>
    <w:p w:rsidR="00174774" w:rsidRDefault="00174774"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Stephen Marks</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Chair and Committee Chair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John Bennie</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Anne Jones</w:t>
      </w:r>
    </w:p>
    <w:p w:rsidR="00A47E87" w:rsidRPr="002D21F1" w:rsidRDefault="00A47E87" w:rsidP="00A47E87">
      <w:pPr>
        <w:pStyle w:val="NoSpacing"/>
        <w:rPr>
          <w:rFonts w:cstheme="minorHAnsi"/>
          <w:sz w:val="24"/>
          <w:szCs w:val="24"/>
        </w:rPr>
      </w:pPr>
      <w:r w:rsidRPr="002D21F1">
        <w:rPr>
          <w:rFonts w:cstheme="minorHAnsi"/>
          <w:sz w:val="24"/>
          <w:szCs w:val="24"/>
        </w:rPr>
        <w:t>Board Director</w:t>
      </w:r>
    </w:p>
    <w:p w:rsidR="00A47E87" w:rsidRPr="002D21F1" w:rsidRDefault="00A47E87" w:rsidP="00A47E87">
      <w:pPr>
        <w:pStyle w:val="NoSpacing"/>
        <w:rPr>
          <w:rFonts w:cstheme="minorHAnsi"/>
          <w:sz w:val="24"/>
          <w:szCs w:val="24"/>
        </w:rPr>
      </w:pPr>
    </w:p>
    <w:p w:rsidR="00A47E87" w:rsidRPr="00373CC7" w:rsidRDefault="00A47E87" w:rsidP="006914D6">
      <w:pPr>
        <w:pStyle w:val="Heading3"/>
      </w:pPr>
      <w:r w:rsidRPr="00373CC7">
        <w:t>Membership Committee</w:t>
      </w:r>
    </w:p>
    <w:p w:rsidR="00174774" w:rsidRDefault="00174774"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Stephen Marks</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Chair and Committee Chair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Anne Jones</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Maria Peters</w:t>
      </w:r>
    </w:p>
    <w:p w:rsidR="00A47E87" w:rsidRPr="002D21F1" w:rsidRDefault="00A47E87" w:rsidP="00A47E87">
      <w:pPr>
        <w:autoSpaceDE w:val="0"/>
        <w:autoSpaceDN w:val="0"/>
        <w:adjustRightInd w:val="0"/>
        <w:spacing w:after="0" w:line="240" w:lineRule="auto"/>
        <w:rPr>
          <w:rFonts w:cstheme="minorHAnsi"/>
          <w:sz w:val="24"/>
          <w:szCs w:val="24"/>
        </w:rPr>
      </w:pPr>
      <w:r w:rsidRPr="002D21F1">
        <w:rPr>
          <w:rFonts w:cstheme="minorHAnsi"/>
          <w:sz w:val="24"/>
          <w:szCs w:val="24"/>
        </w:rPr>
        <w:t>Board Director</w:t>
      </w:r>
    </w:p>
    <w:p w:rsidR="00A47E87" w:rsidRPr="002D21F1" w:rsidRDefault="00A47E87" w:rsidP="00A47E87">
      <w:pPr>
        <w:autoSpaceDE w:val="0"/>
        <w:autoSpaceDN w:val="0"/>
        <w:adjustRightInd w:val="0"/>
        <w:spacing w:after="0" w:line="240" w:lineRule="auto"/>
        <w:rPr>
          <w:rFonts w:cstheme="minorHAnsi"/>
          <w:bCs/>
          <w:sz w:val="24"/>
          <w:szCs w:val="24"/>
        </w:rPr>
      </w:pPr>
    </w:p>
    <w:p w:rsidR="00A47E87" w:rsidRPr="002D21F1" w:rsidRDefault="00A47E87" w:rsidP="00A47E87">
      <w:pPr>
        <w:autoSpaceDE w:val="0"/>
        <w:autoSpaceDN w:val="0"/>
        <w:adjustRightInd w:val="0"/>
        <w:spacing w:after="0" w:line="240" w:lineRule="auto"/>
        <w:rPr>
          <w:rFonts w:cstheme="minorHAnsi"/>
          <w:bCs/>
          <w:sz w:val="24"/>
          <w:szCs w:val="24"/>
        </w:rPr>
      </w:pPr>
      <w:r w:rsidRPr="002D21F1">
        <w:rPr>
          <w:rFonts w:cstheme="minorHAnsi"/>
          <w:bCs/>
          <w:sz w:val="24"/>
          <w:szCs w:val="24"/>
        </w:rPr>
        <w:t>David Mann</w:t>
      </w:r>
    </w:p>
    <w:p w:rsidR="00A47E87" w:rsidRPr="002D21F1" w:rsidRDefault="00A47E87" w:rsidP="00A47E87">
      <w:pPr>
        <w:rPr>
          <w:rFonts w:cstheme="minorHAnsi"/>
          <w:sz w:val="24"/>
          <w:szCs w:val="24"/>
        </w:rPr>
      </w:pPr>
      <w:r w:rsidRPr="002D21F1">
        <w:rPr>
          <w:rFonts w:cstheme="minorHAnsi"/>
          <w:sz w:val="24"/>
          <w:szCs w:val="24"/>
        </w:rPr>
        <w:t>Board Director</w:t>
      </w:r>
    </w:p>
    <w:p w:rsidR="00A47E87" w:rsidRPr="002D21F1" w:rsidRDefault="00A47E87" w:rsidP="00A47E87">
      <w:pPr>
        <w:rPr>
          <w:rFonts w:cstheme="minorHAnsi"/>
          <w:sz w:val="24"/>
          <w:szCs w:val="24"/>
        </w:rPr>
      </w:pPr>
      <w:r w:rsidRPr="002D21F1">
        <w:rPr>
          <w:rFonts w:cstheme="minorHAnsi"/>
          <w:sz w:val="24"/>
          <w:szCs w:val="24"/>
        </w:rPr>
        <w:t>&lt;pp&gt;</w:t>
      </w:r>
      <w:r w:rsidR="007829BB" w:rsidRPr="002D21F1">
        <w:rPr>
          <w:rFonts w:cstheme="minorHAnsi"/>
          <w:sz w:val="24"/>
          <w:szCs w:val="24"/>
        </w:rPr>
        <w:t>35</w:t>
      </w:r>
    </w:p>
    <w:p w:rsidR="00A47E87" w:rsidRPr="002D21F1" w:rsidRDefault="00213963" w:rsidP="006914D6">
      <w:pPr>
        <w:pStyle w:val="Heading2"/>
      </w:pPr>
      <w:r w:rsidRPr="002D21F1">
        <w:lastRenderedPageBreak/>
        <w:t>Controlled Entities</w:t>
      </w:r>
    </w:p>
    <w:p w:rsidR="00373CC7" w:rsidRDefault="00373CC7" w:rsidP="00213963">
      <w:pPr>
        <w:pStyle w:val="NoSpacing"/>
        <w:rPr>
          <w:rFonts w:cstheme="minorHAnsi"/>
          <w:sz w:val="24"/>
          <w:szCs w:val="24"/>
        </w:rPr>
      </w:pPr>
    </w:p>
    <w:p w:rsidR="00213963" w:rsidRPr="00373CC7" w:rsidRDefault="00213963" w:rsidP="006914D6">
      <w:pPr>
        <w:pStyle w:val="Heading3"/>
      </w:pPr>
      <w:r w:rsidRPr="00373CC7">
        <w:t>Board of Chisholm Institute</w:t>
      </w:r>
    </w:p>
    <w:p w:rsidR="00174774" w:rsidRDefault="00174774" w:rsidP="00213963">
      <w:pPr>
        <w:pStyle w:val="NoSpacing"/>
        <w:rPr>
          <w:rFonts w:cstheme="minorHAnsi"/>
          <w:sz w:val="24"/>
          <w:szCs w:val="24"/>
        </w:rPr>
      </w:pPr>
    </w:p>
    <w:p w:rsidR="00213963" w:rsidRPr="002D21F1" w:rsidRDefault="00213963" w:rsidP="00213963">
      <w:pPr>
        <w:pStyle w:val="NoSpacing"/>
        <w:rPr>
          <w:rFonts w:cstheme="minorHAnsi"/>
          <w:sz w:val="24"/>
          <w:szCs w:val="24"/>
        </w:rPr>
      </w:pPr>
      <w:r w:rsidRPr="002D21F1">
        <w:rPr>
          <w:rFonts w:cstheme="minorHAnsi"/>
          <w:sz w:val="24"/>
          <w:szCs w:val="24"/>
        </w:rPr>
        <w:t>Chisholm Institute (Victorian State Government Entity Established by the Education and Training Reform Act 2006)</w:t>
      </w:r>
    </w:p>
    <w:p w:rsidR="00213963" w:rsidRPr="002D21F1" w:rsidRDefault="00213963" w:rsidP="00213963">
      <w:pPr>
        <w:pStyle w:val="NoSpacing"/>
        <w:rPr>
          <w:rFonts w:cstheme="minorHAnsi"/>
          <w:sz w:val="24"/>
          <w:szCs w:val="24"/>
        </w:rPr>
      </w:pPr>
    </w:p>
    <w:p w:rsidR="00213963" w:rsidRPr="00373CC7" w:rsidRDefault="00213963" w:rsidP="00213963">
      <w:pPr>
        <w:pStyle w:val="NoSpacing"/>
        <w:rPr>
          <w:rFonts w:cstheme="minorHAnsi"/>
          <w:sz w:val="24"/>
          <w:szCs w:val="24"/>
        </w:rPr>
      </w:pPr>
      <w:r w:rsidRPr="00373CC7">
        <w:rPr>
          <w:rFonts w:cstheme="minorHAnsi"/>
          <w:sz w:val="24"/>
          <w:szCs w:val="24"/>
        </w:rPr>
        <w:t>TAFE Online Pty Ltd (Trading as Chisholm Online) and Australian company under the Corporations Act 2001</w:t>
      </w:r>
    </w:p>
    <w:p w:rsidR="00373CC7" w:rsidRDefault="00373CC7" w:rsidP="003D1751">
      <w:pPr>
        <w:pStyle w:val="NoSpacing"/>
        <w:rPr>
          <w:rFonts w:cstheme="minorHAnsi"/>
          <w:sz w:val="24"/>
          <w:szCs w:val="24"/>
        </w:rPr>
      </w:pPr>
    </w:p>
    <w:p w:rsidR="00A47E87" w:rsidRPr="00373CC7" w:rsidRDefault="003D1751" w:rsidP="003D1751">
      <w:pPr>
        <w:pStyle w:val="NoSpacing"/>
        <w:rPr>
          <w:rFonts w:cstheme="minorHAnsi"/>
          <w:sz w:val="24"/>
          <w:szCs w:val="24"/>
        </w:rPr>
      </w:pPr>
      <w:r w:rsidRPr="00373CC7">
        <w:rPr>
          <w:rFonts w:cstheme="minorHAnsi"/>
          <w:sz w:val="24"/>
          <w:szCs w:val="24"/>
        </w:rPr>
        <w:t>Caroline Chisholm Education Foundation, a legal trust and charity registered with the Australian Charities and Not-for-profit Commission</w:t>
      </w:r>
    </w:p>
    <w:p w:rsidR="00373CC7" w:rsidRDefault="00373CC7" w:rsidP="003D1751">
      <w:pPr>
        <w:pStyle w:val="NoSpacing"/>
        <w:rPr>
          <w:rFonts w:cstheme="minorHAnsi"/>
          <w:sz w:val="24"/>
          <w:szCs w:val="24"/>
        </w:rPr>
      </w:pPr>
    </w:p>
    <w:p w:rsidR="003D1751" w:rsidRPr="00373CC7" w:rsidRDefault="003D1751" w:rsidP="003D1751">
      <w:pPr>
        <w:pStyle w:val="NoSpacing"/>
        <w:rPr>
          <w:rFonts w:cstheme="minorHAnsi"/>
          <w:sz w:val="24"/>
          <w:szCs w:val="24"/>
        </w:rPr>
      </w:pPr>
      <w:r w:rsidRPr="00373CC7">
        <w:rPr>
          <w:rFonts w:cstheme="minorHAnsi"/>
          <w:sz w:val="24"/>
          <w:szCs w:val="24"/>
        </w:rPr>
        <w:t>Chisholm Academy Pty Ltd, an Australian company under the Corporations Act 2001</w:t>
      </w:r>
    </w:p>
    <w:p w:rsidR="003D1751" w:rsidRPr="00373CC7" w:rsidRDefault="003D1751" w:rsidP="003D1751">
      <w:pPr>
        <w:pStyle w:val="NoSpacing"/>
        <w:rPr>
          <w:rFonts w:cstheme="minorHAnsi"/>
          <w:sz w:val="24"/>
          <w:szCs w:val="24"/>
        </w:rPr>
      </w:pPr>
    </w:p>
    <w:p w:rsidR="003D1751" w:rsidRPr="00373CC7" w:rsidRDefault="003D1751" w:rsidP="006914D6">
      <w:pPr>
        <w:pStyle w:val="Heading3"/>
      </w:pPr>
      <w:r w:rsidRPr="00373CC7">
        <w:t>Directors of TAFE Online Pty Ltd (Chisholm Online)</w:t>
      </w:r>
    </w:p>
    <w:p w:rsidR="00174774" w:rsidRDefault="00174774"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Stephen Marks</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Chisholm Online Chair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Sandra Andersen</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Director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Mei Ling Doery</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Director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Maria Peters</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Managing Director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Grant Radford</w:t>
      </w:r>
    </w:p>
    <w:p w:rsidR="003D1751" w:rsidRPr="002D21F1" w:rsidRDefault="003D1751" w:rsidP="003D1751">
      <w:pPr>
        <w:pStyle w:val="NoSpacing"/>
        <w:rPr>
          <w:rFonts w:cstheme="minorHAnsi"/>
          <w:sz w:val="24"/>
          <w:szCs w:val="24"/>
        </w:rPr>
      </w:pPr>
      <w:r w:rsidRPr="002D21F1">
        <w:rPr>
          <w:rFonts w:cstheme="minorHAnsi"/>
          <w:sz w:val="24"/>
          <w:szCs w:val="24"/>
        </w:rPr>
        <w:t>Company Secretary</w:t>
      </w:r>
    </w:p>
    <w:p w:rsidR="003D1751" w:rsidRPr="002D21F1" w:rsidRDefault="003D1751" w:rsidP="003D1751">
      <w:pPr>
        <w:pStyle w:val="NoSpacing"/>
        <w:rPr>
          <w:rFonts w:cstheme="minorHAnsi"/>
          <w:sz w:val="24"/>
          <w:szCs w:val="24"/>
        </w:rPr>
      </w:pPr>
    </w:p>
    <w:p w:rsidR="003D1751" w:rsidRPr="00373CC7" w:rsidRDefault="003D1751" w:rsidP="006914D6">
      <w:pPr>
        <w:pStyle w:val="Heading3"/>
      </w:pPr>
      <w:r w:rsidRPr="00373CC7">
        <w:t xml:space="preserve">Trustees of Caroline Chisholm Education Foundation </w:t>
      </w:r>
    </w:p>
    <w:p w:rsidR="00174774" w:rsidRDefault="00174774"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David Willersdorf</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Chair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Virginia Simmons</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Chair (to 15 May)</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David Mann</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Chisholm Board</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Maria Peters</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Chisholm Institute CEO</w:t>
      </w:r>
    </w:p>
    <w:p w:rsidR="00373CC7" w:rsidRDefault="00373CC7"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lastRenderedPageBreak/>
        <w:t>Amanda Achterberg</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Executive Director (from 9 October)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Patricia Duong</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Chisholm Institute Staff Member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Nita Schultz</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Community Member (to 29 August)</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Greg Hunt</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Community Member (to 28 September)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Glen Kruger</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Community Member (to 28 September)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Anne Callahan</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Chisholm Institute Staff Member</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w:t>
      </w:r>
      <w:r w:rsidR="00443639">
        <w:rPr>
          <w:rFonts w:cstheme="minorHAnsi"/>
          <w:sz w:val="24"/>
          <w:szCs w:val="24"/>
        </w:rPr>
        <w:t>t</w:t>
      </w:r>
      <w:r w:rsidR="00443639" w:rsidRPr="002D21F1">
        <w:rPr>
          <w:rFonts w:cstheme="minorHAnsi"/>
          <w:sz w:val="24"/>
          <w:szCs w:val="24"/>
        </w:rPr>
        <w:t>o</w:t>
      </w:r>
      <w:r w:rsidRPr="002D21F1">
        <w:rPr>
          <w:rFonts w:cstheme="minorHAnsi"/>
          <w:sz w:val="24"/>
          <w:szCs w:val="24"/>
        </w:rPr>
        <w:t xml:space="preserve"> 16 October)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Ian Predl</w:t>
      </w:r>
    </w:p>
    <w:p w:rsidR="003D1751" w:rsidRPr="002D21F1" w:rsidRDefault="003D1751" w:rsidP="003D1751">
      <w:pPr>
        <w:pStyle w:val="NoSpacing"/>
        <w:rPr>
          <w:rFonts w:cstheme="minorHAnsi"/>
          <w:sz w:val="24"/>
          <w:szCs w:val="24"/>
        </w:rPr>
      </w:pPr>
      <w:r w:rsidRPr="002D21F1">
        <w:rPr>
          <w:rFonts w:cstheme="minorHAnsi"/>
          <w:sz w:val="24"/>
          <w:szCs w:val="24"/>
        </w:rPr>
        <w:t>Community Member (from 1 December)</w:t>
      </w:r>
    </w:p>
    <w:p w:rsidR="003D1751" w:rsidRPr="002D21F1" w:rsidRDefault="003D1751" w:rsidP="003D1751">
      <w:pPr>
        <w:pStyle w:val="NoSpacing"/>
        <w:rPr>
          <w:rFonts w:cstheme="minorHAnsi"/>
          <w:sz w:val="24"/>
          <w:szCs w:val="24"/>
        </w:rPr>
      </w:pPr>
    </w:p>
    <w:p w:rsidR="003D1751" w:rsidRPr="00373CC7" w:rsidRDefault="003D1751" w:rsidP="006914D6">
      <w:pPr>
        <w:pStyle w:val="Heading3"/>
      </w:pPr>
      <w:r w:rsidRPr="00373CC7">
        <w:t>Director of Chisholm Academy Pty Ltd</w:t>
      </w:r>
    </w:p>
    <w:p w:rsidR="00174774" w:rsidRDefault="00174774"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Maria Peters</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Managing Director (full year)</w:t>
      </w:r>
    </w:p>
    <w:p w:rsidR="003D1751" w:rsidRPr="002D21F1" w:rsidRDefault="003D1751" w:rsidP="003D1751">
      <w:pPr>
        <w:autoSpaceDE w:val="0"/>
        <w:autoSpaceDN w:val="0"/>
        <w:adjustRightInd w:val="0"/>
        <w:spacing w:after="0" w:line="240" w:lineRule="auto"/>
        <w:rPr>
          <w:rFonts w:cstheme="minorHAnsi"/>
          <w:bCs/>
          <w:sz w:val="24"/>
          <w:szCs w:val="24"/>
        </w:rPr>
      </w:pP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Grant Radford</w:t>
      </w:r>
    </w:p>
    <w:p w:rsidR="003D1751" w:rsidRPr="002D21F1" w:rsidRDefault="003D1751" w:rsidP="003D1751">
      <w:pPr>
        <w:pStyle w:val="NoSpacing"/>
        <w:rPr>
          <w:rFonts w:cstheme="minorHAnsi"/>
          <w:sz w:val="24"/>
          <w:szCs w:val="24"/>
        </w:rPr>
      </w:pPr>
      <w:r w:rsidRPr="002D21F1">
        <w:rPr>
          <w:rFonts w:cstheme="minorHAnsi"/>
          <w:sz w:val="24"/>
          <w:szCs w:val="24"/>
        </w:rPr>
        <w:t>Director (from 14 December)</w:t>
      </w:r>
    </w:p>
    <w:p w:rsidR="003D1751" w:rsidRPr="002D21F1" w:rsidRDefault="003D1751" w:rsidP="003D1751">
      <w:pPr>
        <w:pStyle w:val="NoSpacing"/>
        <w:rPr>
          <w:rFonts w:cstheme="minorHAnsi"/>
          <w:sz w:val="24"/>
          <w:szCs w:val="24"/>
        </w:rPr>
      </w:pPr>
    </w:p>
    <w:p w:rsidR="003D1751" w:rsidRPr="002D21F1" w:rsidRDefault="003D1751" w:rsidP="003D1751">
      <w:pPr>
        <w:pStyle w:val="NoSpacing"/>
        <w:rPr>
          <w:rFonts w:cstheme="minorHAnsi"/>
          <w:sz w:val="24"/>
          <w:szCs w:val="24"/>
        </w:rPr>
      </w:pPr>
      <w:r w:rsidRPr="002D21F1">
        <w:rPr>
          <w:rFonts w:cstheme="minorHAnsi"/>
          <w:sz w:val="24"/>
          <w:szCs w:val="24"/>
        </w:rPr>
        <w:t>&lt;pp&gt;</w:t>
      </w:r>
      <w:r w:rsidR="007829BB" w:rsidRPr="002D21F1">
        <w:rPr>
          <w:rFonts w:cstheme="minorHAnsi"/>
          <w:sz w:val="24"/>
          <w:szCs w:val="24"/>
        </w:rPr>
        <w:t>36</w:t>
      </w:r>
    </w:p>
    <w:p w:rsidR="003D1751" w:rsidRPr="002D21F1" w:rsidRDefault="003D1751" w:rsidP="003D1751">
      <w:pPr>
        <w:pStyle w:val="NoSpacing"/>
        <w:rPr>
          <w:rFonts w:cstheme="minorHAnsi"/>
          <w:sz w:val="24"/>
          <w:szCs w:val="24"/>
        </w:rPr>
      </w:pPr>
    </w:p>
    <w:p w:rsidR="003D1751" w:rsidRPr="002D21F1" w:rsidRDefault="003D1751" w:rsidP="006914D6">
      <w:pPr>
        <w:pStyle w:val="Heading2"/>
      </w:pPr>
      <w:r w:rsidRPr="002D21F1">
        <w:t xml:space="preserve">Attestations </w:t>
      </w:r>
    </w:p>
    <w:p w:rsidR="003D1751" w:rsidRPr="002D21F1" w:rsidRDefault="003D1751" w:rsidP="003D1751">
      <w:pPr>
        <w:pStyle w:val="NoSpacing"/>
        <w:rPr>
          <w:rFonts w:cstheme="minorHAnsi"/>
          <w:sz w:val="24"/>
          <w:szCs w:val="24"/>
        </w:rPr>
      </w:pP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The transitional arrangements in relation to the 2016 Standing Directions issued by the Minister for Finance require two attestations in Chisholm’s 2017 annual report.</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I, Stephen G Marks, on behalf of the Responsible Body, certify that for the period 1 January 2017 to 30 June 2017, Chisholm Institute has complied with Ministerial Standing Direction 3.7.1 – Risk management framework and processes.</w:t>
      </w:r>
    </w:p>
    <w:p w:rsidR="003D1751" w:rsidRPr="002D21F1" w:rsidRDefault="003D1751" w:rsidP="003D1751">
      <w:pPr>
        <w:pStyle w:val="NoSpacing"/>
        <w:rPr>
          <w:rFonts w:cstheme="minorHAnsi"/>
          <w:sz w:val="24"/>
          <w:szCs w:val="24"/>
        </w:rPr>
      </w:pP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STEPHEN G MARKS</w:t>
      </w: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Board Chair</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Date: 28 February 2018</w:t>
      </w:r>
    </w:p>
    <w:p w:rsidR="003D1751" w:rsidRPr="002D21F1" w:rsidRDefault="003D1751" w:rsidP="003D1751">
      <w:pPr>
        <w:pStyle w:val="NoSpacing"/>
        <w:rPr>
          <w:rFonts w:cstheme="minorHAnsi"/>
          <w:sz w:val="24"/>
          <w:szCs w:val="24"/>
        </w:rPr>
      </w:pPr>
      <w:r w:rsidRPr="002D21F1">
        <w:rPr>
          <w:rFonts w:cstheme="minorHAnsi"/>
          <w:sz w:val="24"/>
          <w:szCs w:val="24"/>
        </w:rPr>
        <w:t>Place: Dandenong</w:t>
      </w:r>
    </w:p>
    <w:p w:rsidR="003D1751" w:rsidRPr="002D21F1" w:rsidRDefault="003D1751" w:rsidP="003D1751">
      <w:pPr>
        <w:pStyle w:val="NoSpacing"/>
        <w:rPr>
          <w:rFonts w:cstheme="minorHAnsi"/>
          <w:sz w:val="24"/>
          <w:szCs w:val="24"/>
        </w:rPr>
      </w:pP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 xml:space="preserve">I, Stephen G Marks, on behalf of the Responsible Body, certify that for the period 1 July 2017 to 31 December 2017, Chisholm Institute has complied with the applicable Standing </w:t>
      </w:r>
      <w:r w:rsidRPr="002D21F1">
        <w:rPr>
          <w:rFonts w:cstheme="minorHAnsi"/>
          <w:sz w:val="24"/>
          <w:szCs w:val="24"/>
        </w:rPr>
        <w:lastRenderedPageBreak/>
        <w:t>Directions of the Minister of Finance under the Financial Management Act 1994 and Instructions.</w:t>
      </w:r>
    </w:p>
    <w:p w:rsidR="003D1751" w:rsidRPr="002D21F1" w:rsidRDefault="003D1751" w:rsidP="003D1751">
      <w:pPr>
        <w:pStyle w:val="NoSpacing"/>
        <w:rPr>
          <w:rFonts w:cstheme="minorHAnsi"/>
          <w:sz w:val="24"/>
          <w:szCs w:val="24"/>
        </w:rPr>
      </w:pP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STEPHEN G MARKS</w:t>
      </w:r>
    </w:p>
    <w:p w:rsidR="003D1751" w:rsidRPr="002D21F1" w:rsidRDefault="003D1751" w:rsidP="003D1751">
      <w:pPr>
        <w:autoSpaceDE w:val="0"/>
        <w:autoSpaceDN w:val="0"/>
        <w:adjustRightInd w:val="0"/>
        <w:spacing w:after="0" w:line="240" w:lineRule="auto"/>
        <w:rPr>
          <w:rFonts w:cstheme="minorHAnsi"/>
          <w:bCs/>
          <w:sz w:val="24"/>
          <w:szCs w:val="24"/>
        </w:rPr>
      </w:pPr>
      <w:r w:rsidRPr="002D21F1">
        <w:rPr>
          <w:rFonts w:cstheme="minorHAnsi"/>
          <w:bCs/>
          <w:sz w:val="24"/>
          <w:szCs w:val="24"/>
        </w:rPr>
        <w:t>Board Chair</w:t>
      </w:r>
    </w:p>
    <w:p w:rsidR="003D1751" w:rsidRPr="002D21F1" w:rsidRDefault="003D1751" w:rsidP="003D1751">
      <w:pPr>
        <w:autoSpaceDE w:val="0"/>
        <w:autoSpaceDN w:val="0"/>
        <w:adjustRightInd w:val="0"/>
        <w:spacing w:after="0" w:line="240" w:lineRule="auto"/>
        <w:rPr>
          <w:rFonts w:cstheme="minorHAnsi"/>
          <w:sz w:val="24"/>
          <w:szCs w:val="24"/>
        </w:rPr>
      </w:pPr>
      <w:r w:rsidRPr="002D21F1">
        <w:rPr>
          <w:rFonts w:cstheme="minorHAnsi"/>
          <w:sz w:val="24"/>
          <w:szCs w:val="24"/>
        </w:rPr>
        <w:t>Date: 28 February 2018</w:t>
      </w:r>
    </w:p>
    <w:p w:rsidR="003D1751" w:rsidRPr="002D21F1" w:rsidRDefault="003D1751" w:rsidP="003D1751">
      <w:pPr>
        <w:pStyle w:val="NoSpacing"/>
        <w:rPr>
          <w:rFonts w:cstheme="minorHAnsi"/>
          <w:sz w:val="24"/>
          <w:szCs w:val="24"/>
        </w:rPr>
      </w:pPr>
      <w:r w:rsidRPr="002D21F1">
        <w:rPr>
          <w:rFonts w:cstheme="minorHAnsi"/>
          <w:sz w:val="24"/>
          <w:szCs w:val="24"/>
        </w:rPr>
        <w:t>Place: Dandenong</w:t>
      </w:r>
    </w:p>
    <w:p w:rsidR="003D1751" w:rsidRPr="002D21F1" w:rsidRDefault="003D1751" w:rsidP="003D1751">
      <w:pPr>
        <w:pStyle w:val="NoSpacing"/>
        <w:rPr>
          <w:rFonts w:cstheme="minorHAnsi"/>
          <w:sz w:val="24"/>
          <w:szCs w:val="24"/>
        </w:rPr>
      </w:pPr>
    </w:p>
    <w:p w:rsidR="003D1751" w:rsidRPr="002D21F1" w:rsidRDefault="003D1751" w:rsidP="003D1751">
      <w:pPr>
        <w:pStyle w:val="NoSpacing"/>
        <w:rPr>
          <w:rFonts w:cstheme="minorHAnsi"/>
          <w:sz w:val="24"/>
          <w:szCs w:val="24"/>
        </w:rPr>
      </w:pPr>
      <w:r w:rsidRPr="002D21F1">
        <w:rPr>
          <w:rFonts w:cstheme="minorHAnsi"/>
          <w:sz w:val="24"/>
          <w:szCs w:val="24"/>
        </w:rPr>
        <w:t>&lt;pp&gt;</w:t>
      </w:r>
      <w:r w:rsidR="007829BB" w:rsidRPr="002D21F1">
        <w:rPr>
          <w:rFonts w:cstheme="minorHAnsi"/>
          <w:sz w:val="24"/>
          <w:szCs w:val="24"/>
        </w:rPr>
        <w:t>37</w:t>
      </w:r>
    </w:p>
    <w:p w:rsidR="003D1751" w:rsidRPr="002D21F1" w:rsidRDefault="003D1751" w:rsidP="003D1751">
      <w:pPr>
        <w:pStyle w:val="NoSpacing"/>
        <w:rPr>
          <w:rFonts w:cstheme="minorHAnsi"/>
          <w:sz w:val="24"/>
          <w:szCs w:val="24"/>
        </w:rPr>
      </w:pPr>
    </w:p>
    <w:p w:rsidR="003D1751" w:rsidRPr="002D21F1" w:rsidRDefault="003D1751" w:rsidP="006914D6">
      <w:pPr>
        <w:pStyle w:val="Heading2"/>
      </w:pPr>
      <w:r w:rsidRPr="002D21F1">
        <w:t xml:space="preserve">Consolidated Financial Statements </w:t>
      </w:r>
    </w:p>
    <w:p w:rsidR="00174774" w:rsidRDefault="00174774" w:rsidP="003D1751">
      <w:pPr>
        <w:pStyle w:val="NoSpacing"/>
        <w:rPr>
          <w:rFonts w:cstheme="minorHAnsi"/>
          <w:sz w:val="24"/>
          <w:szCs w:val="24"/>
        </w:rPr>
      </w:pPr>
    </w:p>
    <w:p w:rsidR="003D1751" w:rsidRPr="002D21F1" w:rsidRDefault="003D1751" w:rsidP="003D1751">
      <w:pPr>
        <w:pStyle w:val="NoSpacing"/>
        <w:rPr>
          <w:rFonts w:cstheme="minorHAnsi"/>
          <w:sz w:val="24"/>
          <w:szCs w:val="24"/>
        </w:rPr>
      </w:pPr>
      <w:r w:rsidRPr="002D21F1">
        <w:rPr>
          <w:rFonts w:cstheme="minorHAnsi"/>
          <w:sz w:val="24"/>
          <w:szCs w:val="24"/>
        </w:rPr>
        <w:t>For the year ending 31 December 2017</w:t>
      </w:r>
    </w:p>
    <w:p w:rsidR="003D1751" w:rsidRPr="002D21F1" w:rsidRDefault="003D1751" w:rsidP="003D1751">
      <w:pPr>
        <w:pStyle w:val="NoSpacing"/>
        <w:rPr>
          <w:rFonts w:cstheme="minorHAnsi"/>
          <w:sz w:val="24"/>
          <w:szCs w:val="24"/>
        </w:rPr>
      </w:pPr>
    </w:p>
    <w:p w:rsidR="003D1751" w:rsidRDefault="003D1751" w:rsidP="003D1751">
      <w:pPr>
        <w:pStyle w:val="NoSpacing"/>
        <w:rPr>
          <w:rFonts w:cstheme="minorHAnsi"/>
          <w:sz w:val="24"/>
          <w:szCs w:val="24"/>
        </w:rPr>
      </w:pPr>
      <w:r w:rsidRPr="002D21F1">
        <w:rPr>
          <w:rFonts w:cstheme="minorHAnsi"/>
          <w:sz w:val="24"/>
          <w:szCs w:val="24"/>
        </w:rPr>
        <w:t>&lt;pp&gt;</w:t>
      </w:r>
      <w:r w:rsidR="007829BB" w:rsidRPr="002D21F1">
        <w:rPr>
          <w:rFonts w:cstheme="minorHAnsi"/>
          <w:sz w:val="24"/>
          <w:szCs w:val="24"/>
        </w:rPr>
        <w:t>38</w:t>
      </w:r>
    </w:p>
    <w:p w:rsidR="00373CC7" w:rsidRDefault="00373CC7" w:rsidP="003D1751">
      <w:pPr>
        <w:pStyle w:val="NoSpacing"/>
        <w:rPr>
          <w:rFonts w:cstheme="minorHAnsi"/>
          <w:sz w:val="24"/>
          <w:szCs w:val="24"/>
        </w:rPr>
      </w:pPr>
    </w:p>
    <w:p w:rsidR="00373CC7" w:rsidRDefault="00373CC7" w:rsidP="006914D6">
      <w:pPr>
        <w:pStyle w:val="Heading2"/>
      </w:pPr>
      <w:r>
        <w:t>VAGO INDEPENDENT AUDITOR’S REPORT</w:t>
      </w:r>
    </w:p>
    <w:p w:rsidR="00373CC7" w:rsidRDefault="00373CC7" w:rsidP="003D1751">
      <w:pPr>
        <w:pStyle w:val="NoSpacing"/>
        <w:rPr>
          <w:rFonts w:cstheme="minorHAnsi"/>
          <w:sz w:val="24"/>
          <w:szCs w:val="24"/>
        </w:rPr>
      </w:pPr>
      <w:r>
        <w:rPr>
          <w:rFonts w:cstheme="minorHAnsi"/>
          <w:sz w:val="24"/>
          <w:szCs w:val="24"/>
        </w:rPr>
        <w:t>Independent Auditor’s Report</w:t>
      </w:r>
    </w:p>
    <w:p w:rsidR="00373CC7" w:rsidRDefault="00373CC7" w:rsidP="003D1751">
      <w:pPr>
        <w:pStyle w:val="NoSpacing"/>
        <w:rPr>
          <w:rFonts w:cstheme="minorHAnsi"/>
          <w:sz w:val="24"/>
          <w:szCs w:val="24"/>
        </w:rPr>
      </w:pPr>
      <w:r>
        <w:rPr>
          <w:rFonts w:cstheme="minorHAnsi"/>
          <w:sz w:val="24"/>
          <w:szCs w:val="24"/>
        </w:rPr>
        <w:t>To the Board of the Chisholm Institute</w:t>
      </w:r>
    </w:p>
    <w:p w:rsidR="00373CC7" w:rsidRDefault="00373CC7" w:rsidP="003D1751">
      <w:pPr>
        <w:pStyle w:val="NoSpacing"/>
        <w:rPr>
          <w:rFonts w:cstheme="minorHAnsi"/>
          <w:sz w:val="24"/>
          <w:szCs w:val="24"/>
        </w:rPr>
      </w:pPr>
    </w:p>
    <w:p w:rsidR="00373CC7" w:rsidRPr="00C25308" w:rsidRDefault="00373CC7" w:rsidP="006914D6">
      <w:pPr>
        <w:pStyle w:val="Heading3"/>
      </w:pPr>
      <w:r w:rsidRPr="00C25308">
        <w:t>Opinion</w:t>
      </w:r>
    </w:p>
    <w:p w:rsidR="00373CC7" w:rsidRDefault="00373CC7" w:rsidP="003D1751">
      <w:pPr>
        <w:pStyle w:val="NoSpacing"/>
        <w:rPr>
          <w:rFonts w:cstheme="minorHAnsi"/>
          <w:sz w:val="24"/>
          <w:szCs w:val="24"/>
        </w:rPr>
      </w:pPr>
      <w:r>
        <w:rPr>
          <w:rFonts w:cstheme="minorHAnsi"/>
          <w:sz w:val="24"/>
          <w:szCs w:val="24"/>
        </w:rPr>
        <w:t>I have audited the consolidated financial report of the Chisholm Institute (the institute) and its controlled entities (together the consolidated entity), which comprises the:</w:t>
      </w:r>
    </w:p>
    <w:p w:rsidR="00373CC7" w:rsidRDefault="00373CC7" w:rsidP="00373CC7">
      <w:pPr>
        <w:pStyle w:val="NoSpacing"/>
        <w:numPr>
          <w:ilvl w:val="0"/>
          <w:numId w:val="7"/>
        </w:numPr>
        <w:rPr>
          <w:rFonts w:cstheme="minorHAnsi"/>
          <w:sz w:val="24"/>
          <w:szCs w:val="24"/>
        </w:rPr>
      </w:pPr>
      <w:r>
        <w:rPr>
          <w:rFonts w:cstheme="minorHAnsi"/>
          <w:sz w:val="24"/>
          <w:szCs w:val="24"/>
        </w:rPr>
        <w:t>Consolidated entity and institute balance sheet as at 31 December 2017</w:t>
      </w:r>
    </w:p>
    <w:p w:rsidR="00373CC7" w:rsidRDefault="00373CC7" w:rsidP="00373CC7">
      <w:pPr>
        <w:pStyle w:val="NoSpacing"/>
        <w:numPr>
          <w:ilvl w:val="0"/>
          <w:numId w:val="7"/>
        </w:numPr>
        <w:rPr>
          <w:rFonts w:cstheme="minorHAnsi"/>
          <w:sz w:val="24"/>
          <w:szCs w:val="24"/>
        </w:rPr>
      </w:pPr>
      <w:r>
        <w:rPr>
          <w:rFonts w:cstheme="minorHAnsi"/>
          <w:sz w:val="24"/>
          <w:szCs w:val="24"/>
        </w:rPr>
        <w:t>Consolidated entity and institute comprehensive operating statement for the year then ended</w:t>
      </w:r>
    </w:p>
    <w:p w:rsidR="00373CC7" w:rsidRDefault="00373CC7" w:rsidP="00373CC7">
      <w:pPr>
        <w:pStyle w:val="NoSpacing"/>
        <w:numPr>
          <w:ilvl w:val="0"/>
          <w:numId w:val="7"/>
        </w:numPr>
        <w:rPr>
          <w:rFonts w:cstheme="minorHAnsi"/>
          <w:sz w:val="24"/>
          <w:szCs w:val="24"/>
        </w:rPr>
      </w:pPr>
      <w:r>
        <w:rPr>
          <w:rFonts w:cstheme="minorHAnsi"/>
          <w:sz w:val="24"/>
          <w:szCs w:val="24"/>
        </w:rPr>
        <w:t>Consolidated entity and institute statement of changes in equity for the year them ended</w:t>
      </w:r>
    </w:p>
    <w:p w:rsidR="00373CC7" w:rsidRDefault="00373CC7" w:rsidP="00373CC7">
      <w:pPr>
        <w:pStyle w:val="NoSpacing"/>
        <w:numPr>
          <w:ilvl w:val="0"/>
          <w:numId w:val="7"/>
        </w:numPr>
        <w:rPr>
          <w:rFonts w:cstheme="minorHAnsi"/>
          <w:sz w:val="24"/>
          <w:szCs w:val="24"/>
        </w:rPr>
      </w:pPr>
      <w:r>
        <w:rPr>
          <w:rFonts w:cstheme="minorHAnsi"/>
          <w:sz w:val="24"/>
          <w:szCs w:val="24"/>
        </w:rPr>
        <w:t>Consolidated entity and institute cash flow statement for the year ended</w:t>
      </w:r>
    </w:p>
    <w:p w:rsidR="00373CC7" w:rsidRDefault="00373CC7" w:rsidP="00373CC7">
      <w:pPr>
        <w:pStyle w:val="NoSpacing"/>
        <w:numPr>
          <w:ilvl w:val="0"/>
          <w:numId w:val="7"/>
        </w:numPr>
        <w:rPr>
          <w:rFonts w:cstheme="minorHAnsi"/>
          <w:sz w:val="24"/>
          <w:szCs w:val="24"/>
        </w:rPr>
      </w:pPr>
      <w:r>
        <w:rPr>
          <w:rFonts w:cstheme="minorHAnsi"/>
          <w:sz w:val="24"/>
          <w:szCs w:val="24"/>
        </w:rPr>
        <w:t>Notes to the financial statements, including a summary of significant accounting policies</w:t>
      </w:r>
    </w:p>
    <w:p w:rsidR="003132AC" w:rsidRDefault="003132AC" w:rsidP="00373CC7">
      <w:pPr>
        <w:pStyle w:val="NoSpacing"/>
        <w:numPr>
          <w:ilvl w:val="0"/>
          <w:numId w:val="7"/>
        </w:numPr>
        <w:rPr>
          <w:rFonts w:cstheme="minorHAnsi"/>
          <w:sz w:val="24"/>
          <w:szCs w:val="24"/>
        </w:rPr>
      </w:pPr>
      <w:r>
        <w:rPr>
          <w:rFonts w:cstheme="minorHAnsi"/>
          <w:sz w:val="24"/>
          <w:szCs w:val="24"/>
        </w:rPr>
        <w:t>Declaration by the President of the Board, Chief Executive Officer and Chief Finance Officer.</w:t>
      </w:r>
    </w:p>
    <w:p w:rsidR="003132AC" w:rsidRDefault="003132AC" w:rsidP="003132AC">
      <w:pPr>
        <w:pStyle w:val="NoSpacing"/>
        <w:rPr>
          <w:rFonts w:cstheme="minorHAnsi"/>
          <w:sz w:val="24"/>
          <w:szCs w:val="24"/>
        </w:rPr>
      </w:pPr>
      <w:r>
        <w:rPr>
          <w:rFonts w:cstheme="minorHAnsi"/>
          <w:sz w:val="24"/>
          <w:szCs w:val="24"/>
        </w:rPr>
        <w:t>In my opinion, the financial report presents fairly, in all material respects, the financial positions of the consolidated entity and the institute as at 31 December 2017 and their financial performance and cash flows for the year then ended in accordance with the financial reporting requirements of Part 7 of the Financial Management Act 1994 and applicable Australian Accounting Standards.</w:t>
      </w:r>
    </w:p>
    <w:p w:rsidR="003132AC" w:rsidRDefault="003132AC" w:rsidP="003132AC">
      <w:pPr>
        <w:pStyle w:val="NoSpacing"/>
        <w:rPr>
          <w:rFonts w:cstheme="minorHAnsi"/>
          <w:sz w:val="24"/>
          <w:szCs w:val="24"/>
        </w:rPr>
      </w:pPr>
    </w:p>
    <w:p w:rsidR="003132AC" w:rsidRPr="00C25308" w:rsidRDefault="003132AC" w:rsidP="006914D6">
      <w:pPr>
        <w:pStyle w:val="Heading3"/>
      </w:pPr>
      <w:r w:rsidRPr="00C25308">
        <w:t>Basis for Opinion</w:t>
      </w:r>
    </w:p>
    <w:p w:rsidR="003132AC" w:rsidRDefault="003132AC" w:rsidP="003132AC">
      <w:pPr>
        <w:pStyle w:val="NoSpacing"/>
        <w:rPr>
          <w:rFonts w:cstheme="minorHAnsi"/>
          <w:sz w:val="24"/>
          <w:szCs w:val="24"/>
        </w:rPr>
      </w:pPr>
      <w:r>
        <w:rPr>
          <w:rFonts w:cstheme="minorHAnsi"/>
          <w:sz w:val="24"/>
          <w:szCs w:val="24"/>
        </w:rPr>
        <w:t>I have conducted my audit in accordance with the Audit Act 1994 which incorporates the Australian Auditing Standards. My responsibilities under that Act and those standards are further described in the Auditor’s Responsibilities for the Audit of the Financial Report section of my report.</w:t>
      </w:r>
    </w:p>
    <w:p w:rsidR="003132AC" w:rsidRDefault="003132AC" w:rsidP="003132AC">
      <w:pPr>
        <w:pStyle w:val="NoSpacing"/>
        <w:rPr>
          <w:rFonts w:cstheme="minorHAnsi"/>
          <w:sz w:val="24"/>
          <w:szCs w:val="24"/>
        </w:rPr>
      </w:pPr>
      <w:r>
        <w:rPr>
          <w:rFonts w:cstheme="minorHAnsi"/>
          <w:sz w:val="24"/>
          <w:szCs w:val="24"/>
        </w:rPr>
        <w:t xml:space="preserve">My independence is established by the Constitution Act 1975. My staff and I are independent of the institute and the consolidated entity in accordance with the ethical </w:t>
      </w:r>
      <w:r>
        <w:rPr>
          <w:rFonts w:cstheme="minorHAnsi"/>
          <w:sz w:val="24"/>
          <w:szCs w:val="24"/>
        </w:rPr>
        <w:lastRenderedPageBreak/>
        <w:t>requirements of the Accounting Professional and Ethical Standards Board’s APES 110 Code of Ethics for Professional Accountants (the Code) that are relevant to my audit of the financial report in Australia. My staff and I have also fulfilled our other ethical responsibilities in accordance with the Code.</w:t>
      </w:r>
    </w:p>
    <w:p w:rsidR="003132AC" w:rsidRDefault="003132AC" w:rsidP="003132AC">
      <w:pPr>
        <w:pStyle w:val="NoSpacing"/>
        <w:rPr>
          <w:rFonts w:cstheme="minorHAnsi"/>
          <w:sz w:val="24"/>
          <w:szCs w:val="24"/>
        </w:rPr>
      </w:pPr>
      <w:r>
        <w:rPr>
          <w:rFonts w:cstheme="minorHAnsi"/>
          <w:sz w:val="24"/>
          <w:szCs w:val="24"/>
        </w:rPr>
        <w:t>I believe that the audit evidence I have obtained is sufficient and appropriate to provide a basis for my opinion.</w:t>
      </w:r>
    </w:p>
    <w:p w:rsidR="003132AC" w:rsidRDefault="003132AC" w:rsidP="003132AC">
      <w:pPr>
        <w:pStyle w:val="NoSpacing"/>
        <w:rPr>
          <w:rFonts w:cstheme="minorHAnsi"/>
          <w:sz w:val="24"/>
          <w:szCs w:val="24"/>
        </w:rPr>
      </w:pPr>
    </w:p>
    <w:p w:rsidR="003132AC" w:rsidRPr="00C25308" w:rsidRDefault="003132AC" w:rsidP="006914D6">
      <w:pPr>
        <w:pStyle w:val="Heading3"/>
      </w:pPr>
      <w:r w:rsidRPr="00C25308">
        <w:t>Board’s responsibilities for the financial report</w:t>
      </w:r>
    </w:p>
    <w:p w:rsidR="003132AC" w:rsidRDefault="003132AC" w:rsidP="003132AC">
      <w:pPr>
        <w:pStyle w:val="NoSpacing"/>
        <w:rPr>
          <w:rFonts w:cstheme="minorHAnsi"/>
          <w:sz w:val="24"/>
          <w:szCs w:val="24"/>
        </w:rPr>
      </w:pPr>
      <w:r>
        <w:rPr>
          <w:rFonts w:cstheme="minorHAnsi"/>
          <w:sz w:val="24"/>
          <w:szCs w:val="24"/>
        </w:rPr>
        <w:t>The Board of the institute is responsible for the preparation and fair presentation for the financial report in accordance with Australian Accounting Standards and the Financial Management Act 1994</w:t>
      </w:r>
      <w:r w:rsidR="00C25308">
        <w:rPr>
          <w:rFonts w:cstheme="minorHAnsi"/>
          <w:sz w:val="24"/>
          <w:szCs w:val="24"/>
        </w:rPr>
        <w:t>, and for such internal control as the Board determines is necessary to enable the preparation and fair presentation of a financial report that is free from material misstatement, whether due to fraud or error.</w:t>
      </w:r>
    </w:p>
    <w:p w:rsidR="00C25308" w:rsidRDefault="00C25308" w:rsidP="003132AC">
      <w:pPr>
        <w:pStyle w:val="NoSpacing"/>
        <w:rPr>
          <w:rFonts w:cstheme="minorHAnsi"/>
          <w:sz w:val="24"/>
          <w:szCs w:val="24"/>
        </w:rPr>
      </w:pPr>
      <w:r>
        <w:rPr>
          <w:rFonts w:cstheme="minorHAnsi"/>
          <w:sz w:val="24"/>
          <w:szCs w:val="24"/>
        </w:rPr>
        <w:t xml:space="preserve">In preparing the financial report, the Board is responsible for assessing the institute and the consolidated entity’s ability to continue as a going concern, disclosing, as applicable, matters related to going concern and using the going concern basis of accounting unless it is inappropriate to do so. </w:t>
      </w:r>
    </w:p>
    <w:p w:rsidR="00C25308" w:rsidRDefault="00C25308" w:rsidP="003132AC">
      <w:pPr>
        <w:pStyle w:val="NoSpacing"/>
        <w:rPr>
          <w:rFonts w:cstheme="minorHAnsi"/>
          <w:sz w:val="24"/>
          <w:szCs w:val="24"/>
        </w:rPr>
      </w:pPr>
    </w:p>
    <w:p w:rsidR="00D02C09" w:rsidRDefault="00D02C09" w:rsidP="003132AC">
      <w:pPr>
        <w:pStyle w:val="NoSpacing"/>
        <w:rPr>
          <w:rFonts w:cstheme="minorHAnsi"/>
          <w:sz w:val="24"/>
          <w:szCs w:val="24"/>
        </w:rPr>
      </w:pPr>
      <w:r>
        <w:rPr>
          <w:rFonts w:cstheme="minorHAnsi"/>
          <w:sz w:val="24"/>
          <w:szCs w:val="24"/>
        </w:rPr>
        <w:t>&lt;pp&gt;39</w:t>
      </w:r>
    </w:p>
    <w:p w:rsidR="00D02C09" w:rsidRDefault="00D02C09" w:rsidP="003132AC">
      <w:pPr>
        <w:pStyle w:val="NoSpacing"/>
        <w:rPr>
          <w:rFonts w:cstheme="minorHAnsi"/>
          <w:sz w:val="24"/>
          <w:szCs w:val="24"/>
        </w:rPr>
      </w:pPr>
    </w:p>
    <w:p w:rsidR="00C25308" w:rsidRPr="007278E0" w:rsidRDefault="00C25308" w:rsidP="006914D6">
      <w:pPr>
        <w:pStyle w:val="Heading3"/>
      </w:pPr>
      <w:r w:rsidRPr="007278E0">
        <w:t>Auditor’s responsibilities for the audit of the financial report</w:t>
      </w:r>
    </w:p>
    <w:p w:rsidR="00765CBC" w:rsidRDefault="00C25308" w:rsidP="003132AC">
      <w:pPr>
        <w:pStyle w:val="NoSpacing"/>
        <w:rPr>
          <w:rFonts w:cstheme="minorHAnsi"/>
          <w:sz w:val="24"/>
          <w:szCs w:val="24"/>
        </w:rPr>
      </w:pPr>
      <w:r>
        <w:rPr>
          <w:rFonts w:cstheme="minorHAnsi"/>
          <w:sz w:val="24"/>
          <w:szCs w:val="24"/>
        </w:rPr>
        <w:t>As required by the Audit Act 1994, my responsibility is to express an opinion on the financial report based on the audit. My objectives for the audit are to obtain reasonable assurance about whether the financial report as a whole is free from material misstatement, whether due to fraud or error, and to issue and auditor’s report that includes my opinion. Reasonable assurance is a high level of assurance, but is not a guarantee that an audit conducted in accordance with the Australian Auditing Standards will always detect a material misstatement when it exists.</w:t>
      </w:r>
      <w:r w:rsidR="00765CBC">
        <w:rPr>
          <w:rFonts w:cstheme="minorHAnsi"/>
          <w:sz w:val="24"/>
          <w:szCs w:val="24"/>
        </w:rPr>
        <w:t xml:space="preserve"> Misstatements can arise from fraud or error and are considered material if, individually or in the aggregate, they could reasonably be expected to influence the economic decisions of users taken on the basis of this financial report.</w:t>
      </w:r>
    </w:p>
    <w:p w:rsidR="00C25308" w:rsidRDefault="00765CBC" w:rsidP="003132AC">
      <w:pPr>
        <w:pStyle w:val="NoSpacing"/>
        <w:rPr>
          <w:rFonts w:cstheme="minorHAnsi"/>
          <w:sz w:val="24"/>
          <w:szCs w:val="24"/>
        </w:rPr>
      </w:pPr>
      <w:r>
        <w:rPr>
          <w:rFonts w:cstheme="minorHAnsi"/>
          <w:sz w:val="24"/>
          <w:szCs w:val="24"/>
        </w:rPr>
        <w:t>As part of an audit in accordance with the Australian Auditing Standards, I exercise professional judgement and maintain professional scepticism throughout the audit. I also:</w:t>
      </w:r>
    </w:p>
    <w:p w:rsidR="007278E0" w:rsidRDefault="00952E28" w:rsidP="00952E28">
      <w:pPr>
        <w:pStyle w:val="ListParagraph"/>
        <w:numPr>
          <w:ilvl w:val="0"/>
          <w:numId w:val="9"/>
        </w:numPr>
        <w:rPr>
          <w:rFonts w:asciiTheme="minorHAnsi" w:hAnsiTheme="minorHAnsi" w:cstheme="minorHAnsi"/>
        </w:rPr>
      </w:pPr>
      <w:r w:rsidRPr="00952E28">
        <w:rPr>
          <w:rFonts w:asciiTheme="minorHAnsi" w:hAnsiTheme="minorHAnsi" w:cstheme="minorHAnsi"/>
        </w:rPr>
        <w:t>Identify and assess the risks of material misstatement of the financial report, whether due to 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952E28" w:rsidRDefault="00952E28" w:rsidP="00952E28">
      <w:pPr>
        <w:pStyle w:val="ListParagraph"/>
        <w:numPr>
          <w:ilvl w:val="0"/>
          <w:numId w:val="9"/>
        </w:numPr>
        <w:rPr>
          <w:rFonts w:asciiTheme="minorHAnsi" w:hAnsiTheme="minorHAnsi" w:cstheme="minorHAnsi"/>
        </w:rPr>
      </w:pPr>
      <w:r>
        <w:rPr>
          <w:rFonts w:asciiTheme="minorHAnsi" w:hAnsiTheme="minorHAnsi" w:cstheme="minorHAnsi"/>
        </w:rPr>
        <w:t>O</w:t>
      </w:r>
      <w:r w:rsidRPr="00952E28">
        <w:rPr>
          <w:rFonts w:asciiTheme="minorHAnsi" w:hAnsiTheme="minorHAnsi" w:cstheme="minorHAnsi"/>
        </w:rPr>
        <w:t>btain an understanding of internal control relevant to the audit in order to design audit procedures that are appropriate in the circumstances, but not for the purpose of expressing an opinion on the effectiveness of the institute and the consolidated entity’s internal control</w:t>
      </w:r>
    </w:p>
    <w:p w:rsidR="00952E28" w:rsidRPr="00860606" w:rsidRDefault="00952E28" w:rsidP="00952E28">
      <w:pPr>
        <w:pStyle w:val="ListParagraph"/>
        <w:numPr>
          <w:ilvl w:val="0"/>
          <w:numId w:val="9"/>
        </w:numPr>
        <w:rPr>
          <w:rFonts w:asciiTheme="minorHAnsi" w:hAnsiTheme="minorHAnsi" w:cstheme="minorHAnsi"/>
        </w:rPr>
      </w:pPr>
      <w:r w:rsidRPr="00860606">
        <w:rPr>
          <w:rFonts w:asciiTheme="minorHAnsi" w:hAnsiTheme="minorHAnsi" w:cstheme="minorHAnsi"/>
        </w:rPr>
        <w:t>Evaluate the appropriateness of accounting policies used and the reasonableness of accounting estimates and related disclosures made by the Board</w:t>
      </w:r>
    </w:p>
    <w:p w:rsidR="007278E0" w:rsidRPr="00860606" w:rsidRDefault="00952E28" w:rsidP="00952E28">
      <w:pPr>
        <w:pStyle w:val="NoSpacing"/>
        <w:numPr>
          <w:ilvl w:val="0"/>
          <w:numId w:val="9"/>
        </w:numPr>
        <w:rPr>
          <w:sz w:val="24"/>
          <w:szCs w:val="24"/>
        </w:rPr>
      </w:pPr>
      <w:r w:rsidRPr="00860606">
        <w:rPr>
          <w:sz w:val="24"/>
          <w:szCs w:val="24"/>
        </w:rPr>
        <w:lastRenderedPageBreak/>
        <w:t>Conclude on the appropriateness of the Board's use of the going concern basis of accounting and, based on the audit evidence obtained, whether a material uncertainty exists related to events or conditions that may cast significant doubt on the institute and the consolidated entity’s ability to continue as a going concern. 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institute and the consolidated entity to cease to continue as a going concern.</w:t>
      </w:r>
    </w:p>
    <w:p w:rsidR="00860606" w:rsidRPr="00860606" w:rsidRDefault="00860606" w:rsidP="00860606">
      <w:pPr>
        <w:pStyle w:val="NoSpacing"/>
        <w:numPr>
          <w:ilvl w:val="0"/>
          <w:numId w:val="9"/>
        </w:numPr>
        <w:rPr>
          <w:sz w:val="24"/>
          <w:szCs w:val="24"/>
        </w:rPr>
      </w:pPr>
      <w:r w:rsidRPr="00860606">
        <w:rPr>
          <w:sz w:val="24"/>
          <w:szCs w:val="24"/>
        </w:rPr>
        <w:t xml:space="preserve">Evaluate the overall presentation, structure and content of the financial report, including the disclosures, and whether the financial report represents the underlying transactions and events in a manner that achieves fair presentation </w:t>
      </w:r>
    </w:p>
    <w:p w:rsidR="00860606" w:rsidRPr="00860606" w:rsidRDefault="00860606" w:rsidP="00860606">
      <w:pPr>
        <w:pStyle w:val="NoSpacing"/>
        <w:numPr>
          <w:ilvl w:val="0"/>
          <w:numId w:val="9"/>
        </w:numPr>
        <w:rPr>
          <w:sz w:val="24"/>
          <w:szCs w:val="24"/>
        </w:rPr>
      </w:pPr>
      <w:r w:rsidRPr="00860606">
        <w:rPr>
          <w:sz w:val="24"/>
          <w:szCs w:val="24"/>
        </w:rPr>
        <w:t>Obtain sufficient appropriate audit evidence regarding the financial information of the entities or business activities within the institute and consolidated entity to express an opinion on the financial report. I remain responsible for the direction, supervision and performance of the audit of the institute and the consolidated entity. I remain solely responsible for my audit opinion.</w:t>
      </w:r>
    </w:p>
    <w:p w:rsidR="00860606" w:rsidRDefault="00860606" w:rsidP="00860606">
      <w:pPr>
        <w:pStyle w:val="NoSpacing"/>
      </w:pPr>
    </w:p>
    <w:p w:rsidR="00860606" w:rsidRDefault="00860606" w:rsidP="00860606">
      <w:pPr>
        <w:pStyle w:val="NoSpacing"/>
        <w:rPr>
          <w:sz w:val="24"/>
          <w:szCs w:val="24"/>
        </w:rPr>
      </w:pPr>
      <w:r w:rsidRPr="00860606">
        <w:rPr>
          <w:sz w:val="24"/>
          <w:szCs w:val="24"/>
        </w:rPr>
        <w:t xml:space="preserve">I communicate with the </w:t>
      </w:r>
      <w:r>
        <w:rPr>
          <w:sz w:val="24"/>
          <w:szCs w:val="24"/>
        </w:rPr>
        <w:t>Board regarding, among other matters, the planned scope and timing of the audit and significant audit findings, including any significant deficiencies in internal control that I identify during my audit.</w:t>
      </w:r>
    </w:p>
    <w:p w:rsidR="00860606" w:rsidRDefault="00860606" w:rsidP="00860606">
      <w:pPr>
        <w:pStyle w:val="NoSpacing"/>
        <w:rPr>
          <w:sz w:val="24"/>
          <w:szCs w:val="24"/>
        </w:rPr>
      </w:pPr>
    </w:p>
    <w:p w:rsidR="00860606" w:rsidRDefault="00860606" w:rsidP="00860606">
      <w:pPr>
        <w:pStyle w:val="NoSpacing"/>
        <w:rPr>
          <w:sz w:val="24"/>
          <w:szCs w:val="24"/>
        </w:rPr>
      </w:pPr>
      <w:r>
        <w:rPr>
          <w:sz w:val="24"/>
          <w:szCs w:val="24"/>
        </w:rPr>
        <w:t>Charlotte Jeffries</w:t>
      </w:r>
    </w:p>
    <w:p w:rsidR="00860606" w:rsidRDefault="00860606" w:rsidP="00860606">
      <w:pPr>
        <w:pStyle w:val="NoSpacing"/>
        <w:rPr>
          <w:sz w:val="24"/>
          <w:szCs w:val="24"/>
        </w:rPr>
      </w:pPr>
      <w:r>
        <w:rPr>
          <w:sz w:val="24"/>
          <w:szCs w:val="24"/>
        </w:rPr>
        <w:t>As delegate for the Auditor-General of Victoria</w:t>
      </w:r>
    </w:p>
    <w:p w:rsidR="00860606" w:rsidRDefault="00860606" w:rsidP="00860606">
      <w:pPr>
        <w:pStyle w:val="NoSpacing"/>
        <w:rPr>
          <w:sz w:val="24"/>
          <w:szCs w:val="24"/>
        </w:rPr>
      </w:pPr>
    </w:p>
    <w:p w:rsidR="00860606" w:rsidRDefault="00860606" w:rsidP="00860606">
      <w:pPr>
        <w:pStyle w:val="NoSpacing"/>
        <w:rPr>
          <w:sz w:val="24"/>
          <w:szCs w:val="24"/>
        </w:rPr>
      </w:pPr>
      <w:r>
        <w:rPr>
          <w:sz w:val="24"/>
          <w:szCs w:val="24"/>
        </w:rPr>
        <w:t>MELBOURNE</w:t>
      </w:r>
    </w:p>
    <w:p w:rsidR="00860606" w:rsidRDefault="00860606" w:rsidP="00860606">
      <w:pPr>
        <w:pStyle w:val="NoSpacing"/>
        <w:rPr>
          <w:sz w:val="24"/>
          <w:szCs w:val="24"/>
        </w:rPr>
      </w:pPr>
      <w:r>
        <w:rPr>
          <w:sz w:val="24"/>
          <w:szCs w:val="24"/>
        </w:rPr>
        <w:t>9 March 2018</w:t>
      </w:r>
    </w:p>
    <w:p w:rsidR="00860606" w:rsidRDefault="00860606" w:rsidP="00860606">
      <w:pPr>
        <w:pStyle w:val="NoSpacing"/>
        <w:rPr>
          <w:sz w:val="24"/>
          <w:szCs w:val="24"/>
        </w:rPr>
      </w:pPr>
    </w:p>
    <w:p w:rsidR="00860606" w:rsidRPr="00860606" w:rsidRDefault="00860606" w:rsidP="00860606">
      <w:pPr>
        <w:pStyle w:val="NoSpacing"/>
        <w:rPr>
          <w:sz w:val="24"/>
          <w:szCs w:val="24"/>
        </w:rPr>
      </w:pPr>
      <w:r>
        <w:rPr>
          <w:sz w:val="24"/>
          <w:szCs w:val="24"/>
        </w:rPr>
        <w:t>&lt;pp&gt;</w:t>
      </w:r>
      <w:r w:rsidR="007829BB">
        <w:rPr>
          <w:sz w:val="24"/>
          <w:szCs w:val="24"/>
        </w:rPr>
        <w:t>40</w:t>
      </w:r>
    </w:p>
    <w:p w:rsidR="00765CBC" w:rsidRPr="002D21F1" w:rsidRDefault="00765CBC" w:rsidP="003132AC">
      <w:pPr>
        <w:pStyle w:val="NoSpacing"/>
        <w:rPr>
          <w:rFonts w:cstheme="minorHAnsi"/>
          <w:sz w:val="24"/>
          <w:szCs w:val="24"/>
        </w:rPr>
      </w:pPr>
    </w:p>
    <w:p w:rsidR="00E46FF0" w:rsidRDefault="00E46FF0" w:rsidP="006914D6">
      <w:pPr>
        <w:pStyle w:val="Heading2"/>
      </w:pPr>
      <w:r>
        <w:t xml:space="preserve">Declaration by President of the Board, Chief Executive Officer and Chief Finance Officer </w:t>
      </w:r>
    </w:p>
    <w:p w:rsidR="00860606" w:rsidRDefault="00860606" w:rsidP="00860606">
      <w:pPr>
        <w:pStyle w:val="AnnualReportHeading1"/>
      </w:pPr>
    </w:p>
    <w:p w:rsidR="00E46FF0" w:rsidRPr="00860606" w:rsidRDefault="00E46FF0" w:rsidP="00E46FF0">
      <w:pPr>
        <w:autoSpaceDE w:val="0"/>
        <w:autoSpaceDN w:val="0"/>
        <w:adjustRightInd w:val="0"/>
        <w:spacing w:after="0" w:line="240" w:lineRule="auto"/>
        <w:rPr>
          <w:rFonts w:cstheme="minorHAnsi"/>
          <w:sz w:val="24"/>
          <w:szCs w:val="24"/>
        </w:rPr>
      </w:pPr>
      <w:r w:rsidRPr="00860606">
        <w:rPr>
          <w:rFonts w:cstheme="minorHAnsi"/>
          <w:sz w:val="24"/>
          <w:szCs w:val="24"/>
        </w:rPr>
        <w:t>We certify that the attached financial statements f</w:t>
      </w:r>
      <w:r w:rsidR="00860606">
        <w:rPr>
          <w:rFonts w:cstheme="minorHAnsi"/>
          <w:sz w:val="24"/>
          <w:szCs w:val="24"/>
        </w:rPr>
        <w:t xml:space="preserve">or Chisholm Institute and the </w:t>
      </w:r>
      <w:r w:rsidRPr="00860606">
        <w:rPr>
          <w:rFonts w:cstheme="minorHAnsi"/>
          <w:sz w:val="24"/>
          <w:szCs w:val="24"/>
        </w:rPr>
        <w:t>Consolidated Entity has been prepared in accordance with Standing</w:t>
      </w:r>
      <w:r w:rsidR="00860606" w:rsidRPr="00860606">
        <w:rPr>
          <w:rFonts w:cstheme="minorHAnsi"/>
          <w:sz w:val="24"/>
          <w:szCs w:val="24"/>
        </w:rPr>
        <w:t xml:space="preserve"> Direction 5.2 of the Financial </w:t>
      </w:r>
      <w:r w:rsidRPr="00860606">
        <w:rPr>
          <w:rFonts w:cstheme="minorHAnsi"/>
          <w:sz w:val="24"/>
          <w:szCs w:val="24"/>
        </w:rPr>
        <w:t>Management Act 1994, applicable Financial Reporting Directions issued under that legislation, Australian Accounting Standards and other mandatory professional reporting requirements.</w:t>
      </w:r>
    </w:p>
    <w:p w:rsidR="00860606" w:rsidRPr="00860606" w:rsidRDefault="00860606" w:rsidP="00E46FF0">
      <w:pPr>
        <w:autoSpaceDE w:val="0"/>
        <w:autoSpaceDN w:val="0"/>
        <w:adjustRightInd w:val="0"/>
        <w:spacing w:after="0" w:line="240" w:lineRule="auto"/>
        <w:rPr>
          <w:rFonts w:cstheme="minorHAnsi"/>
          <w:sz w:val="24"/>
          <w:szCs w:val="24"/>
        </w:rPr>
      </w:pPr>
    </w:p>
    <w:p w:rsidR="00E46FF0" w:rsidRPr="00860606" w:rsidRDefault="00E46FF0" w:rsidP="00E46FF0">
      <w:pPr>
        <w:autoSpaceDE w:val="0"/>
        <w:autoSpaceDN w:val="0"/>
        <w:adjustRightInd w:val="0"/>
        <w:spacing w:after="0" w:line="240" w:lineRule="auto"/>
        <w:rPr>
          <w:rFonts w:cstheme="minorHAnsi"/>
          <w:sz w:val="24"/>
          <w:szCs w:val="24"/>
        </w:rPr>
      </w:pPr>
      <w:r w:rsidRPr="00860606">
        <w:rPr>
          <w:rFonts w:cstheme="minorHAnsi"/>
          <w:sz w:val="24"/>
          <w:szCs w:val="24"/>
        </w:rPr>
        <w:t>We further state that, in our opinion, the information set out in the comprehensive operating statement, balance sheet, statement of changes in equity, cash flow statement and notes to and forming part of the financial report, presents fairly the financial transactions during the year ended 31 December 2017 and financial position of the Institute and the Consolidated Entity as at 31 December 2017.</w:t>
      </w:r>
    </w:p>
    <w:p w:rsidR="00860606" w:rsidRPr="00860606" w:rsidRDefault="00860606" w:rsidP="00E46FF0">
      <w:pPr>
        <w:autoSpaceDE w:val="0"/>
        <w:autoSpaceDN w:val="0"/>
        <w:adjustRightInd w:val="0"/>
        <w:spacing w:after="0" w:line="240" w:lineRule="auto"/>
        <w:rPr>
          <w:rFonts w:cstheme="minorHAnsi"/>
          <w:sz w:val="24"/>
          <w:szCs w:val="24"/>
        </w:rPr>
      </w:pPr>
    </w:p>
    <w:p w:rsidR="00E46FF0" w:rsidRPr="00860606" w:rsidRDefault="00E46FF0" w:rsidP="00E46FF0">
      <w:pPr>
        <w:autoSpaceDE w:val="0"/>
        <w:autoSpaceDN w:val="0"/>
        <w:adjustRightInd w:val="0"/>
        <w:spacing w:after="0" w:line="240" w:lineRule="auto"/>
        <w:rPr>
          <w:rFonts w:cstheme="minorHAnsi"/>
          <w:sz w:val="24"/>
          <w:szCs w:val="24"/>
        </w:rPr>
      </w:pPr>
      <w:r w:rsidRPr="00860606">
        <w:rPr>
          <w:rFonts w:cstheme="minorHAnsi"/>
          <w:sz w:val="24"/>
          <w:szCs w:val="24"/>
        </w:rPr>
        <w:lastRenderedPageBreak/>
        <w:t>At the date of signing this financial report, we are not aware of any circumstance that would render any particulars included in the financial report to be misleading or inaccurate.</w:t>
      </w:r>
    </w:p>
    <w:p w:rsidR="00E46FF0" w:rsidRPr="00860606" w:rsidRDefault="00E46FF0" w:rsidP="00E46FF0">
      <w:pPr>
        <w:autoSpaceDE w:val="0"/>
        <w:autoSpaceDN w:val="0"/>
        <w:adjustRightInd w:val="0"/>
        <w:spacing w:after="0" w:line="240" w:lineRule="auto"/>
        <w:rPr>
          <w:rFonts w:cstheme="minorHAnsi"/>
          <w:sz w:val="24"/>
          <w:szCs w:val="24"/>
        </w:rPr>
      </w:pPr>
      <w:r w:rsidRPr="00860606">
        <w:rPr>
          <w:rFonts w:cstheme="minorHAnsi"/>
          <w:sz w:val="24"/>
          <w:szCs w:val="24"/>
        </w:rPr>
        <w:t>There are reasonable grounds to believe that the Institute and the Consolidated Entity will be able to pay its debts as and when they became due and payable.</w:t>
      </w:r>
    </w:p>
    <w:p w:rsidR="00860606" w:rsidRPr="00860606" w:rsidRDefault="00860606" w:rsidP="00E46FF0">
      <w:pPr>
        <w:autoSpaceDE w:val="0"/>
        <w:autoSpaceDN w:val="0"/>
        <w:adjustRightInd w:val="0"/>
        <w:spacing w:after="0" w:line="240" w:lineRule="auto"/>
        <w:rPr>
          <w:rFonts w:cstheme="minorHAnsi"/>
          <w:sz w:val="24"/>
          <w:szCs w:val="24"/>
        </w:rPr>
      </w:pPr>
    </w:p>
    <w:p w:rsidR="00E46FF0" w:rsidRPr="00860606" w:rsidRDefault="00E46FF0" w:rsidP="00E46FF0">
      <w:pPr>
        <w:autoSpaceDE w:val="0"/>
        <w:autoSpaceDN w:val="0"/>
        <w:adjustRightInd w:val="0"/>
        <w:spacing w:after="0" w:line="240" w:lineRule="auto"/>
        <w:rPr>
          <w:rFonts w:cstheme="minorHAnsi"/>
          <w:sz w:val="24"/>
          <w:szCs w:val="24"/>
        </w:rPr>
      </w:pPr>
      <w:r w:rsidRPr="00860606">
        <w:rPr>
          <w:rFonts w:cstheme="minorHAnsi"/>
          <w:sz w:val="24"/>
          <w:szCs w:val="24"/>
        </w:rPr>
        <w:t>The Board Chair and the Chief Executive Officer sign this declaration as delegates of, and in accordance with a resolution of, the Board of Chisholm Institute.</w:t>
      </w:r>
    </w:p>
    <w:p w:rsidR="00E46FF0" w:rsidRPr="00860606" w:rsidRDefault="00E46FF0" w:rsidP="00E46FF0">
      <w:pPr>
        <w:pStyle w:val="NoSpacing"/>
        <w:rPr>
          <w:rFonts w:cstheme="minorHAnsi"/>
          <w:w w:val="115"/>
          <w:sz w:val="24"/>
          <w:szCs w:val="24"/>
        </w:rPr>
      </w:pPr>
    </w:p>
    <w:p w:rsidR="00E46FF0" w:rsidRPr="00860606" w:rsidRDefault="00E46FF0" w:rsidP="00E46FF0">
      <w:pPr>
        <w:pStyle w:val="NoSpacing"/>
        <w:rPr>
          <w:w w:val="115"/>
          <w:sz w:val="24"/>
          <w:szCs w:val="24"/>
        </w:rPr>
      </w:pPr>
      <w:r w:rsidRPr="00860606">
        <w:rPr>
          <w:w w:val="115"/>
          <w:sz w:val="24"/>
          <w:szCs w:val="24"/>
        </w:rPr>
        <w:t>STEPHEN G MARKS</w:t>
      </w:r>
    </w:p>
    <w:p w:rsidR="00E46FF0" w:rsidRPr="00860606" w:rsidRDefault="00E46FF0" w:rsidP="00E46FF0">
      <w:pPr>
        <w:pStyle w:val="NoSpacing"/>
        <w:rPr>
          <w:sz w:val="24"/>
          <w:szCs w:val="24"/>
        </w:rPr>
      </w:pPr>
      <w:r w:rsidRPr="00860606">
        <w:rPr>
          <w:sz w:val="24"/>
          <w:szCs w:val="24"/>
        </w:rPr>
        <w:t>Board Chair</w:t>
      </w:r>
    </w:p>
    <w:p w:rsidR="00E46FF0" w:rsidRPr="00860606" w:rsidRDefault="00E46FF0" w:rsidP="00E46FF0">
      <w:pPr>
        <w:pStyle w:val="NoSpacing"/>
        <w:rPr>
          <w:bCs/>
          <w:w w:val="110"/>
          <w:sz w:val="24"/>
          <w:szCs w:val="24"/>
        </w:rPr>
      </w:pPr>
      <w:r w:rsidRPr="00860606">
        <w:rPr>
          <w:bCs/>
          <w:w w:val="110"/>
          <w:sz w:val="24"/>
          <w:szCs w:val="24"/>
        </w:rPr>
        <w:t>Date: 28 February 2018 Place: Dandenong</w:t>
      </w:r>
    </w:p>
    <w:p w:rsidR="00E46FF0" w:rsidRPr="00860606" w:rsidRDefault="00E46FF0" w:rsidP="00E46FF0">
      <w:pPr>
        <w:pStyle w:val="NoSpacing"/>
        <w:rPr>
          <w:w w:val="115"/>
          <w:sz w:val="24"/>
          <w:szCs w:val="24"/>
        </w:rPr>
      </w:pPr>
    </w:p>
    <w:p w:rsidR="00E46FF0" w:rsidRPr="00860606" w:rsidRDefault="00E46FF0" w:rsidP="00E46FF0">
      <w:pPr>
        <w:pStyle w:val="NoSpacing"/>
        <w:rPr>
          <w:w w:val="115"/>
          <w:sz w:val="24"/>
          <w:szCs w:val="24"/>
        </w:rPr>
      </w:pPr>
      <w:r w:rsidRPr="00860606">
        <w:rPr>
          <w:w w:val="115"/>
          <w:sz w:val="24"/>
          <w:szCs w:val="24"/>
        </w:rPr>
        <w:t>GRANT RADFORD</w:t>
      </w:r>
    </w:p>
    <w:p w:rsidR="00E46FF0" w:rsidRPr="00860606" w:rsidRDefault="00E46FF0" w:rsidP="00E46FF0">
      <w:pPr>
        <w:pStyle w:val="NoSpacing"/>
        <w:rPr>
          <w:sz w:val="24"/>
          <w:szCs w:val="24"/>
        </w:rPr>
      </w:pPr>
      <w:r w:rsidRPr="00860606">
        <w:rPr>
          <w:sz w:val="24"/>
          <w:szCs w:val="24"/>
        </w:rPr>
        <w:t>Acting Chief Executive Officer</w:t>
      </w:r>
    </w:p>
    <w:p w:rsidR="00E46FF0" w:rsidRPr="00860606" w:rsidRDefault="00E46FF0" w:rsidP="00E46FF0">
      <w:pPr>
        <w:pStyle w:val="NoSpacing"/>
        <w:rPr>
          <w:bCs/>
          <w:w w:val="110"/>
          <w:sz w:val="24"/>
          <w:szCs w:val="24"/>
        </w:rPr>
      </w:pPr>
      <w:r w:rsidRPr="00860606">
        <w:rPr>
          <w:bCs/>
          <w:w w:val="110"/>
          <w:sz w:val="24"/>
          <w:szCs w:val="24"/>
        </w:rPr>
        <w:t>Date: 28 February 2018 Place: Dandenong</w:t>
      </w:r>
    </w:p>
    <w:p w:rsidR="00E46FF0" w:rsidRPr="00860606" w:rsidRDefault="00E46FF0" w:rsidP="00E46FF0">
      <w:pPr>
        <w:pStyle w:val="NoSpacing"/>
        <w:rPr>
          <w:w w:val="110"/>
          <w:sz w:val="24"/>
          <w:szCs w:val="24"/>
        </w:rPr>
      </w:pPr>
    </w:p>
    <w:p w:rsidR="00E46FF0" w:rsidRPr="00860606" w:rsidRDefault="00E46FF0" w:rsidP="00E46FF0">
      <w:pPr>
        <w:pStyle w:val="NoSpacing"/>
        <w:rPr>
          <w:w w:val="110"/>
          <w:sz w:val="24"/>
          <w:szCs w:val="24"/>
        </w:rPr>
      </w:pPr>
      <w:r w:rsidRPr="00860606">
        <w:rPr>
          <w:w w:val="110"/>
          <w:sz w:val="24"/>
          <w:szCs w:val="24"/>
        </w:rPr>
        <w:t>SHEHANI MENDIS</w:t>
      </w:r>
    </w:p>
    <w:p w:rsidR="00E46FF0" w:rsidRPr="00860606" w:rsidRDefault="00E46FF0" w:rsidP="00E46FF0">
      <w:pPr>
        <w:pStyle w:val="NoSpacing"/>
        <w:rPr>
          <w:w w:val="105"/>
          <w:sz w:val="24"/>
          <w:szCs w:val="24"/>
        </w:rPr>
      </w:pPr>
      <w:r w:rsidRPr="00860606">
        <w:rPr>
          <w:w w:val="105"/>
          <w:sz w:val="24"/>
          <w:szCs w:val="24"/>
        </w:rPr>
        <w:t xml:space="preserve">Chief Finance Officer </w:t>
      </w:r>
    </w:p>
    <w:p w:rsidR="00E46FF0" w:rsidRPr="00860606" w:rsidRDefault="00E46FF0" w:rsidP="00E46FF0">
      <w:pPr>
        <w:pStyle w:val="NoSpacing"/>
        <w:rPr>
          <w:bCs/>
          <w:w w:val="105"/>
          <w:sz w:val="24"/>
          <w:szCs w:val="24"/>
        </w:rPr>
      </w:pPr>
      <w:r w:rsidRPr="00860606">
        <w:rPr>
          <w:bCs/>
          <w:w w:val="105"/>
          <w:sz w:val="24"/>
          <w:szCs w:val="24"/>
        </w:rPr>
        <w:t>Date: 28 February 2018 Place: Dandenong</w:t>
      </w:r>
    </w:p>
    <w:p w:rsidR="00E46FF0" w:rsidRPr="00860606" w:rsidRDefault="00E46FF0" w:rsidP="00E46FF0">
      <w:pPr>
        <w:pStyle w:val="NoSpacing"/>
        <w:rPr>
          <w:bCs/>
          <w:w w:val="105"/>
          <w:sz w:val="24"/>
          <w:szCs w:val="24"/>
        </w:rPr>
      </w:pPr>
    </w:p>
    <w:p w:rsidR="00E46FF0" w:rsidRDefault="00E46FF0" w:rsidP="00E46FF0">
      <w:pPr>
        <w:pStyle w:val="NoSpacing"/>
        <w:rPr>
          <w:bCs/>
          <w:w w:val="105"/>
          <w:sz w:val="24"/>
          <w:szCs w:val="24"/>
        </w:rPr>
      </w:pPr>
      <w:r w:rsidRPr="00860606">
        <w:rPr>
          <w:bCs/>
          <w:w w:val="105"/>
          <w:sz w:val="24"/>
          <w:szCs w:val="24"/>
        </w:rPr>
        <w:t>&lt;pp&gt;</w:t>
      </w:r>
      <w:r w:rsidR="007829BB" w:rsidRPr="00860606">
        <w:rPr>
          <w:bCs/>
          <w:w w:val="105"/>
          <w:sz w:val="24"/>
          <w:szCs w:val="24"/>
        </w:rPr>
        <w:t>41</w:t>
      </w:r>
    </w:p>
    <w:p w:rsidR="00860606" w:rsidRDefault="00860606" w:rsidP="00E46FF0">
      <w:pPr>
        <w:pStyle w:val="NoSpacing"/>
        <w:rPr>
          <w:bCs/>
          <w:w w:val="105"/>
          <w:sz w:val="24"/>
          <w:szCs w:val="24"/>
        </w:rPr>
      </w:pPr>
    </w:p>
    <w:p w:rsidR="008E71D5" w:rsidRDefault="008E71D5" w:rsidP="00E46FF0">
      <w:pPr>
        <w:pStyle w:val="NoSpacing"/>
        <w:rPr>
          <w:bCs/>
          <w:caps/>
          <w:w w:val="105"/>
          <w:sz w:val="24"/>
          <w:szCs w:val="24"/>
        </w:rPr>
        <w:sectPr w:rsidR="008E71D5">
          <w:pgSz w:w="11906" w:h="16838"/>
          <w:pgMar w:top="1440" w:right="1440" w:bottom="1440" w:left="1440" w:header="708" w:footer="708" w:gutter="0"/>
          <w:cols w:space="708"/>
          <w:docGrid w:linePitch="360"/>
        </w:sectPr>
      </w:pPr>
    </w:p>
    <w:p w:rsidR="008E71D5" w:rsidRDefault="008E71D5" w:rsidP="006914D6">
      <w:pPr>
        <w:pStyle w:val="Heading2"/>
        <w:rPr>
          <w:w w:val="105"/>
        </w:rPr>
      </w:pPr>
      <w:r w:rsidRPr="00AE2D8D">
        <w:rPr>
          <w:w w:val="105"/>
        </w:rPr>
        <w:lastRenderedPageBreak/>
        <w:t>Comprehensive Operating Statement</w:t>
      </w:r>
    </w:p>
    <w:p w:rsidR="00AE2D8D" w:rsidRPr="00AE2D8D" w:rsidRDefault="00AE2D8D" w:rsidP="00AE2D8D">
      <w:pPr>
        <w:pStyle w:val="AnnualReportHeading1"/>
        <w:rPr>
          <w:w w:val="105"/>
        </w:rPr>
      </w:pPr>
    </w:p>
    <w:tbl>
      <w:tblPr>
        <w:tblStyle w:val="TableGrid"/>
        <w:tblW w:w="15173" w:type="dxa"/>
        <w:tblInd w:w="-5" w:type="dxa"/>
        <w:tblLayout w:type="fixed"/>
        <w:tblLook w:val="04A0" w:firstRow="1" w:lastRow="0" w:firstColumn="1" w:lastColumn="0" w:noHBand="0" w:noVBand="1"/>
      </w:tblPr>
      <w:tblGrid>
        <w:gridCol w:w="8505"/>
        <w:gridCol w:w="1418"/>
        <w:gridCol w:w="1418"/>
        <w:gridCol w:w="1276"/>
        <w:gridCol w:w="1275"/>
        <w:gridCol w:w="1281"/>
      </w:tblGrid>
      <w:tr w:rsidR="008E71D5" w:rsidRPr="00AE2D8D" w:rsidTr="008E71D5">
        <w:tc>
          <w:tcPr>
            <w:tcW w:w="9923" w:type="dxa"/>
            <w:gridSpan w:val="2"/>
            <w:vMerge w:val="restart"/>
          </w:tcPr>
          <w:p w:rsidR="008E71D5" w:rsidRPr="00AE2D8D" w:rsidRDefault="008E71D5" w:rsidP="00E46FF0">
            <w:pPr>
              <w:pStyle w:val="NoSpacing"/>
              <w:rPr>
                <w:rFonts w:cstheme="minorHAnsi"/>
                <w:bCs/>
                <w:w w:val="105"/>
              </w:rPr>
            </w:pPr>
          </w:p>
        </w:tc>
        <w:tc>
          <w:tcPr>
            <w:tcW w:w="2694" w:type="dxa"/>
            <w:gridSpan w:val="2"/>
          </w:tcPr>
          <w:p w:rsidR="008E71D5" w:rsidRPr="00AE2D8D" w:rsidRDefault="008E71D5" w:rsidP="008E71D5">
            <w:pPr>
              <w:pStyle w:val="NoSpacing"/>
              <w:jc w:val="center"/>
              <w:rPr>
                <w:rFonts w:cstheme="minorHAnsi"/>
                <w:bCs/>
                <w:w w:val="105"/>
              </w:rPr>
            </w:pPr>
            <w:r w:rsidRPr="00AE2D8D">
              <w:rPr>
                <w:rFonts w:cstheme="minorHAnsi"/>
                <w:bCs/>
                <w:w w:val="105"/>
              </w:rPr>
              <w:t>Consolidated</w:t>
            </w:r>
          </w:p>
        </w:tc>
        <w:tc>
          <w:tcPr>
            <w:tcW w:w="2556" w:type="dxa"/>
            <w:gridSpan w:val="2"/>
          </w:tcPr>
          <w:p w:rsidR="008E71D5" w:rsidRPr="00AE2D8D" w:rsidRDefault="008E71D5" w:rsidP="008E71D5">
            <w:pPr>
              <w:pStyle w:val="NoSpacing"/>
              <w:jc w:val="center"/>
              <w:rPr>
                <w:rFonts w:cstheme="minorHAnsi"/>
                <w:bCs/>
                <w:w w:val="105"/>
              </w:rPr>
            </w:pPr>
            <w:r w:rsidRPr="00AE2D8D">
              <w:rPr>
                <w:rFonts w:cstheme="minorHAnsi"/>
                <w:bCs/>
                <w:w w:val="105"/>
              </w:rPr>
              <w:t>Chisholm</w:t>
            </w:r>
          </w:p>
        </w:tc>
      </w:tr>
      <w:tr w:rsidR="008E71D5" w:rsidRPr="00AE2D8D" w:rsidTr="008E71D5">
        <w:tc>
          <w:tcPr>
            <w:tcW w:w="9923" w:type="dxa"/>
            <w:gridSpan w:val="2"/>
            <w:vMerge/>
          </w:tcPr>
          <w:p w:rsidR="008E71D5" w:rsidRPr="00AE2D8D" w:rsidRDefault="008E71D5" w:rsidP="00E46FF0">
            <w:pPr>
              <w:pStyle w:val="NoSpacing"/>
              <w:rPr>
                <w:rFonts w:cstheme="minorHAnsi"/>
                <w:bCs/>
                <w:w w:val="105"/>
              </w:rPr>
            </w:pPr>
          </w:p>
        </w:tc>
        <w:tc>
          <w:tcPr>
            <w:tcW w:w="1418" w:type="dxa"/>
          </w:tcPr>
          <w:p w:rsidR="008E71D5" w:rsidRPr="00AE2D8D" w:rsidRDefault="008E71D5" w:rsidP="007E0E76">
            <w:pPr>
              <w:pStyle w:val="NoSpacing"/>
              <w:jc w:val="right"/>
              <w:rPr>
                <w:rFonts w:cstheme="minorHAnsi"/>
                <w:bCs/>
                <w:w w:val="105"/>
              </w:rPr>
            </w:pPr>
            <w:r w:rsidRPr="00AE2D8D">
              <w:rPr>
                <w:rFonts w:cstheme="minorHAnsi"/>
                <w:bCs/>
                <w:w w:val="105"/>
              </w:rPr>
              <w:t>2017</w:t>
            </w:r>
          </w:p>
        </w:tc>
        <w:tc>
          <w:tcPr>
            <w:tcW w:w="1276" w:type="dxa"/>
          </w:tcPr>
          <w:p w:rsidR="008E71D5" w:rsidRPr="00AE2D8D" w:rsidRDefault="008E71D5" w:rsidP="007E0E76">
            <w:pPr>
              <w:pStyle w:val="NoSpacing"/>
              <w:jc w:val="right"/>
              <w:rPr>
                <w:rFonts w:cstheme="minorHAnsi"/>
                <w:bCs/>
                <w:w w:val="105"/>
              </w:rPr>
            </w:pPr>
            <w:r w:rsidRPr="00AE2D8D">
              <w:rPr>
                <w:rFonts w:cstheme="minorHAnsi"/>
                <w:bCs/>
                <w:w w:val="105"/>
              </w:rPr>
              <w:t>2016</w:t>
            </w:r>
          </w:p>
        </w:tc>
        <w:tc>
          <w:tcPr>
            <w:tcW w:w="1275" w:type="dxa"/>
          </w:tcPr>
          <w:p w:rsidR="008E71D5" w:rsidRPr="00AE2D8D" w:rsidRDefault="008E71D5" w:rsidP="007E0E76">
            <w:pPr>
              <w:pStyle w:val="NoSpacing"/>
              <w:jc w:val="right"/>
              <w:rPr>
                <w:rFonts w:cstheme="minorHAnsi"/>
                <w:bCs/>
                <w:w w:val="105"/>
              </w:rPr>
            </w:pPr>
            <w:r w:rsidRPr="00AE2D8D">
              <w:rPr>
                <w:rFonts w:cstheme="minorHAnsi"/>
                <w:bCs/>
                <w:w w:val="105"/>
              </w:rPr>
              <w:t>2017</w:t>
            </w:r>
          </w:p>
        </w:tc>
        <w:tc>
          <w:tcPr>
            <w:tcW w:w="1281" w:type="dxa"/>
          </w:tcPr>
          <w:p w:rsidR="008E71D5" w:rsidRPr="00AE2D8D" w:rsidRDefault="008E71D5" w:rsidP="007E0E76">
            <w:pPr>
              <w:pStyle w:val="NoSpacing"/>
              <w:jc w:val="right"/>
              <w:rPr>
                <w:rFonts w:cstheme="minorHAnsi"/>
                <w:bCs/>
                <w:w w:val="105"/>
              </w:rPr>
            </w:pPr>
            <w:r w:rsidRPr="00AE2D8D">
              <w:rPr>
                <w:rFonts w:cstheme="minorHAnsi"/>
                <w:bCs/>
                <w:w w:val="105"/>
              </w:rPr>
              <w:t>2016</w:t>
            </w:r>
          </w:p>
        </w:tc>
      </w:tr>
      <w:tr w:rsidR="007E0E76" w:rsidRPr="00AE2D8D" w:rsidTr="007E0E76">
        <w:tc>
          <w:tcPr>
            <w:tcW w:w="8505" w:type="dxa"/>
          </w:tcPr>
          <w:p w:rsidR="007E0E76" w:rsidRPr="00AE2D8D" w:rsidRDefault="007E0E76" w:rsidP="007E0E76">
            <w:pPr>
              <w:pStyle w:val="NoSpacing"/>
              <w:jc w:val="center"/>
              <w:rPr>
                <w:rFonts w:cstheme="minorHAnsi"/>
                <w:bCs/>
                <w:w w:val="105"/>
              </w:rPr>
            </w:pPr>
          </w:p>
        </w:tc>
        <w:tc>
          <w:tcPr>
            <w:tcW w:w="1418" w:type="dxa"/>
          </w:tcPr>
          <w:p w:rsidR="007E0E76" w:rsidRPr="00AE2D8D" w:rsidRDefault="007E0E76" w:rsidP="007E0E76">
            <w:pPr>
              <w:pStyle w:val="NoSpacing"/>
              <w:rPr>
                <w:rFonts w:cstheme="minorHAnsi"/>
                <w:bCs/>
                <w:w w:val="105"/>
              </w:rPr>
            </w:pPr>
            <w:r w:rsidRPr="00AE2D8D">
              <w:rPr>
                <w:rFonts w:cstheme="minorHAnsi"/>
                <w:bCs/>
                <w:w w:val="105"/>
              </w:rPr>
              <w:t>Notes</w:t>
            </w:r>
          </w:p>
        </w:tc>
        <w:tc>
          <w:tcPr>
            <w:tcW w:w="1418" w:type="dxa"/>
          </w:tcPr>
          <w:p w:rsidR="007E0E76" w:rsidRPr="00AE2D8D" w:rsidRDefault="007E0E76" w:rsidP="007E0E76">
            <w:pPr>
              <w:jc w:val="right"/>
              <w:rPr>
                <w:rFonts w:cstheme="minorHAnsi"/>
              </w:rPr>
            </w:pPr>
            <w:r w:rsidRPr="00AE2D8D">
              <w:rPr>
                <w:rFonts w:cstheme="minorHAnsi"/>
                <w:bCs/>
                <w:w w:val="105"/>
              </w:rPr>
              <w:t>$’000</w:t>
            </w:r>
          </w:p>
        </w:tc>
        <w:tc>
          <w:tcPr>
            <w:tcW w:w="1276" w:type="dxa"/>
          </w:tcPr>
          <w:p w:rsidR="007E0E76" w:rsidRPr="00AE2D8D" w:rsidRDefault="007E0E76" w:rsidP="007E0E76">
            <w:pPr>
              <w:jc w:val="right"/>
              <w:rPr>
                <w:rFonts w:cstheme="minorHAnsi"/>
              </w:rPr>
            </w:pPr>
            <w:r w:rsidRPr="00AE2D8D">
              <w:rPr>
                <w:rFonts w:cstheme="minorHAnsi"/>
                <w:bCs/>
                <w:w w:val="105"/>
              </w:rPr>
              <w:t>$’000</w:t>
            </w:r>
          </w:p>
        </w:tc>
        <w:tc>
          <w:tcPr>
            <w:tcW w:w="1275" w:type="dxa"/>
          </w:tcPr>
          <w:p w:rsidR="007E0E76" w:rsidRPr="00AE2D8D" w:rsidRDefault="007E0E76" w:rsidP="007E0E76">
            <w:pPr>
              <w:jc w:val="right"/>
              <w:rPr>
                <w:rFonts w:cstheme="minorHAnsi"/>
              </w:rPr>
            </w:pPr>
            <w:r w:rsidRPr="00AE2D8D">
              <w:rPr>
                <w:rFonts w:cstheme="minorHAnsi"/>
                <w:bCs/>
                <w:w w:val="105"/>
              </w:rPr>
              <w:t>$’000</w:t>
            </w:r>
          </w:p>
        </w:tc>
        <w:tc>
          <w:tcPr>
            <w:tcW w:w="1281" w:type="dxa"/>
          </w:tcPr>
          <w:p w:rsidR="007E0E76" w:rsidRPr="00AE2D8D" w:rsidRDefault="007E0E76" w:rsidP="007E0E76">
            <w:pPr>
              <w:pStyle w:val="NoSpacing"/>
              <w:jc w:val="right"/>
              <w:rPr>
                <w:rFonts w:cstheme="minorHAnsi"/>
                <w:bCs/>
                <w:w w:val="105"/>
              </w:rPr>
            </w:pPr>
            <w:r w:rsidRPr="00AE2D8D">
              <w:rPr>
                <w:rFonts w:cstheme="minorHAnsi"/>
                <w:bCs/>
                <w:w w:val="105"/>
              </w:rPr>
              <w:t>$’000</w:t>
            </w:r>
          </w:p>
        </w:tc>
      </w:tr>
    </w:tbl>
    <w:p w:rsidR="008E71D5" w:rsidRPr="00AE2D8D" w:rsidRDefault="007E0E76" w:rsidP="00E46FF0">
      <w:pPr>
        <w:pStyle w:val="NoSpacing"/>
        <w:rPr>
          <w:rFonts w:cstheme="minorHAnsi"/>
          <w:bCs/>
          <w:w w:val="105"/>
        </w:rPr>
      </w:pPr>
      <w:r w:rsidRPr="00AE2D8D">
        <w:rPr>
          <w:rFonts w:cstheme="minorHAnsi"/>
          <w:bCs/>
          <w:w w:val="105"/>
        </w:rPr>
        <w:t>Continuing operations</w:t>
      </w:r>
    </w:p>
    <w:p w:rsidR="007E0E76" w:rsidRPr="00AE2D8D" w:rsidRDefault="007E0E76" w:rsidP="00E46FF0">
      <w:pPr>
        <w:pStyle w:val="NoSpacing"/>
        <w:rPr>
          <w:rFonts w:cstheme="minorHAnsi"/>
          <w:bCs/>
          <w:w w:val="105"/>
        </w:rPr>
      </w:pPr>
    </w:p>
    <w:p w:rsidR="008E71D5" w:rsidRPr="00AE2D8D" w:rsidRDefault="008E71D5" w:rsidP="00E46FF0">
      <w:pPr>
        <w:pStyle w:val="NoSpacing"/>
        <w:rPr>
          <w:rFonts w:cstheme="minorHAnsi"/>
          <w:bCs/>
          <w:w w:val="105"/>
        </w:rPr>
      </w:pPr>
      <w:r w:rsidRPr="00AE2D8D">
        <w:rPr>
          <w:rFonts w:cstheme="minorHAnsi"/>
          <w:bCs/>
          <w:w w:val="105"/>
        </w:rPr>
        <w:t>Income from transactions</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7E0E76" w:rsidRPr="00AE2D8D" w:rsidTr="007E0E76">
        <w:tc>
          <w:tcPr>
            <w:tcW w:w="8500" w:type="dxa"/>
          </w:tcPr>
          <w:p w:rsidR="007E0E76" w:rsidRPr="00AE2D8D" w:rsidRDefault="007E0E76" w:rsidP="00E46FF0">
            <w:pPr>
              <w:pStyle w:val="NoSpacing"/>
              <w:rPr>
                <w:rFonts w:cstheme="minorHAnsi"/>
                <w:bCs/>
                <w:w w:val="105"/>
              </w:rPr>
            </w:pPr>
            <w:r w:rsidRPr="00AE2D8D">
              <w:rPr>
                <w:rFonts w:cstheme="minorHAnsi"/>
                <w:bCs/>
                <w:w w:val="105"/>
              </w:rPr>
              <w:t>Government contributions</w:t>
            </w:r>
          </w:p>
        </w:tc>
        <w:tc>
          <w:tcPr>
            <w:tcW w:w="1418" w:type="dxa"/>
          </w:tcPr>
          <w:p w:rsidR="007E0E76" w:rsidRPr="00AE2D8D" w:rsidRDefault="007E0E76" w:rsidP="00E46FF0">
            <w:pPr>
              <w:pStyle w:val="NoSpacing"/>
              <w:rPr>
                <w:rFonts w:cstheme="minorHAnsi"/>
                <w:bCs/>
                <w:w w:val="105"/>
              </w:rPr>
            </w:pPr>
            <w:r w:rsidRPr="00AE2D8D">
              <w:rPr>
                <w:rFonts w:cstheme="minorHAnsi"/>
                <w:bCs/>
                <w:w w:val="105"/>
              </w:rPr>
              <w:t>2.1</w:t>
            </w:r>
          </w:p>
        </w:tc>
        <w:tc>
          <w:tcPr>
            <w:tcW w:w="1417" w:type="dxa"/>
          </w:tcPr>
          <w:p w:rsidR="007E0E76" w:rsidRPr="00AE2D8D" w:rsidRDefault="007E0E76" w:rsidP="007E0E76">
            <w:pPr>
              <w:pStyle w:val="NoSpacing"/>
              <w:jc w:val="right"/>
              <w:rPr>
                <w:rFonts w:cstheme="minorHAnsi"/>
                <w:bCs/>
                <w:w w:val="105"/>
              </w:rPr>
            </w:pPr>
            <w:r w:rsidRPr="00AE2D8D">
              <w:rPr>
                <w:rFonts w:cstheme="minorHAnsi"/>
                <w:bCs/>
                <w:w w:val="105"/>
              </w:rPr>
              <w:t>111,468</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87,880</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108,090</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86,095</w:t>
            </w:r>
          </w:p>
        </w:tc>
      </w:tr>
      <w:tr w:rsidR="007E0E76" w:rsidRPr="00AE2D8D" w:rsidTr="007E0E76">
        <w:tc>
          <w:tcPr>
            <w:tcW w:w="8500" w:type="dxa"/>
          </w:tcPr>
          <w:p w:rsidR="007E0E76" w:rsidRPr="00AE2D8D" w:rsidRDefault="007E0E76" w:rsidP="00E46FF0">
            <w:pPr>
              <w:pStyle w:val="NoSpacing"/>
              <w:rPr>
                <w:rFonts w:cstheme="minorHAnsi"/>
                <w:bCs/>
                <w:w w:val="105"/>
              </w:rPr>
            </w:pPr>
            <w:r w:rsidRPr="00AE2D8D">
              <w:rPr>
                <w:rFonts w:cstheme="minorHAnsi"/>
                <w:bCs/>
                <w:w w:val="105"/>
              </w:rPr>
              <w:t>Sale of goods and services</w:t>
            </w:r>
          </w:p>
        </w:tc>
        <w:tc>
          <w:tcPr>
            <w:tcW w:w="1418" w:type="dxa"/>
          </w:tcPr>
          <w:p w:rsidR="007E0E76" w:rsidRPr="00AE2D8D" w:rsidRDefault="007E0E76" w:rsidP="00E46FF0">
            <w:pPr>
              <w:pStyle w:val="NoSpacing"/>
              <w:rPr>
                <w:rFonts w:cstheme="minorHAnsi"/>
                <w:bCs/>
                <w:w w:val="105"/>
              </w:rPr>
            </w:pPr>
            <w:r w:rsidRPr="00AE2D8D">
              <w:rPr>
                <w:rFonts w:cstheme="minorHAnsi"/>
                <w:bCs/>
                <w:w w:val="105"/>
              </w:rPr>
              <w:t>2.2</w:t>
            </w:r>
          </w:p>
        </w:tc>
        <w:tc>
          <w:tcPr>
            <w:tcW w:w="1417" w:type="dxa"/>
          </w:tcPr>
          <w:p w:rsidR="007E0E76" w:rsidRPr="00AE2D8D" w:rsidRDefault="007E0E76" w:rsidP="007E0E76">
            <w:pPr>
              <w:pStyle w:val="NoSpacing"/>
              <w:jc w:val="right"/>
              <w:rPr>
                <w:rFonts w:cstheme="minorHAnsi"/>
                <w:bCs/>
                <w:w w:val="105"/>
              </w:rPr>
            </w:pPr>
            <w:r w:rsidRPr="00AE2D8D">
              <w:rPr>
                <w:rFonts w:cstheme="minorHAnsi"/>
                <w:bCs/>
                <w:w w:val="105"/>
              </w:rPr>
              <w:t>51,081</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50,345</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49,028</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48,688</w:t>
            </w:r>
          </w:p>
        </w:tc>
      </w:tr>
      <w:tr w:rsidR="007E0E76" w:rsidRPr="00AE2D8D" w:rsidTr="007E0E76">
        <w:tc>
          <w:tcPr>
            <w:tcW w:w="8500" w:type="dxa"/>
          </w:tcPr>
          <w:p w:rsidR="007E0E76" w:rsidRPr="00AE2D8D" w:rsidRDefault="007E0E76" w:rsidP="00E46FF0">
            <w:pPr>
              <w:pStyle w:val="NoSpacing"/>
              <w:rPr>
                <w:rFonts w:cstheme="minorHAnsi"/>
                <w:bCs/>
                <w:w w:val="105"/>
              </w:rPr>
            </w:pPr>
            <w:r w:rsidRPr="00AE2D8D">
              <w:rPr>
                <w:rFonts w:cstheme="minorHAnsi"/>
                <w:bCs/>
                <w:w w:val="105"/>
              </w:rPr>
              <w:t>Other income</w:t>
            </w:r>
          </w:p>
        </w:tc>
        <w:tc>
          <w:tcPr>
            <w:tcW w:w="1418" w:type="dxa"/>
          </w:tcPr>
          <w:p w:rsidR="007E0E76" w:rsidRPr="00AE2D8D" w:rsidRDefault="007E0E76" w:rsidP="00E46FF0">
            <w:pPr>
              <w:pStyle w:val="NoSpacing"/>
              <w:rPr>
                <w:rFonts w:cstheme="minorHAnsi"/>
                <w:bCs/>
                <w:w w:val="105"/>
              </w:rPr>
            </w:pPr>
            <w:r w:rsidRPr="00AE2D8D">
              <w:rPr>
                <w:rFonts w:cstheme="minorHAnsi"/>
                <w:bCs/>
                <w:w w:val="105"/>
              </w:rPr>
              <w:t>2.3, 6.1.2</w:t>
            </w:r>
          </w:p>
        </w:tc>
        <w:tc>
          <w:tcPr>
            <w:tcW w:w="1417" w:type="dxa"/>
          </w:tcPr>
          <w:p w:rsidR="007E0E76" w:rsidRPr="00AE2D8D" w:rsidRDefault="007E0E76" w:rsidP="007E0E76">
            <w:pPr>
              <w:pStyle w:val="NoSpacing"/>
              <w:jc w:val="right"/>
              <w:rPr>
                <w:rFonts w:cstheme="minorHAnsi"/>
                <w:bCs/>
                <w:w w:val="105"/>
              </w:rPr>
            </w:pPr>
            <w:r w:rsidRPr="00AE2D8D">
              <w:rPr>
                <w:rFonts w:cstheme="minorHAnsi"/>
                <w:bCs/>
                <w:w w:val="105"/>
              </w:rPr>
              <w:t>3,015</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2,898</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6,332</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2,785</w:t>
            </w:r>
          </w:p>
        </w:tc>
      </w:tr>
      <w:tr w:rsidR="007E0E76" w:rsidRPr="00AE2D8D" w:rsidTr="007E0E76">
        <w:tc>
          <w:tcPr>
            <w:tcW w:w="8500" w:type="dxa"/>
          </w:tcPr>
          <w:p w:rsidR="007E0E76" w:rsidRPr="00AE2D8D" w:rsidRDefault="007E0E76" w:rsidP="00E46FF0">
            <w:pPr>
              <w:pStyle w:val="NoSpacing"/>
              <w:rPr>
                <w:rFonts w:cstheme="minorHAnsi"/>
                <w:bCs/>
                <w:w w:val="105"/>
              </w:rPr>
            </w:pPr>
            <w:r w:rsidRPr="00AE2D8D">
              <w:rPr>
                <w:rFonts w:cstheme="minorHAnsi"/>
                <w:bCs/>
                <w:w w:val="105"/>
              </w:rPr>
              <w:t>Total income from transactions</w:t>
            </w:r>
          </w:p>
        </w:tc>
        <w:tc>
          <w:tcPr>
            <w:tcW w:w="1418" w:type="dxa"/>
          </w:tcPr>
          <w:p w:rsidR="007E0E76" w:rsidRPr="00AE2D8D" w:rsidRDefault="007E0E76" w:rsidP="00E46FF0">
            <w:pPr>
              <w:pStyle w:val="NoSpacing"/>
              <w:rPr>
                <w:rFonts w:cstheme="minorHAnsi"/>
                <w:bCs/>
                <w:w w:val="105"/>
              </w:rPr>
            </w:pPr>
          </w:p>
        </w:tc>
        <w:tc>
          <w:tcPr>
            <w:tcW w:w="1417" w:type="dxa"/>
          </w:tcPr>
          <w:p w:rsidR="007E0E76" w:rsidRPr="00AE2D8D" w:rsidRDefault="007E0E76" w:rsidP="007E0E76">
            <w:pPr>
              <w:pStyle w:val="NoSpacing"/>
              <w:jc w:val="right"/>
              <w:rPr>
                <w:rFonts w:cstheme="minorHAnsi"/>
                <w:bCs/>
                <w:w w:val="105"/>
              </w:rPr>
            </w:pPr>
            <w:r w:rsidRPr="00AE2D8D">
              <w:rPr>
                <w:rFonts w:cstheme="minorHAnsi"/>
                <w:bCs/>
                <w:w w:val="105"/>
              </w:rPr>
              <w:t>165,564</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141,123</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163,450</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137,568</w:t>
            </w:r>
          </w:p>
        </w:tc>
      </w:tr>
    </w:tbl>
    <w:p w:rsidR="008E71D5" w:rsidRPr="00AE2D8D" w:rsidRDefault="008E71D5" w:rsidP="00E46FF0">
      <w:pPr>
        <w:pStyle w:val="NoSpacing"/>
        <w:rPr>
          <w:rFonts w:cstheme="minorHAnsi"/>
          <w:bCs/>
          <w:w w:val="105"/>
        </w:rPr>
      </w:pPr>
    </w:p>
    <w:p w:rsidR="007E0E76" w:rsidRPr="00AE2D8D" w:rsidRDefault="007E0E76" w:rsidP="00E46FF0">
      <w:pPr>
        <w:pStyle w:val="NoSpacing"/>
        <w:rPr>
          <w:rFonts w:cstheme="minorHAnsi"/>
          <w:bCs/>
          <w:w w:val="105"/>
        </w:rPr>
      </w:pPr>
      <w:r w:rsidRPr="00AE2D8D">
        <w:rPr>
          <w:rFonts w:cstheme="minorHAnsi"/>
          <w:bCs/>
          <w:w w:val="105"/>
        </w:rPr>
        <w:t>Expenses from transactions</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7E0E76" w:rsidRPr="00AE2D8D" w:rsidTr="008F073A">
        <w:tc>
          <w:tcPr>
            <w:tcW w:w="8500" w:type="dxa"/>
          </w:tcPr>
          <w:p w:rsidR="007E0E76" w:rsidRPr="00AE2D8D" w:rsidRDefault="007E0E76" w:rsidP="008F073A">
            <w:pPr>
              <w:pStyle w:val="NoSpacing"/>
              <w:rPr>
                <w:rFonts w:cstheme="minorHAnsi"/>
                <w:bCs/>
                <w:w w:val="105"/>
              </w:rPr>
            </w:pPr>
            <w:r w:rsidRPr="00AE2D8D">
              <w:rPr>
                <w:rFonts w:cstheme="minorHAnsi"/>
                <w:bCs/>
                <w:w w:val="105"/>
              </w:rPr>
              <w:t>Employee benefits</w:t>
            </w:r>
          </w:p>
        </w:tc>
        <w:tc>
          <w:tcPr>
            <w:tcW w:w="1418" w:type="dxa"/>
          </w:tcPr>
          <w:p w:rsidR="007E0E76" w:rsidRPr="00AE2D8D" w:rsidRDefault="007E0E76" w:rsidP="008F073A">
            <w:pPr>
              <w:pStyle w:val="NoSpacing"/>
              <w:rPr>
                <w:rFonts w:cstheme="minorHAnsi"/>
                <w:bCs/>
                <w:w w:val="105"/>
              </w:rPr>
            </w:pPr>
            <w:r w:rsidRPr="00AE2D8D">
              <w:rPr>
                <w:rFonts w:cstheme="minorHAnsi"/>
                <w:bCs/>
                <w:w w:val="105"/>
              </w:rPr>
              <w:t>3.1.1</w:t>
            </w:r>
          </w:p>
        </w:tc>
        <w:tc>
          <w:tcPr>
            <w:tcW w:w="1417" w:type="dxa"/>
          </w:tcPr>
          <w:p w:rsidR="007E0E76" w:rsidRPr="00AE2D8D" w:rsidRDefault="007E0E76" w:rsidP="008F073A">
            <w:pPr>
              <w:pStyle w:val="NoSpacing"/>
              <w:jc w:val="right"/>
              <w:rPr>
                <w:rFonts w:cstheme="minorHAnsi"/>
                <w:bCs/>
                <w:w w:val="105"/>
              </w:rPr>
            </w:pPr>
            <w:r w:rsidRPr="00AE2D8D">
              <w:rPr>
                <w:rFonts w:cstheme="minorHAnsi"/>
                <w:bCs/>
                <w:w w:val="105"/>
              </w:rPr>
              <w:t>79,455</w:t>
            </w:r>
          </w:p>
        </w:tc>
        <w:tc>
          <w:tcPr>
            <w:tcW w:w="1276" w:type="dxa"/>
          </w:tcPr>
          <w:p w:rsidR="007E0E76" w:rsidRPr="00AE2D8D" w:rsidRDefault="007F3FB3" w:rsidP="008F073A">
            <w:pPr>
              <w:pStyle w:val="NoSpacing"/>
              <w:jc w:val="right"/>
              <w:rPr>
                <w:rFonts w:cstheme="minorHAnsi"/>
                <w:bCs/>
                <w:w w:val="105"/>
              </w:rPr>
            </w:pPr>
            <w:r w:rsidRPr="00AE2D8D">
              <w:rPr>
                <w:rFonts w:cstheme="minorHAnsi"/>
                <w:bCs/>
                <w:w w:val="105"/>
              </w:rPr>
              <w:t>75,155</w:t>
            </w:r>
          </w:p>
        </w:tc>
        <w:tc>
          <w:tcPr>
            <w:tcW w:w="1276" w:type="dxa"/>
          </w:tcPr>
          <w:p w:rsidR="007E0E76" w:rsidRPr="00AE2D8D" w:rsidRDefault="007F3FB3" w:rsidP="008F073A">
            <w:pPr>
              <w:pStyle w:val="NoSpacing"/>
              <w:jc w:val="right"/>
              <w:rPr>
                <w:rFonts w:cstheme="minorHAnsi"/>
                <w:bCs/>
                <w:w w:val="105"/>
              </w:rPr>
            </w:pPr>
            <w:r w:rsidRPr="00AE2D8D">
              <w:rPr>
                <w:rFonts w:cstheme="minorHAnsi"/>
                <w:bCs/>
                <w:w w:val="105"/>
              </w:rPr>
              <w:t>76,402</w:t>
            </w:r>
          </w:p>
        </w:tc>
        <w:tc>
          <w:tcPr>
            <w:tcW w:w="1276" w:type="dxa"/>
          </w:tcPr>
          <w:p w:rsidR="007E0E76" w:rsidRPr="00AE2D8D" w:rsidRDefault="007F3FB3" w:rsidP="008F073A">
            <w:pPr>
              <w:pStyle w:val="NoSpacing"/>
              <w:jc w:val="right"/>
              <w:rPr>
                <w:rFonts w:cstheme="minorHAnsi"/>
                <w:bCs/>
                <w:w w:val="105"/>
              </w:rPr>
            </w:pPr>
            <w:r w:rsidRPr="00AE2D8D">
              <w:rPr>
                <w:rFonts w:cstheme="minorHAnsi"/>
                <w:bCs/>
                <w:w w:val="105"/>
              </w:rPr>
              <w:t>71,937</w:t>
            </w:r>
          </w:p>
        </w:tc>
      </w:tr>
      <w:tr w:rsidR="007E0E76" w:rsidRPr="00AE2D8D" w:rsidTr="008F073A">
        <w:tc>
          <w:tcPr>
            <w:tcW w:w="8500" w:type="dxa"/>
          </w:tcPr>
          <w:p w:rsidR="007E0E76" w:rsidRPr="00AE2D8D" w:rsidRDefault="007E0E76" w:rsidP="008F073A">
            <w:pPr>
              <w:pStyle w:val="NoSpacing"/>
              <w:rPr>
                <w:rFonts w:cstheme="minorHAnsi"/>
                <w:bCs/>
                <w:w w:val="105"/>
              </w:rPr>
            </w:pPr>
            <w:r w:rsidRPr="00AE2D8D">
              <w:rPr>
                <w:rFonts w:cstheme="minorHAnsi"/>
                <w:bCs/>
                <w:w w:val="105"/>
              </w:rPr>
              <w:t>Depreciation and amortisation</w:t>
            </w:r>
          </w:p>
        </w:tc>
        <w:tc>
          <w:tcPr>
            <w:tcW w:w="1418" w:type="dxa"/>
          </w:tcPr>
          <w:p w:rsidR="007E0E76" w:rsidRPr="00AE2D8D" w:rsidRDefault="007E0E76" w:rsidP="008F073A">
            <w:pPr>
              <w:pStyle w:val="NoSpacing"/>
              <w:rPr>
                <w:rFonts w:cstheme="minorHAnsi"/>
                <w:bCs/>
                <w:w w:val="105"/>
              </w:rPr>
            </w:pPr>
            <w:r w:rsidRPr="00AE2D8D">
              <w:rPr>
                <w:rFonts w:cstheme="minorHAnsi"/>
                <w:bCs/>
                <w:w w:val="105"/>
              </w:rPr>
              <w:t>4.1.1</w:t>
            </w:r>
          </w:p>
        </w:tc>
        <w:tc>
          <w:tcPr>
            <w:tcW w:w="1417" w:type="dxa"/>
          </w:tcPr>
          <w:p w:rsidR="007E0E76" w:rsidRPr="00AE2D8D" w:rsidRDefault="007E0E76" w:rsidP="008F073A">
            <w:pPr>
              <w:pStyle w:val="NoSpacing"/>
              <w:jc w:val="right"/>
              <w:rPr>
                <w:rFonts w:cstheme="minorHAnsi"/>
                <w:bCs/>
                <w:w w:val="105"/>
              </w:rPr>
            </w:pPr>
            <w:r w:rsidRPr="00AE2D8D">
              <w:rPr>
                <w:rFonts w:cstheme="minorHAnsi"/>
                <w:bCs/>
                <w:w w:val="105"/>
              </w:rPr>
              <w:t>8,213</w:t>
            </w:r>
          </w:p>
        </w:tc>
        <w:tc>
          <w:tcPr>
            <w:tcW w:w="1276" w:type="dxa"/>
          </w:tcPr>
          <w:p w:rsidR="007E0E76" w:rsidRPr="00AE2D8D" w:rsidRDefault="007F3FB3" w:rsidP="008F073A">
            <w:pPr>
              <w:pStyle w:val="NoSpacing"/>
              <w:jc w:val="right"/>
              <w:rPr>
                <w:rFonts w:cstheme="minorHAnsi"/>
                <w:bCs/>
                <w:w w:val="105"/>
              </w:rPr>
            </w:pPr>
            <w:r w:rsidRPr="00AE2D8D">
              <w:rPr>
                <w:rFonts w:cstheme="minorHAnsi"/>
                <w:bCs/>
                <w:w w:val="105"/>
              </w:rPr>
              <w:t>8,344</w:t>
            </w:r>
          </w:p>
        </w:tc>
        <w:tc>
          <w:tcPr>
            <w:tcW w:w="1276" w:type="dxa"/>
          </w:tcPr>
          <w:p w:rsidR="007E0E76" w:rsidRPr="00AE2D8D" w:rsidRDefault="007F3FB3" w:rsidP="008F073A">
            <w:pPr>
              <w:pStyle w:val="NoSpacing"/>
              <w:jc w:val="right"/>
              <w:rPr>
                <w:rFonts w:cstheme="minorHAnsi"/>
                <w:bCs/>
                <w:w w:val="105"/>
              </w:rPr>
            </w:pPr>
            <w:r w:rsidRPr="00AE2D8D">
              <w:rPr>
                <w:rFonts w:cstheme="minorHAnsi"/>
                <w:bCs/>
                <w:w w:val="105"/>
              </w:rPr>
              <w:t>7,593</w:t>
            </w:r>
          </w:p>
        </w:tc>
        <w:tc>
          <w:tcPr>
            <w:tcW w:w="1276" w:type="dxa"/>
          </w:tcPr>
          <w:p w:rsidR="007E0E76" w:rsidRPr="00AE2D8D" w:rsidRDefault="007F3FB3" w:rsidP="008F073A">
            <w:pPr>
              <w:pStyle w:val="NoSpacing"/>
              <w:jc w:val="right"/>
              <w:rPr>
                <w:rFonts w:cstheme="minorHAnsi"/>
                <w:bCs/>
                <w:w w:val="105"/>
              </w:rPr>
            </w:pPr>
            <w:r w:rsidRPr="00AE2D8D">
              <w:rPr>
                <w:rFonts w:cstheme="minorHAnsi"/>
                <w:bCs/>
                <w:w w:val="105"/>
              </w:rPr>
              <w:t>7,872</w:t>
            </w:r>
          </w:p>
        </w:tc>
      </w:tr>
      <w:tr w:rsidR="007E0E76" w:rsidRPr="00AE2D8D" w:rsidTr="008F073A">
        <w:tc>
          <w:tcPr>
            <w:tcW w:w="8500" w:type="dxa"/>
          </w:tcPr>
          <w:p w:rsidR="007E0E76" w:rsidRPr="00AE2D8D" w:rsidRDefault="007E0E76" w:rsidP="007E0E76">
            <w:pPr>
              <w:pStyle w:val="NoSpacing"/>
              <w:rPr>
                <w:rFonts w:cstheme="minorHAnsi"/>
                <w:bCs/>
                <w:w w:val="105"/>
              </w:rPr>
            </w:pPr>
            <w:r w:rsidRPr="00AE2D8D">
              <w:rPr>
                <w:rFonts w:cstheme="minorHAnsi"/>
                <w:bCs/>
                <w:w w:val="105"/>
              </w:rPr>
              <w:t>Supplies and services</w:t>
            </w:r>
          </w:p>
        </w:tc>
        <w:tc>
          <w:tcPr>
            <w:tcW w:w="1418" w:type="dxa"/>
          </w:tcPr>
          <w:p w:rsidR="007E0E76" w:rsidRPr="00AE2D8D" w:rsidRDefault="007E0E76" w:rsidP="007E0E76">
            <w:pPr>
              <w:pStyle w:val="NoSpacing"/>
              <w:rPr>
                <w:rFonts w:cstheme="minorHAnsi"/>
                <w:bCs/>
                <w:w w:val="105"/>
              </w:rPr>
            </w:pPr>
            <w:r w:rsidRPr="00AE2D8D">
              <w:rPr>
                <w:rFonts w:cstheme="minorHAnsi"/>
                <w:bCs/>
                <w:w w:val="105"/>
              </w:rPr>
              <w:t>3.3</w:t>
            </w:r>
          </w:p>
        </w:tc>
        <w:tc>
          <w:tcPr>
            <w:tcW w:w="1417" w:type="dxa"/>
          </w:tcPr>
          <w:p w:rsidR="007E0E76" w:rsidRPr="00AE2D8D" w:rsidRDefault="007F3FB3" w:rsidP="007E0E76">
            <w:pPr>
              <w:pStyle w:val="NoSpacing"/>
              <w:jc w:val="right"/>
              <w:rPr>
                <w:rFonts w:cstheme="minorHAnsi"/>
                <w:bCs/>
                <w:w w:val="105"/>
              </w:rPr>
            </w:pPr>
            <w:r w:rsidRPr="00AE2D8D">
              <w:rPr>
                <w:rFonts w:cstheme="minorHAnsi"/>
                <w:bCs/>
                <w:w w:val="105"/>
              </w:rPr>
              <w:t>30,526</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25,298</w:t>
            </w:r>
          </w:p>
        </w:tc>
        <w:tc>
          <w:tcPr>
            <w:tcW w:w="1276" w:type="dxa"/>
          </w:tcPr>
          <w:p w:rsidR="007E0E76" w:rsidRPr="00AE2D8D" w:rsidRDefault="007F3FB3" w:rsidP="007E0E76">
            <w:pPr>
              <w:pStyle w:val="NoSpacing"/>
              <w:jc w:val="right"/>
              <w:rPr>
                <w:rFonts w:cstheme="minorHAnsi"/>
                <w:bCs/>
                <w:w w:val="105"/>
              </w:rPr>
            </w:pPr>
            <w:r w:rsidRPr="00AE2D8D">
              <w:rPr>
                <w:rFonts w:cstheme="minorHAnsi"/>
                <w:bCs/>
                <w:w w:val="105"/>
              </w:rPr>
              <w:t>29,949</w:t>
            </w:r>
          </w:p>
        </w:tc>
        <w:tc>
          <w:tcPr>
            <w:tcW w:w="1276" w:type="dxa"/>
          </w:tcPr>
          <w:p w:rsidR="007E0E76" w:rsidRPr="00AE2D8D" w:rsidRDefault="007F3FB3" w:rsidP="007E0E76">
            <w:pPr>
              <w:pStyle w:val="NoSpacing"/>
              <w:jc w:val="right"/>
              <w:rPr>
                <w:rFonts w:cstheme="minorHAnsi"/>
                <w:bCs/>
                <w:w w:val="105"/>
              </w:rPr>
            </w:pPr>
            <w:r w:rsidRPr="00AE2D8D">
              <w:rPr>
                <w:rFonts w:cstheme="minorHAnsi"/>
                <w:bCs/>
                <w:w w:val="105"/>
              </w:rPr>
              <w:t>24,350</w:t>
            </w:r>
          </w:p>
        </w:tc>
      </w:tr>
      <w:tr w:rsidR="007E0E76" w:rsidRPr="00AE2D8D" w:rsidTr="008F073A">
        <w:tc>
          <w:tcPr>
            <w:tcW w:w="8500" w:type="dxa"/>
          </w:tcPr>
          <w:p w:rsidR="007E0E76" w:rsidRPr="00AE2D8D" w:rsidRDefault="007E0E76" w:rsidP="007E0E76">
            <w:pPr>
              <w:pStyle w:val="NoSpacing"/>
              <w:rPr>
                <w:rFonts w:cstheme="minorHAnsi"/>
                <w:bCs/>
                <w:w w:val="105"/>
              </w:rPr>
            </w:pPr>
            <w:r w:rsidRPr="00AE2D8D">
              <w:rPr>
                <w:rFonts w:cstheme="minorHAnsi"/>
                <w:bCs/>
                <w:w w:val="105"/>
              </w:rPr>
              <w:t>Other operating expenses</w:t>
            </w:r>
          </w:p>
        </w:tc>
        <w:tc>
          <w:tcPr>
            <w:tcW w:w="1418" w:type="dxa"/>
          </w:tcPr>
          <w:p w:rsidR="007E0E76" w:rsidRPr="00AE2D8D" w:rsidRDefault="007E0E76" w:rsidP="007E0E76">
            <w:pPr>
              <w:pStyle w:val="NoSpacing"/>
              <w:rPr>
                <w:rFonts w:cstheme="minorHAnsi"/>
                <w:bCs/>
                <w:w w:val="105"/>
              </w:rPr>
            </w:pPr>
            <w:r w:rsidRPr="00AE2D8D">
              <w:rPr>
                <w:rFonts w:cstheme="minorHAnsi"/>
                <w:bCs/>
                <w:w w:val="105"/>
              </w:rPr>
              <w:t>3.4, 3.5</w:t>
            </w:r>
          </w:p>
        </w:tc>
        <w:tc>
          <w:tcPr>
            <w:tcW w:w="1417" w:type="dxa"/>
          </w:tcPr>
          <w:p w:rsidR="007E0E76" w:rsidRPr="00AE2D8D" w:rsidRDefault="007F3FB3" w:rsidP="007E0E76">
            <w:pPr>
              <w:pStyle w:val="NoSpacing"/>
              <w:jc w:val="right"/>
              <w:rPr>
                <w:rFonts w:cstheme="minorHAnsi"/>
                <w:bCs/>
                <w:w w:val="105"/>
              </w:rPr>
            </w:pPr>
            <w:r w:rsidRPr="00AE2D8D">
              <w:rPr>
                <w:rFonts w:cstheme="minorHAnsi"/>
                <w:bCs/>
                <w:w w:val="105"/>
              </w:rPr>
              <w:t>14,022</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12,927</w:t>
            </w:r>
          </w:p>
        </w:tc>
        <w:tc>
          <w:tcPr>
            <w:tcW w:w="1276" w:type="dxa"/>
          </w:tcPr>
          <w:p w:rsidR="007E0E76" w:rsidRPr="00AE2D8D" w:rsidRDefault="007F3FB3" w:rsidP="007E0E76">
            <w:pPr>
              <w:pStyle w:val="NoSpacing"/>
              <w:jc w:val="right"/>
              <w:rPr>
                <w:rFonts w:cstheme="minorHAnsi"/>
                <w:bCs/>
                <w:w w:val="105"/>
              </w:rPr>
            </w:pPr>
            <w:r w:rsidRPr="00AE2D8D">
              <w:rPr>
                <w:rFonts w:cstheme="minorHAnsi"/>
                <w:bCs/>
                <w:w w:val="105"/>
              </w:rPr>
              <w:t>16,967</w:t>
            </w:r>
          </w:p>
        </w:tc>
        <w:tc>
          <w:tcPr>
            <w:tcW w:w="1276" w:type="dxa"/>
          </w:tcPr>
          <w:p w:rsidR="007E0E76" w:rsidRPr="00AE2D8D" w:rsidRDefault="007F3FB3" w:rsidP="007E0E76">
            <w:pPr>
              <w:pStyle w:val="NoSpacing"/>
              <w:jc w:val="right"/>
              <w:rPr>
                <w:rFonts w:cstheme="minorHAnsi"/>
                <w:bCs/>
                <w:w w:val="105"/>
              </w:rPr>
            </w:pPr>
            <w:r w:rsidRPr="00AE2D8D">
              <w:rPr>
                <w:rFonts w:cstheme="minorHAnsi"/>
                <w:bCs/>
                <w:w w:val="105"/>
              </w:rPr>
              <w:t>11,558</w:t>
            </w:r>
          </w:p>
        </w:tc>
      </w:tr>
      <w:tr w:rsidR="007E0E76" w:rsidRPr="00AE2D8D" w:rsidTr="008F073A">
        <w:tc>
          <w:tcPr>
            <w:tcW w:w="8500" w:type="dxa"/>
          </w:tcPr>
          <w:p w:rsidR="007E0E76" w:rsidRPr="00AE2D8D" w:rsidRDefault="007E0E76" w:rsidP="007E0E76">
            <w:pPr>
              <w:pStyle w:val="NoSpacing"/>
              <w:rPr>
                <w:rFonts w:cstheme="minorHAnsi"/>
                <w:bCs/>
                <w:w w:val="105"/>
              </w:rPr>
            </w:pPr>
            <w:r w:rsidRPr="00AE2D8D">
              <w:rPr>
                <w:rFonts w:cstheme="minorHAnsi"/>
                <w:bCs/>
                <w:w w:val="105"/>
              </w:rPr>
              <w:t>Total expenses from transactions</w:t>
            </w:r>
          </w:p>
        </w:tc>
        <w:tc>
          <w:tcPr>
            <w:tcW w:w="1418" w:type="dxa"/>
          </w:tcPr>
          <w:p w:rsidR="007E0E76" w:rsidRPr="00AE2D8D" w:rsidRDefault="007E0E76" w:rsidP="007E0E76">
            <w:pPr>
              <w:pStyle w:val="NoSpacing"/>
              <w:rPr>
                <w:rFonts w:cstheme="minorHAnsi"/>
                <w:bCs/>
                <w:w w:val="105"/>
              </w:rPr>
            </w:pPr>
          </w:p>
        </w:tc>
        <w:tc>
          <w:tcPr>
            <w:tcW w:w="1417" w:type="dxa"/>
          </w:tcPr>
          <w:p w:rsidR="007E0E76" w:rsidRPr="00AE2D8D" w:rsidRDefault="007F3FB3" w:rsidP="007E0E76">
            <w:pPr>
              <w:pStyle w:val="NoSpacing"/>
              <w:jc w:val="right"/>
              <w:rPr>
                <w:rFonts w:cstheme="minorHAnsi"/>
                <w:bCs/>
                <w:w w:val="105"/>
              </w:rPr>
            </w:pPr>
            <w:r w:rsidRPr="00AE2D8D">
              <w:rPr>
                <w:rFonts w:cstheme="minorHAnsi"/>
                <w:bCs/>
                <w:w w:val="105"/>
              </w:rPr>
              <w:t>132,216</w:t>
            </w:r>
          </w:p>
        </w:tc>
        <w:tc>
          <w:tcPr>
            <w:tcW w:w="1276" w:type="dxa"/>
          </w:tcPr>
          <w:p w:rsidR="007E0E76" w:rsidRPr="00AE2D8D" w:rsidRDefault="007E0E76" w:rsidP="007E0E76">
            <w:pPr>
              <w:pStyle w:val="NoSpacing"/>
              <w:jc w:val="right"/>
              <w:rPr>
                <w:rFonts w:cstheme="minorHAnsi"/>
                <w:bCs/>
                <w:w w:val="105"/>
              </w:rPr>
            </w:pPr>
            <w:r w:rsidRPr="00AE2D8D">
              <w:rPr>
                <w:rFonts w:cstheme="minorHAnsi"/>
                <w:bCs/>
                <w:w w:val="105"/>
              </w:rPr>
              <w:t>121,724</w:t>
            </w:r>
          </w:p>
        </w:tc>
        <w:tc>
          <w:tcPr>
            <w:tcW w:w="1276" w:type="dxa"/>
          </w:tcPr>
          <w:p w:rsidR="007E0E76" w:rsidRPr="00AE2D8D" w:rsidRDefault="007F3FB3" w:rsidP="007E0E76">
            <w:pPr>
              <w:pStyle w:val="NoSpacing"/>
              <w:jc w:val="right"/>
              <w:rPr>
                <w:rFonts w:cstheme="minorHAnsi"/>
                <w:bCs/>
                <w:w w:val="105"/>
              </w:rPr>
            </w:pPr>
            <w:r w:rsidRPr="00AE2D8D">
              <w:rPr>
                <w:rFonts w:cstheme="minorHAnsi"/>
                <w:bCs/>
                <w:w w:val="105"/>
              </w:rPr>
              <w:t>130,911</w:t>
            </w:r>
          </w:p>
        </w:tc>
        <w:tc>
          <w:tcPr>
            <w:tcW w:w="1276" w:type="dxa"/>
          </w:tcPr>
          <w:p w:rsidR="007E0E76" w:rsidRPr="00AE2D8D" w:rsidRDefault="007F3FB3" w:rsidP="007E0E76">
            <w:pPr>
              <w:pStyle w:val="NoSpacing"/>
              <w:jc w:val="right"/>
              <w:rPr>
                <w:rFonts w:cstheme="minorHAnsi"/>
                <w:bCs/>
                <w:w w:val="105"/>
              </w:rPr>
            </w:pPr>
            <w:r w:rsidRPr="00AE2D8D">
              <w:rPr>
                <w:rFonts w:cstheme="minorHAnsi"/>
                <w:bCs/>
                <w:w w:val="105"/>
              </w:rPr>
              <w:t>115,717</w:t>
            </w:r>
          </w:p>
        </w:tc>
      </w:tr>
    </w:tbl>
    <w:p w:rsidR="007E0E76" w:rsidRPr="00AE2D8D" w:rsidRDefault="007E0E76" w:rsidP="00E46FF0">
      <w:pPr>
        <w:pStyle w:val="NoSpacing"/>
        <w:rPr>
          <w:rFonts w:cstheme="minorHAnsi"/>
          <w:bCs/>
          <w:w w:val="105"/>
        </w:rPr>
      </w:pP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7F3FB3" w:rsidRPr="00AE2D8D" w:rsidTr="008F073A">
        <w:tc>
          <w:tcPr>
            <w:tcW w:w="8500" w:type="dxa"/>
          </w:tcPr>
          <w:p w:rsidR="007F3FB3" w:rsidRPr="00AE2D8D" w:rsidRDefault="007F3FB3" w:rsidP="008F073A">
            <w:pPr>
              <w:pStyle w:val="NoSpacing"/>
              <w:rPr>
                <w:rFonts w:cstheme="minorHAnsi"/>
                <w:bCs/>
                <w:w w:val="105"/>
              </w:rPr>
            </w:pPr>
            <w:r w:rsidRPr="00AE2D8D">
              <w:rPr>
                <w:rFonts w:cstheme="minorHAnsi"/>
                <w:bCs/>
                <w:w w:val="105"/>
              </w:rPr>
              <w:t>Net result from transactions</w:t>
            </w:r>
          </w:p>
        </w:tc>
        <w:tc>
          <w:tcPr>
            <w:tcW w:w="1418" w:type="dxa"/>
          </w:tcPr>
          <w:p w:rsidR="007F3FB3" w:rsidRPr="00AE2D8D" w:rsidRDefault="007F3FB3" w:rsidP="008F073A">
            <w:pPr>
              <w:pStyle w:val="NoSpacing"/>
              <w:rPr>
                <w:rFonts w:cstheme="minorHAnsi"/>
                <w:bCs/>
                <w:w w:val="105"/>
              </w:rPr>
            </w:pPr>
          </w:p>
        </w:tc>
        <w:tc>
          <w:tcPr>
            <w:tcW w:w="1417" w:type="dxa"/>
          </w:tcPr>
          <w:p w:rsidR="007F3FB3" w:rsidRPr="00AE2D8D" w:rsidRDefault="007F3FB3" w:rsidP="008F073A">
            <w:pPr>
              <w:pStyle w:val="NoSpacing"/>
              <w:jc w:val="right"/>
              <w:rPr>
                <w:rFonts w:cstheme="minorHAnsi"/>
                <w:bCs/>
                <w:w w:val="105"/>
              </w:rPr>
            </w:pPr>
            <w:r w:rsidRPr="00AE2D8D">
              <w:rPr>
                <w:rFonts w:cstheme="minorHAnsi"/>
                <w:bCs/>
                <w:w w:val="105"/>
              </w:rPr>
              <w:t>33,348</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19,399</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32,539</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21,851</w:t>
            </w:r>
          </w:p>
        </w:tc>
      </w:tr>
    </w:tbl>
    <w:p w:rsidR="007F3FB3" w:rsidRPr="00AE2D8D" w:rsidRDefault="007F3FB3" w:rsidP="00E46FF0">
      <w:pPr>
        <w:pStyle w:val="NoSpacing"/>
        <w:rPr>
          <w:rFonts w:cstheme="minorHAnsi"/>
          <w:bCs/>
          <w:w w:val="105"/>
        </w:rPr>
      </w:pP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7F3FB3" w:rsidRPr="00AE2D8D" w:rsidTr="008F073A">
        <w:tc>
          <w:tcPr>
            <w:tcW w:w="8500" w:type="dxa"/>
          </w:tcPr>
          <w:p w:rsidR="007F3FB3" w:rsidRPr="00AE2D8D" w:rsidRDefault="007F3FB3" w:rsidP="008F073A">
            <w:pPr>
              <w:pStyle w:val="NoSpacing"/>
              <w:rPr>
                <w:rFonts w:cstheme="minorHAnsi"/>
                <w:bCs/>
                <w:w w:val="105"/>
              </w:rPr>
            </w:pPr>
            <w:r w:rsidRPr="00AE2D8D">
              <w:rPr>
                <w:rFonts w:cstheme="minorHAnsi"/>
                <w:bCs/>
                <w:w w:val="105"/>
              </w:rPr>
              <w:t>Other economic flows included in net result</w:t>
            </w:r>
          </w:p>
        </w:tc>
        <w:tc>
          <w:tcPr>
            <w:tcW w:w="1418" w:type="dxa"/>
          </w:tcPr>
          <w:p w:rsidR="007F3FB3" w:rsidRPr="00AE2D8D" w:rsidRDefault="007F3FB3" w:rsidP="008F073A">
            <w:pPr>
              <w:pStyle w:val="NoSpacing"/>
              <w:rPr>
                <w:rFonts w:cstheme="minorHAnsi"/>
                <w:bCs/>
                <w:w w:val="105"/>
              </w:rPr>
            </w:pPr>
            <w:r w:rsidRPr="00AE2D8D">
              <w:rPr>
                <w:rFonts w:cstheme="minorHAnsi"/>
                <w:bCs/>
                <w:w w:val="105"/>
              </w:rPr>
              <w:t>4.1.2, 9.1</w:t>
            </w:r>
          </w:p>
        </w:tc>
        <w:tc>
          <w:tcPr>
            <w:tcW w:w="1417" w:type="dxa"/>
          </w:tcPr>
          <w:p w:rsidR="007F3FB3" w:rsidRPr="00AE2D8D" w:rsidRDefault="007F3FB3" w:rsidP="008F073A">
            <w:pPr>
              <w:pStyle w:val="NoSpacing"/>
              <w:jc w:val="right"/>
              <w:rPr>
                <w:rFonts w:cstheme="minorHAnsi"/>
                <w:bCs/>
                <w:w w:val="105"/>
              </w:rPr>
            </w:pPr>
            <w:r w:rsidRPr="00AE2D8D">
              <w:rPr>
                <w:rFonts w:cstheme="minorHAnsi"/>
                <w:bCs/>
                <w:w w:val="105"/>
              </w:rPr>
              <w:t>(156)</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(5,954)</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(182)</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(5,963)</w:t>
            </w:r>
          </w:p>
        </w:tc>
      </w:tr>
      <w:tr w:rsidR="007F3FB3" w:rsidRPr="00AE2D8D" w:rsidTr="008F073A">
        <w:tc>
          <w:tcPr>
            <w:tcW w:w="8500" w:type="dxa"/>
          </w:tcPr>
          <w:p w:rsidR="007F3FB3" w:rsidRPr="00AE2D8D" w:rsidRDefault="007F3FB3" w:rsidP="008F073A">
            <w:pPr>
              <w:pStyle w:val="NoSpacing"/>
              <w:rPr>
                <w:rFonts w:cstheme="minorHAnsi"/>
                <w:bCs/>
                <w:w w:val="105"/>
              </w:rPr>
            </w:pPr>
            <w:r w:rsidRPr="00AE2D8D">
              <w:rPr>
                <w:rFonts w:cstheme="minorHAnsi"/>
                <w:bCs/>
                <w:w w:val="105"/>
              </w:rPr>
              <w:t xml:space="preserve">Net result from continuing operations </w:t>
            </w:r>
          </w:p>
        </w:tc>
        <w:tc>
          <w:tcPr>
            <w:tcW w:w="1418" w:type="dxa"/>
          </w:tcPr>
          <w:p w:rsidR="007F3FB3" w:rsidRPr="00AE2D8D" w:rsidRDefault="007F3FB3" w:rsidP="008F073A">
            <w:pPr>
              <w:pStyle w:val="NoSpacing"/>
              <w:rPr>
                <w:rFonts w:cstheme="minorHAnsi"/>
                <w:bCs/>
                <w:w w:val="105"/>
              </w:rPr>
            </w:pPr>
          </w:p>
        </w:tc>
        <w:tc>
          <w:tcPr>
            <w:tcW w:w="1417" w:type="dxa"/>
          </w:tcPr>
          <w:p w:rsidR="007F3FB3" w:rsidRPr="00AE2D8D" w:rsidRDefault="007F3FB3" w:rsidP="008F073A">
            <w:pPr>
              <w:pStyle w:val="NoSpacing"/>
              <w:jc w:val="right"/>
              <w:rPr>
                <w:rFonts w:cstheme="minorHAnsi"/>
                <w:bCs/>
                <w:w w:val="105"/>
              </w:rPr>
            </w:pPr>
            <w:r w:rsidRPr="00AE2D8D">
              <w:rPr>
                <w:rFonts w:cstheme="minorHAnsi"/>
                <w:bCs/>
                <w:w w:val="105"/>
              </w:rPr>
              <w:t>33,192</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13,445</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32,357</w:t>
            </w:r>
          </w:p>
        </w:tc>
        <w:tc>
          <w:tcPr>
            <w:tcW w:w="1276" w:type="dxa"/>
          </w:tcPr>
          <w:p w:rsidR="007F3FB3" w:rsidRPr="00AE2D8D" w:rsidRDefault="007F3FB3" w:rsidP="008F073A">
            <w:pPr>
              <w:pStyle w:val="NoSpacing"/>
              <w:jc w:val="right"/>
              <w:rPr>
                <w:rFonts w:cstheme="minorHAnsi"/>
                <w:bCs/>
                <w:w w:val="105"/>
              </w:rPr>
            </w:pPr>
            <w:r w:rsidRPr="00AE2D8D">
              <w:rPr>
                <w:rFonts w:cstheme="minorHAnsi"/>
                <w:bCs/>
                <w:w w:val="105"/>
              </w:rPr>
              <w:t>15,888</w:t>
            </w:r>
          </w:p>
        </w:tc>
      </w:tr>
    </w:tbl>
    <w:p w:rsidR="007F3FB3" w:rsidRPr="00AE2D8D" w:rsidRDefault="007F3FB3" w:rsidP="00E46FF0">
      <w:pPr>
        <w:pStyle w:val="NoSpacing"/>
        <w:rPr>
          <w:rFonts w:cstheme="minorHAnsi"/>
          <w:bCs/>
          <w:w w:val="105"/>
        </w:rPr>
      </w:pPr>
    </w:p>
    <w:p w:rsidR="007F3FB3" w:rsidRPr="00AE2D8D" w:rsidRDefault="007F3FB3" w:rsidP="00E46FF0">
      <w:pPr>
        <w:pStyle w:val="NoSpacing"/>
        <w:rPr>
          <w:rFonts w:cstheme="minorHAnsi"/>
          <w:bCs/>
          <w:w w:val="105"/>
        </w:rPr>
      </w:pPr>
      <w:r w:rsidRPr="00AE2D8D">
        <w:rPr>
          <w:rFonts w:cstheme="minorHAnsi"/>
          <w:bCs/>
          <w:w w:val="105"/>
        </w:rPr>
        <w:t>Other economic flows – other comprehensive income</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7F3FB3" w:rsidRPr="00AE2D8D" w:rsidTr="008F073A">
        <w:tc>
          <w:tcPr>
            <w:tcW w:w="8500" w:type="dxa"/>
          </w:tcPr>
          <w:p w:rsidR="007F3FB3" w:rsidRPr="00AE2D8D" w:rsidRDefault="00AE2D8D" w:rsidP="008F073A">
            <w:pPr>
              <w:pStyle w:val="NoSpacing"/>
              <w:rPr>
                <w:rFonts w:cstheme="minorHAnsi"/>
                <w:bCs/>
                <w:w w:val="105"/>
              </w:rPr>
            </w:pPr>
            <w:r w:rsidRPr="00AE2D8D">
              <w:rPr>
                <w:rFonts w:cstheme="minorHAnsi"/>
                <w:bCs/>
                <w:w w:val="105"/>
              </w:rPr>
              <w:t>Items that will not be reclassified to net result</w:t>
            </w:r>
          </w:p>
        </w:tc>
        <w:tc>
          <w:tcPr>
            <w:tcW w:w="1418" w:type="dxa"/>
          </w:tcPr>
          <w:p w:rsidR="007F3FB3" w:rsidRPr="00AE2D8D" w:rsidRDefault="007F3FB3" w:rsidP="008F073A">
            <w:pPr>
              <w:pStyle w:val="NoSpacing"/>
              <w:rPr>
                <w:rFonts w:cstheme="minorHAnsi"/>
                <w:bCs/>
                <w:w w:val="105"/>
              </w:rPr>
            </w:pPr>
          </w:p>
        </w:tc>
        <w:tc>
          <w:tcPr>
            <w:tcW w:w="1417" w:type="dxa"/>
          </w:tcPr>
          <w:p w:rsidR="007F3FB3" w:rsidRPr="00AE2D8D" w:rsidRDefault="007F3FB3" w:rsidP="008F073A">
            <w:pPr>
              <w:pStyle w:val="NoSpacing"/>
              <w:jc w:val="right"/>
              <w:rPr>
                <w:rFonts w:cstheme="minorHAnsi"/>
                <w:bCs/>
                <w:w w:val="105"/>
              </w:rPr>
            </w:pPr>
          </w:p>
        </w:tc>
        <w:tc>
          <w:tcPr>
            <w:tcW w:w="1276" w:type="dxa"/>
          </w:tcPr>
          <w:p w:rsidR="007F3FB3" w:rsidRPr="00AE2D8D" w:rsidRDefault="007F3FB3" w:rsidP="008F073A">
            <w:pPr>
              <w:pStyle w:val="NoSpacing"/>
              <w:jc w:val="right"/>
              <w:rPr>
                <w:rFonts w:cstheme="minorHAnsi"/>
                <w:bCs/>
                <w:w w:val="105"/>
              </w:rPr>
            </w:pPr>
          </w:p>
        </w:tc>
        <w:tc>
          <w:tcPr>
            <w:tcW w:w="1276" w:type="dxa"/>
          </w:tcPr>
          <w:p w:rsidR="007F3FB3" w:rsidRPr="00AE2D8D" w:rsidRDefault="007F3FB3" w:rsidP="008F073A">
            <w:pPr>
              <w:pStyle w:val="NoSpacing"/>
              <w:jc w:val="right"/>
              <w:rPr>
                <w:rFonts w:cstheme="minorHAnsi"/>
                <w:bCs/>
                <w:w w:val="105"/>
              </w:rPr>
            </w:pPr>
          </w:p>
        </w:tc>
        <w:tc>
          <w:tcPr>
            <w:tcW w:w="1276" w:type="dxa"/>
          </w:tcPr>
          <w:p w:rsidR="007F3FB3" w:rsidRPr="00AE2D8D" w:rsidRDefault="007F3FB3" w:rsidP="008F073A">
            <w:pPr>
              <w:pStyle w:val="NoSpacing"/>
              <w:jc w:val="right"/>
              <w:rPr>
                <w:rFonts w:cstheme="minorHAnsi"/>
                <w:bCs/>
                <w:w w:val="105"/>
              </w:rPr>
            </w:pPr>
          </w:p>
        </w:tc>
      </w:tr>
      <w:tr w:rsidR="007F3FB3" w:rsidRPr="00AE2D8D" w:rsidTr="008F073A">
        <w:tc>
          <w:tcPr>
            <w:tcW w:w="8500" w:type="dxa"/>
          </w:tcPr>
          <w:p w:rsidR="007F3FB3" w:rsidRPr="00AE2D8D" w:rsidRDefault="00AE2D8D" w:rsidP="008F073A">
            <w:pPr>
              <w:pStyle w:val="NoSpacing"/>
              <w:rPr>
                <w:rFonts w:cstheme="minorHAnsi"/>
                <w:bCs/>
                <w:w w:val="105"/>
              </w:rPr>
            </w:pPr>
            <w:r w:rsidRPr="00AE2D8D">
              <w:rPr>
                <w:rFonts w:cstheme="minorHAnsi"/>
                <w:bCs/>
                <w:w w:val="105"/>
              </w:rPr>
              <w:t>Changes in physical asset revaluation surplus</w:t>
            </w:r>
          </w:p>
        </w:tc>
        <w:tc>
          <w:tcPr>
            <w:tcW w:w="1418" w:type="dxa"/>
          </w:tcPr>
          <w:p w:rsidR="007F3FB3" w:rsidRPr="00AE2D8D" w:rsidRDefault="00AE2D8D" w:rsidP="008F073A">
            <w:pPr>
              <w:pStyle w:val="NoSpacing"/>
              <w:rPr>
                <w:rFonts w:cstheme="minorHAnsi"/>
                <w:bCs/>
                <w:w w:val="105"/>
              </w:rPr>
            </w:pPr>
            <w:r w:rsidRPr="00AE2D8D">
              <w:rPr>
                <w:rFonts w:cstheme="minorHAnsi"/>
                <w:bCs/>
                <w:w w:val="105"/>
              </w:rPr>
              <w:t>9.2</w:t>
            </w:r>
          </w:p>
        </w:tc>
        <w:tc>
          <w:tcPr>
            <w:tcW w:w="1417" w:type="dxa"/>
          </w:tcPr>
          <w:p w:rsidR="007F3FB3" w:rsidRPr="00AE2D8D" w:rsidRDefault="00AE2D8D" w:rsidP="008F073A">
            <w:pPr>
              <w:pStyle w:val="NoSpacing"/>
              <w:jc w:val="right"/>
              <w:rPr>
                <w:rFonts w:cstheme="minorHAnsi"/>
                <w:bCs/>
                <w:w w:val="105"/>
              </w:rPr>
            </w:pPr>
            <w:r w:rsidRPr="00AE2D8D">
              <w:rPr>
                <w:rFonts w:cstheme="minorHAnsi"/>
                <w:bCs/>
                <w:w w:val="105"/>
              </w:rPr>
              <w:t>18,325</w:t>
            </w:r>
          </w:p>
        </w:tc>
        <w:tc>
          <w:tcPr>
            <w:tcW w:w="1276" w:type="dxa"/>
          </w:tcPr>
          <w:p w:rsidR="007F3FB3" w:rsidRPr="00AE2D8D" w:rsidRDefault="00AE2D8D" w:rsidP="008F073A">
            <w:pPr>
              <w:pStyle w:val="NoSpacing"/>
              <w:jc w:val="right"/>
              <w:rPr>
                <w:rFonts w:cstheme="minorHAnsi"/>
                <w:bCs/>
                <w:w w:val="105"/>
              </w:rPr>
            </w:pPr>
            <w:r w:rsidRPr="00AE2D8D">
              <w:rPr>
                <w:rFonts w:cstheme="minorHAnsi"/>
                <w:bCs/>
                <w:w w:val="105"/>
              </w:rPr>
              <w:t>9,804</w:t>
            </w:r>
          </w:p>
        </w:tc>
        <w:tc>
          <w:tcPr>
            <w:tcW w:w="1276" w:type="dxa"/>
          </w:tcPr>
          <w:p w:rsidR="007F3FB3" w:rsidRPr="00AE2D8D" w:rsidRDefault="00AE2D8D" w:rsidP="008F073A">
            <w:pPr>
              <w:pStyle w:val="NoSpacing"/>
              <w:jc w:val="right"/>
              <w:rPr>
                <w:rFonts w:cstheme="minorHAnsi"/>
                <w:bCs/>
                <w:w w:val="105"/>
              </w:rPr>
            </w:pPr>
            <w:r w:rsidRPr="00AE2D8D">
              <w:rPr>
                <w:rFonts w:cstheme="minorHAnsi"/>
                <w:bCs/>
                <w:w w:val="105"/>
              </w:rPr>
              <w:t>18,325</w:t>
            </w:r>
          </w:p>
        </w:tc>
        <w:tc>
          <w:tcPr>
            <w:tcW w:w="1276" w:type="dxa"/>
          </w:tcPr>
          <w:p w:rsidR="007F3FB3" w:rsidRPr="00AE2D8D" w:rsidRDefault="00AE2D8D" w:rsidP="008F073A">
            <w:pPr>
              <w:pStyle w:val="NoSpacing"/>
              <w:jc w:val="right"/>
              <w:rPr>
                <w:rFonts w:cstheme="minorHAnsi"/>
                <w:bCs/>
                <w:w w:val="105"/>
              </w:rPr>
            </w:pPr>
            <w:r w:rsidRPr="00AE2D8D">
              <w:rPr>
                <w:rFonts w:cstheme="minorHAnsi"/>
                <w:bCs/>
                <w:w w:val="105"/>
              </w:rPr>
              <w:t>9,804</w:t>
            </w:r>
          </w:p>
        </w:tc>
      </w:tr>
      <w:tr w:rsidR="007F3FB3" w:rsidRPr="00AE2D8D" w:rsidTr="008F073A">
        <w:tc>
          <w:tcPr>
            <w:tcW w:w="8500" w:type="dxa"/>
          </w:tcPr>
          <w:p w:rsidR="007F3FB3" w:rsidRPr="00AE2D8D" w:rsidRDefault="00AE2D8D" w:rsidP="008F073A">
            <w:pPr>
              <w:pStyle w:val="NoSpacing"/>
              <w:rPr>
                <w:rFonts w:cstheme="minorHAnsi"/>
                <w:bCs/>
                <w:w w:val="105"/>
              </w:rPr>
            </w:pPr>
            <w:r w:rsidRPr="00AE2D8D">
              <w:rPr>
                <w:rFonts w:cstheme="minorHAnsi"/>
                <w:bCs/>
                <w:w w:val="105"/>
              </w:rPr>
              <w:t>Comprehensive result</w:t>
            </w:r>
          </w:p>
        </w:tc>
        <w:tc>
          <w:tcPr>
            <w:tcW w:w="1418" w:type="dxa"/>
          </w:tcPr>
          <w:p w:rsidR="007F3FB3" w:rsidRPr="00AE2D8D" w:rsidRDefault="007F3FB3" w:rsidP="008F073A">
            <w:pPr>
              <w:pStyle w:val="NoSpacing"/>
              <w:rPr>
                <w:rFonts w:cstheme="minorHAnsi"/>
                <w:bCs/>
                <w:w w:val="105"/>
              </w:rPr>
            </w:pPr>
          </w:p>
        </w:tc>
        <w:tc>
          <w:tcPr>
            <w:tcW w:w="1417" w:type="dxa"/>
          </w:tcPr>
          <w:p w:rsidR="007F3FB3" w:rsidRPr="00AE2D8D" w:rsidRDefault="00AE2D8D" w:rsidP="008F073A">
            <w:pPr>
              <w:pStyle w:val="NoSpacing"/>
              <w:jc w:val="right"/>
              <w:rPr>
                <w:rFonts w:cstheme="minorHAnsi"/>
                <w:bCs/>
                <w:w w:val="105"/>
              </w:rPr>
            </w:pPr>
            <w:r w:rsidRPr="00AE2D8D">
              <w:rPr>
                <w:rFonts w:cstheme="minorHAnsi"/>
                <w:bCs/>
                <w:w w:val="105"/>
              </w:rPr>
              <w:t>51,517</w:t>
            </w:r>
          </w:p>
        </w:tc>
        <w:tc>
          <w:tcPr>
            <w:tcW w:w="1276" w:type="dxa"/>
          </w:tcPr>
          <w:p w:rsidR="007F3FB3" w:rsidRPr="00AE2D8D" w:rsidRDefault="00AE2D8D" w:rsidP="008F073A">
            <w:pPr>
              <w:pStyle w:val="NoSpacing"/>
              <w:jc w:val="right"/>
              <w:rPr>
                <w:rFonts w:cstheme="minorHAnsi"/>
                <w:bCs/>
                <w:w w:val="105"/>
              </w:rPr>
            </w:pPr>
            <w:r w:rsidRPr="00AE2D8D">
              <w:rPr>
                <w:rFonts w:cstheme="minorHAnsi"/>
                <w:bCs/>
                <w:w w:val="105"/>
              </w:rPr>
              <w:t>23,249</w:t>
            </w:r>
          </w:p>
        </w:tc>
        <w:tc>
          <w:tcPr>
            <w:tcW w:w="1276" w:type="dxa"/>
          </w:tcPr>
          <w:p w:rsidR="007F3FB3" w:rsidRPr="00AE2D8D" w:rsidRDefault="00AE2D8D" w:rsidP="008F073A">
            <w:pPr>
              <w:pStyle w:val="NoSpacing"/>
              <w:jc w:val="right"/>
              <w:rPr>
                <w:rFonts w:cstheme="minorHAnsi"/>
                <w:bCs/>
                <w:w w:val="105"/>
              </w:rPr>
            </w:pPr>
            <w:r w:rsidRPr="00AE2D8D">
              <w:rPr>
                <w:rFonts w:cstheme="minorHAnsi"/>
                <w:bCs/>
                <w:w w:val="105"/>
              </w:rPr>
              <w:t>50,682</w:t>
            </w:r>
          </w:p>
        </w:tc>
        <w:tc>
          <w:tcPr>
            <w:tcW w:w="1276" w:type="dxa"/>
          </w:tcPr>
          <w:p w:rsidR="007F3FB3" w:rsidRPr="00AE2D8D" w:rsidRDefault="00AE2D8D" w:rsidP="008F073A">
            <w:pPr>
              <w:pStyle w:val="NoSpacing"/>
              <w:jc w:val="right"/>
              <w:rPr>
                <w:rFonts w:cstheme="minorHAnsi"/>
                <w:bCs/>
                <w:w w:val="105"/>
              </w:rPr>
            </w:pPr>
            <w:r w:rsidRPr="00AE2D8D">
              <w:rPr>
                <w:rFonts w:cstheme="minorHAnsi"/>
                <w:bCs/>
                <w:w w:val="105"/>
              </w:rPr>
              <w:t>25,692</w:t>
            </w:r>
          </w:p>
        </w:tc>
      </w:tr>
    </w:tbl>
    <w:p w:rsidR="007F3FB3" w:rsidRPr="00AE2D8D" w:rsidRDefault="007F3FB3" w:rsidP="00E46FF0">
      <w:pPr>
        <w:pStyle w:val="NoSpacing"/>
        <w:rPr>
          <w:rFonts w:cstheme="minorHAnsi"/>
          <w:bCs/>
          <w:w w:val="105"/>
        </w:rPr>
      </w:pPr>
    </w:p>
    <w:p w:rsidR="00AE2D8D" w:rsidRPr="00AE2D8D" w:rsidRDefault="00AE2D8D" w:rsidP="00AE2D8D">
      <w:pPr>
        <w:pStyle w:val="NoSpacing"/>
        <w:rPr>
          <w:rFonts w:cstheme="minorHAnsi"/>
        </w:rPr>
      </w:pPr>
      <w:r w:rsidRPr="00AE2D8D">
        <w:rPr>
          <w:rFonts w:cstheme="minorHAnsi"/>
        </w:rPr>
        <w:t>The above Comprehensive Operating Statement should be read in conjunction with the accompanying notes to the financial statements</w:t>
      </w:r>
    </w:p>
    <w:p w:rsidR="00AE2D8D" w:rsidRPr="00AE2D8D" w:rsidRDefault="00AE2D8D" w:rsidP="00E46FF0">
      <w:pPr>
        <w:pStyle w:val="NoSpacing"/>
        <w:rPr>
          <w:rFonts w:cstheme="minorHAnsi"/>
          <w:bCs/>
          <w:w w:val="105"/>
        </w:rPr>
      </w:pPr>
    </w:p>
    <w:p w:rsidR="00AE2D8D" w:rsidRDefault="00AE2D8D" w:rsidP="00E46FF0">
      <w:pPr>
        <w:pStyle w:val="NoSpacing"/>
        <w:rPr>
          <w:rFonts w:cstheme="minorHAnsi"/>
          <w:bCs/>
          <w:w w:val="105"/>
        </w:rPr>
      </w:pPr>
      <w:r w:rsidRPr="00AE2D8D">
        <w:rPr>
          <w:rFonts w:cstheme="minorHAnsi"/>
          <w:bCs/>
          <w:w w:val="105"/>
        </w:rPr>
        <w:t>&lt;pp&gt;42</w:t>
      </w:r>
    </w:p>
    <w:p w:rsidR="00AE2D8D" w:rsidRDefault="00AE2D8D" w:rsidP="006914D6">
      <w:pPr>
        <w:pStyle w:val="Heading2"/>
        <w:rPr>
          <w:w w:val="105"/>
        </w:rPr>
      </w:pPr>
      <w:r>
        <w:rPr>
          <w:w w:val="105"/>
        </w:rPr>
        <w:t>Balance Sheet</w:t>
      </w:r>
    </w:p>
    <w:p w:rsidR="00AE2D8D" w:rsidRDefault="00AE2D8D" w:rsidP="00E46FF0">
      <w:pPr>
        <w:pStyle w:val="NoSpacing"/>
        <w:rPr>
          <w:rFonts w:cstheme="minorHAnsi"/>
          <w:bCs/>
          <w:w w:val="105"/>
        </w:rPr>
      </w:pPr>
    </w:p>
    <w:p w:rsidR="00BB4096" w:rsidRDefault="00BB4096" w:rsidP="00E46FF0">
      <w:pPr>
        <w:pStyle w:val="NoSpacing"/>
        <w:rPr>
          <w:rFonts w:cstheme="minorHAnsi"/>
          <w:bCs/>
          <w:w w:val="105"/>
        </w:rPr>
      </w:pPr>
      <w:r>
        <w:rPr>
          <w:rFonts w:cstheme="minorHAnsi"/>
          <w:bCs/>
          <w:w w:val="105"/>
        </w:rPr>
        <w:t>As at 31 December 2017</w:t>
      </w:r>
    </w:p>
    <w:p w:rsidR="00BB4096" w:rsidRDefault="00BB4096" w:rsidP="00E46FF0">
      <w:pPr>
        <w:pStyle w:val="NoSpacing"/>
        <w:rPr>
          <w:rFonts w:cstheme="minorHAnsi"/>
          <w:bCs/>
          <w:w w:val="105"/>
        </w:rPr>
      </w:pPr>
    </w:p>
    <w:tbl>
      <w:tblPr>
        <w:tblStyle w:val="TableGrid"/>
        <w:tblW w:w="15173" w:type="dxa"/>
        <w:tblInd w:w="-5" w:type="dxa"/>
        <w:tblLayout w:type="fixed"/>
        <w:tblLook w:val="04A0" w:firstRow="1" w:lastRow="0" w:firstColumn="1" w:lastColumn="0" w:noHBand="0" w:noVBand="1"/>
      </w:tblPr>
      <w:tblGrid>
        <w:gridCol w:w="8505"/>
        <w:gridCol w:w="1418"/>
        <w:gridCol w:w="1418"/>
        <w:gridCol w:w="1276"/>
        <w:gridCol w:w="1275"/>
        <w:gridCol w:w="1281"/>
      </w:tblGrid>
      <w:tr w:rsidR="00BB4096" w:rsidRPr="00AE2D8D" w:rsidTr="008F073A">
        <w:tc>
          <w:tcPr>
            <w:tcW w:w="9923" w:type="dxa"/>
            <w:gridSpan w:val="2"/>
            <w:vMerge w:val="restart"/>
          </w:tcPr>
          <w:p w:rsidR="00BB4096" w:rsidRPr="00AE2D8D" w:rsidRDefault="00BB4096" w:rsidP="008F073A">
            <w:pPr>
              <w:pStyle w:val="NoSpacing"/>
              <w:rPr>
                <w:rFonts w:cstheme="minorHAnsi"/>
                <w:bCs/>
                <w:w w:val="105"/>
              </w:rPr>
            </w:pPr>
          </w:p>
        </w:tc>
        <w:tc>
          <w:tcPr>
            <w:tcW w:w="2694" w:type="dxa"/>
            <w:gridSpan w:val="2"/>
          </w:tcPr>
          <w:p w:rsidR="00BB4096" w:rsidRPr="00AE2D8D" w:rsidRDefault="00BB4096" w:rsidP="008F073A">
            <w:pPr>
              <w:pStyle w:val="NoSpacing"/>
              <w:jc w:val="center"/>
              <w:rPr>
                <w:rFonts w:cstheme="minorHAnsi"/>
                <w:bCs/>
                <w:w w:val="105"/>
              </w:rPr>
            </w:pPr>
            <w:r w:rsidRPr="00AE2D8D">
              <w:rPr>
                <w:rFonts w:cstheme="minorHAnsi"/>
                <w:bCs/>
                <w:w w:val="105"/>
              </w:rPr>
              <w:t>Consolidated</w:t>
            </w:r>
          </w:p>
        </w:tc>
        <w:tc>
          <w:tcPr>
            <w:tcW w:w="2556" w:type="dxa"/>
            <w:gridSpan w:val="2"/>
          </w:tcPr>
          <w:p w:rsidR="00BB4096" w:rsidRPr="00AE2D8D" w:rsidRDefault="00BB4096" w:rsidP="008F073A">
            <w:pPr>
              <w:pStyle w:val="NoSpacing"/>
              <w:jc w:val="center"/>
              <w:rPr>
                <w:rFonts w:cstheme="minorHAnsi"/>
                <w:bCs/>
                <w:w w:val="105"/>
              </w:rPr>
            </w:pPr>
            <w:r w:rsidRPr="00AE2D8D">
              <w:rPr>
                <w:rFonts w:cstheme="minorHAnsi"/>
                <w:bCs/>
                <w:w w:val="105"/>
              </w:rPr>
              <w:t>Chisholm</w:t>
            </w:r>
          </w:p>
        </w:tc>
      </w:tr>
      <w:tr w:rsidR="00BB4096" w:rsidRPr="00AE2D8D" w:rsidTr="008F073A">
        <w:tc>
          <w:tcPr>
            <w:tcW w:w="9923" w:type="dxa"/>
            <w:gridSpan w:val="2"/>
            <w:vMerge/>
          </w:tcPr>
          <w:p w:rsidR="00BB4096" w:rsidRPr="00AE2D8D" w:rsidRDefault="00BB4096" w:rsidP="008F073A">
            <w:pPr>
              <w:pStyle w:val="NoSpacing"/>
              <w:rPr>
                <w:rFonts w:cstheme="minorHAnsi"/>
                <w:bCs/>
                <w:w w:val="105"/>
              </w:rPr>
            </w:pPr>
          </w:p>
        </w:tc>
        <w:tc>
          <w:tcPr>
            <w:tcW w:w="1418" w:type="dxa"/>
          </w:tcPr>
          <w:p w:rsidR="00BB4096" w:rsidRPr="00AE2D8D" w:rsidRDefault="00BB4096" w:rsidP="008F073A">
            <w:pPr>
              <w:pStyle w:val="NoSpacing"/>
              <w:jc w:val="right"/>
              <w:rPr>
                <w:rFonts w:cstheme="minorHAnsi"/>
                <w:bCs/>
                <w:w w:val="105"/>
              </w:rPr>
            </w:pPr>
            <w:r w:rsidRPr="00AE2D8D">
              <w:rPr>
                <w:rFonts w:cstheme="minorHAnsi"/>
                <w:bCs/>
                <w:w w:val="105"/>
              </w:rPr>
              <w:t>2017</w:t>
            </w:r>
          </w:p>
        </w:tc>
        <w:tc>
          <w:tcPr>
            <w:tcW w:w="1276" w:type="dxa"/>
          </w:tcPr>
          <w:p w:rsidR="00BB4096" w:rsidRPr="00AE2D8D" w:rsidRDefault="00BB4096" w:rsidP="008F073A">
            <w:pPr>
              <w:pStyle w:val="NoSpacing"/>
              <w:jc w:val="right"/>
              <w:rPr>
                <w:rFonts w:cstheme="minorHAnsi"/>
                <w:bCs/>
                <w:w w:val="105"/>
              </w:rPr>
            </w:pPr>
            <w:r w:rsidRPr="00AE2D8D">
              <w:rPr>
                <w:rFonts w:cstheme="minorHAnsi"/>
                <w:bCs/>
                <w:w w:val="105"/>
              </w:rPr>
              <w:t>2016</w:t>
            </w:r>
          </w:p>
        </w:tc>
        <w:tc>
          <w:tcPr>
            <w:tcW w:w="1275" w:type="dxa"/>
          </w:tcPr>
          <w:p w:rsidR="00BB4096" w:rsidRPr="00AE2D8D" w:rsidRDefault="00BB4096" w:rsidP="008F073A">
            <w:pPr>
              <w:pStyle w:val="NoSpacing"/>
              <w:jc w:val="right"/>
              <w:rPr>
                <w:rFonts w:cstheme="minorHAnsi"/>
                <w:bCs/>
                <w:w w:val="105"/>
              </w:rPr>
            </w:pPr>
            <w:r w:rsidRPr="00AE2D8D">
              <w:rPr>
                <w:rFonts w:cstheme="minorHAnsi"/>
                <w:bCs/>
                <w:w w:val="105"/>
              </w:rPr>
              <w:t>2017</w:t>
            </w:r>
          </w:p>
        </w:tc>
        <w:tc>
          <w:tcPr>
            <w:tcW w:w="1281" w:type="dxa"/>
          </w:tcPr>
          <w:p w:rsidR="00BB4096" w:rsidRPr="00AE2D8D" w:rsidRDefault="00BB4096" w:rsidP="008F073A">
            <w:pPr>
              <w:pStyle w:val="NoSpacing"/>
              <w:jc w:val="right"/>
              <w:rPr>
                <w:rFonts w:cstheme="minorHAnsi"/>
                <w:bCs/>
                <w:w w:val="105"/>
              </w:rPr>
            </w:pPr>
            <w:r w:rsidRPr="00AE2D8D">
              <w:rPr>
                <w:rFonts w:cstheme="minorHAnsi"/>
                <w:bCs/>
                <w:w w:val="105"/>
              </w:rPr>
              <w:t>2016</w:t>
            </w:r>
          </w:p>
        </w:tc>
      </w:tr>
      <w:tr w:rsidR="00BB4096" w:rsidRPr="00AE2D8D" w:rsidTr="008F073A">
        <w:tc>
          <w:tcPr>
            <w:tcW w:w="8505" w:type="dxa"/>
          </w:tcPr>
          <w:p w:rsidR="00BB4096" w:rsidRPr="00AE2D8D" w:rsidRDefault="00BB4096" w:rsidP="008F073A">
            <w:pPr>
              <w:pStyle w:val="NoSpacing"/>
              <w:jc w:val="center"/>
              <w:rPr>
                <w:rFonts w:cstheme="minorHAnsi"/>
                <w:bCs/>
                <w:w w:val="105"/>
              </w:rPr>
            </w:pPr>
          </w:p>
        </w:tc>
        <w:tc>
          <w:tcPr>
            <w:tcW w:w="1418" w:type="dxa"/>
          </w:tcPr>
          <w:p w:rsidR="00BB4096" w:rsidRPr="00AE2D8D" w:rsidRDefault="00BB4096" w:rsidP="008F073A">
            <w:pPr>
              <w:pStyle w:val="NoSpacing"/>
              <w:rPr>
                <w:rFonts w:cstheme="minorHAnsi"/>
                <w:bCs/>
                <w:w w:val="105"/>
              </w:rPr>
            </w:pPr>
            <w:r w:rsidRPr="00AE2D8D">
              <w:rPr>
                <w:rFonts w:cstheme="minorHAnsi"/>
                <w:bCs/>
                <w:w w:val="105"/>
              </w:rPr>
              <w:t>Notes</w:t>
            </w:r>
          </w:p>
        </w:tc>
        <w:tc>
          <w:tcPr>
            <w:tcW w:w="1418" w:type="dxa"/>
          </w:tcPr>
          <w:p w:rsidR="00BB4096" w:rsidRPr="00AE2D8D" w:rsidRDefault="00BB4096" w:rsidP="008F073A">
            <w:pPr>
              <w:jc w:val="right"/>
              <w:rPr>
                <w:rFonts w:cstheme="minorHAnsi"/>
              </w:rPr>
            </w:pPr>
            <w:r w:rsidRPr="00AE2D8D">
              <w:rPr>
                <w:rFonts w:cstheme="minorHAnsi"/>
                <w:bCs/>
                <w:w w:val="105"/>
              </w:rPr>
              <w:t>$’000</w:t>
            </w:r>
          </w:p>
        </w:tc>
        <w:tc>
          <w:tcPr>
            <w:tcW w:w="1276" w:type="dxa"/>
          </w:tcPr>
          <w:p w:rsidR="00BB4096" w:rsidRPr="00AE2D8D" w:rsidRDefault="00BB4096" w:rsidP="008F073A">
            <w:pPr>
              <w:jc w:val="right"/>
              <w:rPr>
                <w:rFonts w:cstheme="minorHAnsi"/>
              </w:rPr>
            </w:pPr>
            <w:r w:rsidRPr="00AE2D8D">
              <w:rPr>
                <w:rFonts w:cstheme="minorHAnsi"/>
                <w:bCs/>
                <w:w w:val="105"/>
              </w:rPr>
              <w:t>$’000</w:t>
            </w:r>
          </w:p>
        </w:tc>
        <w:tc>
          <w:tcPr>
            <w:tcW w:w="1275" w:type="dxa"/>
          </w:tcPr>
          <w:p w:rsidR="00BB4096" w:rsidRPr="00AE2D8D" w:rsidRDefault="00BB4096" w:rsidP="008F073A">
            <w:pPr>
              <w:jc w:val="right"/>
              <w:rPr>
                <w:rFonts w:cstheme="minorHAnsi"/>
              </w:rPr>
            </w:pPr>
            <w:r w:rsidRPr="00AE2D8D">
              <w:rPr>
                <w:rFonts w:cstheme="minorHAnsi"/>
                <w:bCs/>
                <w:w w:val="105"/>
              </w:rPr>
              <w:t>$’000</w:t>
            </w:r>
          </w:p>
        </w:tc>
        <w:tc>
          <w:tcPr>
            <w:tcW w:w="1281" w:type="dxa"/>
          </w:tcPr>
          <w:p w:rsidR="00BB4096" w:rsidRPr="00AE2D8D" w:rsidRDefault="00BB4096" w:rsidP="008F073A">
            <w:pPr>
              <w:pStyle w:val="NoSpacing"/>
              <w:jc w:val="right"/>
              <w:rPr>
                <w:rFonts w:cstheme="minorHAnsi"/>
                <w:bCs/>
                <w:w w:val="105"/>
              </w:rPr>
            </w:pPr>
            <w:r w:rsidRPr="00AE2D8D">
              <w:rPr>
                <w:rFonts w:cstheme="minorHAnsi"/>
                <w:bCs/>
                <w:w w:val="105"/>
              </w:rPr>
              <w:t>$’000</w:t>
            </w:r>
          </w:p>
        </w:tc>
      </w:tr>
    </w:tbl>
    <w:p w:rsidR="00BB4096" w:rsidRDefault="00BB4096" w:rsidP="00BB4096">
      <w:pPr>
        <w:pStyle w:val="NoSpacing"/>
        <w:rPr>
          <w:rFonts w:cstheme="minorHAnsi"/>
          <w:bCs/>
          <w:w w:val="105"/>
        </w:rPr>
      </w:pPr>
      <w:r>
        <w:rPr>
          <w:rFonts w:cstheme="minorHAnsi"/>
          <w:bCs/>
          <w:w w:val="105"/>
        </w:rPr>
        <w:t>Assets</w:t>
      </w:r>
    </w:p>
    <w:p w:rsidR="00BB4096" w:rsidRDefault="00BB4096" w:rsidP="00BB4096">
      <w:pPr>
        <w:pStyle w:val="NoSpacing"/>
        <w:rPr>
          <w:rFonts w:cstheme="minorHAnsi"/>
          <w:bCs/>
          <w:w w:val="105"/>
        </w:rPr>
      </w:pPr>
    </w:p>
    <w:p w:rsidR="00BB4096" w:rsidRPr="00AE2D8D" w:rsidRDefault="00BB4096" w:rsidP="00BB4096">
      <w:pPr>
        <w:pStyle w:val="NoSpacing"/>
        <w:rPr>
          <w:rFonts w:cstheme="minorHAnsi"/>
          <w:bCs/>
          <w:w w:val="105"/>
        </w:rPr>
      </w:pPr>
      <w:r>
        <w:rPr>
          <w:rFonts w:cstheme="minorHAnsi"/>
          <w:bCs/>
          <w:w w:val="105"/>
        </w:rPr>
        <w:t>Financial assets</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 xml:space="preserve">Cash and deposits </w:t>
            </w:r>
          </w:p>
        </w:tc>
        <w:tc>
          <w:tcPr>
            <w:tcW w:w="1418" w:type="dxa"/>
          </w:tcPr>
          <w:p w:rsidR="00BB4096" w:rsidRPr="00AE2D8D" w:rsidRDefault="00B50005" w:rsidP="008F073A">
            <w:pPr>
              <w:pStyle w:val="NoSpacing"/>
              <w:rPr>
                <w:rFonts w:cstheme="minorHAnsi"/>
                <w:bCs/>
                <w:w w:val="105"/>
              </w:rPr>
            </w:pPr>
            <w:r>
              <w:rPr>
                <w:rFonts w:cstheme="minorHAnsi"/>
                <w:bCs/>
                <w:w w:val="105"/>
              </w:rPr>
              <w:t>6.1</w:t>
            </w:r>
          </w:p>
        </w:tc>
        <w:tc>
          <w:tcPr>
            <w:tcW w:w="1417" w:type="dxa"/>
          </w:tcPr>
          <w:p w:rsidR="00BB4096" w:rsidRPr="00AE2D8D" w:rsidRDefault="00B50005" w:rsidP="00B50005">
            <w:pPr>
              <w:pStyle w:val="NoSpacing"/>
              <w:jc w:val="right"/>
              <w:rPr>
                <w:rFonts w:cstheme="minorHAnsi"/>
                <w:bCs/>
                <w:w w:val="105"/>
              </w:rPr>
            </w:pPr>
            <w:r>
              <w:rPr>
                <w:rFonts w:cstheme="minorHAnsi"/>
                <w:bCs/>
                <w:w w:val="105"/>
              </w:rPr>
              <w:t>46,437</w:t>
            </w:r>
          </w:p>
        </w:tc>
        <w:tc>
          <w:tcPr>
            <w:tcW w:w="1276" w:type="dxa"/>
          </w:tcPr>
          <w:p w:rsidR="00BB4096" w:rsidRPr="00AE2D8D" w:rsidRDefault="00B50005" w:rsidP="008F073A">
            <w:pPr>
              <w:pStyle w:val="NoSpacing"/>
              <w:jc w:val="right"/>
              <w:rPr>
                <w:rFonts w:cstheme="minorHAnsi"/>
                <w:bCs/>
                <w:w w:val="105"/>
              </w:rPr>
            </w:pPr>
            <w:r>
              <w:rPr>
                <w:rFonts w:cstheme="minorHAnsi"/>
                <w:bCs/>
                <w:w w:val="105"/>
              </w:rPr>
              <w:t>57,161</w:t>
            </w:r>
          </w:p>
        </w:tc>
        <w:tc>
          <w:tcPr>
            <w:tcW w:w="1276" w:type="dxa"/>
          </w:tcPr>
          <w:p w:rsidR="00BB4096" w:rsidRPr="00AE2D8D" w:rsidRDefault="00B50005" w:rsidP="008F073A">
            <w:pPr>
              <w:pStyle w:val="NoSpacing"/>
              <w:jc w:val="right"/>
              <w:rPr>
                <w:rFonts w:cstheme="minorHAnsi"/>
                <w:bCs/>
                <w:w w:val="105"/>
              </w:rPr>
            </w:pPr>
            <w:r>
              <w:rPr>
                <w:rFonts w:cstheme="minorHAnsi"/>
                <w:bCs/>
                <w:w w:val="105"/>
              </w:rPr>
              <w:t>45,651</w:t>
            </w:r>
          </w:p>
        </w:tc>
        <w:tc>
          <w:tcPr>
            <w:tcW w:w="1276" w:type="dxa"/>
          </w:tcPr>
          <w:p w:rsidR="00BB4096" w:rsidRPr="00AE2D8D" w:rsidRDefault="00B50005" w:rsidP="008F073A">
            <w:pPr>
              <w:pStyle w:val="NoSpacing"/>
              <w:jc w:val="right"/>
              <w:rPr>
                <w:rFonts w:cstheme="minorHAnsi"/>
                <w:bCs/>
                <w:w w:val="105"/>
              </w:rPr>
            </w:pPr>
            <w:r>
              <w:rPr>
                <w:rFonts w:cstheme="minorHAnsi"/>
                <w:bCs/>
                <w:w w:val="105"/>
              </w:rPr>
              <w:t>56,285</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Investments and other financial assets</w:t>
            </w:r>
          </w:p>
        </w:tc>
        <w:tc>
          <w:tcPr>
            <w:tcW w:w="1418" w:type="dxa"/>
          </w:tcPr>
          <w:p w:rsidR="00BB4096" w:rsidRPr="00AE2D8D" w:rsidRDefault="00B50005" w:rsidP="008F073A">
            <w:pPr>
              <w:pStyle w:val="NoSpacing"/>
              <w:rPr>
                <w:rFonts w:cstheme="minorHAnsi"/>
                <w:bCs/>
                <w:w w:val="105"/>
              </w:rPr>
            </w:pPr>
            <w:r>
              <w:rPr>
                <w:rFonts w:cstheme="minorHAnsi"/>
                <w:bCs/>
                <w:w w:val="105"/>
              </w:rPr>
              <w:t>4.3</w:t>
            </w:r>
          </w:p>
        </w:tc>
        <w:tc>
          <w:tcPr>
            <w:tcW w:w="1417" w:type="dxa"/>
          </w:tcPr>
          <w:p w:rsidR="00BB4096" w:rsidRPr="00AE2D8D" w:rsidRDefault="00B50005" w:rsidP="008F073A">
            <w:pPr>
              <w:pStyle w:val="NoSpacing"/>
              <w:jc w:val="right"/>
              <w:rPr>
                <w:rFonts w:cstheme="minorHAnsi"/>
                <w:bCs/>
                <w:w w:val="105"/>
              </w:rPr>
            </w:pPr>
            <w:r>
              <w:rPr>
                <w:rFonts w:cstheme="minorHAnsi"/>
                <w:bCs/>
                <w:w w:val="105"/>
              </w:rPr>
              <w:t>51,261</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21,107</w:t>
            </w:r>
          </w:p>
        </w:tc>
        <w:tc>
          <w:tcPr>
            <w:tcW w:w="1276" w:type="dxa"/>
          </w:tcPr>
          <w:p w:rsidR="00BB4096" w:rsidRPr="00AE2D8D" w:rsidRDefault="00B50005" w:rsidP="008F073A">
            <w:pPr>
              <w:pStyle w:val="NoSpacing"/>
              <w:jc w:val="right"/>
              <w:rPr>
                <w:rFonts w:cstheme="minorHAnsi"/>
                <w:bCs/>
                <w:w w:val="105"/>
              </w:rPr>
            </w:pPr>
            <w:r>
              <w:rPr>
                <w:rFonts w:cstheme="minorHAnsi"/>
                <w:bCs/>
                <w:w w:val="105"/>
              </w:rPr>
              <w:t>56,000</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26,000</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Receivables</w:t>
            </w:r>
          </w:p>
        </w:tc>
        <w:tc>
          <w:tcPr>
            <w:tcW w:w="1418" w:type="dxa"/>
          </w:tcPr>
          <w:p w:rsidR="00BB4096" w:rsidRPr="00AE2D8D" w:rsidRDefault="00B50005" w:rsidP="008F073A">
            <w:pPr>
              <w:pStyle w:val="NoSpacing"/>
              <w:rPr>
                <w:rFonts w:cstheme="minorHAnsi"/>
                <w:bCs/>
                <w:w w:val="105"/>
              </w:rPr>
            </w:pPr>
            <w:r>
              <w:rPr>
                <w:rFonts w:cstheme="minorHAnsi"/>
                <w:bCs/>
                <w:w w:val="105"/>
              </w:rPr>
              <w:t>5.1</w:t>
            </w:r>
          </w:p>
        </w:tc>
        <w:tc>
          <w:tcPr>
            <w:tcW w:w="1417" w:type="dxa"/>
          </w:tcPr>
          <w:p w:rsidR="00BB4096" w:rsidRPr="00AE2D8D" w:rsidRDefault="00B50005" w:rsidP="008F073A">
            <w:pPr>
              <w:pStyle w:val="NoSpacing"/>
              <w:jc w:val="right"/>
              <w:rPr>
                <w:rFonts w:cstheme="minorHAnsi"/>
                <w:bCs/>
                <w:w w:val="105"/>
              </w:rPr>
            </w:pPr>
            <w:r>
              <w:rPr>
                <w:rFonts w:cstheme="minorHAnsi"/>
                <w:bCs/>
                <w:w w:val="105"/>
              </w:rPr>
              <w:t>14,538</w:t>
            </w:r>
          </w:p>
        </w:tc>
        <w:tc>
          <w:tcPr>
            <w:tcW w:w="1276" w:type="dxa"/>
          </w:tcPr>
          <w:p w:rsidR="00BB4096" w:rsidRPr="00AE2D8D" w:rsidRDefault="00B50005" w:rsidP="008F073A">
            <w:pPr>
              <w:pStyle w:val="NoSpacing"/>
              <w:jc w:val="right"/>
              <w:rPr>
                <w:rFonts w:cstheme="minorHAnsi"/>
                <w:bCs/>
                <w:w w:val="105"/>
              </w:rPr>
            </w:pPr>
            <w:r>
              <w:rPr>
                <w:rFonts w:cstheme="minorHAnsi"/>
                <w:bCs/>
                <w:w w:val="105"/>
              </w:rPr>
              <w:t>8,630</w:t>
            </w:r>
          </w:p>
        </w:tc>
        <w:tc>
          <w:tcPr>
            <w:tcW w:w="1276" w:type="dxa"/>
          </w:tcPr>
          <w:p w:rsidR="00BB4096" w:rsidRPr="00AE2D8D" w:rsidRDefault="00B50005" w:rsidP="008F073A">
            <w:pPr>
              <w:pStyle w:val="NoSpacing"/>
              <w:jc w:val="right"/>
              <w:rPr>
                <w:rFonts w:cstheme="minorHAnsi"/>
                <w:bCs/>
                <w:w w:val="105"/>
              </w:rPr>
            </w:pPr>
            <w:r>
              <w:rPr>
                <w:rFonts w:cstheme="minorHAnsi"/>
                <w:bCs/>
                <w:w w:val="105"/>
              </w:rPr>
              <w:t>16,285</w:t>
            </w:r>
          </w:p>
        </w:tc>
        <w:tc>
          <w:tcPr>
            <w:tcW w:w="1276" w:type="dxa"/>
          </w:tcPr>
          <w:p w:rsidR="00BB4096" w:rsidRPr="00AE2D8D" w:rsidRDefault="00B50005" w:rsidP="008F073A">
            <w:pPr>
              <w:pStyle w:val="NoSpacing"/>
              <w:jc w:val="right"/>
              <w:rPr>
                <w:rFonts w:cstheme="minorHAnsi"/>
                <w:bCs/>
                <w:w w:val="105"/>
              </w:rPr>
            </w:pPr>
            <w:r>
              <w:rPr>
                <w:rFonts w:cstheme="minorHAnsi"/>
                <w:bCs/>
                <w:w w:val="105"/>
              </w:rPr>
              <w:t>11,913</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Total financial assets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B50005" w:rsidP="008F073A">
            <w:pPr>
              <w:pStyle w:val="NoSpacing"/>
              <w:jc w:val="right"/>
              <w:rPr>
                <w:rFonts w:cstheme="minorHAnsi"/>
                <w:bCs/>
                <w:w w:val="105"/>
              </w:rPr>
            </w:pPr>
            <w:r>
              <w:rPr>
                <w:rFonts w:cstheme="minorHAnsi"/>
                <w:bCs/>
                <w:w w:val="105"/>
              </w:rPr>
              <w:t>112,236</w:t>
            </w:r>
          </w:p>
        </w:tc>
        <w:tc>
          <w:tcPr>
            <w:tcW w:w="1276" w:type="dxa"/>
          </w:tcPr>
          <w:p w:rsidR="00BB4096" w:rsidRPr="00AE2D8D" w:rsidRDefault="00B50005" w:rsidP="008F073A">
            <w:pPr>
              <w:pStyle w:val="NoSpacing"/>
              <w:jc w:val="right"/>
              <w:rPr>
                <w:rFonts w:cstheme="minorHAnsi"/>
                <w:bCs/>
                <w:w w:val="105"/>
              </w:rPr>
            </w:pPr>
            <w:r>
              <w:rPr>
                <w:rFonts w:cstheme="minorHAnsi"/>
                <w:bCs/>
                <w:w w:val="105"/>
              </w:rPr>
              <w:t>86,898</w:t>
            </w:r>
          </w:p>
        </w:tc>
        <w:tc>
          <w:tcPr>
            <w:tcW w:w="1276" w:type="dxa"/>
          </w:tcPr>
          <w:p w:rsidR="00BB4096" w:rsidRPr="00AE2D8D" w:rsidRDefault="00B50005" w:rsidP="008F073A">
            <w:pPr>
              <w:pStyle w:val="NoSpacing"/>
              <w:jc w:val="right"/>
              <w:rPr>
                <w:rFonts w:cstheme="minorHAnsi"/>
                <w:bCs/>
                <w:w w:val="105"/>
              </w:rPr>
            </w:pPr>
            <w:r>
              <w:rPr>
                <w:rFonts w:cstheme="minorHAnsi"/>
                <w:bCs/>
                <w:w w:val="105"/>
              </w:rPr>
              <w:t>117,976</w:t>
            </w:r>
          </w:p>
        </w:tc>
        <w:tc>
          <w:tcPr>
            <w:tcW w:w="1276" w:type="dxa"/>
          </w:tcPr>
          <w:p w:rsidR="00BB4096" w:rsidRPr="00AE2D8D" w:rsidRDefault="00B50005" w:rsidP="008F073A">
            <w:pPr>
              <w:pStyle w:val="NoSpacing"/>
              <w:jc w:val="right"/>
              <w:rPr>
                <w:rFonts w:cstheme="minorHAnsi"/>
                <w:bCs/>
                <w:w w:val="105"/>
              </w:rPr>
            </w:pPr>
            <w:r>
              <w:rPr>
                <w:rFonts w:cstheme="minorHAnsi"/>
                <w:bCs/>
                <w:w w:val="105"/>
              </w:rPr>
              <w:t>94,198</w:t>
            </w:r>
          </w:p>
        </w:tc>
      </w:tr>
    </w:tbl>
    <w:p w:rsidR="00BB4096" w:rsidRPr="00AE2D8D" w:rsidRDefault="00BB4096" w:rsidP="00BB4096">
      <w:pPr>
        <w:pStyle w:val="NoSpacing"/>
        <w:rPr>
          <w:rFonts w:cstheme="minorHAnsi"/>
          <w:bCs/>
          <w:w w:val="105"/>
        </w:rPr>
      </w:pPr>
    </w:p>
    <w:p w:rsidR="00BB4096" w:rsidRDefault="00BB4096" w:rsidP="00E46FF0">
      <w:pPr>
        <w:pStyle w:val="NoSpacing"/>
        <w:rPr>
          <w:rFonts w:cstheme="minorHAnsi"/>
          <w:bCs/>
          <w:w w:val="105"/>
        </w:rPr>
      </w:pPr>
      <w:r>
        <w:rPr>
          <w:rFonts w:cstheme="minorHAnsi"/>
          <w:bCs/>
          <w:w w:val="105"/>
        </w:rPr>
        <w:t>Non-financial assets</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Property, plant and equipment</w:t>
            </w:r>
          </w:p>
        </w:tc>
        <w:tc>
          <w:tcPr>
            <w:tcW w:w="1418" w:type="dxa"/>
          </w:tcPr>
          <w:p w:rsidR="00BB4096" w:rsidRPr="00AE2D8D" w:rsidRDefault="00B50005" w:rsidP="008F073A">
            <w:pPr>
              <w:pStyle w:val="NoSpacing"/>
              <w:rPr>
                <w:rFonts w:cstheme="minorHAnsi"/>
                <w:bCs/>
                <w:w w:val="105"/>
              </w:rPr>
            </w:pPr>
            <w:r>
              <w:rPr>
                <w:rFonts w:cstheme="minorHAnsi"/>
                <w:bCs/>
                <w:w w:val="105"/>
              </w:rPr>
              <w:t>4.1</w:t>
            </w:r>
          </w:p>
        </w:tc>
        <w:tc>
          <w:tcPr>
            <w:tcW w:w="1417" w:type="dxa"/>
          </w:tcPr>
          <w:p w:rsidR="00BB4096" w:rsidRPr="00AE2D8D" w:rsidRDefault="00B50005" w:rsidP="008F073A">
            <w:pPr>
              <w:pStyle w:val="NoSpacing"/>
              <w:jc w:val="right"/>
              <w:rPr>
                <w:rFonts w:cstheme="minorHAnsi"/>
                <w:bCs/>
                <w:w w:val="105"/>
              </w:rPr>
            </w:pPr>
            <w:r>
              <w:rPr>
                <w:rFonts w:cstheme="minorHAnsi"/>
                <w:bCs/>
                <w:w w:val="105"/>
              </w:rPr>
              <w:t>279,271</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253,749</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279,271</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253,406</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Intangible assets</w:t>
            </w:r>
          </w:p>
        </w:tc>
        <w:tc>
          <w:tcPr>
            <w:tcW w:w="1418" w:type="dxa"/>
          </w:tcPr>
          <w:p w:rsidR="00BB4096" w:rsidRPr="00AE2D8D" w:rsidRDefault="00B50005" w:rsidP="008F073A">
            <w:pPr>
              <w:pStyle w:val="NoSpacing"/>
              <w:rPr>
                <w:rFonts w:cstheme="minorHAnsi"/>
                <w:bCs/>
                <w:w w:val="105"/>
              </w:rPr>
            </w:pPr>
            <w:r>
              <w:rPr>
                <w:rFonts w:cstheme="minorHAnsi"/>
                <w:bCs/>
                <w:w w:val="105"/>
              </w:rPr>
              <w:t>4.2</w:t>
            </w:r>
          </w:p>
        </w:tc>
        <w:tc>
          <w:tcPr>
            <w:tcW w:w="1417" w:type="dxa"/>
          </w:tcPr>
          <w:p w:rsidR="00BB4096" w:rsidRPr="00AE2D8D" w:rsidRDefault="00B50005" w:rsidP="008F073A">
            <w:pPr>
              <w:pStyle w:val="NoSpacing"/>
              <w:jc w:val="right"/>
              <w:rPr>
                <w:rFonts w:cstheme="minorHAnsi"/>
                <w:bCs/>
                <w:w w:val="105"/>
              </w:rPr>
            </w:pPr>
            <w:r>
              <w:rPr>
                <w:rFonts w:cstheme="minorHAnsi"/>
                <w:bCs/>
                <w:w w:val="105"/>
              </w:rPr>
              <w:t>3,214</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2,028</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2,715</w:t>
            </w:r>
          </w:p>
        </w:tc>
        <w:tc>
          <w:tcPr>
            <w:tcW w:w="1276" w:type="dxa"/>
          </w:tcPr>
          <w:p w:rsidR="00BB4096" w:rsidRPr="00AE2D8D" w:rsidRDefault="00B50005" w:rsidP="008F073A">
            <w:pPr>
              <w:pStyle w:val="NoSpacing"/>
              <w:jc w:val="right"/>
              <w:rPr>
                <w:rFonts w:cstheme="minorHAnsi"/>
                <w:bCs/>
                <w:w w:val="105"/>
              </w:rPr>
            </w:pPr>
            <w:r>
              <w:rPr>
                <w:rFonts w:cstheme="minorHAnsi"/>
                <w:bCs/>
                <w:w w:val="105"/>
              </w:rPr>
              <w:t>1,236</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Other non-financial assets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B50005" w:rsidP="008F073A">
            <w:pPr>
              <w:pStyle w:val="NoSpacing"/>
              <w:jc w:val="right"/>
              <w:rPr>
                <w:rFonts w:cstheme="minorHAnsi"/>
                <w:bCs/>
                <w:w w:val="105"/>
              </w:rPr>
            </w:pPr>
            <w:r>
              <w:rPr>
                <w:rFonts w:cstheme="minorHAnsi"/>
                <w:bCs/>
                <w:w w:val="105"/>
              </w:rPr>
              <w:t>2,228</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2,147</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2,221</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2,093</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Total non-financial assets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B50005" w:rsidP="008F073A">
            <w:pPr>
              <w:pStyle w:val="NoSpacing"/>
              <w:jc w:val="right"/>
              <w:rPr>
                <w:rFonts w:cstheme="minorHAnsi"/>
                <w:bCs/>
                <w:w w:val="105"/>
              </w:rPr>
            </w:pPr>
            <w:r>
              <w:rPr>
                <w:rFonts w:cstheme="minorHAnsi"/>
                <w:bCs/>
                <w:w w:val="105"/>
              </w:rPr>
              <w:t>284,713</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257,924</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284,207</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256,735</w:t>
            </w:r>
          </w:p>
        </w:tc>
      </w:tr>
    </w:tbl>
    <w:p w:rsidR="00BB4096" w:rsidRDefault="00BB4096" w:rsidP="00E46FF0">
      <w:pPr>
        <w:pStyle w:val="NoSpacing"/>
        <w:rPr>
          <w:rFonts w:cstheme="minorHAnsi"/>
          <w:bCs/>
          <w:w w:val="105"/>
        </w:rPr>
      </w:pP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Total assets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B50005" w:rsidP="008F073A">
            <w:pPr>
              <w:pStyle w:val="NoSpacing"/>
              <w:jc w:val="right"/>
              <w:rPr>
                <w:rFonts w:cstheme="minorHAnsi"/>
                <w:bCs/>
                <w:w w:val="105"/>
              </w:rPr>
            </w:pPr>
            <w:r>
              <w:rPr>
                <w:rFonts w:cstheme="minorHAnsi"/>
                <w:bCs/>
                <w:w w:val="105"/>
              </w:rPr>
              <w:t>396,949</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244,822</w:t>
            </w:r>
          </w:p>
        </w:tc>
        <w:tc>
          <w:tcPr>
            <w:tcW w:w="1276" w:type="dxa"/>
          </w:tcPr>
          <w:p w:rsidR="00BB4096" w:rsidRPr="00AE2D8D" w:rsidRDefault="00B50005" w:rsidP="008F073A">
            <w:pPr>
              <w:pStyle w:val="NoSpacing"/>
              <w:jc w:val="right"/>
              <w:rPr>
                <w:rFonts w:cstheme="minorHAnsi"/>
                <w:bCs/>
                <w:w w:val="105"/>
              </w:rPr>
            </w:pPr>
            <w:r>
              <w:rPr>
                <w:rFonts w:cstheme="minorHAnsi"/>
                <w:bCs/>
                <w:w w:val="105"/>
              </w:rPr>
              <w:t>402,183</w:t>
            </w:r>
          </w:p>
        </w:tc>
        <w:tc>
          <w:tcPr>
            <w:tcW w:w="1276" w:type="dxa"/>
          </w:tcPr>
          <w:p w:rsidR="00BB4096" w:rsidRPr="00AE2D8D" w:rsidRDefault="00B50005" w:rsidP="008F073A">
            <w:pPr>
              <w:pStyle w:val="NoSpacing"/>
              <w:jc w:val="right"/>
              <w:rPr>
                <w:rFonts w:cstheme="minorHAnsi"/>
                <w:bCs/>
                <w:w w:val="105"/>
              </w:rPr>
            </w:pPr>
            <w:r>
              <w:rPr>
                <w:rFonts w:cstheme="minorHAnsi"/>
                <w:bCs/>
                <w:w w:val="105"/>
              </w:rPr>
              <w:t>350,933</w:t>
            </w:r>
          </w:p>
        </w:tc>
      </w:tr>
    </w:tbl>
    <w:p w:rsidR="00BB4096" w:rsidRDefault="00BB4096" w:rsidP="00E46FF0">
      <w:pPr>
        <w:pStyle w:val="NoSpacing"/>
        <w:rPr>
          <w:rFonts w:cstheme="minorHAnsi"/>
          <w:bCs/>
          <w:w w:val="105"/>
        </w:rPr>
      </w:pPr>
    </w:p>
    <w:p w:rsidR="00BB4096" w:rsidRDefault="00BB4096" w:rsidP="00BB4096">
      <w:pPr>
        <w:pStyle w:val="NoSpacing"/>
        <w:rPr>
          <w:rFonts w:cstheme="minorHAnsi"/>
          <w:bCs/>
          <w:w w:val="105"/>
        </w:rPr>
      </w:pPr>
      <w:r>
        <w:rPr>
          <w:rFonts w:cstheme="minorHAnsi"/>
          <w:bCs/>
          <w:w w:val="105"/>
        </w:rPr>
        <w:t>Liabilities</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Employee provisions</w:t>
            </w:r>
          </w:p>
        </w:tc>
        <w:tc>
          <w:tcPr>
            <w:tcW w:w="1418" w:type="dxa"/>
          </w:tcPr>
          <w:p w:rsidR="00BB4096" w:rsidRPr="00AE2D8D" w:rsidRDefault="00B50005" w:rsidP="008F073A">
            <w:pPr>
              <w:pStyle w:val="NoSpacing"/>
              <w:rPr>
                <w:rFonts w:cstheme="minorHAnsi"/>
                <w:bCs/>
                <w:w w:val="105"/>
              </w:rPr>
            </w:pPr>
            <w:r>
              <w:rPr>
                <w:rFonts w:cstheme="minorHAnsi"/>
                <w:bCs/>
                <w:w w:val="105"/>
              </w:rPr>
              <w:t>3.1.2</w:t>
            </w:r>
          </w:p>
        </w:tc>
        <w:tc>
          <w:tcPr>
            <w:tcW w:w="1417" w:type="dxa"/>
          </w:tcPr>
          <w:p w:rsidR="00BB4096" w:rsidRPr="00AE2D8D" w:rsidRDefault="00B50005" w:rsidP="008F073A">
            <w:pPr>
              <w:pStyle w:val="NoSpacing"/>
              <w:jc w:val="right"/>
              <w:rPr>
                <w:rFonts w:cstheme="minorHAnsi"/>
                <w:bCs/>
                <w:w w:val="105"/>
              </w:rPr>
            </w:pPr>
            <w:r>
              <w:rPr>
                <w:rFonts w:cstheme="minorHAnsi"/>
                <w:bCs/>
                <w:w w:val="105"/>
              </w:rPr>
              <w:t>9,272</w:t>
            </w:r>
          </w:p>
        </w:tc>
        <w:tc>
          <w:tcPr>
            <w:tcW w:w="1276" w:type="dxa"/>
          </w:tcPr>
          <w:p w:rsidR="00BB4096" w:rsidRPr="00AE2D8D" w:rsidRDefault="00B50005" w:rsidP="008F073A">
            <w:pPr>
              <w:pStyle w:val="NoSpacing"/>
              <w:jc w:val="right"/>
              <w:rPr>
                <w:rFonts w:cstheme="minorHAnsi"/>
                <w:bCs/>
                <w:w w:val="105"/>
              </w:rPr>
            </w:pPr>
            <w:r>
              <w:rPr>
                <w:rFonts w:cstheme="minorHAnsi"/>
                <w:bCs/>
                <w:w w:val="105"/>
              </w:rPr>
              <w:t>9,900</w:t>
            </w:r>
          </w:p>
        </w:tc>
        <w:tc>
          <w:tcPr>
            <w:tcW w:w="1276" w:type="dxa"/>
          </w:tcPr>
          <w:p w:rsidR="00BB4096" w:rsidRPr="00AE2D8D" w:rsidRDefault="00B50005" w:rsidP="008F073A">
            <w:pPr>
              <w:pStyle w:val="NoSpacing"/>
              <w:jc w:val="right"/>
              <w:rPr>
                <w:rFonts w:cstheme="minorHAnsi"/>
                <w:bCs/>
                <w:w w:val="105"/>
              </w:rPr>
            </w:pPr>
            <w:r>
              <w:rPr>
                <w:rFonts w:cstheme="minorHAnsi"/>
                <w:bCs/>
                <w:w w:val="105"/>
              </w:rPr>
              <w:t>9,208</w:t>
            </w:r>
          </w:p>
        </w:tc>
        <w:tc>
          <w:tcPr>
            <w:tcW w:w="1276" w:type="dxa"/>
          </w:tcPr>
          <w:p w:rsidR="00BB4096" w:rsidRPr="00AE2D8D" w:rsidRDefault="00B50005" w:rsidP="008F073A">
            <w:pPr>
              <w:pStyle w:val="NoSpacing"/>
              <w:jc w:val="right"/>
              <w:rPr>
                <w:rFonts w:cstheme="minorHAnsi"/>
                <w:bCs/>
                <w:w w:val="105"/>
              </w:rPr>
            </w:pPr>
            <w:r>
              <w:rPr>
                <w:rFonts w:cstheme="minorHAnsi"/>
                <w:bCs/>
                <w:w w:val="105"/>
              </w:rPr>
              <w:t>9,836</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Payables</w:t>
            </w:r>
          </w:p>
        </w:tc>
        <w:tc>
          <w:tcPr>
            <w:tcW w:w="1418" w:type="dxa"/>
          </w:tcPr>
          <w:p w:rsidR="00BB4096" w:rsidRPr="00AE2D8D" w:rsidRDefault="00B50005" w:rsidP="008F073A">
            <w:pPr>
              <w:pStyle w:val="NoSpacing"/>
              <w:rPr>
                <w:rFonts w:cstheme="minorHAnsi"/>
                <w:bCs/>
                <w:w w:val="105"/>
              </w:rPr>
            </w:pPr>
            <w:r>
              <w:rPr>
                <w:rFonts w:cstheme="minorHAnsi"/>
                <w:bCs/>
                <w:w w:val="105"/>
              </w:rPr>
              <w:t>5.2</w:t>
            </w:r>
          </w:p>
        </w:tc>
        <w:tc>
          <w:tcPr>
            <w:tcW w:w="1417" w:type="dxa"/>
          </w:tcPr>
          <w:p w:rsidR="00BB4096" w:rsidRPr="00AE2D8D" w:rsidRDefault="00B50005" w:rsidP="008F073A">
            <w:pPr>
              <w:pStyle w:val="NoSpacing"/>
              <w:jc w:val="right"/>
              <w:rPr>
                <w:rFonts w:cstheme="minorHAnsi"/>
                <w:bCs/>
                <w:w w:val="105"/>
              </w:rPr>
            </w:pPr>
            <w:r>
              <w:rPr>
                <w:rFonts w:cstheme="minorHAnsi"/>
                <w:bCs/>
                <w:w w:val="105"/>
              </w:rPr>
              <w:t>8,342</w:t>
            </w:r>
          </w:p>
        </w:tc>
        <w:tc>
          <w:tcPr>
            <w:tcW w:w="1276" w:type="dxa"/>
          </w:tcPr>
          <w:p w:rsidR="00BB4096" w:rsidRPr="00AE2D8D" w:rsidRDefault="00B50005" w:rsidP="008F073A">
            <w:pPr>
              <w:pStyle w:val="NoSpacing"/>
              <w:jc w:val="right"/>
              <w:rPr>
                <w:rFonts w:cstheme="minorHAnsi"/>
                <w:bCs/>
                <w:w w:val="105"/>
              </w:rPr>
            </w:pPr>
            <w:r>
              <w:rPr>
                <w:rFonts w:cstheme="minorHAnsi"/>
                <w:bCs/>
                <w:w w:val="105"/>
              </w:rPr>
              <w:t>6,868</w:t>
            </w:r>
          </w:p>
        </w:tc>
        <w:tc>
          <w:tcPr>
            <w:tcW w:w="1276" w:type="dxa"/>
          </w:tcPr>
          <w:p w:rsidR="00BB4096" w:rsidRPr="00AE2D8D" w:rsidRDefault="00B50005" w:rsidP="008F073A">
            <w:pPr>
              <w:pStyle w:val="NoSpacing"/>
              <w:jc w:val="right"/>
              <w:rPr>
                <w:rFonts w:cstheme="minorHAnsi"/>
                <w:bCs/>
                <w:w w:val="105"/>
              </w:rPr>
            </w:pPr>
            <w:r>
              <w:rPr>
                <w:rFonts w:cstheme="minorHAnsi"/>
                <w:bCs/>
                <w:w w:val="105"/>
              </w:rPr>
              <w:t>8,477</w:t>
            </w:r>
          </w:p>
        </w:tc>
        <w:tc>
          <w:tcPr>
            <w:tcW w:w="1276" w:type="dxa"/>
          </w:tcPr>
          <w:p w:rsidR="00BB4096" w:rsidRPr="00AE2D8D" w:rsidRDefault="00B50005" w:rsidP="008F073A">
            <w:pPr>
              <w:pStyle w:val="NoSpacing"/>
              <w:jc w:val="right"/>
              <w:rPr>
                <w:rFonts w:cstheme="minorHAnsi"/>
                <w:bCs/>
                <w:w w:val="105"/>
              </w:rPr>
            </w:pPr>
            <w:r>
              <w:rPr>
                <w:rFonts w:cstheme="minorHAnsi"/>
                <w:bCs/>
                <w:w w:val="105"/>
              </w:rPr>
              <w:t>6,998</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Other liabilities</w:t>
            </w:r>
          </w:p>
        </w:tc>
        <w:tc>
          <w:tcPr>
            <w:tcW w:w="1418" w:type="dxa"/>
          </w:tcPr>
          <w:p w:rsidR="00BB4096" w:rsidRPr="00AE2D8D" w:rsidRDefault="00B50005" w:rsidP="008F073A">
            <w:pPr>
              <w:pStyle w:val="NoSpacing"/>
              <w:rPr>
                <w:rFonts w:cstheme="minorHAnsi"/>
                <w:bCs/>
                <w:w w:val="105"/>
              </w:rPr>
            </w:pPr>
            <w:r>
              <w:rPr>
                <w:rFonts w:cstheme="minorHAnsi"/>
                <w:bCs/>
                <w:w w:val="105"/>
              </w:rPr>
              <w:t>5.3, 6.2</w:t>
            </w:r>
          </w:p>
        </w:tc>
        <w:tc>
          <w:tcPr>
            <w:tcW w:w="1417" w:type="dxa"/>
          </w:tcPr>
          <w:p w:rsidR="00BB4096" w:rsidRPr="00AE2D8D" w:rsidRDefault="00B50005" w:rsidP="008F073A">
            <w:pPr>
              <w:pStyle w:val="NoSpacing"/>
              <w:jc w:val="right"/>
              <w:rPr>
                <w:rFonts w:cstheme="minorHAnsi"/>
                <w:bCs/>
                <w:w w:val="105"/>
              </w:rPr>
            </w:pPr>
            <w:r>
              <w:rPr>
                <w:rFonts w:cstheme="minorHAnsi"/>
                <w:bCs/>
                <w:w w:val="105"/>
              </w:rPr>
              <w:t>4,729</w:t>
            </w:r>
          </w:p>
        </w:tc>
        <w:tc>
          <w:tcPr>
            <w:tcW w:w="1276" w:type="dxa"/>
          </w:tcPr>
          <w:p w:rsidR="00BB4096" w:rsidRPr="00AE2D8D" w:rsidRDefault="00B50005" w:rsidP="008F073A">
            <w:pPr>
              <w:pStyle w:val="NoSpacing"/>
              <w:jc w:val="right"/>
              <w:rPr>
                <w:rFonts w:cstheme="minorHAnsi"/>
                <w:bCs/>
                <w:w w:val="105"/>
              </w:rPr>
            </w:pPr>
            <w:r>
              <w:rPr>
                <w:rFonts w:cstheme="minorHAnsi"/>
                <w:bCs/>
                <w:w w:val="105"/>
              </w:rPr>
              <w:t>4,964</w:t>
            </w:r>
          </w:p>
        </w:tc>
        <w:tc>
          <w:tcPr>
            <w:tcW w:w="1276" w:type="dxa"/>
          </w:tcPr>
          <w:p w:rsidR="00BB4096" w:rsidRPr="00AE2D8D" w:rsidRDefault="00B50005" w:rsidP="008F073A">
            <w:pPr>
              <w:pStyle w:val="NoSpacing"/>
              <w:jc w:val="right"/>
              <w:rPr>
                <w:rFonts w:cstheme="minorHAnsi"/>
                <w:bCs/>
                <w:w w:val="105"/>
              </w:rPr>
            </w:pPr>
            <w:r>
              <w:rPr>
                <w:rFonts w:cstheme="minorHAnsi"/>
                <w:bCs/>
                <w:w w:val="105"/>
              </w:rPr>
              <w:t>4,674</w:t>
            </w:r>
          </w:p>
        </w:tc>
        <w:tc>
          <w:tcPr>
            <w:tcW w:w="1276" w:type="dxa"/>
          </w:tcPr>
          <w:p w:rsidR="00BB4096" w:rsidRPr="00AE2D8D" w:rsidRDefault="00B50005" w:rsidP="008F073A">
            <w:pPr>
              <w:pStyle w:val="NoSpacing"/>
              <w:jc w:val="right"/>
              <w:rPr>
                <w:rFonts w:cstheme="minorHAnsi"/>
                <w:bCs/>
                <w:w w:val="105"/>
              </w:rPr>
            </w:pPr>
            <w:r>
              <w:rPr>
                <w:rFonts w:cstheme="minorHAnsi"/>
                <w:bCs/>
                <w:w w:val="105"/>
              </w:rPr>
              <w:t>4,957</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Total liabilities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B50005" w:rsidP="008F073A">
            <w:pPr>
              <w:pStyle w:val="NoSpacing"/>
              <w:jc w:val="right"/>
              <w:rPr>
                <w:rFonts w:cstheme="minorHAnsi"/>
                <w:bCs/>
                <w:w w:val="105"/>
              </w:rPr>
            </w:pPr>
            <w:r>
              <w:rPr>
                <w:rFonts w:cstheme="minorHAnsi"/>
                <w:bCs/>
                <w:w w:val="105"/>
              </w:rPr>
              <w:t>22,343</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21,732</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22,359</w:t>
            </w:r>
          </w:p>
        </w:tc>
        <w:tc>
          <w:tcPr>
            <w:tcW w:w="1276" w:type="dxa"/>
          </w:tcPr>
          <w:p w:rsidR="00BB4096" w:rsidRPr="00AE2D8D" w:rsidRDefault="00B50005" w:rsidP="008F073A">
            <w:pPr>
              <w:pStyle w:val="NoSpacing"/>
              <w:jc w:val="right"/>
              <w:rPr>
                <w:rFonts w:cstheme="minorHAnsi"/>
                <w:bCs/>
                <w:w w:val="105"/>
              </w:rPr>
            </w:pPr>
            <w:r>
              <w:rPr>
                <w:rFonts w:cstheme="minorHAnsi"/>
                <w:bCs/>
                <w:w w:val="105"/>
              </w:rPr>
              <w:t>21,791</w:t>
            </w:r>
          </w:p>
        </w:tc>
      </w:tr>
    </w:tbl>
    <w:p w:rsidR="00AE2D8D" w:rsidRDefault="00AE2D8D" w:rsidP="00E46FF0">
      <w:pPr>
        <w:pStyle w:val="NoSpacing"/>
        <w:rPr>
          <w:rFonts w:cstheme="minorHAnsi"/>
          <w:bCs/>
          <w:w w:val="105"/>
        </w:rPr>
      </w:pP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Net assets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AE115E" w:rsidP="008F073A">
            <w:pPr>
              <w:pStyle w:val="NoSpacing"/>
              <w:jc w:val="right"/>
              <w:rPr>
                <w:rFonts w:cstheme="minorHAnsi"/>
                <w:bCs/>
                <w:w w:val="105"/>
              </w:rPr>
            </w:pPr>
            <w:r>
              <w:rPr>
                <w:rFonts w:cstheme="minorHAnsi"/>
                <w:bCs/>
                <w:w w:val="105"/>
              </w:rPr>
              <w:t>374,606</w:t>
            </w:r>
          </w:p>
        </w:tc>
        <w:tc>
          <w:tcPr>
            <w:tcW w:w="1276" w:type="dxa"/>
          </w:tcPr>
          <w:p w:rsidR="00BB4096" w:rsidRPr="00AE2D8D" w:rsidRDefault="00AE115E" w:rsidP="008F073A">
            <w:pPr>
              <w:pStyle w:val="NoSpacing"/>
              <w:jc w:val="right"/>
              <w:rPr>
                <w:rFonts w:cstheme="minorHAnsi"/>
                <w:bCs/>
                <w:w w:val="105"/>
              </w:rPr>
            </w:pPr>
            <w:r>
              <w:rPr>
                <w:rFonts w:cstheme="minorHAnsi"/>
                <w:bCs/>
                <w:w w:val="105"/>
              </w:rPr>
              <w:t>323,090</w:t>
            </w:r>
          </w:p>
        </w:tc>
        <w:tc>
          <w:tcPr>
            <w:tcW w:w="1276" w:type="dxa"/>
          </w:tcPr>
          <w:p w:rsidR="00BB4096" w:rsidRPr="00AE2D8D" w:rsidRDefault="00AE115E" w:rsidP="008F073A">
            <w:pPr>
              <w:pStyle w:val="NoSpacing"/>
              <w:jc w:val="right"/>
              <w:rPr>
                <w:rFonts w:cstheme="minorHAnsi"/>
                <w:bCs/>
                <w:w w:val="105"/>
              </w:rPr>
            </w:pPr>
            <w:r>
              <w:rPr>
                <w:rFonts w:cstheme="minorHAnsi"/>
                <w:bCs/>
                <w:w w:val="105"/>
              </w:rPr>
              <w:t>379,824</w:t>
            </w:r>
          </w:p>
        </w:tc>
        <w:tc>
          <w:tcPr>
            <w:tcW w:w="1276" w:type="dxa"/>
          </w:tcPr>
          <w:p w:rsidR="00BB4096" w:rsidRPr="00AE2D8D" w:rsidRDefault="00AE115E" w:rsidP="008F073A">
            <w:pPr>
              <w:pStyle w:val="NoSpacing"/>
              <w:jc w:val="right"/>
              <w:rPr>
                <w:rFonts w:cstheme="minorHAnsi"/>
                <w:bCs/>
                <w:w w:val="105"/>
              </w:rPr>
            </w:pPr>
            <w:r>
              <w:rPr>
                <w:rFonts w:cstheme="minorHAnsi"/>
                <w:bCs/>
                <w:w w:val="105"/>
              </w:rPr>
              <w:t>329,142</w:t>
            </w:r>
          </w:p>
        </w:tc>
      </w:tr>
    </w:tbl>
    <w:p w:rsidR="00BB4096" w:rsidRDefault="00BB4096" w:rsidP="00E46FF0">
      <w:pPr>
        <w:pStyle w:val="NoSpacing"/>
        <w:rPr>
          <w:rFonts w:cstheme="minorHAnsi"/>
          <w:bCs/>
          <w:w w:val="105"/>
        </w:rPr>
      </w:pPr>
    </w:p>
    <w:p w:rsidR="00BB4096" w:rsidRDefault="00BB4096" w:rsidP="00BB4096">
      <w:pPr>
        <w:pStyle w:val="NoSpacing"/>
        <w:rPr>
          <w:rFonts w:cstheme="minorHAnsi"/>
          <w:bCs/>
          <w:w w:val="105"/>
        </w:rPr>
      </w:pPr>
      <w:r>
        <w:rPr>
          <w:rFonts w:cstheme="minorHAnsi"/>
          <w:bCs/>
          <w:w w:val="105"/>
        </w:rPr>
        <w:t>Equity</w:t>
      </w:r>
    </w:p>
    <w:tbl>
      <w:tblPr>
        <w:tblStyle w:val="TableGrid"/>
        <w:tblW w:w="15163" w:type="dxa"/>
        <w:tblLook w:val="04A0" w:firstRow="1" w:lastRow="0" w:firstColumn="1" w:lastColumn="0" w:noHBand="0" w:noVBand="1"/>
      </w:tblPr>
      <w:tblGrid>
        <w:gridCol w:w="8500"/>
        <w:gridCol w:w="1418"/>
        <w:gridCol w:w="1417"/>
        <w:gridCol w:w="1276"/>
        <w:gridCol w:w="1276"/>
        <w:gridCol w:w="1276"/>
      </w:tblGrid>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Accumulated surplus</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AE115E" w:rsidP="008F073A">
            <w:pPr>
              <w:pStyle w:val="NoSpacing"/>
              <w:jc w:val="right"/>
              <w:rPr>
                <w:rFonts w:cstheme="minorHAnsi"/>
                <w:bCs/>
                <w:w w:val="105"/>
              </w:rPr>
            </w:pPr>
            <w:r>
              <w:rPr>
                <w:rFonts w:cstheme="minorHAnsi"/>
                <w:bCs/>
                <w:w w:val="105"/>
              </w:rPr>
              <w:t>210,381</w:t>
            </w:r>
          </w:p>
        </w:tc>
        <w:tc>
          <w:tcPr>
            <w:tcW w:w="1276" w:type="dxa"/>
          </w:tcPr>
          <w:p w:rsidR="00BB4096" w:rsidRPr="00AE2D8D" w:rsidRDefault="00AE115E" w:rsidP="008F073A">
            <w:pPr>
              <w:pStyle w:val="NoSpacing"/>
              <w:jc w:val="right"/>
              <w:rPr>
                <w:rFonts w:cstheme="minorHAnsi"/>
                <w:bCs/>
                <w:w w:val="105"/>
              </w:rPr>
            </w:pPr>
            <w:r>
              <w:rPr>
                <w:rFonts w:cstheme="minorHAnsi"/>
                <w:bCs/>
                <w:w w:val="105"/>
              </w:rPr>
              <w:t>177,190</w:t>
            </w:r>
          </w:p>
        </w:tc>
        <w:tc>
          <w:tcPr>
            <w:tcW w:w="1276" w:type="dxa"/>
          </w:tcPr>
          <w:p w:rsidR="00BB4096" w:rsidRPr="00AE2D8D" w:rsidRDefault="00AE115E" w:rsidP="008F073A">
            <w:pPr>
              <w:pStyle w:val="NoSpacing"/>
              <w:jc w:val="right"/>
              <w:rPr>
                <w:rFonts w:cstheme="minorHAnsi"/>
                <w:bCs/>
                <w:w w:val="105"/>
              </w:rPr>
            </w:pPr>
            <w:r>
              <w:rPr>
                <w:rFonts w:cstheme="minorHAnsi"/>
                <w:bCs/>
                <w:w w:val="105"/>
              </w:rPr>
              <w:t>215,599</w:t>
            </w:r>
          </w:p>
        </w:tc>
        <w:tc>
          <w:tcPr>
            <w:tcW w:w="1276" w:type="dxa"/>
          </w:tcPr>
          <w:p w:rsidR="00BB4096" w:rsidRPr="00AE2D8D" w:rsidRDefault="00AE115E" w:rsidP="008F073A">
            <w:pPr>
              <w:pStyle w:val="NoSpacing"/>
              <w:jc w:val="right"/>
              <w:rPr>
                <w:rFonts w:cstheme="minorHAnsi"/>
                <w:bCs/>
                <w:w w:val="105"/>
              </w:rPr>
            </w:pPr>
            <w:r>
              <w:rPr>
                <w:rFonts w:cstheme="minorHAnsi"/>
                <w:bCs/>
                <w:w w:val="105"/>
              </w:rPr>
              <w:t>183,242</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 xml:space="preserve">Contributed capital </w:t>
            </w:r>
          </w:p>
        </w:tc>
        <w:tc>
          <w:tcPr>
            <w:tcW w:w="1418" w:type="dxa"/>
          </w:tcPr>
          <w:p w:rsidR="00BB4096" w:rsidRPr="00AE2D8D" w:rsidRDefault="00AE115E" w:rsidP="008F073A">
            <w:pPr>
              <w:pStyle w:val="NoSpacing"/>
              <w:rPr>
                <w:rFonts w:cstheme="minorHAnsi"/>
                <w:bCs/>
                <w:w w:val="105"/>
              </w:rPr>
            </w:pPr>
            <w:r>
              <w:rPr>
                <w:rFonts w:cstheme="minorHAnsi"/>
                <w:bCs/>
                <w:w w:val="105"/>
              </w:rPr>
              <w:t>6.3</w:t>
            </w:r>
          </w:p>
        </w:tc>
        <w:tc>
          <w:tcPr>
            <w:tcW w:w="1417" w:type="dxa"/>
          </w:tcPr>
          <w:p w:rsidR="00BB4096" w:rsidRPr="00AE2D8D" w:rsidRDefault="00AE115E" w:rsidP="008F073A">
            <w:pPr>
              <w:pStyle w:val="NoSpacing"/>
              <w:jc w:val="right"/>
              <w:rPr>
                <w:rFonts w:cstheme="minorHAnsi"/>
                <w:bCs/>
                <w:w w:val="105"/>
              </w:rPr>
            </w:pPr>
            <w:r>
              <w:rPr>
                <w:rFonts w:cstheme="minorHAnsi"/>
                <w:bCs/>
                <w:w w:val="105"/>
              </w:rPr>
              <w:t>85,387</w:t>
            </w:r>
          </w:p>
        </w:tc>
        <w:tc>
          <w:tcPr>
            <w:tcW w:w="1276" w:type="dxa"/>
          </w:tcPr>
          <w:p w:rsidR="00BB4096" w:rsidRPr="00AE2D8D" w:rsidRDefault="00AE115E" w:rsidP="008F073A">
            <w:pPr>
              <w:pStyle w:val="NoSpacing"/>
              <w:jc w:val="right"/>
              <w:rPr>
                <w:rFonts w:cstheme="minorHAnsi"/>
                <w:bCs/>
                <w:w w:val="105"/>
              </w:rPr>
            </w:pPr>
            <w:r>
              <w:rPr>
                <w:rFonts w:cstheme="minorHAnsi"/>
                <w:bCs/>
                <w:w w:val="105"/>
              </w:rPr>
              <w:t>85,387</w:t>
            </w:r>
          </w:p>
        </w:tc>
        <w:tc>
          <w:tcPr>
            <w:tcW w:w="1276" w:type="dxa"/>
          </w:tcPr>
          <w:p w:rsidR="00BB4096" w:rsidRPr="00AE2D8D" w:rsidRDefault="00AE115E" w:rsidP="008F073A">
            <w:pPr>
              <w:pStyle w:val="NoSpacing"/>
              <w:jc w:val="right"/>
              <w:rPr>
                <w:rFonts w:cstheme="minorHAnsi"/>
                <w:bCs/>
                <w:w w:val="105"/>
              </w:rPr>
            </w:pPr>
            <w:r>
              <w:rPr>
                <w:rFonts w:cstheme="minorHAnsi"/>
                <w:bCs/>
                <w:w w:val="105"/>
              </w:rPr>
              <w:t>85,387</w:t>
            </w:r>
          </w:p>
        </w:tc>
        <w:tc>
          <w:tcPr>
            <w:tcW w:w="1276" w:type="dxa"/>
          </w:tcPr>
          <w:p w:rsidR="00BB4096" w:rsidRPr="00AE2D8D" w:rsidRDefault="00AE115E" w:rsidP="008F073A">
            <w:pPr>
              <w:pStyle w:val="NoSpacing"/>
              <w:jc w:val="right"/>
              <w:rPr>
                <w:rFonts w:cstheme="minorHAnsi"/>
                <w:bCs/>
                <w:w w:val="105"/>
              </w:rPr>
            </w:pPr>
            <w:r>
              <w:rPr>
                <w:rFonts w:cstheme="minorHAnsi"/>
                <w:bCs/>
                <w:w w:val="105"/>
              </w:rPr>
              <w:t>85,387</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Reserves</w:t>
            </w:r>
          </w:p>
        </w:tc>
        <w:tc>
          <w:tcPr>
            <w:tcW w:w="1418" w:type="dxa"/>
          </w:tcPr>
          <w:p w:rsidR="00BB4096" w:rsidRPr="00AE2D8D" w:rsidRDefault="00AE115E" w:rsidP="008F073A">
            <w:pPr>
              <w:pStyle w:val="NoSpacing"/>
              <w:rPr>
                <w:rFonts w:cstheme="minorHAnsi"/>
                <w:bCs/>
                <w:w w:val="105"/>
              </w:rPr>
            </w:pPr>
            <w:r>
              <w:rPr>
                <w:rFonts w:cstheme="minorHAnsi"/>
                <w:bCs/>
                <w:w w:val="105"/>
              </w:rPr>
              <w:t>9.2</w:t>
            </w:r>
          </w:p>
        </w:tc>
        <w:tc>
          <w:tcPr>
            <w:tcW w:w="1417" w:type="dxa"/>
          </w:tcPr>
          <w:p w:rsidR="00BB4096" w:rsidRPr="00AE2D8D" w:rsidRDefault="00AE115E" w:rsidP="008F073A">
            <w:pPr>
              <w:pStyle w:val="NoSpacing"/>
              <w:jc w:val="right"/>
              <w:rPr>
                <w:rFonts w:cstheme="minorHAnsi"/>
                <w:bCs/>
                <w:w w:val="105"/>
              </w:rPr>
            </w:pPr>
            <w:r>
              <w:rPr>
                <w:rFonts w:cstheme="minorHAnsi"/>
                <w:bCs/>
                <w:w w:val="105"/>
              </w:rPr>
              <w:t>78,838</w:t>
            </w:r>
          </w:p>
        </w:tc>
        <w:tc>
          <w:tcPr>
            <w:tcW w:w="1276" w:type="dxa"/>
          </w:tcPr>
          <w:p w:rsidR="00BB4096" w:rsidRPr="00AE2D8D" w:rsidRDefault="00AE115E" w:rsidP="008F073A">
            <w:pPr>
              <w:pStyle w:val="NoSpacing"/>
              <w:jc w:val="right"/>
              <w:rPr>
                <w:rFonts w:cstheme="minorHAnsi"/>
                <w:bCs/>
                <w:w w:val="105"/>
              </w:rPr>
            </w:pPr>
            <w:r>
              <w:rPr>
                <w:rFonts w:cstheme="minorHAnsi"/>
                <w:bCs/>
                <w:w w:val="105"/>
              </w:rPr>
              <w:t>60,513</w:t>
            </w:r>
          </w:p>
        </w:tc>
        <w:tc>
          <w:tcPr>
            <w:tcW w:w="1276" w:type="dxa"/>
          </w:tcPr>
          <w:p w:rsidR="00BB4096" w:rsidRPr="00AE2D8D" w:rsidRDefault="00AE115E" w:rsidP="008F073A">
            <w:pPr>
              <w:pStyle w:val="NoSpacing"/>
              <w:jc w:val="right"/>
              <w:rPr>
                <w:rFonts w:cstheme="minorHAnsi"/>
                <w:bCs/>
                <w:w w:val="105"/>
              </w:rPr>
            </w:pPr>
            <w:r>
              <w:rPr>
                <w:rFonts w:cstheme="minorHAnsi"/>
                <w:bCs/>
                <w:w w:val="105"/>
              </w:rPr>
              <w:t>78,838</w:t>
            </w:r>
          </w:p>
        </w:tc>
        <w:tc>
          <w:tcPr>
            <w:tcW w:w="1276" w:type="dxa"/>
          </w:tcPr>
          <w:p w:rsidR="00BB4096" w:rsidRPr="00AE2D8D" w:rsidRDefault="00AE115E" w:rsidP="008F073A">
            <w:pPr>
              <w:pStyle w:val="NoSpacing"/>
              <w:jc w:val="right"/>
              <w:rPr>
                <w:rFonts w:cstheme="minorHAnsi"/>
                <w:bCs/>
                <w:w w:val="105"/>
              </w:rPr>
            </w:pPr>
            <w:r>
              <w:rPr>
                <w:rFonts w:cstheme="minorHAnsi"/>
                <w:bCs/>
                <w:w w:val="105"/>
              </w:rPr>
              <w:t>60,513</w:t>
            </w:r>
          </w:p>
        </w:tc>
      </w:tr>
      <w:tr w:rsidR="00BB4096" w:rsidRPr="00AE2D8D" w:rsidTr="008F073A">
        <w:tc>
          <w:tcPr>
            <w:tcW w:w="8500" w:type="dxa"/>
          </w:tcPr>
          <w:p w:rsidR="00BB4096" w:rsidRPr="00AE2D8D" w:rsidRDefault="00BB4096" w:rsidP="008F073A">
            <w:pPr>
              <w:pStyle w:val="NoSpacing"/>
              <w:rPr>
                <w:rFonts w:cstheme="minorHAnsi"/>
                <w:bCs/>
                <w:w w:val="105"/>
              </w:rPr>
            </w:pPr>
            <w:r>
              <w:rPr>
                <w:rFonts w:cstheme="minorHAnsi"/>
                <w:bCs/>
                <w:w w:val="105"/>
              </w:rPr>
              <w:t>Net worth</w:t>
            </w:r>
          </w:p>
        </w:tc>
        <w:tc>
          <w:tcPr>
            <w:tcW w:w="1418" w:type="dxa"/>
          </w:tcPr>
          <w:p w:rsidR="00BB4096" w:rsidRPr="00AE2D8D" w:rsidRDefault="00BB4096" w:rsidP="008F073A">
            <w:pPr>
              <w:pStyle w:val="NoSpacing"/>
              <w:rPr>
                <w:rFonts w:cstheme="minorHAnsi"/>
                <w:bCs/>
                <w:w w:val="105"/>
              </w:rPr>
            </w:pPr>
          </w:p>
        </w:tc>
        <w:tc>
          <w:tcPr>
            <w:tcW w:w="1417" w:type="dxa"/>
          </w:tcPr>
          <w:p w:rsidR="00BB4096" w:rsidRPr="00AE2D8D" w:rsidRDefault="00AE115E" w:rsidP="008F073A">
            <w:pPr>
              <w:pStyle w:val="NoSpacing"/>
              <w:jc w:val="right"/>
              <w:rPr>
                <w:rFonts w:cstheme="minorHAnsi"/>
                <w:bCs/>
                <w:w w:val="105"/>
              </w:rPr>
            </w:pPr>
            <w:r>
              <w:rPr>
                <w:rFonts w:cstheme="minorHAnsi"/>
                <w:bCs/>
                <w:w w:val="105"/>
              </w:rPr>
              <w:t>374,606</w:t>
            </w:r>
          </w:p>
        </w:tc>
        <w:tc>
          <w:tcPr>
            <w:tcW w:w="1276" w:type="dxa"/>
          </w:tcPr>
          <w:p w:rsidR="00BB4096" w:rsidRPr="00AE2D8D" w:rsidRDefault="00AE115E" w:rsidP="008F073A">
            <w:pPr>
              <w:pStyle w:val="NoSpacing"/>
              <w:jc w:val="right"/>
              <w:rPr>
                <w:rFonts w:cstheme="minorHAnsi"/>
                <w:bCs/>
                <w:w w:val="105"/>
              </w:rPr>
            </w:pPr>
            <w:r>
              <w:rPr>
                <w:rFonts w:cstheme="minorHAnsi"/>
                <w:bCs/>
                <w:w w:val="105"/>
              </w:rPr>
              <w:t>323,090</w:t>
            </w:r>
          </w:p>
        </w:tc>
        <w:tc>
          <w:tcPr>
            <w:tcW w:w="1276" w:type="dxa"/>
          </w:tcPr>
          <w:p w:rsidR="00BB4096" w:rsidRPr="00AE2D8D" w:rsidRDefault="00AE115E" w:rsidP="008F073A">
            <w:pPr>
              <w:pStyle w:val="NoSpacing"/>
              <w:jc w:val="right"/>
              <w:rPr>
                <w:rFonts w:cstheme="minorHAnsi"/>
                <w:bCs/>
                <w:w w:val="105"/>
              </w:rPr>
            </w:pPr>
            <w:r>
              <w:rPr>
                <w:rFonts w:cstheme="minorHAnsi"/>
                <w:bCs/>
                <w:w w:val="105"/>
              </w:rPr>
              <w:t>379,824</w:t>
            </w:r>
          </w:p>
        </w:tc>
        <w:tc>
          <w:tcPr>
            <w:tcW w:w="1276" w:type="dxa"/>
          </w:tcPr>
          <w:p w:rsidR="00BB4096" w:rsidRPr="00AE2D8D" w:rsidRDefault="00AE115E" w:rsidP="008F073A">
            <w:pPr>
              <w:pStyle w:val="NoSpacing"/>
              <w:jc w:val="right"/>
              <w:rPr>
                <w:rFonts w:cstheme="minorHAnsi"/>
                <w:bCs/>
                <w:w w:val="105"/>
              </w:rPr>
            </w:pPr>
            <w:r>
              <w:rPr>
                <w:rFonts w:cstheme="minorHAnsi"/>
                <w:bCs/>
                <w:w w:val="105"/>
              </w:rPr>
              <w:t>329,142</w:t>
            </w:r>
          </w:p>
        </w:tc>
      </w:tr>
    </w:tbl>
    <w:p w:rsidR="00BB4096" w:rsidRDefault="00BB4096" w:rsidP="00E46FF0">
      <w:pPr>
        <w:pStyle w:val="NoSpacing"/>
        <w:rPr>
          <w:rFonts w:cstheme="minorHAnsi"/>
          <w:bCs/>
          <w:w w:val="105"/>
        </w:rPr>
      </w:pPr>
    </w:p>
    <w:p w:rsidR="00BB4096" w:rsidRDefault="00BB4096" w:rsidP="00BB4096">
      <w:pPr>
        <w:pStyle w:val="NoSpacing"/>
      </w:pPr>
      <w:r w:rsidRPr="00BB4096">
        <w:t>The above Balance Sheet should be read in conjunction with the accompanying notes.</w:t>
      </w:r>
    </w:p>
    <w:p w:rsidR="00D905F9" w:rsidRDefault="00D905F9" w:rsidP="00D905F9">
      <w:pPr>
        <w:pStyle w:val="NoSpacing"/>
        <w:rPr>
          <w:bCs/>
          <w:w w:val="105"/>
          <w:sz w:val="24"/>
          <w:szCs w:val="24"/>
        </w:rPr>
      </w:pPr>
    </w:p>
    <w:p w:rsidR="00D905F9" w:rsidRDefault="00D905F9" w:rsidP="00D905F9">
      <w:pPr>
        <w:pStyle w:val="NoSpacing"/>
        <w:rPr>
          <w:bCs/>
          <w:w w:val="105"/>
        </w:rPr>
      </w:pPr>
      <w:r w:rsidRPr="00D905F9">
        <w:rPr>
          <w:bCs/>
          <w:w w:val="105"/>
        </w:rPr>
        <w:t>&lt;pp&gt;43</w:t>
      </w:r>
    </w:p>
    <w:p w:rsidR="00D905F9" w:rsidRDefault="00D905F9" w:rsidP="00D905F9">
      <w:pPr>
        <w:pStyle w:val="NoSpacing"/>
        <w:rPr>
          <w:bCs/>
          <w:w w:val="105"/>
        </w:rPr>
      </w:pPr>
    </w:p>
    <w:p w:rsidR="00D905F9" w:rsidRDefault="00C45B25" w:rsidP="006914D6">
      <w:pPr>
        <w:pStyle w:val="Heading2"/>
        <w:rPr>
          <w:w w:val="105"/>
        </w:rPr>
      </w:pPr>
      <w:r>
        <w:rPr>
          <w:w w:val="105"/>
        </w:rPr>
        <w:t>Statement of Changes in E</w:t>
      </w:r>
      <w:r w:rsidR="008F073A">
        <w:rPr>
          <w:w w:val="105"/>
        </w:rPr>
        <w:t>quity</w:t>
      </w:r>
    </w:p>
    <w:p w:rsidR="008F073A" w:rsidRDefault="008F073A" w:rsidP="00D905F9">
      <w:pPr>
        <w:pStyle w:val="NoSpacing"/>
        <w:rPr>
          <w:bCs/>
          <w:w w:val="105"/>
        </w:rPr>
      </w:pPr>
    </w:p>
    <w:p w:rsidR="008F073A" w:rsidRDefault="008F073A" w:rsidP="00D905F9">
      <w:pPr>
        <w:pStyle w:val="NoSpacing"/>
        <w:rPr>
          <w:bCs/>
          <w:w w:val="105"/>
        </w:rPr>
      </w:pPr>
      <w:r>
        <w:rPr>
          <w:bCs/>
          <w:w w:val="105"/>
        </w:rPr>
        <w:t>For the year ended 31 December 2017</w:t>
      </w:r>
    </w:p>
    <w:p w:rsidR="008F073A" w:rsidRDefault="008F073A" w:rsidP="00D905F9">
      <w:pPr>
        <w:pStyle w:val="NoSpacing"/>
        <w:rPr>
          <w:bCs/>
          <w:w w:val="105"/>
        </w:rPr>
      </w:pPr>
    </w:p>
    <w:tbl>
      <w:tblPr>
        <w:tblStyle w:val="TableGrid"/>
        <w:tblW w:w="7088" w:type="dxa"/>
        <w:tblInd w:w="8075" w:type="dxa"/>
        <w:tblLook w:val="04A0" w:firstRow="1" w:lastRow="0" w:firstColumn="1" w:lastColumn="0" w:noHBand="0" w:noVBand="1"/>
      </w:tblPr>
      <w:tblGrid>
        <w:gridCol w:w="2126"/>
        <w:gridCol w:w="1701"/>
        <w:gridCol w:w="1701"/>
        <w:gridCol w:w="1560"/>
      </w:tblGrid>
      <w:tr w:rsidR="008F073A" w:rsidTr="008F073A">
        <w:tc>
          <w:tcPr>
            <w:tcW w:w="2126" w:type="dxa"/>
            <w:vAlign w:val="bottom"/>
          </w:tcPr>
          <w:p w:rsidR="008F073A" w:rsidRDefault="008F073A" w:rsidP="008F073A">
            <w:pPr>
              <w:pStyle w:val="NoSpacing"/>
              <w:jc w:val="right"/>
              <w:rPr>
                <w:bCs/>
                <w:w w:val="105"/>
              </w:rPr>
            </w:pPr>
            <w:r>
              <w:rPr>
                <w:bCs/>
                <w:w w:val="105"/>
              </w:rPr>
              <w:t>Physical assets revaluation surplus</w:t>
            </w:r>
          </w:p>
        </w:tc>
        <w:tc>
          <w:tcPr>
            <w:tcW w:w="1701" w:type="dxa"/>
            <w:vAlign w:val="bottom"/>
          </w:tcPr>
          <w:p w:rsidR="008F073A" w:rsidRDefault="008F073A" w:rsidP="008F073A">
            <w:pPr>
              <w:pStyle w:val="NoSpacing"/>
              <w:jc w:val="right"/>
              <w:rPr>
                <w:bCs/>
                <w:w w:val="105"/>
              </w:rPr>
            </w:pPr>
            <w:r>
              <w:rPr>
                <w:bCs/>
                <w:w w:val="105"/>
              </w:rPr>
              <w:t>Accumulated surplus</w:t>
            </w:r>
          </w:p>
        </w:tc>
        <w:tc>
          <w:tcPr>
            <w:tcW w:w="1701" w:type="dxa"/>
            <w:vAlign w:val="bottom"/>
          </w:tcPr>
          <w:p w:rsidR="008F073A" w:rsidRDefault="008F073A" w:rsidP="008F073A">
            <w:pPr>
              <w:pStyle w:val="NoSpacing"/>
              <w:jc w:val="right"/>
              <w:rPr>
                <w:bCs/>
                <w:w w:val="105"/>
              </w:rPr>
            </w:pPr>
            <w:r>
              <w:rPr>
                <w:bCs/>
                <w:w w:val="105"/>
              </w:rPr>
              <w:t>Contributions by owner</w:t>
            </w:r>
          </w:p>
        </w:tc>
        <w:tc>
          <w:tcPr>
            <w:tcW w:w="1560" w:type="dxa"/>
          </w:tcPr>
          <w:p w:rsidR="008F073A" w:rsidRDefault="008F073A" w:rsidP="008F073A">
            <w:pPr>
              <w:pStyle w:val="NoSpacing"/>
              <w:jc w:val="right"/>
              <w:rPr>
                <w:bCs/>
                <w:w w:val="105"/>
              </w:rPr>
            </w:pPr>
            <w:r>
              <w:rPr>
                <w:bCs/>
                <w:w w:val="105"/>
              </w:rPr>
              <w:t xml:space="preserve">Total equity </w:t>
            </w:r>
          </w:p>
        </w:tc>
      </w:tr>
      <w:tr w:rsidR="008F073A" w:rsidTr="008F073A">
        <w:tc>
          <w:tcPr>
            <w:tcW w:w="2126" w:type="dxa"/>
          </w:tcPr>
          <w:p w:rsidR="008F073A" w:rsidRPr="00AE2D8D" w:rsidRDefault="008F073A" w:rsidP="008F073A">
            <w:pPr>
              <w:jc w:val="right"/>
              <w:rPr>
                <w:rFonts w:cstheme="minorHAnsi"/>
              </w:rPr>
            </w:pPr>
            <w:r w:rsidRPr="00AE2D8D">
              <w:rPr>
                <w:rFonts w:cstheme="minorHAnsi"/>
                <w:bCs/>
                <w:w w:val="105"/>
              </w:rPr>
              <w:t>$’000</w:t>
            </w:r>
          </w:p>
        </w:tc>
        <w:tc>
          <w:tcPr>
            <w:tcW w:w="1701" w:type="dxa"/>
          </w:tcPr>
          <w:p w:rsidR="008F073A" w:rsidRPr="00AE2D8D" w:rsidRDefault="008F073A" w:rsidP="008F073A">
            <w:pPr>
              <w:jc w:val="right"/>
              <w:rPr>
                <w:rFonts w:cstheme="minorHAnsi"/>
              </w:rPr>
            </w:pPr>
            <w:r w:rsidRPr="00AE2D8D">
              <w:rPr>
                <w:rFonts w:cstheme="minorHAnsi"/>
                <w:bCs/>
                <w:w w:val="105"/>
              </w:rPr>
              <w:t>$’000</w:t>
            </w:r>
          </w:p>
        </w:tc>
        <w:tc>
          <w:tcPr>
            <w:tcW w:w="1701" w:type="dxa"/>
          </w:tcPr>
          <w:p w:rsidR="008F073A" w:rsidRPr="00AE2D8D" w:rsidRDefault="008F073A" w:rsidP="008F073A">
            <w:pPr>
              <w:jc w:val="right"/>
              <w:rPr>
                <w:rFonts w:cstheme="minorHAnsi"/>
              </w:rPr>
            </w:pPr>
            <w:r w:rsidRPr="00AE2D8D">
              <w:rPr>
                <w:rFonts w:cstheme="minorHAnsi"/>
                <w:bCs/>
                <w:w w:val="105"/>
              </w:rPr>
              <w:t>$’000</w:t>
            </w:r>
          </w:p>
        </w:tc>
        <w:tc>
          <w:tcPr>
            <w:tcW w:w="1560" w:type="dxa"/>
          </w:tcPr>
          <w:p w:rsidR="008F073A" w:rsidRPr="00AE2D8D" w:rsidRDefault="008F073A" w:rsidP="008F073A">
            <w:pPr>
              <w:pStyle w:val="NoSpacing"/>
              <w:jc w:val="right"/>
              <w:rPr>
                <w:rFonts w:cstheme="minorHAnsi"/>
                <w:bCs/>
                <w:w w:val="105"/>
              </w:rPr>
            </w:pPr>
            <w:r w:rsidRPr="00AE2D8D">
              <w:rPr>
                <w:rFonts w:cstheme="minorHAnsi"/>
                <w:bCs/>
                <w:w w:val="105"/>
              </w:rPr>
              <w:t>$’000</w:t>
            </w:r>
          </w:p>
        </w:tc>
      </w:tr>
    </w:tbl>
    <w:p w:rsidR="00D905F9" w:rsidRDefault="008F073A" w:rsidP="00BB4096">
      <w:pPr>
        <w:pStyle w:val="NoSpacing"/>
      </w:pPr>
      <w:r>
        <w:t xml:space="preserve">Consolidated </w:t>
      </w:r>
    </w:p>
    <w:tbl>
      <w:tblPr>
        <w:tblStyle w:val="TableGrid"/>
        <w:tblW w:w="15735" w:type="dxa"/>
        <w:tblInd w:w="-572" w:type="dxa"/>
        <w:tblLook w:val="04A0" w:firstRow="1" w:lastRow="0" w:firstColumn="1" w:lastColumn="0" w:noHBand="0" w:noVBand="1"/>
      </w:tblPr>
      <w:tblGrid>
        <w:gridCol w:w="8647"/>
        <w:gridCol w:w="2126"/>
        <w:gridCol w:w="1701"/>
        <w:gridCol w:w="1701"/>
        <w:gridCol w:w="1560"/>
      </w:tblGrid>
      <w:tr w:rsidR="008F073A" w:rsidTr="00A46FE2">
        <w:tc>
          <w:tcPr>
            <w:tcW w:w="8647" w:type="dxa"/>
          </w:tcPr>
          <w:p w:rsidR="008F073A" w:rsidRDefault="00BA4BC1" w:rsidP="00BB4096">
            <w:pPr>
              <w:pStyle w:val="NoSpacing"/>
            </w:pPr>
            <w:r>
              <w:t>A</w:t>
            </w:r>
            <w:r w:rsidR="008F073A">
              <w:t>t January 2016</w:t>
            </w:r>
          </w:p>
        </w:tc>
        <w:tc>
          <w:tcPr>
            <w:tcW w:w="2126" w:type="dxa"/>
          </w:tcPr>
          <w:p w:rsidR="008F073A" w:rsidRDefault="008F073A" w:rsidP="008F073A">
            <w:pPr>
              <w:pStyle w:val="NoSpacing"/>
              <w:jc w:val="right"/>
            </w:pPr>
            <w:r>
              <w:t>50,709</w:t>
            </w:r>
          </w:p>
        </w:tc>
        <w:tc>
          <w:tcPr>
            <w:tcW w:w="1701" w:type="dxa"/>
          </w:tcPr>
          <w:p w:rsidR="008F073A" w:rsidRDefault="008F073A" w:rsidP="008F073A">
            <w:pPr>
              <w:pStyle w:val="NoSpacing"/>
              <w:jc w:val="right"/>
            </w:pPr>
            <w:r>
              <w:t>163,744</w:t>
            </w:r>
          </w:p>
        </w:tc>
        <w:tc>
          <w:tcPr>
            <w:tcW w:w="1701" w:type="dxa"/>
          </w:tcPr>
          <w:p w:rsidR="008F073A" w:rsidRDefault="008F073A" w:rsidP="008F073A">
            <w:pPr>
              <w:pStyle w:val="NoSpacing"/>
              <w:jc w:val="right"/>
            </w:pPr>
            <w:r>
              <w:t>85,387</w:t>
            </w:r>
          </w:p>
        </w:tc>
        <w:tc>
          <w:tcPr>
            <w:tcW w:w="1560" w:type="dxa"/>
          </w:tcPr>
          <w:p w:rsidR="008F073A" w:rsidRDefault="008F073A" w:rsidP="008F073A">
            <w:pPr>
              <w:pStyle w:val="NoSpacing"/>
              <w:jc w:val="right"/>
            </w:pPr>
            <w:r>
              <w:t>299,840</w:t>
            </w:r>
          </w:p>
        </w:tc>
      </w:tr>
      <w:tr w:rsidR="008F073A" w:rsidTr="00A46FE2">
        <w:tc>
          <w:tcPr>
            <w:tcW w:w="8647" w:type="dxa"/>
          </w:tcPr>
          <w:p w:rsidR="008F073A" w:rsidRDefault="008F073A" w:rsidP="00BB4096">
            <w:pPr>
              <w:pStyle w:val="NoSpacing"/>
            </w:pPr>
            <w:r>
              <w:t>Net result for the year</w:t>
            </w:r>
          </w:p>
        </w:tc>
        <w:tc>
          <w:tcPr>
            <w:tcW w:w="2126" w:type="dxa"/>
          </w:tcPr>
          <w:p w:rsidR="008F073A" w:rsidRDefault="008F073A" w:rsidP="008F073A">
            <w:pPr>
              <w:pStyle w:val="NoSpacing"/>
              <w:jc w:val="right"/>
            </w:pPr>
            <w:r>
              <w:t>-</w:t>
            </w:r>
          </w:p>
        </w:tc>
        <w:tc>
          <w:tcPr>
            <w:tcW w:w="1701" w:type="dxa"/>
          </w:tcPr>
          <w:p w:rsidR="008F073A" w:rsidRDefault="008F073A" w:rsidP="008F073A">
            <w:pPr>
              <w:pStyle w:val="NoSpacing"/>
              <w:jc w:val="right"/>
            </w:pPr>
            <w:r>
              <w:t>13,445</w:t>
            </w:r>
          </w:p>
        </w:tc>
        <w:tc>
          <w:tcPr>
            <w:tcW w:w="1701" w:type="dxa"/>
          </w:tcPr>
          <w:p w:rsidR="008F073A" w:rsidRDefault="008F073A" w:rsidP="008F073A">
            <w:pPr>
              <w:pStyle w:val="NoSpacing"/>
              <w:jc w:val="right"/>
            </w:pPr>
            <w:r>
              <w:t>-</w:t>
            </w:r>
          </w:p>
        </w:tc>
        <w:tc>
          <w:tcPr>
            <w:tcW w:w="1560" w:type="dxa"/>
          </w:tcPr>
          <w:p w:rsidR="008F073A" w:rsidRDefault="008F073A" w:rsidP="008F073A">
            <w:pPr>
              <w:pStyle w:val="NoSpacing"/>
              <w:jc w:val="right"/>
            </w:pPr>
            <w:r>
              <w:t>13,445</w:t>
            </w:r>
          </w:p>
        </w:tc>
      </w:tr>
      <w:tr w:rsidR="008F073A" w:rsidTr="00A46FE2">
        <w:tc>
          <w:tcPr>
            <w:tcW w:w="8647" w:type="dxa"/>
          </w:tcPr>
          <w:p w:rsidR="008F073A" w:rsidRDefault="008F073A" w:rsidP="00BB4096">
            <w:pPr>
              <w:pStyle w:val="NoSpacing"/>
            </w:pPr>
            <w:r>
              <w:t>Other economic flows – other comprehensive income</w:t>
            </w:r>
          </w:p>
        </w:tc>
        <w:tc>
          <w:tcPr>
            <w:tcW w:w="2126" w:type="dxa"/>
          </w:tcPr>
          <w:p w:rsidR="008F073A" w:rsidRDefault="008F073A" w:rsidP="008F073A">
            <w:pPr>
              <w:pStyle w:val="NoSpacing"/>
              <w:jc w:val="right"/>
            </w:pPr>
            <w:r>
              <w:t>9,804</w:t>
            </w:r>
          </w:p>
        </w:tc>
        <w:tc>
          <w:tcPr>
            <w:tcW w:w="1701" w:type="dxa"/>
          </w:tcPr>
          <w:p w:rsidR="008F073A" w:rsidRDefault="008F073A" w:rsidP="008F073A">
            <w:pPr>
              <w:pStyle w:val="NoSpacing"/>
              <w:jc w:val="right"/>
            </w:pPr>
            <w:r>
              <w:t>-</w:t>
            </w:r>
          </w:p>
        </w:tc>
        <w:tc>
          <w:tcPr>
            <w:tcW w:w="1701" w:type="dxa"/>
          </w:tcPr>
          <w:p w:rsidR="008F073A" w:rsidRDefault="008F073A" w:rsidP="008F073A">
            <w:pPr>
              <w:pStyle w:val="NoSpacing"/>
              <w:jc w:val="right"/>
            </w:pPr>
            <w:r>
              <w:t>-</w:t>
            </w:r>
          </w:p>
        </w:tc>
        <w:tc>
          <w:tcPr>
            <w:tcW w:w="1560" w:type="dxa"/>
          </w:tcPr>
          <w:p w:rsidR="008F073A" w:rsidRDefault="008F073A" w:rsidP="008F073A">
            <w:pPr>
              <w:pStyle w:val="NoSpacing"/>
              <w:jc w:val="right"/>
            </w:pPr>
            <w:r>
              <w:t>9,804</w:t>
            </w:r>
          </w:p>
        </w:tc>
      </w:tr>
      <w:tr w:rsidR="008F073A" w:rsidTr="00A46FE2">
        <w:tc>
          <w:tcPr>
            <w:tcW w:w="8647" w:type="dxa"/>
          </w:tcPr>
          <w:p w:rsidR="008F073A" w:rsidRDefault="008F073A" w:rsidP="00BB4096">
            <w:pPr>
              <w:pStyle w:val="NoSpacing"/>
            </w:pPr>
            <w:r>
              <w:t>Year ended 31 December 2016</w:t>
            </w:r>
          </w:p>
        </w:tc>
        <w:tc>
          <w:tcPr>
            <w:tcW w:w="2126" w:type="dxa"/>
          </w:tcPr>
          <w:p w:rsidR="008F073A" w:rsidRDefault="008F073A" w:rsidP="008F073A">
            <w:pPr>
              <w:pStyle w:val="NoSpacing"/>
              <w:jc w:val="right"/>
            </w:pPr>
            <w:r>
              <w:t>60,513</w:t>
            </w:r>
          </w:p>
        </w:tc>
        <w:tc>
          <w:tcPr>
            <w:tcW w:w="1701" w:type="dxa"/>
          </w:tcPr>
          <w:p w:rsidR="008F073A" w:rsidRDefault="008F073A" w:rsidP="008F073A">
            <w:pPr>
              <w:pStyle w:val="NoSpacing"/>
              <w:jc w:val="right"/>
            </w:pPr>
            <w:r>
              <w:t>177,189</w:t>
            </w:r>
          </w:p>
        </w:tc>
        <w:tc>
          <w:tcPr>
            <w:tcW w:w="1701" w:type="dxa"/>
          </w:tcPr>
          <w:p w:rsidR="008F073A" w:rsidRDefault="008F073A" w:rsidP="008F073A">
            <w:pPr>
              <w:pStyle w:val="NoSpacing"/>
              <w:jc w:val="right"/>
            </w:pPr>
            <w:r>
              <w:t>85,387</w:t>
            </w:r>
          </w:p>
        </w:tc>
        <w:tc>
          <w:tcPr>
            <w:tcW w:w="1560" w:type="dxa"/>
          </w:tcPr>
          <w:p w:rsidR="008F073A" w:rsidRDefault="008F073A" w:rsidP="008F073A">
            <w:pPr>
              <w:pStyle w:val="NoSpacing"/>
              <w:jc w:val="right"/>
            </w:pPr>
            <w:r>
              <w:t>323,089</w:t>
            </w:r>
          </w:p>
        </w:tc>
      </w:tr>
      <w:tr w:rsidR="008F073A" w:rsidTr="00A46FE2">
        <w:tc>
          <w:tcPr>
            <w:tcW w:w="8647" w:type="dxa"/>
          </w:tcPr>
          <w:p w:rsidR="008F073A" w:rsidRDefault="008F073A" w:rsidP="00BB4096">
            <w:pPr>
              <w:pStyle w:val="NoSpacing"/>
            </w:pPr>
            <w:r>
              <w:t>Net result for the year</w:t>
            </w:r>
          </w:p>
        </w:tc>
        <w:tc>
          <w:tcPr>
            <w:tcW w:w="2126" w:type="dxa"/>
          </w:tcPr>
          <w:p w:rsidR="008F073A" w:rsidRDefault="00BA4BC1" w:rsidP="008F073A">
            <w:pPr>
              <w:pStyle w:val="NoSpacing"/>
              <w:jc w:val="right"/>
            </w:pPr>
            <w:r>
              <w:t>-</w:t>
            </w:r>
          </w:p>
        </w:tc>
        <w:tc>
          <w:tcPr>
            <w:tcW w:w="1701" w:type="dxa"/>
          </w:tcPr>
          <w:p w:rsidR="008F073A" w:rsidRDefault="00BA4BC1" w:rsidP="008F073A">
            <w:pPr>
              <w:pStyle w:val="NoSpacing"/>
              <w:jc w:val="right"/>
            </w:pPr>
            <w:r>
              <w:t>33,192</w:t>
            </w:r>
          </w:p>
        </w:tc>
        <w:tc>
          <w:tcPr>
            <w:tcW w:w="1701" w:type="dxa"/>
          </w:tcPr>
          <w:p w:rsidR="008F073A" w:rsidRDefault="00BA4BC1" w:rsidP="008F073A">
            <w:pPr>
              <w:pStyle w:val="NoSpacing"/>
              <w:jc w:val="right"/>
            </w:pPr>
            <w:r>
              <w:t>-</w:t>
            </w:r>
          </w:p>
        </w:tc>
        <w:tc>
          <w:tcPr>
            <w:tcW w:w="1560" w:type="dxa"/>
          </w:tcPr>
          <w:p w:rsidR="008F073A" w:rsidRDefault="00BA4BC1" w:rsidP="008F073A">
            <w:pPr>
              <w:pStyle w:val="NoSpacing"/>
              <w:jc w:val="right"/>
            </w:pPr>
            <w:r>
              <w:t>33,192</w:t>
            </w:r>
          </w:p>
        </w:tc>
      </w:tr>
      <w:tr w:rsidR="008F073A" w:rsidTr="00A46FE2">
        <w:tc>
          <w:tcPr>
            <w:tcW w:w="8647" w:type="dxa"/>
          </w:tcPr>
          <w:p w:rsidR="008F073A" w:rsidRDefault="008F073A" w:rsidP="00BB4096">
            <w:pPr>
              <w:pStyle w:val="NoSpacing"/>
            </w:pPr>
            <w:r>
              <w:t>Other economic flows – other comprehensive income</w:t>
            </w:r>
          </w:p>
        </w:tc>
        <w:tc>
          <w:tcPr>
            <w:tcW w:w="2126" w:type="dxa"/>
          </w:tcPr>
          <w:p w:rsidR="008F073A" w:rsidRDefault="00BA4BC1" w:rsidP="008F073A">
            <w:pPr>
              <w:pStyle w:val="NoSpacing"/>
              <w:jc w:val="right"/>
            </w:pPr>
            <w:r>
              <w:t>18,325</w:t>
            </w:r>
          </w:p>
        </w:tc>
        <w:tc>
          <w:tcPr>
            <w:tcW w:w="1701" w:type="dxa"/>
          </w:tcPr>
          <w:p w:rsidR="008F073A" w:rsidRDefault="00BA4BC1" w:rsidP="008F073A">
            <w:pPr>
              <w:pStyle w:val="NoSpacing"/>
              <w:jc w:val="right"/>
            </w:pPr>
            <w:r>
              <w:t>-</w:t>
            </w:r>
          </w:p>
        </w:tc>
        <w:tc>
          <w:tcPr>
            <w:tcW w:w="1701" w:type="dxa"/>
          </w:tcPr>
          <w:p w:rsidR="008F073A" w:rsidRDefault="00BA4BC1" w:rsidP="008F073A">
            <w:pPr>
              <w:pStyle w:val="NoSpacing"/>
              <w:jc w:val="right"/>
            </w:pPr>
            <w:r>
              <w:t>-</w:t>
            </w:r>
          </w:p>
        </w:tc>
        <w:tc>
          <w:tcPr>
            <w:tcW w:w="1560" w:type="dxa"/>
          </w:tcPr>
          <w:p w:rsidR="008F073A" w:rsidRDefault="00BA4BC1" w:rsidP="008F073A">
            <w:pPr>
              <w:pStyle w:val="NoSpacing"/>
              <w:jc w:val="right"/>
            </w:pPr>
            <w:r>
              <w:t>18,325</w:t>
            </w:r>
          </w:p>
        </w:tc>
      </w:tr>
      <w:tr w:rsidR="008F073A" w:rsidTr="00A46FE2">
        <w:tc>
          <w:tcPr>
            <w:tcW w:w="8647" w:type="dxa"/>
          </w:tcPr>
          <w:p w:rsidR="008F073A" w:rsidRDefault="008F073A" w:rsidP="00BB4096">
            <w:pPr>
              <w:pStyle w:val="NoSpacing"/>
            </w:pPr>
            <w:r>
              <w:t>Year ended 31 December 2017</w:t>
            </w:r>
          </w:p>
        </w:tc>
        <w:tc>
          <w:tcPr>
            <w:tcW w:w="2126" w:type="dxa"/>
          </w:tcPr>
          <w:p w:rsidR="008F073A" w:rsidRDefault="00BA4BC1" w:rsidP="008F073A">
            <w:pPr>
              <w:pStyle w:val="NoSpacing"/>
              <w:jc w:val="right"/>
            </w:pPr>
            <w:r>
              <w:t>78,838</w:t>
            </w:r>
          </w:p>
        </w:tc>
        <w:tc>
          <w:tcPr>
            <w:tcW w:w="1701" w:type="dxa"/>
          </w:tcPr>
          <w:p w:rsidR="008F073A" w:rsidRDefault="00BA4BC1" w:rsidP="008F073A">
            <w:pPr>
              <w:pStyle w:val="NoSpacing"/>
              <w:jc w:val="right"/>
            </w:pPr>
            <w:r>
              <w:t>210,381</w:t>
            </w:r>
          </w:p>
        </w:tc>
        <w:tc>
          <w:tcPr>
            <w:tcW w:w="1701" w:type="dxa"/>
          </w:tcPr>
          <w:p w:rsidR="008F073A" w:rsidRDefault="00BA4BC1" w:rsidP="008F073A">
            <w:pPr>
              <w:pStyle w:val="NoSpacing"/>
              <w:jc w:val="right"/>
            </w:pPr>
            <w:r>
              <w:t>85,387</w:t>
            </w:r>
          </w:p>
        </w:tc>
        <w:tc>
          <w:tcPr>
            <w:tcW w:w="1560" w:type="dxa"/>
          </w:tcPr>
          <w:p w:rsidR="008F073A" w:rsidRDefault="00BA4BC1" w:rsidP="008F073A">
            <w:pPr>
              <w:pStyle w:val="NoSpacing"/>
              <w:jc w:val="right"/>
            </w:pPr>
            <w:r>
              <w:t>374,606</w:t>
            </w:r>
          </w:p>
        </w:tc>
      </w:tr>
    </w:tbl>
    <w:p w:rsidR="008F073A" w:rsidRDefault="008F073A" w:rsidP="00BB4096">
      <w:pPr>
        <w:pStyle w:val="NoSpacing"/>
      </w:pPr>
    </w:p>
    <w:p w:rsidR="00BA4BC1" w:rsidRDefault="00BA4BC1" w:rsidP="00BA4BC1">
      <w:pPr>
        <w:pStyle w:val="NoSpacing"/>
      </w:pPr>
      <w:r>
        <w:t>Chisholm</w:t>
      </w:r>
    </w:p>
    <w:tbl>
      <w:tblPr>
        <w:tblStyle w:val="TableGrid"/>
        <w:tblW w:w="15735" w:type="dxa"/>
        <w:tblInd w:w="-572" w:type="dxa"/>
        <w:tblLook w:val="04A0" w:firstRow="1" w:lastRow="0" w:firstColumn="1" w:lastColumn="0" w:noHBand="0" w:noVBand="1"/>
      </w:tblPr>
      <w:tblGrid>
        <w:gridCol w:w="8647"/>
        <w:gridCol w:w="2126"/>
        <w:gridCol w:w="1701"/>
        <w:gridCol w:w="1701"/>
        <w:gridCol w:w="1560"/>
      </w:tblGrid>
      <w:tr w:rsidR="00BA4BC1" w:rsidTr="00A46FE2">
        <w:tc>
          <w:tcPr>
            <w:tcW w:w="8647" w:type="dxa"/>
          </w:tcPr>
          <w:p w:rsidR="00BA4BC1" w:rsidRDefault="00BA4BC1" w:rsidP="003A5F79">
            <w:pPr>
              <w:pStyle w:val="NoSpacing"/>
            </w:pPr>
            <w:r>
              <w:t>At January 2016</w:t>
            </w:r>
          </w:p>
        </w:tc>
        <w:tc>
          <w:tcPr>
            <w:tcW w:w="2126" w:type="dxa"/>
          </w:tcPr>
          <w:p w:rsidR="00BA4BC1" w:rsidRDefault="00BA4BC1" w:rsidP="003A5F79">
            <w:pPr>
              <w:pStyle w:val="NoSpacing"/>
              <w:jc w:val="right"/>
            </w:pPr>
            <w:r>
              <w:t>50,709</w:t>
            </w:r>
          </w:p>
        </w:tc>
        <w:tc>
          <w:tcPr>
            <w:tcW w:w="1701" w:type="dxa"/>
          </w:tcPr>
          <w:p w:rsidR="00BA4BC1" w:rsidRDefault="00C45B25" w:rsidP="003A5F79">
            <w:pPr>
              <w:pStyle w:val="NoSpacing"/>
              <w:jc w:val="right"/>
            </w:pPr>
            <w:r>
              <w:t>167,354</w:t>
            </w:r>
          </w:p>
        </w:tc>
        <w:tc>
          <w:tcPr>
            <w:tcW w:w="1701" w:type="dxa"/>
          </w:tcPr>
          <w:p w:rsidR="00BA4BC1" w:rsidRDefault="00C45B25" w:rsidP="003A5F79">
            <w:pPr>
              <w:pStyle w:val="NoSpacing"/>
              <w:jc w:val="right"/>
            </w:pPr>
            <w:r>
              <w:t>85,387</w:t>
            </w:r>
          </w:p>
        </w:tc>
        <w:tc>
          <w:tcPr>
            <w:tcW w:w="1560" w:type="dxa"/>
          </w:tcPr>
          <w:p w:rsidR="00BA4BC1" w:rsidRDefault="00C45B25" w:rsidP="003A5F79">
            <w:pPr>
              <w:pStyle w:val="NoSpacing"/>
              <w:jc w:val="right"/>
            </w:pPr>
            <w:r>
              <w:t>303,450</w:t>
            </w:r>
          </w:p>
        </w:tc>
      </w:tr>
      <w:tr w:rsidR="00BA4BC1" w:rsidTr="00A46FE2">
        <w:tc>
          <w:tcPr>
            <w:tcW w:w="8647" w:type="dxa"/>
          </w:tcPr>
          <w:p w:rsidR="00BA4BC1" w:rsidRDefault="00BA4BC1" w:rsidP="003A5F79">
            <w:pPr>
              <w:pStyle w:val="NoSpacing"/>
            </w:pPr>
            <w:r>
              <w:t>Net result for the year</w:t>
            </w:r>
          </w:p>
        </w:tc>
        <w:tc>
          <w:tcPr>
            <w:tcW w:w="2126" w:type="dxa"/>
          </w:tcPr>
          <w:p w:rsidR="00BA4BC1" w:rsidRDefault="00BA4BC1" w:rsidP="003A5F79">
            <w:pPr>
              <w:pStyle w:val="NoSpacing"/>
              <w:jc w:val="right"/>
            </w:pPr>
            <w:r>
              <w:t>-</w:t>
            </w:r>
          </w:p>
        </w:tc>
        <w:tc>
          <w:tcPr>
            <w:tcW w:w="1701" w:type="dxa"/>
          </w:tcPr>
          <w:p w:rsidR="00BA4BC1" w:rsidRDefault="00C45B25" w:rsidP="003A5F79">
            <w:pPr>
              <w:pStyle w:val="NoSpacing"/>
              <w:jc w:val="right"/>
            </w:pPr>
            <w:r>
              <w:t>15,888</w:t>
            </w:r>
          </w:p>
        </w:tc>
        <w:tc>
          <w:tcPr>
            <w:tcW w:w="1701" w:type="dxa"/>
          </w:tcPr>
          <w:p w:rsidR="00BA4BC1" w:rsidRDefault="00C45B25" w:rsidP="003A5F79">
            <w:pPr>
              <w:pStyle w:val="NoSpacing"/>
              <w:jc w:val="right"/>
            </w:pPr>
            <w:r>
              <w:t>-</w:t>
            </w:r>
          </w:p>
        </w:tc>
        <w:tc>
          <w:tcPr>
            <w:tcW w:w="1560" w:type="dxa"/>
          </w:tcPr>
          <w:p w:rsidR="00BA4BC1" w:rsidRDefault="00C45B25" w:rsidP="003A5F79">
            <w:pPr>
              <w:pStyle w:val="NoSpacing"/>
              <w:jc w:val="right"/>
            </w:pPr>
            <w:r>
              <w:t>15,888</w:t>
            </w:r>
          </w:p>
        </w:tc>
      </w:tr>
      <w:tr w:rsidR="00BA4BC1" w:rsidTr="00A46FE2">
        <w:tc>
          <w:tcPr>
            <w:tcW w:w="8647" w:type="dxa"/>
          </w:tcPr>
          <w:p w:rsidR="00BA4BC1" w:rsidRDefault="00BA4BC1" w:rsidP="003A5F79">
            <w:pPr>
              <w:pStyle w:val="NoSpacing"/>
            </w:pPr>
            <w:r>
              <w:t>Other economic flows – other comprehensive income</w:t>
            </w:r>
          </w:p>
        </w:tc>
        <w:tc>
          <w:tcPr>
            <w:tcW w:w="2126" w:type="dxa"/>
          </w:tcPr>
          <w:p w:rsidR="00BA4BC1" w:rsidRDefault="00BA4BC1" w:rsidP="003A5F79">
            <w:pPr>
              <w:pStyle w:val="NoSpacing"/>
              <w:jc w:val="right"/>
            </w:pPr>
            <w:r>
              <w:t>9,804</w:t>
            </w:r>
          </w:p>
        </w:tc>
        <w:tc>
          <w:tcPr>
            <w:tcW w:w="1701" w:type="dxa"/>
          </w:tcPr>
          <w:p w:rsidR="00BA4BC1" w:rsidRDefault="00C45B25" w:rsidP="003A5F79">
            <w:pPr>
              <w:pStyle w:val="NoSpacing"/>
              <w:jc w:val="right"/>
            </w:pPr>
            <w:r>
              <w:t>-</w:t>
            </w:r>
          </w:p>
        </w:tc>
        <w:tc>
          <w:tcPr>
            <w:tcW w:w="1701" w:type="dxa"/>
          </w:tcPr>
          <w:p w:rsidR="00BA4BC1" w:rsidRDefault="00C45B25" w:rsidP="003A5F79">
            <w:pPr>
              <w:pStyle w:val="NoSpacing"/>
              <w:jc w:val="right"/>
            </w:pPr>
            <w:r>
              <w:t>-</w:t>
            </w:r>
          </w:p>
        </w:tc>
        <w:tc>
          <w:tcPr>
            <w:tcW w:w="1560" w:type="dxa"/>
          </w:tcPr>
          <w:p w:rsidR="00BA4BC1" w:rsidRDefault="00C45B25" w:rsidP="003A5F79">
            <w:pPr>
              <w:pStyle w:val="NoSpacing"/>
              <w:jc w:val="right"/>
            </w:pPr>
            <w:r>
              <w:t>9,804</w:t>
            </w:r>
          </w:p>
        </w:tc>
      </w:tr>
      <w:tr w:rsidR="00BA4BC1" w:rsidTr="00A46FE2">
        <w:tc>
          <w:tcPr>
            <w:tcW w:w="8647" w:type="dxa"/>
          </w:tcPr>
          <w:p w:rsidR="00BA4BC1" w:rsidRDefault="00BA4BC1" w:rsidP="003A5F79">
            <w:pPr>
              <w:pStyle w:val="NoSpacing"/>
            </w:pPr>
            <w:r>
              <w:t>Year ended 31 December 2016</w:t>
            </w:r>
          </w:p>
        </w:tc>
        <w:tc>
          <w:tcPr>
            <w:tcW w:w="2126" w:type="dxa"/>
          </w:tcPr>
          <w:p w:rsidR="00BA4BC1" w:rsidRDefault="00BA4BC1" w:rsidP="003A5F79">
            <w:pPr>
              <w:pStyle w:val="NoSpacing"/>
              <w:jc w:val="right"/>
            </w:pPr>
            <w:r>
              <w:t>60,513</w:t>
            </w:r>
          </w:p>
        </w:tc>
        <w:tc>
          <w:tcPr>
            <w:tcW w:w="1701" w:type="dxa"/>
          </w:tcPr>
          <w:p w:rsidR="00BA4BC1" w:rsidRDefault="00C45B25" w:rsidP="003A5F79">
            <w:pPr>
              <w:pStyle w:val="NoSpacing"/>
              <w:jc w:val="right"/>
            </w:pPr>
            <w:r>
              <w:t>183,242</w:t>
            </w:r>
          </w:p>
        </w:tc>
        <w:tc>
          <w:tcPr>
            <w:tcW w:w="1701" w:type="dxa"/>
          </w:tcPr>
          <w:p w:rsidR="00BA4BC1" w:rsidRDefault="00C45B25" w:rsidP="003A5F79">
            <w:pPr>
              <w:pStyle w:val="NoSpacing"/>
              <w:jc w:val="right"/>
            </w:pPr>
            <w:r>
              <w:t>85,387</w:t>
            </w:r>
          </w:p>
        </w:tc>
        <w:tc>
          <w:tcPr>
            <w:tcW w:w="1560" w:type="dxa"/>
          </w:tcPr>
          <w:p w:rsidR="00BA4BC1" w:rsidRDefault="00C45B25" w:rsidP="003A5F79">
            <w:pPr>
              <w:pStyle w:val="NoSpacing"/>
              <w:jc w:val="right"/>
            </w:pPr>
            <w:r>
              <w:t>329,142</w:t>
            </w:r>
          </w:p>
        </w:tc>
      </w:tr>
      <w:tr w:rsidR="00BA4BC1" w:rsidTr="00A46FE2">
        <w:tc>
          <w:tcPr>
            <w:tcW w:w="8647" w:type="dxa"/>
          </w:tcPr>
          <w:p w:rsidR="00BA4BC1" w:rsidRDefault="00BA4BC1" w:rsidP="003A5F79">
            <w:pPr>
              <w:pStyle w:val="NoSpacing"/>
            </w:pPr>
            <w:r>
              <w:lastRenderedPageBreak/>
              <w:t>Net result for the year</w:t>
            </w:r>
          </w:p>
        </w:tc>
        <w:tc>
          <w:tcPr>
            <w:tcW w:w="2126" w:type="dxa"/>
          </w:tcPr>
          <w:p w:rsidR="00BA4BC1" w:rsidRDefault="00BA4BC1" w:rsidP="003A5F79">
            <w:pPr>
              <w:pStyle w:val="NoSpacing"/>
              <w:jc w:val="right"/>
            </w:pPr>
            <w:r>
              <w:t>-</w:t>
            </w:r>
          </w:p>
        </w:tc>
        <w:tc>
          <w:tcPr>
            <w:tcW w:w="1701" w:type="dxa"/>
          </w:tcPr>
          <w:p w:rsidR="00BA4BC1" w:rsidRDefault="00C45B25" w:rsidP="003A5F79">
            <w:pPr>
              <w:pStyle w:val="NoSpacing"/>
              <w:jc w:val="right"/>
            </w:pPr>
            <w:r>
              <w:t>32,357</w:t>
            </w:r>
          </w:p>
        </w:tc>
        <w:tc>
          <w:tcPr>
            <w:tcW w:w="1701" w:type="dxa"/>
          </w:tcPr>
          <w:p w:rsidR="00BA4BC1" w:rsidRDefault="00C45B25" w:rsidP="003A5F79">
            <w:pPr>
              <w:pStyle w:val="NoSpacing"/>
              <w:jc w:val="right"/>
            </w:pPr>
            <w:r>
              <w:t>-</w:t>
            </w:r>
          </w:p>
        </w:tc>
        <w:tc>
          <w:tcPr>
            <w:tcW w:w="1560" w:type="dxa"/>
          </w:tcPr>
          <w:p w:rsidR="00BA4BC1" w:rsidRDefault="00C45B25" w:rsidP="003A5F79">
            <w:pPr>
              <w:pStyle w:val="NoSpacing"/>
              <w:jc w:val="right"/>
            </w:pPr>
            <w:r>
              <w:t>32,357</w:t>
            </w:r>
          </w:p>
        </w:tc>
      </w:tr>
      <w:tr w:rsidR="00BA4BC1" w:rsidTr="00A46FE2">
        <w:tc>
          <w:tcPr>
            <w:tcW w:w="8647" w:type="dxa"/>
          </w:tcPr>
          <w:p w:rsidR="00BA4BC1" w:rsidRDefault="00BA4BC1" w:rsidP="003A5F79">
            <w:pPr>
              <w:pStyle w:val="NoSpacing"/>
            </w:pPr>
            <w:r>
              <w:t>Other economic flows – other comprehensive income</w:t>
            </w:r>
          </w:p>
        </w:tc>
        <w:tc>
          <w:tcPr>
            <w:tcW w:w="2126" w:type="dxa"/>
          </w:tcPr>
          <w:p w:rsidR="00BA4BC1" w:rsidRDefault="00BA4BC1" w:rsidP="003A5F79">
            <w:pPr>
              <w:pStyle w:val="NoSpacing"/>
              <w:jc w:val="right"/>
            </w:pPr>
            <w:r>
              <w:t>18,325</w:t>
            </w:r>
          </w:p>
        </w:tc>
        <w:tc>
          <w:tcPr>
            <w:tcW w:w="1701" w:type="dxa"/>
          </w:tcPr>
          <w:p w:rsidR="00BA4BC1" w:rsidRDefault="00C45B25" w:rsidP="003A5F79">
            <w:pPr>
              <w:pStyle w:val="NoSpacing"/>
              <w:jc w:val="right"/>
            </w:pPr>
            <w:r>
              <w:t>-</w:t>
            </w:r>
          </w:p>
        </w:tc>
        <w:tc>
          <w:tcPr>
            <w:tcW w:w="1701" w:type="dxa"/>
          </w:tcPr>
          <w:p w:rsidR="00BA4BC1" w:rsidRDefault="00C45B25" w:rsidP="003A5F79">
            <w:pPr>
              <w:pStyle w:val="NoSpacing"/>
              <w:jc w:val="right"/>
            </w:pPr>
            <w:r>
              <w:t>-</w:t>
            </w:r>
          </w:p>
        </w:tc>
        <w:tc>
          <w:tcPr>
            <w:tcW w:w="1560" w:type="dxa"/>
          </w:tcPr>
          <w:p w:rsidR="00BA4BC1" w:rsidRDefault="00C45B25" w:rsidP="003A5F79">
            <w:pPr>
              <w:pStyle w:val="NoSpacing"/>
              <w:jc w:val="right"/>
            </w:pPr>
            <w:r>
              <w:t>18,325</w:t>
            </w:r>
          </w:p>
        </w:tc>
      </w:tr>
      <w:tr w:rsidR="00BA4BC1" w:rsidTr="00A46FE2">
        <w:tc>
          <w:tcPr>
            <w:tcW w:w="8647" w:type="dxa"/>
          </w:tcPr>
          <w:p w:rsidR="00BA4BC1" w:rsidRDefault="00BA4BC1" w:rsidP="003A5F79">
            <w:pPr>
              <w:pStyle w:val="NoSpacing"/>
            </w:pPr>
            <w:r>
              <w:t>Year ended 31 December 2017</w:t>
            </w:r>
          </w:p>
        </w:tc>
        <w:tc>
          <w:tcPr>
            <w:tcW w:w="2126" w:type="dxa"/>
          </w:tcPr>
          <w:p w:rsidR="00BA4BC1" w:rsidRDefault="00BA4BC1" w:rsidP="003A5F79">
            <w:pPr>
              <w:pStyle w:val="NoSpacing"/>
              <w:jc w:val="right"/>
            </w:pPr>
            <w:r>
              <w:t>78,838</w:t>
            </w:r>
          </w:p>
        </w:tc>
        <w:tc>
          <w:tcPr>
            <w:tcW w:w="1701" w:type="dxa"/>
          </w:tcPr>
          <w:p w:rsidR="00BA4BC1" w:rsidRDefault="00C45B25" w:rsidP="003A5F79">
            <w:pPr>
              <w:pStyle w:val="NoSpacing"/>
              <w:jc w:val="right"/>
            </w:pPr>
            <w:r>
              <w:t>215,599</w:t>
            </w:r>
          </w:p>
        </w:tc>
        <w:tc>
          <w:tcPr>
            <w:tcW w:w="1701" w:type="dxa"/>
          </w:tcPr>
          <w:p w:rsidR="00BA4BC1" w:rsidRDefault="00C45B25" w:rsidP="003A5F79">
            <w:pPr>
              <w:pStyle w:val="NoSpacing"/>
              <w:jc w:val="right"/>
            </w:pPr>
            <w:r>
              <w:t>85,387</w:t>
            </w:r>
          </w:p>
        </w:tc>
        <w:tc>
          <w:tcPr>
            <w:tcW w:w="1560" w:type="dxa"/>
          </w:tcPr>
          <w:p w:rsidR="00BA4BC1" w:rsidRDefault="00C45B25" w:rsidP="003A5F79">
            <w:pPr>
              <w:pStyle w:val="NoSpacing"/>
              <w:jc w:val="right"/>
            </w:pPr>
            <w:r>
              <w:t>379,824</w:t>
            </w:r>
          </w:p>
        </w:tc>
      </w:tr>
    </w:tbl>
    <w:p w:rsidR="00BA4BC1" w:rsidRDefault="00BA4BC1" w:rsidP="00BB4096">
      <w:pPr>
        <w:pStyle w:val="NoSpacing"/>
      </w:pPr>
    </w:p>
    <w:p w:rsidR="00C45B25" w:rsidRPr="00C45B25" w:rsidRDefault="00C45B25" w:rsidP="00C45B25">
      <w:pPr>
        <w:pStyle w:val="NoSpacing"/>
      </w:pPr>
      <w:r w:rsidRPr="00C45B25">
        <w:t>The above Statement of changes in equity should be read in conjunction with the accompanying notes.</w:t>
      </w:r>
    </w:p>
    <w:p w:rsidR="00C45B25" w:rsidRDefault="00C45B25" w:rsidP="00BB4096">
      <w:pPr>
        <w:pStyle w:val="NoSpacing"/>
      </w:pPr>
    </w:p>
    <w:p w:rsidR="00C45B25" w:rsidRPr="00D905F9" w:rsidRDefault="00C45B25" w:rsidP="00C45B25">
      <w:pPr>
        <w:pStyle w:val="NoSpacing"/>
        <w:rPr>
          <w:bCs/>
          <w:w w:val="105"/>
        </w:rPr>
      </w:pPr>
      <w:r w:rsidRPr="00D905F9">
        <w:rPr>
          <w:bCs/>
          <w:w w:val="105"/>
        </w:rPr>
        <w:t>&lt;pp&gt;44</w:t>
      </w:r>
    </w:p>
    <w:p w:rsidR="00C45B25" w:rsidRDefault="00C45B25" w:rsidP="00BB4096">
      <w:pPr>
        <w:pStyle w:val="NoSpacing"/>
      </w:pPr>
    </w:p>
    <w:p w:rsidR="00C45B25" w:rsidRDefault="00C45B25" w:rsidP="006914D6">
      <w:pPr>
        <w:pStyle w:val="Heading2"/>
      </w:pPr>
      <w:r>
        <w:t>Cash Flow Statement</w:t>
      </w:r>
    </w:p>
    <w:p w:rsidR="00C45B25" w:rsidRDefault="00C45B25" w:rsidP="00BB4096">
      <w:pPr>
        <w:pStyle w:val="NoSpacing"/>
        <w:rPr>
          <w:rFonts w:cstheme="minorHAnsi"/>
          <w:b/>
          <w:sz w:val="40"/>
          <w:szCs w:val="24"/>
        </w:rPr>
      </w:pPr>
    </w:p>
    <w:p w:rsidR="00C45B25" w:rsidRDefault="00C45B25" w:rsidP="00C45B25">
      <w:pPr>
        <w:pStyle w:val="NoSpacing"/>
      </w:pPr>
      <w:r w:rsidRPr="00C45B25">
        <w:t>For the year ended at 31 December 2017</w:t>
      </w:r>
    </w:p>
    <w:p w:rsidR="00C45B25" w:rsidRDefault="00C45B25" w:rsidP="00C45B25">
      <w:pPr>
        <w:pStyle w:val="NoSpacing"/>
      </w:pPr>
    </w:p>
    <w:tbl>
      <w:tblPr>
        <w:tblStyle w:val="TableGrid"/>
        <w:tblW w:w="15740" w:type="dxa"/>
        <w:tblInd w:w="-572" w:type="dxa"/>
        <w:tblLayout w:type="fixed"/>
        <w:tblLook w:val="04A0" w:firstRow="1" w:lastRow="0" w:firstColumn="1" w:lastColumn="0" w:noHBand="0" w:noVBand="1"/>
      </w:tblPr>
      <w:tblGrid>
        <w:gridCol w:w="9072"/>
        <w:gridCol w:w="1418"/>
        <w:gridCol w:w="1418"/>
        <w:gridCol w:w="1276"/>
        <w:gridCol w:w="1275"/>
        <w:gridCol w:w="1281"/>
      </w:tblGrid>
      <w:tr w:rsidR="00C45B25" w:rsidRPr="00AE2D8D" w:rsidTr="00A46FE2">
        <w:tc>
          <w:tcPr>
            <w:tcW w:w="10490" w:type="dxa"/>
            <w:gridSpan w:val="2"/>
            <w:vMerge w:val="restart"/>
          </w:tcPr>
          <w:p w:rsidR="00C45B25" w:rsidRPr="00AE2D8D" w:rsidRDefault="00C45B25" w:rsidP="003A5F79">
            <w:pPr>
              <w:pStyle w:val="NoSpacing"/>
              <w:rPr>
                <w:rFonts w:cstheme="minorHAnsi"/>
                <w:bCs/>
                <w:w w:val="105"/>
              </w:rPr>
            </w:pPr>
          </w:p>
        </w:tc>
        <w:tc>
          <w:tcPr>
            <w:tcW w:w="2694" w:type="dxa"/>
            <w:gridSpan w:val="2"/>
          </w:tcPr>
          <w:p w:rsidR="00C45B25" w:rsidRPr="00AE2D8D" w:rsidRDefault="00C45B25" w:rsidP="003A5F79">
            <w:pPr>
              <w:pStyle w:val="NoSpacing"/>
              <w:jc w:val="center"/>
              <w:rPr>
                <w:rFonts w:cstheme="minorHAnsi"/>
                <w:bCs/>
                <w:w w:val="105"/>
              </w:rPr>
            </w:pPr>
            <w:r w:rsidRPr="00AE2D8D">
              <w:rPr>
                <w:rFonts w:cstheme="minorHAnsi"/>
                <w:bCs/>
                <w:w w:val="105"/>
              </w:rPr>
              <w:t>Consolidated</w:t>
            </w:r>
          </w:p>
        </w:tc>
        <w:tc>
          <w:tcPr>
            <w:tcW w:w="2556" w:type="dxa"/>
            <w:gridSpan w:val="2"/>
          </w:tcPr>
          <w:p w:rsidR="00C45B25" w:rsidRPr="00AE2D8D" w:rsidRDefault="00C45B25" w:rsidP="003A5F79">
            <w:pPr>
              <w:pStyle w:val="NoSpacing"/>
              <w:jc w:val="center"/>
              <w:rPr>
                <w:rFonts w:cstheme="minorHAnsi"/>
                <w:bCs/>
                <w:w w:val="105"/>
              </w:rPr>
            </w:pPr>
            <w:r w:rsidRPr="00AE2D8D">
              <w:rPr>
                <w:rFonts w:cstheme="minorHAnsi"/>
                <w:bCs/>
                <w:w w:val="105"/>
              </w:rPr>
              <w:t>Chisholm</w:t>
            </w:r>
          </w:p>
        </w:tc>
      </w:tr>
      <w:tr w:rsidR="00C45B25" w:rsidRPr="00AE2D8D" w:rsidTr="00A46FE2">
        <w:tc>
          <w:tcPr>
            <w:tcW w:w="10490" w:type="dxa"/>
            <w:gridSpan w:val="2"/>
            <w:vMerge/>
          </w:tcPr>
          <w:p w:rsidR="00C45B25" w:rsidRPr="00AE2D8D" w:rsidRDefault="00C45B25" w:rsidP="003A5F79">
            <w:pPr>
              <w:pStyle w:val="NoSpacing"/>
              <w:rPr>
                <w:rFonts w:cstheme="minorHAnsi"/>
                <w:bCs/>
                <w:w w:val="105"/>
              </w:rPr>
            </w:pPr>
          </w:p>
        </w:tc>
        <w:tc>
          <w:tcPr>
            <w:tcW w:w="1418" w:type="dxa"/>
          </w:tcPr>
          <w:p w:rsidR="00C45B25" w:rsidRPr="00AE2D8D" w:rsidRDefault="00C45B25" w:rsidP="003A5F79">
            <w:pPr>
              <w:pStyle w:val="NoSpacing"/>
              <w:jc w:val="right"/>
              <w:rPr>
                <w:rFonts w:cstheme="minorHAnsi"/>
                <w:bCs/>
                <w:w w:val="105"/>
              </w:rPr>
            </w:pPr>
            <w:r w:rsidRPr="00AE2D8D">
              <w:rPr>
                <w:rFonts w:cstheme="minorHAnsi"/>
                <w:bCs/>
                <w:w w:val="105"/>
              </w:rPr>
              <w:t>2017</w:t>
            </w:r>
          </w:p>
        </w:tc>
        <w:tc>
          <w:tcPr>
            <w:tcW w:w="1276" w:type="dxa"/>
          </w:tcPr>
          <w:p w:rsidR="00C45B25" w:rsidRPr="00AE2D8D" w:rsidRDefault="00C45B25" w:rsidP="003A5F79">
            <w:pPr>
              <w:pStyle w:val="NoSpacing"/>
              <w:jc w:val="right"/>
              <w:rPr>
                <w:rFonts w:cstheme="minorHAnsi"/>
                <w:bCs/>
                <w:w w:val="105"/>
              </w:rPr>
            </w:pPr>
            <w:r w:rsidRPr="00AE2D8D">
              <w:rPr>
                <w:rFonts w:cstheme="minorHAnsi"/>
                <w:bCs/>
                <w:w w:val="105"/>
              </w:rPr>
              <w:t>2016</w:t>
            </w:r>
          </w:p>
        </w:tc>
        <w:tc>
          <w:tcPr>
            <w:tcW w:w="1275" w:type="dxa"/>
          </w:tcPr>
          <w:p w:rsidR="00C45B25" w:rsidRPr="00AE2D8D" w:rsidRDefault="00C45B25" w:rsidP="003A5F79">
            <w:pPr>
              <w:pStyle w:val="NoSpacing"/>
              <w:jc w:val="right"/>
              <w:rPr>
                <w:rFonts w:cstheme="minorHAnsi"/>
                <w:bCs/>
                <w:w w:val="105"/>
              </w:rPr>
            </w:pPr>
            <w:r w:rsidRPr="00AE2D8D">
              <w:rPr>
                <w:rFonts w:cstheme="minorHAnsi"/>
                <w:bCs/>
                <w:w w:val="105"/>
              </w:rPr>
              <w:t>2017</w:t>
            </w:r>
          </w:p>
        </w:tc>
        <w:tc>
          <w:tcPr>
            <w:tcW w:w="1281" w:type="dxa"/>
          </w:tcPr>
          <w:p w:rsidR="00C45B25" w:rsidRPr="00AE2D8D" w:rsidRDefault="00C45B25" w:rsidP="003A5F79">
            <w:pPr>
              <w:pStyle w:val="NoSpacing"/>
              <w:jc w:val="right"/>
              <w:rPr>
                <w:rFonts w:cstheme="minorHAnsi"/>
                <w:bCs/>
                <w:w w:val="105"/>
              </w:rPr>
            </w:pPr>
            <w:r w:rsidRPr="00AE2D8D">
              <w:rPr>
                <w:rFonts w:cstheme="minorHAnsi"/>
                <w:bCs/>
                <w:w w:val="105"/>
              </w:rPr>
              <w:t>2016</w:t>
            </w:r>
          </w:p>
        </w:tc>
      </w:tr>
      <w:tr w:rsidR="00C45B25" w:rsidRPr="00AE2D8D" w:rsidTr="00A46FE2">
        <w:tc>
          <w:tcPr>
            <w:tcW w:w="9072" w:type="dxa"/>
          </w:tcPr>
          <w:p w:rsidR="00C45B25" w:rsidRPr="00AE2D8D" w:rsidRDefault="00C45B25" w:rsidP="003A5F79">
            <w:pPr>
              <w:pStyle w:val="NoSpacing"/>
              <w:jc w:val="center"/>
              <w:rPr>
                <w:rFonts w:cstheme="minorHAnsi"/>
                <w:bCs/>
                <w:w w:val="105"/>
              </w:rPr>
            </w:pPr>
          </w:p>
        </w:tc>
        <w:tc>
          <w:tcPr>
            <w:tcW w:w="1418" w:type="dxa"/>
          </w:tcPr>
          <w:p w:rsidR="00C45B25" w:rsidRPr="00AE2D8D" w:rsidRDefault="00C45B25" w:rsidP="003A5F79">
            <w:pPr>
              <w:pStyle w:val="NoSpacing"/>
              <w:rPr>
                <w:rFonts w:cstheme="minorHAnsi"/>
                <w:bCs/>
                <w:w w:val="105"/>
              </w:rPr>
            </w:pPr>
            <w:r w:rsidRPr="00AE2D8D">
              <w:rPr>
                <w:rFonts w:cstheme="minorHAnsi"/>
                <w:bCs/>
                <w:w w:val="105"/>
              </w:rPr>
              <w:t>Notes</w:t>
            </w:r>
          </w:p>
        </w:tc>
        <w:tc>
          <w:tcPr>
            <w:tcW w:w="1418" w:type="dxa"/>
          </w:tcPr>
          <w:p w:rsidR="00C45B25" w:rsidRPr="00AE2D8D" w:rsidRDefault="00C45B25" w:rsidP="003A5F79">
            <w:pPr>
              <w:jc w:val="right"/>
              <w:rPr>
                <w:rFonts w:cstheme="minorHAnsi"/>
              </w:rPr>
            </w:pPr>
            <w:r w:rsidRPr="00AE2D8D">
              <w:rPr>
                <w:rFonts w:cstheme="minorHAnsi"/>
                <w:bCs/>
                <w:w w:val="105"/>
              </w:rPr>
              <w:t>$’000</w:t>
            </w:r>
          </w:p>
        </w:tc>
        <w:tc>
          <w:tcPr>
            <w:tcW w:w="1276" w:type="dxa"/>
          </w:tcPr>
          <w:p w:rsidR="00C45B25" w:rsidRPr="00AE2D8D" w:rsidRDefault="00C45B25" w:rsidP="003A5F79">
            <w:pPr>
              <w:jc w:val="right"/>
              <w:rPr>
                <w:rFonts w:cstheme="minorHAnsi"/>
              </w:rPr>
            </w:pPr>
            <w:r w:rsidRPr="00AE2D8D">
              <w:rPr>
                <w:rFonts w:cstheme="minorHAnsi"/>
                <w:bCs/>
                <w:w w:val="105"/>
              </w:rPr>
              <w:t>$’000</w:t>
            </w:r>
          </w:p>
        </w:tc>
        <w:tc>
          <w:tcPr>
            <w:tcW w:w="1275" w:type="dxa"/>
          </w:tcPr>
          <w:p w:rsidR="00C45B25" w:rsidRPr="00AE2D8D" w:rsidRDefault="00C45B25" w:rsidP="003A5F79">
            <w:pPr>
              <w:jc w:val="right"/>
              <w:rPr>
                <w:rFonts w:cstheme="minorHAnsi"/>
              </w:rPr>
            </w:pPr>
            <w:r w:rsidRPr="00AE2D8D">
              <w:rPr>
                <w:rFonts w:cstheme="minorHAnsi"/>
                <w:bCs/>
                <w:w w:val="105"/>
              </w:rPr>
              <w:t>$’000</w:t>
            </w:r>
          </w:p>
        </w:tc>
        <w:tc>
          <w:tcPr>
            <w:tcW w:w="1281" w:type="dxa"/>
          </w:tcPr>
          <w:p w:rsidR="00C45B25" w:rsidRPr="00AE2D8D" w:rsidRDefault="00C45B25" w:rsidP="003A5F79">
            <w:pPr>
              <w:pStyle w:val="NoSpacing"/>
              <w:jc w:val="right"/>
              <w:rPr>
                <w:rFonts w:cstheme="minorHAnsi"/>
                <w:bCs/>
                <w:w w:val="105"/>
              </w:rPr>
            </w:pPr>
            <w:r w:rsidRPr="00AE2D8D">
              <w:rPr>
                <w:rFonts w:cstheme="minorHAnsi"/>
                <w:bCs/>
                <w:w w:val="105"/>
              </w:rPr>
              <w:t>$’000</w:t>
            </w:r>
          </w:p>
        </w:tc>
      </w:tr>
    </w:tbl>
    <w:p w:rsidR="00C45B25" w:rsidRDefault="00C45B25" w:rsidP="00C45B25">
      <w:pPr>
        <w:pStyle w:val="NoSpacing"/>
      </w:pPr>
      <w:r>
        <w:t xml:space="preserve">Cash flow from operating activities </w:t>
      </w:r>
    </w:p>
    <w:p w:rsidR="00C45B25" w:rsidRDefault="00C45B25" w:rsidP="00C45B25">
      <w:pPr>
        <w:pStyle w:val="NoSpacing"/>
      </w:pPr>
    </w:p>
    <w:p w:rsidR="00C45B25" w:rsidRPr="00AE2D8D" w:rsidRDefault="00C45B25" w:rsidP="00C45B25">
      <w:pPr>
        <w:pStyle w:val="NoSpacing"/>
        <w:rPr>
          <w:rFonts w:cstheme="minorHAnsi"/>
          <w:bCs/>
          <w:w w:val="105"/>
        </w:rPr>
      </w:pPr>
      <w:r>
        <w:rPr>
          <w:rFonts w:cstheme="minorHAnsi"/>
          <w:bCs/>
          <w:w w:val="105"/>
        </w:rPr>
        <w:t xml:space="preserve">Receipts </w:t>
      </w:r>
    </w:p>
    <w:tbl>
      <w:tblPr>
        <w:tblStyle w:val="TableGrid"/>
        <w:tblW w:w="15735" w:type="dxa"/>
        <w:tblInd w:w="-572" w:type="dxa"/>
        <w:tblLook w:val="04A0" w:firstRow="1" w:lastRow="0" w:firstColumn="1" w:lastColumn="0" w:noHBand="0" w:noVBand="1"/>
      </w:tblPr>
      <w:tblGrid>
        <w:gridCol w:w="9072"/>
        <w:gridCol w:w="1418"/>
        <w:gridCol w:w="1417"/>
        <w:gridCol w:w="1276"/>
        <w:gridCol w:w="1276"/>
        <w:gridCol w:w="1276"/>
      </w:tblGrid>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Government contributions</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118,817</w:t>
            </w:r>
          </w:p>
        </w:tc>
        <w:tc>
          <w:tcPr>
            <w:tcW w:w="1276" w:type="dxa"/>
          </w:tcPr>
          <w:p w:rsidR="00C45B25" w:rsidRPr="00AE2D8D" w:rsidRDefault="00852FAB" w:rsidP="003A5F79">
            <w:pPr>
              <w:pStyle w:val="NoSpacing"/>
              <w:jc w:val="right"/>
              <w:rPr>
                <w:rFonts w:cstheme="minorHAnsi"/>
                <w:bCs/>
                <w:w w:val="105"/>
              </w:rPr>
            </w:pPr>
            <w:r>
              <w:rPr>
                <w:rFonts w:cstheme="minorHAnsi"/>
                <w:bCs/>
                <w:w w:val="105"/>
              </w:rPr>
              <w:t>92,336</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116,919</w:t>
            </w:r>
          </w:p>
        </w:tc>
        <w:tc>
          <w:tcPr>
            <w:tcW w:w="1276" w:type="dxa"/>
          </w:tcPr>
          <w:p w:rsidR="00C45B25" w:rsidRPr="00AE2D8D" w:rsidRDefault="00852FAB" w:rsidP="003A5F79">
            <w:pPr>
              <w:pStyle w:val="NoSpacing"/>
              <w:jc w:val="right"/>
              <w:rPr>
                <w:rFonts w:cstheme="minorHAnsi"/>
                <w:bCs/>
                <w:w w:val="105"/>
              </w:rPr>
            </w:pPr>
            <w:r>
              <w:rPr>
                <w:rFonts w:cstheme="minorHAnsi"/>
                <w:bCs/>
                <w:w w:val="105"/>
              </w:rPr>
              <w:t>91,149</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 xml:space="preserve">User fees and charges received </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44,631</w:t>
            </w:r>
          </w:p>
        </w:tc>
        <w:tc>
          <w:tcPr>
            <w:tcW w:w="1276" w:type="dxa"/>
          </w:tcPr>
          <w:p w:rsidR="00C45B25" w:rsidRPr="00AE2D8D" w:rsidRDefault="00852FAB" w:rsidP="003A5F79">
            <w:pPr>
              <w:pStyle w:val="NoSpacing"/>
              <w:jc w:val="right"/>
              <w:rPr>
                <w:rFonts w:cstheme="minorHAnsi"/>
                <w:bCs/>
                <w:w w:val="105"/>
              </w:rPr>
            </w:pPr>
            <w:r>
              <w:rPr>
                <w:rFonts w:cstheme="minorHAnsi"/>
                <w:bCs/>
                <w:w w:val="105"/>
              </w:rPr>
              <w:t>51,240</w:t>
            </w:r>
          </w:p>
        </w:tc>
        <w:tc>
          <w:tcPr>
            <w:tcW w:w="1276" w:type="dxa"/>
          </w:tcPr>
          <w:p w:rsidR="00C45B25" w:rsidRPr="00AE2D8D" w:rsidRDefault="00852FAB" w:rsidP="003A5F79">
            <w:pPr>
              <w:pStyle w:val="NoSpacing"/>
              <w:jc w:val="right"/>
              <w:rPr>
                <w:rFonts w:cstheme="minorHAnsi"/>
                <w:bCs/>
                <w:w w:val="105"/>
              </w:rPr>
            </w:pPr>
            <w:r>
              <w:rPr>
                <w:rFonts w:cstheme="minorHAnsi"/>
                <w:bCs/>
                <w:w w:val="105"/>
              </w:rPr>
              <w:t>43,064</w:t>
            </w:r>
          </w:p>
        </w:tc>
        <w:tc>
          <w:tcPr>
            <w:tcW w:w="1276" w:type="dxa"/>
          </w:tcPr>
          <w:p w:rsidR="00C45B25" w:rsidRPr="00AE2D8D" w:rsidRDefault="00852FAB" w:rsidP="003A5F79">
            <w:pPr>
              <w:pStyle w:val="NoSpacing"/>
              <w:jc w:val="right"/>
              <w:rPr>
                <w:rFonts w:cstheme="minorHAnsi"/>
                <w:bCs/>
                <w:w w:val="105"/>
              </w:rPr>
            </w:pPr>
            <w:r>
              <w:rPr>
                <w:rFonts w:cstheme="minorHAnsi"/>
                <w:bCs/>
                <w:w w:val="105"/>
              </w:rPr>
              <w:t>52,114</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Good and services tax recovered</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218</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168</w:t>
            </w:r>
          </w:p>
        </w:tc>
        <w:tc>
          <w:tcPr>
            <w:tcW w:w="1276" w:type="dxa"/>
          </w:tcPr>
          <w:p w:rsidR="00C45B25" w:rsidRPr="00AE2D8D" w:rsidRDefault="00852FAB" w:rsidP="003A5F79">
            <w:pPr>
              <w:pStyle w:val="NoSpacing"/>
              <w:jc w:val="right"/>
              <w:rPr>
                <w:rFonts w:cstheme="minorHAnsi"/>
                <w:bCs/>
                <w:w w:val="105"/>
              </w:rPr>
            </w:pPr>
            <w:r>
              <w:rPr>
                <w:rFonts w:cstheme="minorHAnsi"/>
                <w:bCs/>
                <w:w w:val="105"/>
              </w:rPr>
              <w:t>-</w:t>
            </w:r>
          </w:p>
        </w:tc>
        <w:tc>
          <w:tcPr>
            <w:tcW w:w="1276" w:type="dxa"/>
          </w:tcPr>
          <w:p w:rsidR="00C45B25" w:rsidRPr="00AE2D8D" w:rsidRDefault="00852FAB" w:rsidP="003A5F79">
            <w:pPr>
              <w:pStyle w:val="NoSpacing"/>
              <w:jc w:val="right"/>
              <w:rPr>
                <w:rFonts w:cstheme="minorHAnsi"/>
                <w:bCs/>
                <w:w w:val="105"/>
              </w:rPr>
            </w:pPr>
            <w:r>
              <w:rPr>
                <w:rFonts w:cstheme="minorHAnsi"/>
                <w:bCs/>
                <w:w w:val="105"/>
              </w:rPr>
              <w:t>-</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Interest received</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1,212</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1,104</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1,204</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1,078</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 xml:space="preserve">Other receipts </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2,690</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1,465</w:t>
            </w:r>
          </w:p>
        </w:tc>
        <w:tc>
          <w:tcPr>
            <w:tcW w:w="1276" w:type="dxa"/>
          </w:tcPr>
          <w:p w:rsidR="00C45B25" w:rsidRPr="00AE2D8D" w:rsidRDefault="00852FAB" w:rsidP="003A5F79">
            <w:pPr>
              <w:pStyle w:val="NoSpacing"/>
              <w:jc w:val="right"/>
              <w:rPr>
                <w:rFonts w:cstheme="minorHAnsi"/>
                <w:bCs/>
                <w:w w:val="105"/>
              </w:rPr>
            </w:pPr>
            <w:r>
              <w:rPr>
                <w:rFonts w:cstheme="minorHAnsi"/>
                <w:bCs/>
                <w:w w:val="105"/>
              </w:rPr>
              <w:t>5,471</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1,752</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 xml:space="preserve">Total receipts </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167,568</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146,493</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166,658</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146,093</w:t>
            </w:r>
          </w:p>
        </w:tc>
      </w:tr>
    </w:tbl>
    <w:p w:rsidR="00C45B25" w:rsidRDefault="00C45B25" w:rsidP="00C45B25">
      <w:pPr>
        <w:pStyle w:val="NoSpacing"/>
      </w:pPr>
    </w:p>
    <w:p w:rsidR="00C45B25" w:rsidRPr="00AE2D8D" w:rsidRDefault="00C45B25" w:rsidP="00C45B25">
      <w:pPr>
        <w:pStyle w:val="NoSpacing"/>
        <w:rPr>
          <w:rFonts w:cstheme="minorHAnsi"/>
          <w:bCs/>
          <w:w w:val="105"/>
        </w:rPr>
      </w:pPr>
      <w:r>
        <w:rPr>
          <w:rFonts w:cstheme="minorHAnsi"/>
          <w:bCs/>
          <w:w w:val="105"/>
        </w:rPr>
        <w:t xml:space="preserve">Payments </w:t>
      </w:r>
    </w:p>
    <w:tbl>
      <w:tblPr>
        <w:tblStyle w:val="TableGrid"/>
        <w:tblW w:w="15735" w:type="dxa"/>
        <w:tblInd w:w="-572" w:type="dxa"/>
        <w:tblLook w:val="04A0" w:firstRow="1" w:lastRow="0" w:firstColumn="1" w:lastColumn="0" w:noHBand="0" w:noVBand="1"/>
      </w:tblPr>
      <w:tblGrid>
        <w:gridCol w:w="9072"/>
        <w:gridCol w:w="1418"/>
        <w:gridCol w:w="1417"/>
        <w:gridCol w:w="1276"/>
        <w:gridCol w:w="1276"/>
        <w:gridCol w:w="1276"/>
      </w:tblGrid>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Payments to employees</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(78,346)</w:t>
            </w:r>
          </w:p>
        </w:tc>
        <w:tc>
          <w:tcPr>
            <w:tcW w:w="1276" w:type="dxa"/>
          </w:tcPr>
          <w:p w:rsidR="00C45B25" w:rsidRPr="00AE2D8D" w:rsidRDefault="00852FAB" w:rsidP="00852FAB">
            <w:pPr>
              <w:pStyle w:val="NoSpacing"/>
              <w:jc w:val="right"/>
              <w:rPr>
                <w:rFonts w:cstheme="minorHAnsi"/>
                <w:bCs/>
                <w:w w:val="105"/>
              </w:rPr>
            </w:pPr>
            <w:r>
              <w:rPr>
                <w:rFonts w:cstheme="minorHAnsi"/>
                <w:bCs/>
                <w:w w:val="105"/>
              </w:rPr>
              <w:t>(74,641)</w:t>
            </w:r>
          </w:p>
        </w:tc>
        <w:tc>
          <w:tcPr>
            <w:tcW w:w="1276" w:type="dxa"/>
          </w:tcPr>
          <w:p w:rsidR="00C45B25" w:rsidRPr="00AE2D8D" w:rsidRDefault="00852FAB" w:rsidP="003A5F79">
            <w:pPr>
              <w:pStyle w:val="NoSpacing"/>
              <w:jc w:val="right"/>
              <w:rPr>
                <w:rFonts w:cstheme="minorHAnsi"/>
                <w:bCs/>
                <w:w w:val="105"/>
              </w:rPr>
            </w:pPr>
            <w:r>
              <w:rPr>
                <w:rFonts w:cstheme="minorHAnsi"/>
                <w:bCs/>
                <w:w w:val="105"/>
              </w:rPr>
              <w:t>(75,970)</w:t>
            </w:r>
          </w:p>
        </w:tc>
        <w:tc>
          <w:tcPr>
            <w:tcW w:w="1276" w:type="dxa"/>
          </w:tcPr>
          <w:p w:rsidR="00C45B25" w:rsidRPr="00AE2D8D" w:rsidRDefault="008C240B" w:rsidP="003A5F79">
            <w:pPr>
              <w:pStyle w:val="NoSpacing"/>
              <w:jc w:val="right"/>
              <w:rPr>
                <w:rFonts w:cstheme="minorHAnsi"/>
                <w:bCs/>
                <w:w w:val="105"/>
              </w:rPr>
            </w:pPr>
            <w:r>
              <w:rPr>
                <w:rFonts w:cstheme="minorHAnsi"/>
                <w:bCs/>
                <w:w w:val="105"/>
              </w:rPr>
              <w:t>(72,389)</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Payments to suppliers</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(50,849)</w:t>
            </w:r>
          </w:p>
        </w:tc>
        <w:tc>
          <w:tcPr>
            <w:tcW w:w="1276" w:type="dxa"/>
          </w:tcPr>
          <w:p w:rsidR="00C45B25" w:rsidRPr="00AE2D8D" w:rsidRDefault="00852FAB" w:rsidP="003A5F79">
            <w:pPr>
              <w:pStyle w:val="NoSpacing"/>
              <w:jc w:val="right"/>
              <w:rPr>
                <w:rFonts w:cstheme="minorHAnsi"/>
                <w:bCs/>
                <w:w w:val="105"/>
              </w:rPr>
            </w:pPr>
            <w:r>
              <w:rPr>
                <w:rFonts w:cstheme="minorHAnsi"/>
                <w:bCs/>
                <w:w w:val="105"/>
              </w:rPr>
              <w:t>(39,708)</w:t>
            </w:r>
          </w:p>
        </w:tc>
        <w:tc>
          <w:tcPr>
            <w:tcW w:w="1276" w:type="dxa"/>
          </w:tcPr>
          <w:p w:rsidR="00C45B25" w:rsidRPr="00AE2D8D" w:rsidRDefault="00852FAB" w:rsidP="003A5F79">
            <w:pPr>
              <w:pStyle w:val="NoSpacing"/>
              <w:jc w:val="right"/>
              <w:rPr>
                <w:rFonts w:cstheme="minorHAnsi"/>
                <w:bCs/>
                <w:w w:val="105"/>
              </w:rPr>
            </w:pPr>
            <w:r>
              <w:rPr>
                <w:rFonts w:cstheme="minorHAnsi"/>
                <w:bCs/>
                <w:w w:val="105"/>
              </w:rPr>
              <w:t>(52,388)</w:t>
            </w:r>
          </w:p>
        </w:tc>
        <w:tc>
          <w:tcPr>
            <w:tcW w:w="1276" w:type="dxa"/>
          </w:tcPr>
          <w:p w:rsidR="00C45B25" w:rsidRPr="00AE2D8D" w:rsidRDefault="008C240B" w:rsidP="003A5F79">
            <w:pPr>
              <w:pStyle w:val="NoSpacing"/>
              <w:jc w:val="right"/>
              <w:rPr>
                <w:rFonts w:cstheme="minorHAnsi"/>
                <w:bCs/>
                <w:w w:val="105"/>
              </w:rPr>
            </w:pPr>
            <w:r>
              <w:rPr>
                <w:rFonts w:cstheme="minorHAnsi"/>
                <w:bCs/>
                <w:w w:val="105"/>
              </w:rPr>
              <w:t>(41,634)</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Goods and services tax paid</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(1,873)</w:t>
            </w:r>
          </w:p>
        </w:tc>
        <w:tc>
          <w:tcPr>
            <w:tcW w:w="1276" w:type="dxa"/>
          </w:tcPr>
          <w:p w:rsidR="00C45B25" w:rsidRPr="00AE2D8D" w:rsidRDefault="00852FAB" w:rsidP="003A5F79">
            <w:pPr>
              <w:pStyle w:val="NoSpacing"/>
              <w:jc w:val="right"/>
              <w:rPr>
                <w:rFonts w:cstheme="minorHAnsi"/>
                <w:bCs/>
                <w:w w:val="105"/>
              </w:rPr>
            </w:pPr>
            <w:r>
              <w:rPr>
                <w:rFonts w:cstheme="minorHAnsi"/>
                <w:bCs/>
                <w:w w:val="105"/>
              </w:rPr>
              <w:t>(2,665)</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(1,873)</w:t>
            </w:r>
          </w:p>
        </w:tc>
        <w:tc>
          <w:tcPr>
            <w:tcW w:w="1276" w:type="dxa"/>
          </w:tcPr>
          <w:p w:rsidR="00C45B25" w:rsidRPr="00AE2D8D" w:rsidRDefault="008C240B" w:rsidP="003A5F79">
            <w:pPr>
              <w:pStyle w:val="NoSpacing"/>
              <w:jc w:val="right"/>
              <w:rPr>
                <w:rFonts w:cstheme="minorHAnsi"/>
                <w:bCs/>
                <w:w w:val="105"/>
              </w:rPr>
            </w:pPr>
            <w:r>
              <w:rPr>
                <w:rFonts w:cstheme="minorHAnsi"/>
                <w:bCs/>
                <w:w w:val="105"/>
              </w:rPr>
              <w:t>(2,665)</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 xml:space="preserve">Total payments </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52FAB" w:rsidP="003A5F79">
            <w:pPr>
              <w:pStyle w:val="NoSpacing"/>
              <w:jc w:val="right"/>
              <w:rPr>
                <w:rFonts w:cstheme="minorHAnsi"/>
                <w:bCs/>
                <w:w w:val="105"/>
              </w:rPr>
            </w:pPr>
            <w:r>
              <w:rPr>
                <w:rFonts w:cstheme="minorHAnsi"/>
                <w:bCs/>
                <w:w w:val="105"/>
              </w:rPr>
              <w:t>(131,068)</w:t>
            </w:r>
          </w:p>
        </w:tc>
        <w:tc>
          <w:tcPr>
            <w:tcW w:w="1276" w:type="dxa"/>
          </w:tcPr>
          <w:p w:rsidR="00C45B25" w:rsidRPr="00AE2D8D" w:rsidRDefault="00852FAB" w:rsidP="003A5F79">
            <w:pPr>
              <w:pStyle w:val="NoSpacing"/>
              <w:jc w:val="right"/>
              <w:rPr>
                <w:rFonts w:cstheme="minorHAnsi"/>
                <w:bCs/>
                <w:w w:val="105"/>
              </w:rPr>
            </w:pPr>
            <w:r>
              <w:rPr>
                <w:rFonts w:cstheme="minorHAnsi"/>
                <w:bCs/>
                <w:w w:val="105"/>
              </w:rPr>
              <w:t>(117,014)</w:t>
            </w:r>
          </w:p>
        </w:tc>
        <w:tc>
          <w:tcPr>
            <w:tcW w:w="1276" w:type="dxa"/>
          </w:tcPr>
          <w:p w:rsidR="00C45B25" w:rsidRPr="00AE2D8D" w:rsidRDefault="008C240B" w:rsidP="003A5F79">
            <w:pPr>
              <w:pStyle w:val="NoSpacing"/>
              <w:jc w:val="right"/>
              <w:rPr>
                <w:rFonts w:cstheme="minorHAnsi"/>
                <w:bCs/>
                <w:w w:val="105"/>
              </w:rPr>
            </w:pPr>
            <w:r>
              <w:rPr>
                <w:rFonts w:cstheme="minorHAnsi"/>
                <w:bCs/>
                <w:w w:val="105"/>
              </w:rPr>
              <w:t>(130,231)</w:t>
            </w:r>
          </w:p>
        </w:tc>
        <w:tc>
          <w:tcPr>
            <w:tcW w:w="1276" w:type="dxa"/>
          </w:tcPr>
          <w:p w:rsidR="00C45B25" w:rsidRPr="00AE2D8D" w:rsidRDefault="008C240B" w:rsidP="003A5F79">
            <w:pPr>
              <w:pStyle w:val="NoSpacing"/>
              <w:jc w:val="right"/>
              <w:rPr>
                <w:rFonts w:cstheme="minorHAnsi"/>
                <w:bCs/>
                <w:w w:val="105"/>
              </w:rPr>
            </w:pPr>
            <w:r>
              <w:rPr>
                <w:rFonts w:cstheme="minorHAnsi"/>
                <w:bCs/>
                <w:w w:val="105"/>
              </w:rPr>
              <w:t>(116,688)</w:t>
            </w:r>
          </w:p>
        </w:tc>
      </w:tr>
      <w:tr w:rsidR="00C45B25" w:rsidRPr="00AE2D8D" w:rsidTr="00A46FE2">
        <w:tc>
          <w:tcPr>
            <w:tcW w:w="9072" w:type="dxa"/>
          </w:tcPr>
          <w:p w:rsidR="00C45B25" w:rsidRPr="00AE2D8D" w:rsidRDefault="00284AA0" w:rsidP="003A5F79">
            <w:pPr>
              <w:pStyle w:val="NoSpacing"/>
              <w:rPr>
                <w:rFonts w:cstheme="minorHAnsi"/>
                <w:bCs/>
                <w:w w:val="105"/>
              </w:rPr>
            </w:pPr>
            <w:r>
              <w:rPr>
                <w:rFonts w:cstheme="minorHAnsi"/>
                <w:bCs/>
                <w:w w:val="105"/>
              </w:rPr>
              <w:t xml:space="preserve">Net cash flows from/ (used in) operating activities </w:t>
            </w:r>
          </w:p>
        </w:tc>
        <w:tc>
          <w:tcPr>
            <w:tcW w:w="1418" w:type="dxa"/>
          </w:tcPr>
          <w:p w:rsidR="00C45B25" w:rsidRPr="00AE2D8D" w:rsidRDefault="00852FAB" w:rsidP="003A5F79">
            <w:pPr>
              <w:pStyle w:val="NoSpacing"/>
              <w:rPr>
                <w:rFonts w:cstheme="minorHAnsi"/>
                <w:bCs/>
                <w:w w:val="105"/>
              </w:rPr>
            </w:pPr>
            <w:r>
              <w:rPr>
                <w:rFonts w:cstheme="minorHAnsi"/>
                <w:bCs/>
                <w:w w:val="105"/>
              </w:rPr>
              <w:t>6.1.1</w:t>
            </w:r>
          </w:p>
        </w:tc>
        <w:tc>
          <w:tcPr>
            <w:tcW w:w="1417" w:type="dxa"/>
          </w:tcPr>
          <w:p w:rsidR="00C45B25" w:rsidRPr="00AE2D8D" w:rsidRDefault="00852FAB" w:rsidP="003A5F79">
            <w:pPr>
              <w:pStyle w:val="NoSpacing"/>
              <w:jc w:val="right"/>
              <w:rPr>
                <w:rFonts w:cstheme="minorHAnsi"/>
                <w:bCs/>
                <w:w w:val="105"/>
              </w:rPr>
            </w:pPr>
            <w:r>
              <w:rPr>
                <w:rFonts w:cstheme="minorHAnsi"/>
                <w:bCs/>
                <w:w w:val="105"/>
              </w:rPr>
              <w:t>36,500</w:t>
            </w:r>
          </w:p>
        </w:tc>
        <w:tc>
          <w:tcPr>
            <w:tcW w:w="1276" w:type="dxa"/>
          </w:tcPr>
          <w:p w:rsidR="00C45B25" w:rsidRPr="00AE2D8D" w:rsidRDefault="00852FAB" w:rsidP="003A5F79">
            <w:pPr>
              <w:pStyle w:val="NoSpacing"/>
              <w:jc w:val="right"/>
              <w:rPr>
                <w:rFonts w:cstheme="minorHAnsi"/>
                <w:bCs/>
                <w:w w:val="105"/>
              </w:rPr>
            </w:pPr>
            <w:r>
              <w:rPr>
                <w:rFonts w:cstheme="minorHAnsi"/>
                <w:bCs/>
                <w:w w:val="105"/>
              </w:rPr>
              <w:t>29,479</w:t>
            </w:r>
          </w:p>
        </w:tc>
        <w:tc>
          <w:tcPr>
            <w:tcW w:w="1276" w:type="dxa"/>
          </w:tcPr>
          <w:p w:rsidR="00C45B25" w:rsidRPr="00AE2D8D" w:rsidRDefault="008C240B" w:rsidP="003A5F79">
            <w:pPr>
              <w:pStyle w:val="NoSpacing"/>
              <w:jc w:val="right"/>
              <w:rPr>
                <w:rFonts w:cstheme="minorHAnsi"/>
                <w:bCs/>
                <w:w w:val="105"/>
              </w:rPr>
            </w:pPr>
            <w:r>
              <w:rPr>
                <w:rFonts w:cstheme="minorHAnsi"/>
                <w:bCs/>
                <w:w w:val="105"/>
              </w:rPr>
              <w:t>36,427</w:t>
            </w:r>
          </w:p>
        </w:tc>
        <w:tc>
          <w:tcPr>
            <w:tcW w:w="1276" w:type="dxa"/>
          </w:tcPr>
          <w:p w:rsidR="00C45B25" w:rsidRPr="00AE2D8D" w:rsidRDefault="008C240B" w:rsidP="003A5F79">
            <w:pPr>
              <w:pStyle w:val="NoSpacing"/>
              <w:jc w:val="right"/>
              <w:rPr>
                <w:rFonts w:cstheme="minorHAnsi"/>
                <w:bCs/>
                <w:w w:val="105"/>
              </w:rPr>
            </w:pPr>
            <w:r>
              <w:rPr>
                <w:rFonts w:cstheme="minorHAnsi"/>
                <w:bCs/>
                <w:w w:val="105"/>
              </w:rPr>
              <w:t>29,405</w:t>
            </w:r>
          </w:p>
        </w:tc>
      </w:tr>
    </w:tbl>
    <w:p w:rsidR="00C45B25" w:rsidRDefault="00C45B25" w:rsidP="00C45B25">
      <w:pPr>
        <w:pStyle w:val="NoSpacing"/>
      </w:pPr>
    </w:p>
    <w:p w:rsidR="00C45B25" w:rsidRPr="00AE2D8D" w:rsidRDefault="00C45B25" w:rsidP="00C45B25">
      <w:pPr>
        <w:pStyle w:val="NoSpacing"/>
        <w:rPr>
          <w:rFonts w:cstheme="minorHAnsi"/>
          <w:bCs/>
          <w:w w:val="105"/>
        </w:rPr>
      </w:pPr>
      <w:r>
        <w:rPr>
          <w:rFonts w:cstheme="minorHAnsi"/>
          <w:bCs/>
          <w:w w:val="105"/>
        </w:rPr>
        <w:t xml:space="preserve">Cash flows from investing activities  </w:t>
      </w:r>
    </w:p>
    <w:tbl>
      <w:tblPr>
        <w:tblStyle w:val="TableGrid"/>
        <w:tblW w:w="15735" w:type="dxa"/>
        <w:tblInd w:w="-572" w:type="dxa"/>
        <w:tblLook w:val="04A0" w:firstRow="1" w:lastRow="0" w:firstColumn="1" w:lastColumn="0" w:noHBand="0" w:noVBand="1"/>
      </w:tblPr>
      <w:tblGrid>
        <w:gridCol w:w="9072"/>
        <w:gridCol w:w="1418"/>
        <w:gridCol w:w="1417"/>
        <w:gridCol w:w="1276"/>
        <w:gridCol w:w="1276"/>
        <w:gridCol w:w="1276"/>
      </w:tblGrid>
      <w:tr w:rsidR="00C45B25" w:rsidRPr="00AE2D8D" w:rsidTr="00A46FE2">
        <w:tc>
          <w:tcPr>
            <w:tcW w:w="9072" w:type="dxa"/>
          </w:tcPr>
          <w:p w:rsidR="00C45B25" w:rsidRPr="00AE2D8D" w:rsidRDefault="00852FAB" w:rsidP="003A5F79">
            <w:pPr>
              <w:pStyle w:val="NoSpacing"/>
              <w:rPr>
                <w:rFonts w:cstheme="minorHAnsi"/>
                <w:bCs/>
                <w:w w:val="105"/>
              </w:rPr>
            </w:pPr>
            <w:r>
              <w:rPr>
                <w:rFonts w:cstheme="minorHAnsi"/>
                <w:bCs/>
                <w:w w:val="105"/>
              </w:rPr>
              <w:t>Payments for investments</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C240B" w:rsidP="003A5F79">
            <w:pPr>
              <w:pStyle w:val="NoSpacing"/>
              <w:jc w:val="right"/>
              <w:rPr>
                <w:rFonts w:cstheme="minorHAnsi"/>
                <w:bCs/>
                <w:w w:val="105"/>
              </w:rPr>
            </w:pPr>
            <w:r>
              <w:rPr>
                <w:rFonts w:cstheme="minorHAnsi"/>
                <w:bCs/>
                <w:w w:val="105"/>
              </w:rPr>
              <w:t>(30,000)</w:t>
            </w:r>
          </w:p>
        </w:tc>
        <w:tc>
          <w:tcPr>
            <w:tcW w:w="1276" w:type="dxa"/>
          </w:tcPr>
          <w:p w:rsidR="00C45B25" w:rsidRPr="00AE2D8D" w:rsidRDefault="008C240B" w:rsidP="003A5F79">
            <w:pPr>
              <w:pStyle w:val="NoSpacing"/>
              <w:jc w:val="right"/>
              <w:rPr>
                <w:rFonts w:cstheme="minorHAnsi"/>
                <w:bCs/>
                <w:w w:val="105"/>
              </w:rPr>
            </w:pPr>
            <w:r>
              <w:rPr>
                <w:rFonts w:cstheme="minorHAnsi"/>
                <w:bCs/>
                <w:w w:val="105"/>
              </w:rPr>
              <w:t>(20,999)</w:t>
            </w:r>
          </w:p>
        </w:tc>
        <w:tc>
          <w:tcPr>
            <w:tcW w:w="1276" w:type="dxa"/>
          </w:tcPr>
          <w:p w:rsidR="00C45B25" w:rsidRPr="00AE2D8D" w:rsidRDefault="008C240B" w:rsidP="003A5F79">
            <w:pPr>
              <w:pStyle w:val="NoSpacing"/>
              <w:jc w:val="right"/>
              <w:rPr>
                <w:rFonts w:cstheme="minorHAnsi"/>
                <w:bCs/>
                <w:w w:val="105"/>
              </w:rPr>
            </w:pPr>
            <w:r>
              <w:rPr>
                <w:rFonts w:cstheme="minorHAnsi"/>
                <w:bCs/>
                <w:w w:val="105"/>
              </w:rPr>
              <w:t>(30,000)</w:t>
            </w:r>
          </w:p>
        </w:tc>
        <w:tc>
          <w:tcPr>
            <w:tcW w:w="1276" w:type="dxa"/>
          </w:tcPr>
          <w:p w:rsidR="00C45B25" w:rsidRPr="00AE2D8D" w:rsidRDefault="008C240B" w:rsidP="003A5F79">
            <w:pPr>
              <w:pStyle w:val="NoSpacing"/>
              <w:jc w:val="right"/>
              <w:rPr>
                <w:rFonts w:cstheme="minorHAnsi"/>
                <w:bCs/>
                <w:w w:val="105"/>
              </w:rPr>
            </w:pPr>
            <w:r>
              <w:rPr>
                <w:rFonts w:cstheme="minorHAnsi"/>
                <w:bCs/>
                <w:w w:val="105"/>
              </w:rPr>
              <w:t>(21,000)</w:t>
            </w:r>
          </w:p>
        </w:tc>
      </w:tr>
      <w:tr w:rsidR="00C45B25" w:rsidRPr="00AE2D8D" w:rsidTr="00A46FE2">
        <w:tc>
          <w:tcPr>
            <w:tcW w:w="9072" w:type="dxa"/>
          </w:tcPr>
          <w:p w:rsidR="00C45B25" w:rsidRPr="00AE2D8D" w:rsidRDefault="00852FAB" w:rsidP="003A5F79">
            <w:pPr>
              <w:pStyle w:val="NoSpacing"/>
              <w:rPr>
                <w:rFonts w:cstheme="minorHAnsi"/>
                <w:bCs/>
                <w:w w:val="105"/>
              </w:rPr>
            </w:pPr>
            <w:r>
              <w:rPr>
                <w:rFonts w:cstheme="minorHAnsi"/>
                <w:bCs/>
                <w:w w:val="105"/>
              </w:rPr>
              <w:t>Payments for non-financial assets</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C240B" w:rsidP="003A5F79">
            <w:pPr>
              <w:pStyle w:val="NoSpacing"/>
              <w:jc w:val="right"/>
              <w:rPr>
                <w:rFonts w:cstheme="minorHAnsi"/>
                <w:bCs/>
                <w:w w:val="105"/>
              </w:rPr>
            </w:pPr>
            <w:r>
              <w:rPr>
                <w:rFonts w:cstheme="minorHAnsi"/>
                <w:bCs/>
                <w:w w:val="105"/>
              </w:rPr>
              <w:t>(16,873)</w:t>
            </w:r>
          </w:p>
        </w:tc>
        <w:tc>
          <w:tcPr>
            <w:tcW w:w="1276" w:type="dxa"/>
          </w:tcPr>
          <w:p w:rsidR="00C45B25" w:rsidRPr="00AE2D8D" w:rsidRDefault="008C240B" w:rsidP="003A5F79">
            <w:pPr>
              <w:pStyle w:val="NoSpacing"/>
              <w:jc w:val="right"/>
              <w:rPr>
                <w:rFonts w:cstheme="minorHAnsi"/>
                <w:bCs/>
                <w:w w:val="105"/>
              </w:rPr>
            </w:pPr>
            <w:r>
              <w:rPr>
                <w:rFonts w:cstheme="minorHAnsi"/>
                <w:bCs/>
                <w:w w:val="105"/>
              </w:rPr>
              <w:t>(8,149)</w:t>
            </w:r>
          </w:p>
        </w:tc>
        <w:tc>
          <w:tcPr>
            <w:tcW w:w="1276" w:type="dxa"/>
          </w:tcPr>
          <w:p w:rsidR="00C45B25" w:rsidRPr="00AE2D8D" w:rsidRDefault="008C240B" w:rsidP="003A5F79">
            <w:pPr>
              <w:pStyle w:val="NoSpacing"/>
              <w:jc w:val="right"/>
              <w:rPr>
                <w:rFonts w:cstheme="minorHAnsi"/>
                <w:bCs/>
                <w:w w:val="105"/>
              </w:rPr>
            </w:pPr>
            <w:r>
              <w:rPr>
                <w:rFonts w:cstheme="minorHAnsi"/>
                <w:bCs/>
                <w:w w:val="105"/>
              </w:rPr>
              <w:t>(16,670)</w:t>
            </w:r>
          </w:p>
        </w:tc>
        <w:tc>
          <w:tcPr>
            <w:tcW w:w="1276" w:type="dxa"/>
          </w:tcPr>
          <w:p w:rsidR="00C45B25" w:rsidRPr="00AE2D8D" w:rsidRDefault="008C240B" w:rsidP="003A5F79">
            <w:pPr>
              <w:pStyle w:val="NoSpacing"/>
              <w:jc w:val="right"/>
              <w:rPr>
                <w:rFonts w:cstheme="minorHAnsi"/>
                <w:bCs/>
                <w:w w:val="105"/>
              </w:rPr>
            </w:pPr>
            <w:r>
              <w:rPr>
                <w:rFonts w:cstheme="minorHAnsi"/>
                <w:bCs/>
                <w:w w:val="105"/>
              </w:rPr>
              <w:t>(7,871)</w:t>
            </w:r>
          </w:p>
        </w:tc>
      </w:tr>
      <w:tr w:rsidR="00C45B25" w:rsidRPr="00AE2D8D" w:rsidTr="00A46FE2">
        <w:tc>
          <w:tcPr>
            <w:tcW w:w="9072" w:type="dxa"/>
          </w:tcPr>
          <w:p w:rsidR="00C45B25" w:rsidRPr="00AE2D8D" w:rsidRDefault="00852FAB" w:rsidP="003A5F79">
            <w:pPr>
              <w:pStyle w:val="NoSpacing"/>
              <w:rPr>
                <w:rFonts w:cstheme="minorHAnsi"/>
                <w:bCs/>
                <w:w w:val="105"/>
              </w:rPr>
            </w:pPr>
            <w:r>
              <w:rPr>
                <w:rFonts w:cstheme="minorHAnsi"/>
                <w:bCs/>
                <w:w w:val="105"/>
              </w:rPr>
              <w:t xml:space="preserve">Net cash flows provided by/ (used in) investing activities </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C240B" w:rsidP="003A5F79">
            <w:pPr>
              <w:pStyle w:val="NoSpacing"/>
              <w:jc w:val="right"/>
              <w:rPr>
                <w:rFonts w:cstheme="minorHAnsi"/>
                <w:bCs/>
                <w:w w:val="105"/>
              </w:rPr>
            </w:pPr>
            <w:r>
              <w:rPr>
                <w:rFonts w:cstheme="minorHAnsi"/>
                <w:bCs/>
                <w:w w:val="105"/>
              </w:rPr>
              <w:t>(46,873)</w:t>
            </w:r>
          </w:p>
        </w:tc>
        <w:tc>
          <w:tcPr>
            <w:tcW w:w="1276" w:type="dxa"/>
          </w:tcPr>
          <w:p w:rsidR="00C45B25" w:rsidRPr="00AE2D8D" w:rsidRDefault="008C240B" w:rsidP="003A5F79">
            <w:pPr>
              <w:pStyle w:val="NoSpacing"/>
              <w:jc w:val="right"/>
              <w:rPr>
                <w:rFonts w:cstheme="minorHAnsi"/>
                <w:bCs/>
                <w:w w:val="105"/>
              </w:rPr>
            </w:pPr>
            <w:r>
              <w:rPr>
                <w:rFonts w:cstheme="minorHAnsi"/>
                <w:bCs/>
                <w:w w:val="105"/>
              </w:rPr>
              <w:t>(29,148)</w:t>
            </w:r>
          </w:p>
        </w:tc>
        <w:tc>
          <w:tcPr>
            <w:tcW w:w="1276" w:type="dxa"/>
          </w:tcPr>
          <w:p w:rsidR="00C45B25" w:rsidRPr="00AE2D8D" w:rsidRDefault="008C240B" w:rsidP="003A5F79">
            <w:pPr>
              <w:pStyle w:val="NoSpacing"/>
              <w:jc w:val="right"/>
              <w:rPr>
                <w:rFonts w:cstheme="minorHAnsi"/>
                <w:bCs/>
                <w:w w:val="105"/>
              </w:rPr>
            </w:pPr>
            <w:r>
              <w:rPr>
                <w:rFonts w:cstheme="minorHAnsi"/>
                <w:bCs/>
                <w:w w:val="105"/>
              </w:rPr>
              <w:t>(46,670)</w:t>
            </w:r>
          </w:p>
        </w:tc>
        <w:tc>
          <w:tcPr>
            <w:tcW w:w="1276" w:type="dxa"/>
          </w:tcPr>
          <w:p w:rsidR="00C45B25" w:rsidRPr="00AE2D8D" w:rsidRDefault="008C240B" w:rsidP="003A5F79">
            <w:pPr>
              <w:pStyle w:val="NoSpacing"/>
              <w:jc w:val="right"/>
              <w:rPr>
                <w:rFonts w:cstheme="minorHAnsi"/>
                <w:bCs/>
                <w:w w:val="105"/>
              </w:rPr>
            </w:pPr>
            <w:r>
              <w:rPr>
                <w:rFonts w:cstheme="minorHAnsi"/>
                <w:bCs/>
                <w:w w:val="105"/>
              </w:rPr>
              <w:t>(28,871)</w:t>
            </w:r>
          </w:p>
        </w:tc>
      </w:tr>
    </w:tbl>
    <w:p w:rsidR="00C45B25" w:rsidRDefault="00C45B25" w:rsidP="00C45B25">
      <w:pPr>
        <w:pStyle w:val="NoSpacing"/>
      </w:pPr>
    </w:p>
    <w:p w:rsidR="00C45B25" w:rsidRPr="00AE2D8D" w:rsidRDefault="00C45B25" w:rsidP="00C45B25">
      <w:pPr>
        <w:pStyle w:val="NoSpacing"/>
        <w:rPr>
          <w:rFonts w:cstheme="minorHAnsi"/>
          <w:bCs/>
          <w:w w:val="105"/>
        </w:rPr>
      </w:pPr>
      <w:r>
        <w:rPr>
          <w:rFonts w:cstheme="minorHAnsi"/>
          <w:bCs/>
          <w:w w:val="105"/>
        </w:rPr>
        <w:t xml:space="preserve">Cash flows from financing activities </w:t>
      </w:r>
    </w:p>
    <w:tbl>
      <w:tblPr>
        <w:tblStyle w:val="TableGrid"/>
        <w:tblW w:w="15735" w:type="dxa"/>
        <w:tblInd w:w="-572" w:type="dxa"/>
        <w:tblLook w:val="04A0" w:firstRow="1" w:lastRow="0" w:firstColumn="1" w:lastColumn="0" w:noHBand="0" w:noVBand="1"/>
      </w:tblPr>
      <w:tblGrid>
        <w:gridCol w:w="9072"/>
        <w:gridCol w:w="1418"/>
        <w:gridCol w:w="1417"/>
        <w:gridCol w:w="1276"/>
        <w:gridCol w:w="1276"/>
        <w:gridCol w:w="1276"/>
      </w:tblGrid>
      <w:tr w:rsidR="00852FAB" w:rsidRPr="00AE2D8D" w:rsidTr="00A46FE2">
        <w:tc>
          <w:tcPr>
            <w:tcW w:w="9072" w:type="dxa"/>
          </w:tcPr>
          <w:p w:rsidR="00852FAB" w:rsidRPr="00AE2D8D" w:rsidRDefault="00852FAB" w:rsidP="00852FAB">
            <w:pPr>
              <w:pStyle w:val="NoSpacing"/>
              <w:rPr>
                <w:rFonts w:cstheme="minorHAnsi"/>
                <w:bCs/>
                <w:w w:val="105"/>
              </w:rPr>
            </w:pPr>
            <w:r>
              <w:rPr>
                <w:rFonts w:cstheme="minorHAnsi"/>
                <w:bCs/>
                <w:w w:val="105"/>
              </w:rPr>
              <w:t xml:space="preserve">Repayment of borrowings </w:t>
            </w:r>
          </w:p>
        </w:tc>
        <w:tc>
          <w:tcPr>
            <w:tcW w:w="1418" w:type="dxa"/>
          </w:tcPr>
          <w:p w:rsidR="00852FAB" w:rsidRPr="00AE2D8D" w:rsidRDefault="00852FAB" w:rsidP="00852FAB">
            <w:pPr>
              <w:pStyle w:val="NoSpacing"/>
              <w:rPr>
                <w:rFonts w:cstheme="minorHAnsi"/>
                <w:bCs/>
                <w:w w:val="105"/>
              </w:rPr>
            </w:pPr>
          </w:p>
        </w:tc>
        <w:tc>
          <w:tcPr>
            <w:tcW w:w="1417" w:type="dxa"/>
          </w:tcPr>
          <w:p w:rsidR="00852FAB" w:rsidRPr="00AE2D8D" w:rsidRDefault="00852FAB" w:rsidP="00710E35">
            <w:pPr>
              <w:pStyle w:val="NoSpacing"/>
              <w:jc w:val="right"/>
              <w:rPr>
                <w:rFonts w:cstheme="minorHAnsi"/>
                <w:bCs/>
                <w:w w:val="105"/>
              </w:rPr>
            </w:pPr>
            <w:r>
              <w:rPr>
                <w:rFonts w:cstheme="minorHAnsi"/>
                <w:bCs/>
                <w:w w:val="105"/>
              </w:rPr>
              <w:t>(351)</w:t>
            </w:r>
          </w:p>
        </w:tc>
        <w:tc>
          <w:tcPr>
            <w:tcW w:w="1276" w:type="dxa"/>
          </w:tcPr>
          <w:p w:rsidR="00852FAB" w:rsidRDefault="00852FAB" w:rsidP="00710E35">
            <w:pPr>
              <w:jc w:val="right"/>
            </w:pPr>
            <w:r w:rsidRPr="00BD13E3">
              <w:rPr>
                <w:rFonts w:cstheme="minorHAnsi"/>
                <w:bCs/>
                <w:w w:val="105"/>
              </w:rPr>
              <w:t>(351)</w:t>
            </w:r>
          </w:p>
        </w:tc>
        <w:tc>
          <w:tcPr>
            <w:tcW w:w="1276" w:type="dxa"/>
          </w:tcPr>
          <w:p w:rsidR="00852FAB" w:rsidRDefault="00852FAB" w:rsidP="00710E35">
            <w:pPr>
              <w:jc w:val="right"/>
            </w:pPr>
            <w:r w:rsidRPr="00BD13E3">
              <w:rPr>
                <w:rFonts w:cstheme="minorHAnsi"/>
                <w:bCs/>
                <w:w w:val="105"/>
              </w:rPr>
              <w:t>(351)</w:t>
            </w:r>
          </w:p>
        </w:tc>
        <w:tc>
          <w:tcPr>
            <w:tcW w:w="1276" w:type="dxa"/>
          </w:tcPr>
          <w:p w:rsidR="00852FAB" w:rsidRDefault="00852FAB" w:rsidP="00710E35">
            <w:pPr>
              <w:jc w:val="right"/>
            </w:pPr>
            <w:r w:rsidRPr="00BD13E3">
              <w:rPr>
                <w:rFonts w:cstheme="minorHAnsi"/>
                <w:bCs/>
                <w:w w:val="105"/>
              </w:rPr>
              <w:t>(351)</w:t>
            </w:r>
          </w:p>
        </w:tc>
      </w:tr>
      <w:tr w:rsidR="00852FAB" w:rsidRPr="00AE2D8D" w:rsidTr="00A46FE2">
        <w:tc>
          <w:tcPr>
            <w:tcW w:w="9072" w:type="dxa"/>
          </w:tcPr>
          <w:p w:rsidR="00852FAB" w:rsidRPr="00AE2D8D" w:rsidRDefault="00852FAB" w:rsidP="00852FAB">
            <w:pPr>
              <w:pStyle w:val="NoSpacing"/>
              <w:rPr>
                <w:rFonts w:cstheme="minorHAnsi"/>
                <w:bCs/>
                <w:w w:val="105"/>
              </w:rPr>
            </w:pPr>
            <w:r>
              <w:rPr>
                <w:rFonts w:cstheme="minorHAnsi"/>
                <w:bCs/>
                <w:w w:val="105"/>
              </w:rPr>
              <w:t>Net cash flows from/ (used in) financing activities</w:t>
            </w:r>
          </w:p>
        </w:tc>
        <w:tc>
          <w:tcPr>
            <w:tcW w:w="1418" w:type="dxa"/>
          </w:tcPr>
          <w:p w:rsidR="00852FAB" w:rsidRPr="00AE2D8D" w:rsidRDefault="00852FAB" w:rsidP="00852FAB">
            <w:pPr>
              <w:pStyle w:val="NoSpacing"/>
              <w:rPr>
                <w:rFonts w:cstheme="minorHAnsi"/>
                <w:bCs/>
                <w:w w:val="105"/>
              </w:rPr>
            </w:pPr>
          </w:p>
        </w:tc>
        <w:tc>
          <w:tcPr>
            <w:tcW w:w="1417" w:type="dxa"/>
          </w:tcPr>
          <w:p w:rsidR="00852FAB" w:rsidRPr="00AE2D8D" w:rsidRDefault="00852FAB" w:rsidP="00710E35">
            <w:pPr>
              <w:pStyle w:val="NoSpacing"/>
              <w:jc w:val="right"/>
              <w:rPr>
                <w:rFonts w:cstheme="minorHAnsi"/>
                <w:bCs/>
                <w:w w:val="105"/>
              </w:rPr>
            </w:pPr>
            <w:r>
              <w:rPr>
                <w:rFonts w:cstheme="minorHAnsi"/>
                <w:bCs/>
                <w:w w:val="105"/>
              </w:rPr>
              <w:t>(351)</w:t>
            </w:r>
          </w:p>
        </w:tc>
        <w:tc>
          <w:tcPr>
            <w:tcW w:w="1276" w:type="dxa"/>
          </w:tcPr>
          <w:p w:rsidR="00852FAB" w:rsidRDefault="00852FAB" w:rsidP="00710E35">
            <w:pPr>
              <w:jc w:val="right"/>
            </w:pPr>
            <w:r w:rsidRPr="00BD13E3">
              <w:rPr>
                <w:rFonts w:cstheme="minorHAnsi"/>
                <w:bCs/>
                <w:w w:val="105"/>
              </w:rPr>
              <w:t>(351)</w:t>
            </w:r>
          </w:p>
        </w:tc>
        <w:tc>
          <w:tcPr>
            <w:tcW w:w="1276" w:type="dxa"/>
          </w:tcPr>
          <w:p w:rsidR="00852FAB" w:rsidRDefault="00852FAB" w:rsidP="00710E35">
            <w:pPr>
              <w:jc w:val="right"/>
            </w:pPr>
            <w:r w:rsidRPr="00BD13E3">
              <w:rPr>
                <w:rFonts w:cstheme="minorHAnsi"/>
                <w:bCs/>
                <w:w w:val="105"/>
              </w:rPr>
              <w:t>(351)</w:t>
            </w:r>
          </w:p>
        </w:tc>
        <w:tc>
          <w:tcPr>
            <w:tcW w:w="1276" w:type="dxa"/>
          </w:tcPr>
          <w:p w:rsidR="00852FAB" w:rsidRDefault="00852FAB" w:rsidP="00710E35">
            <w:pPr>
              <w:jc w:val="right"/>
            </w:pPr>
            <w:r w:rsidRPr="00BD13E3">
              <w:rPr>
                <w:rFonts w:cstheme="minorHAnsi"/>
                <w:bCs/>
                <w:w w:val="105"/>
              </w:rPr>
              <w:t>(351)</w:t>
            </w:r>
          </w:p>
        </w:tc>
      </w:tr>
    </w:tbl>
    <w:p w:rsidR="00C45B25" w:rsidRPr="00AE2D8D" w:rsidRDefault="00C45B25" w:rsidP="00C45B25">
      <w:pPr>
        <w:pStyle w:val="NoSpacing"/>
        <w:rPr>
          <w:rFonts w:cstheme="minorHAnsi"/>
          <w:bCs/>
          <w:w w:val="105"/>
        </w:rPr>
      </w:pPr>
    </w:p>
    <w:tbl>
      <w:tblPr>
        <w:tblStyle w:val="TableGrid"/>
        <w:tblW w:w="15735" w:type="dxa"/>
        <w:tblInd w:w="-572" w:type="dxa"/>
        <w:tblLook w:val="04A0" w:firstRow="1" w:lastRow="0" w:firstColumn="1" w:lastColumn="0" w:noHBand="0" w:noVBand="1"/>
      </w:tblPr>
      <w:tblGrid>
        <w:gridCol w:w="9072"/>
        <w:gridCol w:w="1418"/>
        <w:gridCol w:w="1417"/>
        <w:gridCol w:w="1276"/>
        <w:gridCol w:w="1276"/>
        <w:gridCol w:w="1276"/>
      </w:tblGrid>
      <w:tr w:rsidR="008C240B" w:rsidRPr="00AE2D8D" w:rsidTr="00A46FE2">
        <w:tc>
          <w:tcPr>
            <w:tcW w:w="9072" w:type="dxa"/>
          </w:tcPr>
          <w:p w:rsidR="008C240B" w:rsidRDefault="008C240B" w:rsidP="003A5F79">
            <w:pPr>
              <w:pStyle w:val="NoSpacing"/>
              <w:rPr>
                <w:rFonts w:cstheme="minorHAnsi"/>
                <w:bCs/>
                <w:w w:val="105"/>
              </w:rPr>
            </w:pPr>
            <w:r>
              <w:rPr>
                <w:rFonts w:cstheme="minorHAnsi"/>
                <w:bCs/>
                <w:w w:val="105"/>
              </w:rPr>
              <w:t>Net increase/ (decrease) in cash and cash equivalents</w:t>
            </w:r>
          </w:p>
        </w:tc>
        <w:tc>
          <w:tcPr>
            <w:tcW w:w="1418" w:type="dxa"/>
          </w:tcPr>
          <w:p w:rsidR="008C240B" w:rsidRPr="00AE2D8D" w:rsidRDefault="008C240B" w:rsidP="003A5F79">
            <w:pPr>
              <w:pStyle w:val="NoSpacing"/>
              <w:rPr>
                <w:rFonts w:cstheme="minorHAnsi"/>
                <w:bCs/>
                <w:w w:val="105"/>
              </w:rPr>
            </w:pPr>
          </w:p>
        </w:tc>
        <w:tc>
          <w:tcPr>
            <w:tcW w:w="1417" w:type="dxa"/>
          </w:tcPr>
          <w:p w:rsidR="008C240B" w:rsidRPr="00AE2D8D" w:rsidRDefault="008C240B" w:rsidP="003A5F79">
            <w:pPr>
              <w:pStyle w:val="NoSpacing"/>
              <w:jc w:val="right"/>
              <w:rPr>
                <w:rFonts w:cstheme="minorHAnsi"/>
                <w:bCs/>
                <w:w w:val="105"/>
              </w:rPr>
            </w:pPr>
            <w:r>
              <w:rPr>
                <w:rFonts w:cstheme="minorHAnsi"/>
                <w:bCs/>
                <w:w w:val="105"/>
              </w:rPr>
              <w:t>(10,724)</w:t>
            </w:r>
          </w:p>
        </w:tc>
        <w:tc>
          <w:tcPr>
            <w:tcW w:w="1276" w:type="dxa"/>
          </w:tcPr>
          <w:p w:rsidR="008C240B" w:rsidRPr="00AE2D8D" w:rsidRDefault="008C240B" w:rsidP="003A5F79">
            <w:pPr>
              <w:pStyle w:val="NoSpacing"/>
              <w:jc w:val="right"/>
              <w:rPr>
                <w:rFonts w:cstheme="minorHAnsi"/>
                <w:bCs/>
                <w:w w:val="105"/>
              </w:rPr>
            </w:pPr>
            <w:r>
              <w:rPr>
                <w:rFonts w:cstheme="minorHAnsi"/>
                <w:bCs/>
                <w:w w:val="105"/>
              </w:rPr>
              <w:t>(20)</w:t>
            </w:r>
          </w:p>
        </w:tc>
        <w:tc>
          <w:tcPr>
            <w:tcW w:w="1276" w:type="dxa"/>
          </w:tcPr>
          <w:p w:rsidR="008C240B" w:rsidRPr="00AE2D8D" w:rsidRDefault="008C240B" w:rsidP="003A5F79">
            <w:pPr>
              <w:pStyle w:val="NoSpacing"/>
              <w:jc w:val="right"/>
              <w:rPr>
                <w:rFonts w:cstheme="minorHAnsi"/>
                <w:bCs/>
                <w:w w:val="105"/>
              </w:rPr>
            </w:pPr>
            <w:r>
              <w:rPr>
                <w:rFonts w:cstheme="minorHAnsi"/>
                <w:bCs/>
                <w:w w:val="105"/>
              </w:rPr>
              <w:t>(10,594)</w:t>
            </w:r>
          </w:p>
        </w:tc>
        <w:tc>
          <w:tcPr>
            <w:tcW w:w="1276" w:type="dxa"/>
          </w:tcPr>
          <w:p w:rsidR="008C240B" w:rsidRPr="00AE2D8D" w:rsidRDefault="008C240B" w:rsidP="003A5F79">
            <w:pPr>
              <w:pStyle w:val="NoSpacing"/>
              <w:jc w:val="right"/>
              <w:rPr>
                <w:rFonts w:cstheme="minorHAnsi"/>
                <w:bCs/>
                <w:w w:val="105"/>
              </w:rPr>
            </w:pPr>
            <w:r>
              <w:rPr>
                <w:rFonts w:cstheme="minorHAnsi"/>
                <w:bCs/>
                <w:w w:val="105"/>
              </w:rPr>
              <w:t>183</w:t>
            </w:r>
          </w:p>
        </w:tc>
      </w:tr>
      <w:tr w:rsidR="00C45B25" w:rsidRPr="00AE2D8D" w:rsidTr="00A46FE2">
        <w:tc>
          <w:tcPr>
            <w:tcW w:w="9072" w:type="dxa"/>
          </w:tcPr>
          <w:p w:rsidR="00C45B25" w:rsidRPr="00AE2D8D" w:rsidRDefault="00852FAB" w:rsidP="003A5F79">
            <w:pPr>
              <w:pStyle w:val="NoSpacing"/>
              <w:rPr>
                <w:rFonts w:cstheme="minorHAnsi"/>
                <w:bCs/>
                <w:w w:val="105"/>
              </w:rPr>
            </w:pPr>
            <w:r>
              <w:rPr>
                <w:rFonts w:cstheme="minorHAnsi"/>
                <w:bCs/>
                <w:w w:val="105"/>
              </w:rPr>
              <w:t>Cash and cash equivalents at the beginning of the financial year</w:t>
            </w:r>
          </w:p>
        </w:tc>
        <w:tc>
          <w:tcPr>
            <w:tcW w:w="1418" w:type="dxa"/>
          </w:tcPr>
          <w:p w:rsidR="00C45B25" w:rsidRPr="00AE2D8D" w:rsidRDefault="00C45B25" w:rsidP="003A5F79">
            <w:pPr>
              <w:pStyle w:val="NoSpacing"/>
              <w:rPr>
                <w:rFonts w:cstheme="minorHAnsi"/>
                <w:bCs/>
                <w:w w:val="105"/>
              </w:rPr>
            </w:pPr>
          </w:p>
        </w:tc>
        <w:tc>
          <w:tcPr>
            <w:tcW w:w="1417" w:type="dxa"/>
          </w:tcPr>
          <w:p w:rsidR="00C45B25" w:rsidRPr="00AE2D8D" w:rsidRDefault="008C240B" w:rsidP="003A5F79">
            <w:pPr>
              <w:pStyle w:val="NoSpacing"/>
              <w:jc w:val="right"/>
              <w:rPr>
                <w:rFonts w:cstheme="minorHAnsi"/>
                <w:bCs/>
                <w:w w:val="105"/>
              </w:rPr>
            </w:pPr>
            <w:r>
              <w:rPr>
                <w:rFonts w:cstheme="minorHAnsi"/>
                <w:bCs/>
                <w:w w:val="105"/>
              </w:rPr>
              <w:t>57,161</w:t>
            </w:r>
          </w:p>
        </w:tc>
        <w:tc>
          <w:tcPr>
            <w:tcW w:w="1276" w:type="dxa"/>
          </w:tcPr>
          <w:p w:rsidR="00C45B25" w:rsidRPr="00AE2D8D" w:rsidRDefault="008C240B" w:rsidP="003A5F79">
            <w:pPr>
              <w:pStyle w:val="NoSpacing"/>
              <w:jc w:val="right"/>
              <w:rPr>
                <w:rFonts w:cstheme="minorHAnsi"/>
                <w:bCs/>
                <w:w w:val="105"/>
              </w:rPr>
            </w:pPr>
            <w:r>
              <w:rPr>
                <w:rFonts w:cstheme="minorHAnsi"/>
                <w:bCs/>
                <w:w w:val="105"/>
              </w:rPr>
              <w:t>57,181</w:t>
            </w:r>
          </w:p>
        </w:tc>
        <w:tc>
          <w:tcPr>
            <w:tcW w:w="1276" w:type="dxa"/>
          </w:tcPr>
          <w:p w:rsidR="00C45B25" w:rsidRPr="00AE2D8D" w:rsidRDefault="008C240B" w:rsidP="003A5F79">
            <w:pPr>
              <w:pStyle w:val="NoSpacing"/>
              <w:jc w:val="right"/>
              <w:rPr>
                <w:rFonts w:cstheme="minorHAnsi"/>
                <w:bCs/>
                <w:w w:val="105"/>
              </w:rPr>
            </w:pPr>
            <w:r>
              <w:rPr>
                <w:rFonts w:cstheme="minorHAnsi"/>
                <w:bCs/>
                <w:w w:val="105"/>
              </w:rPr>
              <w:t>56,285</w:t>
            </w:r>
          </w:p>
        </w:tc>
        <w:tc>
          <w:tcPr>
            <w:tcW w:w="1276" w:type="dxa"/>
          </w:tcPr>
          <w:p w:rsidR="00C45B25" w:rsidRPr="00AE2D8D" w:rsidRDefault="008C240B" w:rsidP="003A5F79">
            <w:pPr>
              <w:pStyle w:val="NoSpacing"/>
              <w:jc w:val="right"/>
              <w:rPr>
                <w:rFonts w:cstheme="minorHAnsi"/>
                <w:bCs/>
                <w:w w:val="105"/>
              </w:rPr>
            </w:pPr>
            <w:r>
              <w:rPr>
                <w:rFonts w:cstheme="minorHAnsi"/>
                <w:bCs/>
                <w:w w:val="105"/>
              </w:rPr>
              <w:t>56,102</w:t>
            </w:r>
          </w:p>
        </w:tc>
      </w:tr>
      <w:tr w:rsidR="00C45B25" w:rsidRPr="00AE2D8D" w:rsidTr="00A46FE2">
        <w:tc>
          <w:tcPr>
            <w:tcW w:w="9072" w:type="dxa"/>
          </w:tcPr>
          <w:p w:rsidR="00C45B25" w:rsidRPr="00AE2D8D" w:rsidRDefault="00852FAB" w:rsidP="003A5F79">
            <w:pPr>
              <w:pStyle w:val="NoSpacing"/>
              <w:rPr>
                <w:rFonts w:cstheme="minorHAnsi"/>
                <w:bCs/>
                <w:w w:val="105"/>
              </w:rPr>
            </w:pPr>
            <w:r>
              <w:rPr>
                <w:rFonts w:cstheme="minorHAnsi"/>
                <w:bCs/>
                <w:w w:val="105"/>
              </w:rPr>
              <w:t xml:space="preserve">Cash and cash equivalents at the end of the financial year </w:t>
            </w:r>
          </w:p>
        </w:tc>
        <w:tc>
          <w:tcPr>
            <w:tcW w:w="1418" w:type="dxa"/>
          </w:tcPr>
          <w:p w:rsidR="00C45B25" w:rsidRPr="00AE2D8D" w:rsidRDefault="00852FAB" w:rsidP="003A5F79">
            <w:pPr>
              <w:pStyle w:val="NoSpacing"/>
              <w:rPr>
                <w:rFonts w:cstheme="minorHAnsi"/>
                <w:bCs/>
                <w:w w:val="105"/>
              </w:rPr>
            </w:pPr>
            <w:r>
              <w:rPr>
                <w:rFonts w:cstheme="minorHAnsi"/>
                <w:bCs/>
                <w:w w:val="105"/>
              </w:rPr>
              <w:t>6.1</w:t>
            </w:r>
          </w:p>
        </w:tc>
        <w:tc>
          <w:tcPr>
            <w:tcW w:w="1417" w:type="dxa"/>
          </w:tcPr>
          <w:p w:rsidR="00C45B25" w:rsidRPr="00AE2D8D" w:rsidRDefault="008C240B" w:rsidP="003A5F79">
            <w:pPr>
              <w:pStyle w:val="NoSpacing"/>
              <w:jc w:val="right"/>
              <w:rPr>
                <w:rFonts w:cstheme="minorHAnsi"/>
                <w:bCs/>
                <w:w w:val="105"/>
              </w:rPr>
            </w:pPr>
            <w:r>
              <w:rPr>
                <w:rFonts w:cstheme="minorHAnsi"/>
                <w:bCs/>
                <w:w w:val="105"/>
              </w:rPr>
              <w:t>46,437</w:t>
            </w:r>
          </w:p>
        </w:tc>
        <w:tc>
          <w:tcPr>
            <w:tcW w:w="1276" w:type="dxa"/>
          </w:tcPr>
          <w:p w:rsidR="00C45B25" w:rsidRPr="00AE2D8D" w:rsidRDefault="008C240B" w:rsidP="003A5F79">
            <w:pPr>
              <w:pStyle w:val="NoSpacing"/>
              <w:jc w:val="right"/>
              <w:rPr>
                <w:rFonts w:cstheme="minorHAnsi"/>
                <w:bCs/>
                <w:w w:val="105"/>
              </w:rPr>
            </w:pPr>
            <w:r>
              <w:rPr>
                <w:rFonts w:cstheme="minorHAnsi"/>
                <w:bCs/>
                <w:w w:val="105"/>
              </w:rPr>
              <w:t>57,161</w:t>
            </w:r>
          </w:p>
        </w:tc>
        <w:tc>
          <w:tcPr>
            <w:tcW w:w="1276" w:type="dxa"/>
          </w:tcPr>
          <w:p w:rsidR="00C45B25" w:rsidRPr="00AE2D8D" w:rsidRDefault="008C240B" w:rsidP="003A5F79">
            <w:pPr>
              <w:pStyle w:val="NoSpacing"/>
              <w:jc w:val="right"/>
              <w:rPr>
                <w:rFonts w:cstheme="minorHAnsi"/>
                <w:bCs/>
                <w:w w:val="105"/>
              </w:rPr>
            </w:pPr>
            <w:r>
              <w:rPr>
                <w:rFonts w:cstheme="minorHAnsi"/>
                <w:bCs/>
                <w:w w:val="105"/>
              </w:rPr>
              <w:t>45,691</w:t>
            </w:r>
          </w:p>
        </w:tc>
        <w:tc>
          <w:tcPr>
            <w:tcW w:w="1276" w:type="dxa"/>
          </w:tcPr>
          <w:p w:rsidR="00C45B25" w:rsidRPr="00AE2D8D" w:rsidRDefault="008C240B" w:rsidP="003A5F79">
            <w:pPr>
              <w:pStyle w:val="NoSpacing"/>
              <w:jc w:val="right"/>
              <w:rPr>
                <w:rFonts w:cstheme="minorHAnsi"/>
                <w:bCs/>
                <w:w w:val="105"/>
              </w:rPr>
            </w:pPr>
            <w:r>
              <w:rPr>
                <w:rFonts w:cstheme="minorHAnsi"/>
                <w:bCs/>
                <w:w w:val="105"/>
              </w:rPr>
              <w:t>56,285</w:t>
            </w:r>
          </w:p>
        </w:tc>
      </w:tr>
    </w:tbl>
    <w:p w:rsidR="00C45B25" w:rsidRDefault="00C45B25" w:rsidP="00BB4096">
      <w:pPr>
        <w:pStyle w:val="NoSpacing"/>
      </w:pPr>
    </w:p>
    <w:p w:rsidR="00D905F9" w:rsidRPr="00284AA0" w:rsidRDefault="00284AA0" w:rsidP="00284AA0">
      <w:pPr>
        <w:pStyle w:val="NoSpacing"/>
      </w:pPr>
      <w:r w:rsidRPr="00284AA0">
        <w:t>The above Cash Flow Statement should be read in conjunction with the accompanying notes.</w:t>
      </w:r>
    </w:p>
    <w:p w:rsidR="00852FAB" w:rsidRDefault="00852FAB" w:rsidP="00852FAB">
      <w:pPr>
        <w:pStyle w:val="NoSpacing"/>
        <w:rPr>
          <w:bCs/>
          <w:w w:val="105"/>
        </w:rPr>
      </w:pPr>
    </w:p>
    <w:p w:rsidR="008E71D5" w:rsidRPr="00A46FE2" w:rsidRDefault="00852FAB" w:rsidP="00E46FF0">
      <w:pPr>
        <w:pStyle w:val="NoSpacing"/>
        <w:rPr>
          <w:bCs/>
          <w:w w:val="105"/>
        </w:rPr>
      </w:pPr>
      <w:r w:rsidRPr="00D905F9">
        <w:rPr>
          <w:bCs/>
          <w:w w:val="105"/>
        </w:rPr>
        <w:t>&lt;pp&gt;45</w:t>
      </w:r>
    </w:p>
    <w:p w:rsidR="008E71D5" w:rsidRDefault="008E71D5" w:rsidP="00E46FF0">
      <w:pPr>
        <w:pStyle w:val="NoSpacing"/>
        <w:rPr>
          <w:bCs/>
          <w:w w:val="105"/>
          <w:sz w:val="24"/>
          <w:szCs w:val="24"/>
        </w:rPr>
      </w:pPr>
    </w:p>
    <w:p w:rsidR="008E71D5" w:rsidRDefault="008E71D5" w:rsidP="00E46FF0">
      <w:pPr>
        <w:pStyle w:val="NoSpacing"/>
        <w:rPr>
          <w:bCs/>
          <w:w w:val="105"/>
          <w:sz w:val="24"/>
          <w:szCs w:val="24"/>
        </w:rPr>
      </w:pPr>
    </w:p>
    <w:p w:rsidR="008E71D5" w:rsidRDefault="008E71D5" w:rsidP="00E46FF0">
      <w:pPr>
        <w:pStyle w:val="NoSpacing"/>
        <w:rPr>
          <w:bCs/>
          <w:w w:val="105"/>
          <w:sz w:val="24"/>
          <w:szCs w:val="24"/>
        </w:rPr>
        <w:sectPr w:rsidR="008E71D5" w:rsidSect="008E71D5">
          <w:pgSz w:w="16838" w:h="11906" w:orient="landscape"/>
          <w:pgMar w:top="1440" w:right="1440" w:bottom="1440" w:left="1440" w:header="709" w:footer="709" w:gutter="0"/>
          <w:cols w:space="708"/>
          <w:docGrid w:linePitch="360"/>
        </w:sectPr>
      </w:pPr>
    </w:p>
    <w:p w:rsidR="00860606" w:rsidRDefault="00860606" w:rsidP="00E46FF0">
      <w:pPr>
        <w:pStyle w:val="NoSpacing"/>
        <w:rPr>
          <w:bCs/>
          <w:w w:val="105"/>
          <w:sz w:val="24"/>
          <w:szCs w:val="24"/>
        </w:rPr>
      </w:pPr>
    </w:p>
    <w:p w:rsidR="00860606" w:rsidRPr="00D905F9" w:rsidRDefault="00860606" w:rsidP="00E46FF0">
      <w:pPr>
        <w:pStyle w:val="NoSpacing"/>
        <w:rPr>
          <w:bCs/>
          <w:w w:val="105"/>
        </w:rPr>
      </w:pPr>
    </w:p>
    <w:p w:rsidR="00860606" w:rsidRPr="00D905F9" w:rsidRDefault="00860606" w:rsidP="00E46FF0">
      <w:pPr>
        <w:pStyle w:val="NoSpacing"/>
        <w:rPr>
          <w:bCs/>
          <w:w w:val="105"/>
        </w:rPr>
      </w:pPr>
    </w:p>
    <w:p w:rsidR="00860606" w:rsidRPr="00D905F9" w:rsidRDefault="00860606" w:rsidP="006914D6">
      <w:pPr>
        <w:pStyle w:val="Heading2"/>
      </w:pPr>
      <w:r w:rsidRPr="00D905F9">
        <w:t xml:space="preserve">Notes to the Financial Statements </w:t>
      </w:r>
    </w:p>
    <w:p w:rsidR="00860606" w:rsidRPr="00D905F9" w:rsidRDefault="00860606" w:rsidP="00E46FF0">
      <w:pPr>
        <w:pStyle w:val="NoSpacing"/>
        <w:rPr>
          <w:bCs/>
          <w:w w:val="105"/>
        </w:rPr>
      </w:pPr>
    </w:p>
    <w:p w:rsidR="00860606" w:rsidRPr="00D905F9" w:rsidRDefault="00860606" w:rsidP="006914D6">
      <w:pPr>
        <w:pStyle w:val="Heading3"/>
        <w:rPr>
          <w:w w:val="105"/>
        </w:rPr>
      </w:pPr>
      <w:r w:rsidRPr="00D905F9">
        <w:rPr>
          <w:w w:val="105"/>
        </w:rPr>
        <w:t>Contents</w:t>
      </w:r>
    </w:p>
    <w:p w:rsidR="00860606" w:rsidRPr="00D905F9" w:rsidRDefault="00860606" w:rsidP="00E46FF0">
      <w:pPr>
        <w:pStyle w:val="NoSpacing"/>
        <w:rPr>
          <w:bCs/>
          <w:w w:val="105"/>
        </w:rPr>
      </w:pPr>
      <w:r w:rsidRPr="00D905F9">
        <w:rPr>
          <w:bCs/>
          <w:w w:val="105"/>
        </w:rPr>
        <w:t>1 About this report 47</w:t>
      </w:r>
    </w:p>
    <w:p w:rsidR="00860606" w:rsidRPr="00D905F9" w:rsidRDefault="00860606" w:rsidP="00E46FF0">
      <w:pPr>
        <w:pStyle w:val="NoSpacing"/>
        <w:rPr>
          <w:bCs/>
          <w:w w:val="105"/>
        </w:rPr>
      </w:pPr>
      <w:r w:rsidRPr="00D905F9">
        <w:rPr>
          <w:bCs/>
          <w:w w:val="105"/>
        </w:rPr>
        <w:t>2 How we earned out funds 48</w:t>
      </w:r>
    </w:p>
    <w:p w:rsidR="00860606" w:rsidRPr="00D905F9" w:rsidRDefault="00860606" w:rsidP="00E46FF0">
      <w:pPr>
        <w:pStyle w:val="NoSpacing"/>
        <w:rPr>
          <w:bCs/>
          <w:w w:val="105"/>
        </w:rPr>
      </w:pPr>
      <w:r w:rsidRPr="00D905F9">
        <w:rPr>
          <w:bCs/>
          <w:w w:val="105"/>
        </w:rPr>
        <w:t>2.1 Government contributions 48</w:t>
      </w:r>
    </w:p>
    <w:p w:rsidR="00860606" w:rsidRPr="00D905F9" w:rsidRDefault="00860606" w:rsidP="00E46FF0">
      <w:pPr>
        <w:pStyle w:val="NoSpacing"/>
        <w:rPr>
          <w:bCs/>
          <w:w w:val="105"/>
        </w:rPr>
      </w:pPr>
      <w:r w:rsidRPr="00D905F9">
        <w:rPr>
          <w:bCs/>
          <w:w w:val="105"/>
        </w:rPr>
        <w:t>2.2 Sale of goods and services 49</w:t>
      </w:r>
    </w:p>
    <w:p w:rsidR="00860606" w:rsidRPr="00D905F9" w:rsidRDefault="00860606" w:rsidP="00E46FF0">
      <w:pPr>
        <w:pStyle w:val="NoSpacing"/>
        <w:rPr>
          <w:bCs/>
          <w:w w:val="105"/>
        </w:rPr>
      </w:pPr>
      <w:r w:rsidRPr="00D905F9">
        <w:rPr>
          <w:bCs/>
          <w:w w:val="105"/>
        </w:rPr>
        <w:t>2.3 Other income 50</w:t>
      </w:r>
    </w:p>
    <w:p w:rsidR="00860606" w:rsidRPr="00D905F9" w:rsidRDefault="00860606" w:rsidP="00E46FF0">
      <w:pPr>
        <w:pStyle w:val="NoSpacing"/>
        <w:rPr>
          <w:bCs/>
          <w:w w:val="105"/>
        </w:rPr>
      </w:pPr>
      <w:r w:rsidRPr="00D905F9">
        <w:rPr>
          <w:bCs/>
          <w:w w:val="105"/>
        </w:rPr>
        <w:t xml:space="preserve">3 How we </w:t>
      </w:r>
      <w:r w:rsidR="005E5585" w:rsidRPr="00D905F9">
        <w:rPr>
          <w:bCs/>
          <w:w w:val="105"/>
        </w:rPr>
        <w:t>expended</w:t>
      </w:r>
      <w:r w:rsidRPr="00D905F9">
        <w:rPr>
          <w:bCs/>
          <w:w w:val="105"/>
        </w:rPr>
        <w:t xml:space="preserve"> our funds 50</w:t>
      </w:r>
    </w:p>
    <w:p w:rsidR="00860606" w:rsidRPr="00D905F9" w:rsidRDefault="00860606" w:rsidP="00E46FF0">
      <w:pPr>
        <w:pStyle w:val="NoSpacing"/>
        <w:rPr>
          <w:bCs/>
          <w:w w:val="105"/>
        </w:rPr>
      </w:pPr>
      <w:r w:rsidRPr="00D905F9">
        <w:rPr>
          <w:bCs/>
          <w:w w:val="105"/>
        </w:rPr>
        <w:t>3.1 Employee benefits 51</w:t>
      </w:r>
    </w:p>
    <w:p w:rsidR="00C43874" w:rsidRPr="00D905F9" w:rsidRDefault="00860606" w:rsidP="00E46FF0">
      <w:pPr>
        <w:pStyle w:val="NoSpacing"/>
        <w:rPr>
          <w:bCs/>
          <w:w w:val="105"/>
        </w:rPr>
      </w:pPr>
      <w:r w:rsidRPr="00D905F9">
        <w:rPr>
          <w:bCs/>
          <w:w w:val="105"/>
        </w:rPr>
        <w:t xml:space="preserve">3.1.1 Employee benefits in the </w:t>
      </w:r>
      <w:r w:rsidR="00C43874" w:rsidRPr="00D905F9">
        <w:rPr>
          <w:bCs/>
          <w:w w:val="105"/>
        </w:rPr>
        <w:t>comprehensive operating statement 51</w:t>
      </w:r>
    </w:p>
    <w:p w:rsidR="00C43874" w:rsidRPr="00D905F9" w:rsidRDefault="00C43874" w:rsidP="00E46FF0">
      <w:pPr>
        <w:pStyle w:val="NoSpacing"/>
        <w:rPr>
          <w:bCs/>
          <w:w w:val="105"/>
        </w:rPr>
      </w:pPr>
      <w:r w:rsidRPr="00D905F9">
        <w:rPr>
          <w:bCs/>
          <w:w w:val="105"/>
        </w:rPr>
        <w:t>3.2 Superannuation 53</w:t>
      </w:r>
    </w:p>
    <w:p w:rsidR="00C43874" w:rsidRPr="00D905F9" w:rsidRDefault="00C43874" w:rsidP="00E46FF0">
      <w:pPr>
        <w:pStyle w:val="NoSpacing"/>
        <w:rPr>
          <w:bCs/>
          <w:w w:val="105"/>
        </w:rPr>
      </w:pPr>
      <w:r w:rsidRPr="00D905F9">
        <w:rPr>
          <w:bCs/>
          <w:w w:val="105"/>
        </w:rPr>
        <w:t>3.3 Supplies and services 54</w:t>
      </w:r>
    </w:p>
    <w:p w:rsidR="00C43874" w:rsidRPr="00D905F9" w:rsidRDefault="00C43874" w:rsidP="00E46FF0">
      <w:pPr>
        <w:pStyle w:val="NoSpacing"/>
        <w:rPr>
          <w:bCs/>
          <w:w w:val="105"/>
        </w:rPr>
      </w:pPr>
      <w:r w:rsidRPr="00D905F9">
        <w:rPr>
          <w:bCs/>
          <w:w w:val="105"/>
        </w:rPr>
        <w:t>3.4 Operating lease payments 54</w:t>
      </w:r>
    </w:p>
    <w:p w:rsidR="00C43874" w:rsidRPr="00D905F9" w:rsidRDefault="00C43874" w:rsidP="00E46FF0">
      <w:pPr>
        <w:pStyle w:val="NoSpacing"/>
        <w:rPr>
          <w:bCs/>
          <w:w w:val="105"/>
        </w:rPr>
      </w:pPr>
      <w:r w:rsidRPr="00D905F9">
        <w:rPr>
          <w:bCs/>
          <w:w w:val="105"/>
        </w:rPr>
        <w:t>3.5 Other operating expenses 55</w:t>
      </w:r>
    </w:p>
    <w:p w:rsidR="00C43874" w:rsidRPr="00D905F9" w:rsidRDefault="00C43874" w:rsidP="00E46FF0">
      <w:pPr>
        <w:pStyle w:val="NoSpacing"/>
        <w:rPr>
          <w:bCs/>
          <w:w w:val="105"/>
        </w:rPr>
      </w:pPr>
      <w:r w:rsidRPr="00D905F9">
        <w:rPr>
          <w:bCs/>
          <w:w w:val="105"/>
        </w:rPr>
        <w:t>4 The assets we invested in 56</w:t>
      </w:r>
    </w:p>
    <w:p w:rsidR="00C43874" w:rsidRPr="00D905F9" w:rsidRDefault="00C43874" w:rsidP="00E46FF0">
      <w:pPr>
        <w:pStyle w:val="NoSpacing"/>
        <w:rPr>
          <w:bCs/>
          <w:w w:val="105"/>
        </w:rPr>
      </w:pPr>
      <w:r w:rsidRPr="00D905F9">
        <w:rPr>
          <w:bCs/>
          <w:w w:val="105"/>
        </w:rPr>
        <w:t>4.1 Property, plant and equipment 56</w:t>
      </w:r>
    </w:p>
    <w:p w:rsidR="00860606" w:rsidRPr="00D905F9" w:rsidRDefault="00C43874" w:rsidP="00E46FF0">
      <w:pPr>
        <w:pStyle w:val="NoSpacing"/>
        <w:rPr>
          <w:rFonts w:cstheme="minorHAnsi"/>
          <w:bCs/>
          <w:w w:val="105"/>
        </w:rPr>
      </w:pPr>
      <w:r w:rsidRPr="00D905F9">
        <w:rPr>
          <w:rFonts w:cstheme="minorHAnsi"/>
        </w:rPr>
        <w:t>4.1.1 Depreciation, amortisation and impairment 58</w:t>
      </w:r>
      <w:r w:rsidR="00860606" w:rsidRPr="00D905F9">
        <w:rPr>
          <w:rFonts w:cstheme="minorHAnsi"/>
          <w:bCs/>
          <w:w w:val="105"/>
        </w:rPr>
        <w:t xml:space="preserve">  </w:t>
      </w:r>
      <w:r w:rsidR="00860606" w:rsidRPr="00D905F9">
        <w:rPr>
          <w:rFonts w:cstheme="minorHAnsi"/>
          <w:bCs/>
          <w:w w:val="105"/>
        </w:rPr>
        <w:tab/>
      </w:r>
    </w:p>
    <w:p w:rsidR="00860606" w:rsidRPr="00D905F9" w:rsidRDefault="00C43874" w:rsidP="00E46FF0">
      <w:pPr>
        <w:pStyle w:val="NoSpacing"/>
        <w:rPr>
          <w:rFonts w:cstheme="minorHAnsi"/>
        </w:rPr>
      </w:pPr>
      <w:r w:rsidRPr="00D905F9">
        <w:rPr>
          <w:rFonts w:cstheme="minorHAnsi"/>
        </w:rPr>
        <w:t>4.1.2 Gain/loss on property, plant and equipment 59</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4.1.3 Reconciliation of movements in carrying amount of property, plant and equipment 59</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4.1.4 Capital Commitments 60</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4.2 Intangible assets 61</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4.3 Investments and other financial assets 62</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5 Balances from operations 63</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5.1 Receivables 64</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5.2 Payables 65</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5.3 Other liabilities 66</w:t>
      </w:r>
    </w:p>
    <w:p w:rsidR="00C43874" w:rsidRPr="00D905F9" w:rsidRDefault="00C43874" w:rsidP="00C43874">
      <w:pPr>
        <w:pStyle w:val="NoSpacing"/>
        <w:rPr>
          <w:rFonts w:cstheme="minorHAnsi"/>
        </w:rPr>
      </w:pPr>
      <w:r w:rsidRPr="00D905F9">
        <w:rPr>
          <w:rFonts w:cstheme="minorHAnsi"/>
        </w:rPr>
        <w:t>6 How we financed our operations 67</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6.1 Cash and deposits 67</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6.1.1 Reconciliation of operating result to net cash flows from operating activities 67</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6.1.2 Interest income 68</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6.2 Borrowings 68</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6.3 Contributed capital 69</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 Managing risks and uncertainties 70</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7.1 Financial instruments 70</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7.1.1 Financial risk management objectives and policies 71</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7.1.2 Credit Risk 72</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7.1.3 Liquidity Risk 73</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7.1.4 Market Risk 73</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7.2 Contingent assets and contingent liabilities 76</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7.3 Fair value determination 76</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8 Governance disclosures 81</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8.1 Responsible persons 81</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8.2 Remuneration of executives 83</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8.3 Related parties 83</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8.4 Remuneration of auditors 85</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9 Other note disclosures 86</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9.1 Other economic flows included in net result 86</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lastRenderedPageBreak/>
        <w:t>9.2 Other equity reserves 86</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9.3 Ex-gratia expenses 87</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9.4 Controlled entities 87</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9.5 Events after reporting dates 88</w:t>
      </w:r>
    </w:p>
    <w:p w:rsidR="00C43874" w:rsidRPr="00D905F9" w:rsidRDefault="00C43874" w:rsidP="00C43874">
      <w:pPr>
        <w:autoSpaceDE w:val="0"/>
        <w:autoSpaceDN w:val="0"/>
        <w:adjustRightInd w:val="0"/>
        <w:spacing w:after="0" w:line="240" w:lineRule="auto"/>
        <w:rPr>
          <w:rFonts w:cstheme="minorHAnsi"/>
        </w:rPr>
      </w:pPr>
      <w:r w:rsidRPr="00D905F9">
        <w:rPr>
          <w:rFonts w:cstheme="minorHAnsi"/>
        </w:rPr>
        <w:t>9.6 Application of standards issued but not yet effective 88</w:t>
      </w:r>
    </w:p>
    <w:p w:rsidR="00E46FF0" w:rsidRPr="00D905F9" w:rsidRDefault="00E46FF0" w:rsidP="00E46FF0">
      <w:pPr>
        <w:pStyle w:val="NoSpacing"/>
        <w:rPr>
          <w:bCs/>
          <w:w w:val="105"/>
        </w:rPr>
      </w:pPr>
    </w:p>
    <w:p w:rsidR="00E301D3" w:rsidRPr="00D905F9" w:rsidRDefault="00E301D3" w:rsidP="00524DBE">
      <w:pPr>
        <w:pStyle w:val="NoSpacing"/>
      </w:pPr>
      <w:r w:rsidRPr="00D905F9">
        <w:t>&lt;pp&gt;</w:t>
      </w:r>
      <w:r w:rsidR="007829BB" w:rsidRPr="00D905F9">
        <w:t>46</w:t>
      </w:r>
    </w:p>
    <w:p w:rsidR="00A2050A" w:rsidRPr="009F7004" w:rsidRDefault="00A2050A" w:rsidP="00524DBE">
      <w:pPr>
        <w:pStyle w:val="NoSpacing"/>
      </w:pPr>
    </w:p>
    <w:p w:rsidR="00E301D3" w:rsidRPr="009F7004" w:rsidRDefault="009F7004" w:rsidP="006914D6">
      <w:pPr>
        <w:pStyle w:val="Heading3"/>
      </w:pPr>
      <w:r>
        <w:t xml:space="preserve"> </w:t>
      </w:r>
      <w:r w:rsidR="00A2050A" w:rsidRPr="009F7004">
        <w:t xml:space="preserve">About this Report </w:t>
      </w:r>
    </w:p>
    <w:p w:rsidR="005E5585" w:rsidRDefault="005E5585" w:rsidP="00524DBE">
      <w:pPr>
        <w:pStyle w:val="NoSpacing"/>
        <w:rPr>
          <w:rFonts w:cstheme="minorHAnsi"/>
        </w:rPr>
      </w:pPr>
    </w:p>
    <w:p w:rsidR="009F7004" w:rsidRDefault="00A2050A" w:rsidP="00524DBE">
      <w:pPr>
        <w:pStyle w:val="NoSpacing"/>
        <w:rPr>
          <w:rFonts w:cstheme="minorHAnsi"/>
        </w:rPr>
      </w:pPr>
      <w:r w:rsidRPr="009F7004">
        <w:rPr>
          <w:rFonts w:cstheme="minorHAnsi"/>
        </w:rPr>
        <w:t>Chisholm Institute (Chisholm) is a statutory body corporate, established pursuant to an Act made by the Victorian Government under the Educati</w:t>
      </w:r>
      <w:r w:rsidR="009F7004">
        <w:rPr>
          <w:rFonts w:cstheme="minorHAnsi"/>
        </w:rPr>
        <w:t xml:space="preserve">on and Training Reform Act 2006 </w:t>
      </w:r>
      <w:r w:rsidRPr="009F7004">
        <w:rPr>
          <w:rFonts w:cstheme="minorHAnsi"/>
        </w:rPr>
        <w:t xml:space="preserve">Section 3.1.12 4(a). </w:t>
      </w:r>
    </w:p>
    <w:p w:rsidR="00A2050A" w:rsidRPr="009F7004" w:rsidRDefault="00A2050A" w:rsidP="00524DBE">
      <w:pPr>
        <w:pStyle w:val="NoSpacing"/>
        <w:rPr>
          <w:rFonts w:cstheme="minorHAnsi"/>
        </w:rPr>
      </w:pPr>
      <w:r w:rsidRPr="009F7004">
        <w:rPr>
          <w:rFonts w:cstheme="minorHAnsi"/>
        </w:rPr>
        <w:t xml:space="preserve">Its registered office and principal address is: </w:t>
      </w:r>
    </w:p>
    <w:p w:rsidR="00A2050A" w:rsidRPr="009F7004" w:rsidRDefault="00A2050A" w:rsidP="00524DBE">
      <w:pPr>
        <w:pStyle w:val="NoSpacing"/>
        <w:rPr>
          <w:rFonts w:cstheme="minorHAnsi"/>
        </w:rPr>
      </w:pPr>
      <w:r w:rsidRPr="009F7004">
        <w:rPr>
          <w:rFonts w:cstheme="minorHAnsi"/>
        </w:rPr>
        <w:t>Chisholm Institute</w:t>
      </w:r>
    </w:p>
    <w:p w:rsidR="00A2050A" w:rsidRPr="009F7004" w:rsidRDefault="00A2050A" w:rsidP="00524DBE">
      <w:pPr>
        <w:pStyle w:val="NoSpacing"/>
        <w:rPr>
          <w:rFonts w:cstheme="minorHAnsi"/>
        </w:rPr>
      </w:pPr>
      <w:r w:rsidRPr="009F7004">
        <w:rPr>
          <w:rFonts w:cstheme="minorHAnsi"/>
        </w:rPr>
        <w:t>121 Stud Road</w:t>
      </w:r>
    </w:p>
    <w:p w:rsidR="00E301D3" w:rsidRPr="009F7004" w:rsidRDefault="00A2050A" w:rsidP="00524DBE">
      <w:pPr>
        <w:pStyle w:val="NoSpacing"/>
        <w:rPr>
          <w:rFonts w:cstheme="minorHAnsi"/>
        </w:rPr>
      </w:pPr>
      <w:r w:rsidRPr="009F7004">
        <w:rPr>
          <w:rFonts w:cstheme="minorHAnsi"/>
        </w:rPr>
        <w:t>Dandenong VIC 3175</w:t>
      </w:r>
    </w:p>
    <w:p w:rsidR="00A2050A" w:rsidRPr="009F7004" w:rsidRDefault="00A2050A" w:rsidP="00524DBE">
      <w:pPr>
        <w:pStyle w:val="NoSpacing"/>
        <w:rPr>
          <w:rFonts w:cstheme="minorHAnsi"/>
        </w:rPr>
      </w:pPr>
    </w:p>
    <w:p w:rsidR="00A2050A" w:rsidRPr="009F7004" w:rsidRDefault="009F7004" w:rsidP="00D36BB2">
      <w:pPr>
        <w:pStyle w:val="Heading4"/>
      </w:pPr>
      <w:r w:rsidRPr="009F7004">
        <w:t xml:space="preserve">1.1 </w:t>
      </w:r>
      <w:r w:rsidR="00A2050A" w:rsidRPr="009F7004">
        <w:t xml:space="preserve">Basis of Preparation </w:t>
      </w:r>
    </w:p>
    <w:p w:rsidR="005E5585" w:rsidRDefault="005E5585" w:rsidP="00524DBE">
      <w:pPr>
        <w:pStyle w:val="NoSpacing"/>
        <w:rPr>
          <w:rFonts w:cstheme="minorHAnsi"/>
        </w:rPr>
      </w:pPr>
    </w:p>
    <w:p w:rsidR="00A2050A" w:rsidRPr="009F7004" w:rsidRDefault="00A2050A" w:rsidP="00524DBE">
      <w:pPr>
        <w:pStyle w:val="NoSpacing"/>
        <w:rPr>
          <w:rFonts w:cstheme="minorHAnsi"/>
        </w:rPr>
      </w:pPr>
      <w:r w:rsidRPr="009F7004">
        <w:rPr>
          <w:rFonts w:cstheme="minorHAnsi"/>
        </w:rPr>
        <w:t xml:space="preserve">These financial statements are presented in Australian dollars, the functional and presentation currency of Chisholm and its controlled entities, TAFE Online Pty Ltd, Caroline Chisholm Education Foundation, Chisholm </w:t>
      </w:r>
      <w:r w:rsidR="00F33250" w:rsidRPr="009F7004">
        <w:rPr>
          <w:rFonts w:cstheme="minorHAnsi"/>
        </w:rPr>
        <w:t xml:space="preserve">Academy Pty Ltd (Consolidated </w:t>
      </w:r>
      <w:r w:rsidRPr="009F7004">
        <w:rPr>
          <w:rFonts w:cstheme="minorHAnsi"/>
        </w:rPr>
        <w:t>Gro</w:t>
      </w:r>
      <w:r w:rsidR="00F33250" w:rsidRPr="009F7004">
        <w:rPr>
          <w:rFonts w:cstheme="minorHAnsi"/>
        </w:rPr>
        <w:t xml:space="preserve">up). These financial statements </w:t>
      </w:r>
      <w:r w:rsidRPr="009F7004">
        <w:rPr>
          <w:rFonts w:cstheme="minorHAnsi"/>
        </w:rPr>
        <w:t>h</w:t>
      </w:r>
      <w:r w:rsidR="00F33250" w:rsidRPr="009F7004">
        <w:rPr>
          <w:rFonts w:cstheme="minorHAnsi"/>
        </w:rPr>
        <w:t xml:space="preserve">ave been prepared in accordance </w:t>
      </w:r>
      <w:r w:rsidRPr="009F7004">
        <w:rPr>
          <w:rFonts w:cstheme="minorHAnsi"/>
        </w:rPr>
        <w:t>with</w:t>
      </w:r>
      <w:r w:rsidR="00F33250" w:rsidRPr="009F7004">
        <w:rPr>
          <w:rFonts w:cstheme="minorHAnsi"/>
        </w:rPr>
        <w:t xml:space="preserve"> the historical cost convention </w:t>
      </w:r>
      <w:r w:rsidRPr="009F7004">
        <w:rPr>
          <w:rFonts w:cstheme="minorHAnsi"/>
        </w:rPr>
        <w:t>unles</w:t>
      </w:r>
      <w:r w:rsidR="00F33250" w:rsidRPr="009F7004">
        <w:rPr>
          <w:rFonts w:cstheme="minorHAnsi"/>
        </w:rPr>
        <w:t xml:space="preserve">s a different measurement basis </w:t>
      </w:r>
      <w:r w:rsidRPr="009F7004">
        <w:rPr>
          <w:rFonts w:cstheme="minorHAnsi"/>
        </w:rPr>
        <w:t>is spec</w:t>
      </w:r>
      <w:r w:rsidR="00F33250" w:rsidRPr="009F7004">
        <w:rPr>
          <w:rFonts w:cstheme="minorHAnsi"/>
        </w:rPr>
        <w:t xml:space="preserve">ifically disclosed in the notes </w:t>
      </w:r>
      <w:r w:rsidRPr="009F7004">
        <w:rPr>
          <w:rFonts w:cstheme="minorHAnsi"/>
        </w:rPr>
        <w:t>as</w:t>
      </w:r>
      <w:r w:rsidR="00F33250" w:rsidRPr="009F7004">
        <w:rPr>
          <w:rFonts w:cstheme="minorHAnsi"/>
        </w:rPr>
        <w:t xml:space="preserve">sociated with the item measured </w:t>
      </w:r>
      <w:r w:rsidRPr="009F7004">
        <w:rPr>
          <w:rFonts w:cstheme="minorHAnsi"/>
        </w:rPr>
        <w:t xml:space="preserve">on a </w:t>
      </w:r>
      <w:r w:rsidR="00F33250" w:rsidRPr="009F7004">
        <w:rPr>
          <w:rFonts w:cstheme="minorHAnsi"/>
        </w:rPr>
        <w:t xml:space="preserve">different basis. Amounts in the </w:t>
      </w:r>
      <w:r w:rsidRPr="009F7004">
        <w:rPr>
          <w:rFonts w:cstheme="minorHAnsi"/>
        </w:rPr>
        <w:t>financ</w:t>
      </w:r>
      <w:r w:rsidR="00F33250" w:rsidRPr="009F7004">
        <w:rPr>
          <w:rFonts w:cstheme="minorHAnsi"/>
        </w:rPr>
        <w:t xml:space="preserve">ial report have been rounded to </w:t>
      </w:r>
      <w:r w:rsidRPr="009F7004">
        <w:rPr>
          <w:rFonts w:cstheme="minorHAnsi"/>
        </w:rPr>
        <w:t>the n</w:t>
      </w:r>
      <w:r w:rsidR="00F33250" w:rsidRPr="009F7004">
        <w:rPr>
          <w:rFonts w:cstheme="minorHAnsi"/>
        </w:rPr>
        <w:t xml:space="preserve">earest thousand dollars, unless </w:t>
      </w:r>
      <w:r w:rsidRPr="009F7004">
        <w:rPr>
          <w:rFonts w:cstheme="minorHAnsi"/>
        </w:rPr>
        <w:t>otherwise stated.</w:t>
      </w:r>
    </w:p>
    <w:p w:rsidR="00F33250" w:rsidRPr="009F7004" w:rsidRDefault="00F33250" w:rsidP="00524DBE">
      <w:pPr>
        <w:pStyle w:val="NoSpacing"/>
        <w:rPr>
          <w:rFonts w:cstheme="minorHAnsi"/>
        </w:rPr>
      </w:pPr>
    </w:p>
    <w:p w:rsidR="00F33250" w:rsidRPr="009F7004" w:rsidRDefault="00A2050A" w:rsidP="00524DBE">
      <w:pPr>
        <w:pStyle w:val="NoSpacing"/>
        <w:rPr>
          <w:rFonts w:cstheme="minorHAnsi"/>
        </w:rPr>
      </w:pPr>
      <w:r w:rsidRPr="009F7004">
        <w:rPr>
          <w:rFonts w:cstheme="minorHAnsi"/>
        </w:rPr>
        <w:t xml:space="preserve">The </w:t>
      </w:r>
      <w:r w:rsidR="00F33250" w:rsidRPr="009F7004">
        <w:rPr>
          <w:rFonts w:cstheme="minorHAnsi"/>
        </w:rPr>
        <w:t xml:space="preserve">accrual basis of accounting has </w:t>
      </w:r>
      <w:r w:rsidRPr="009F7004">
        <w:rPr>
          <w:rFonts w:cstheme="minorHAnsi"/>
        </w:rPr>
        <w:t xml:space="preserve">been applied in the </w:t>
      </w:r>
      <w:r w:rsidR="00F33250" w:rsidRPr="009F7004">
        <w:rPr>
          <w:rFonts w:cstheme="minorHAnsi"/>
        </w:rPr>
        <w:t xml:space="preserve">preparation of these </w:t>
      </w:r>
      <w:r w:rsidRPr="009F7004">
        <w:rPr>
          <w:rFonts w:cstheme="minorHAnsi"/>
        </w:rPr>
        <w:t>finan</w:t>
      </w:r>
      <w:r w:rsidR="00F33250" w:rsidRPr="009F7004">
        <w:rPr>
          <w:rFonts w:cstheme="minorHAnsi"/>
        </w:rPr>
        <w:t xml:space="preserve">cial statements whereby assets, </w:t>
      </w:r>
      <w:r w:rsidRPr="009F7004">
        <w:rPr>
          <w:rFonts w:cstheme="minorHAnsi"/>
        </w:rPr>
        <w:t>liabiliti</w:t>
      </w:r>
      <w:r w:rsidR="00F33250" w:rsidRPr="009F7004">
        <w:rPr>
          <w:rFonts w:cstheme="minorHAnsi"/>
        </w:rPr>
        <w:t xml:space="preserve">es, equity, income and expenses </w:t>
      </w:r>
      <w:r w:rsidRPr="009F7004">
        <w:rPr>
          <w:rFonts w:cstheme="minorHAnsi"/>
        </w:rPr>
        <w:t>are rec</w:t>
      </w:r>
      <w:r w:rsidR="00F33250" w:rsidRPr="009F7004">
        <w:rPr>
          <w:rFonts w:cstheme="minorHAnsi"/>
        </w:rPr>
        <w:t xml:space="preserve">ognised in the reporting period </w:t>
      </w:r>
      <w:r w:rsidRPr="009F7004">
        <w:rPr>
          <w:rFonts w:cstheme="minorHAnsi"/>
        </w:rPr>
        <w:t xml:space="preserve">to which </w:t>
      </w:r>
      <w:r w:rsidR="00F33250" w:rsidRPr="009F7004">
        <w:rPr>
          <w:rFonts w:cstheme="minorHAnsi"/>
        </w:rPr>
        <w:t xml:space="preserve">they relate, regardless of when cash is received or paid. Judgements, estimates and assumptions </w:t>
      </w:r>
      <w:r w:rsidRPr="009F7004">
        <w:rPr>
          <w:rFonts w:cstheme="minorHAnsi"/>
        </w:rPr>
        <w:t xml:space="preserve">are required </w:t>
      </w:r>
      <w:r w:rsidR="00F33250" w:rsidRPr="009F7004">
        <w:rPr>
          <w:rFonts w:cstheme="minorHAnsi"/>
        </w:rPr>
        <w:t xml:space="preserve">to be made about the </w:t>
      </w:r>
      <w:r w:rsidRPr="009F7004">
        <w:rPr>
          <w:rFonts w:cstheme="minorHAnsi"/>
        </w:rPr>
        <w:t>carrying v</w:t>
      </w:r>
      <w:r w:rsidR="00F33250" w:rsidRPr="009F7004">
        <w:rPr>
          <w:rFonts w:cstheme="minorHAnsi"/>
        </w:rPr>
        <w:t xml:space="preserve">alues of assets and liabilities </w:t>
      </w:r>
      <w:r w:rsidRPr="009F7004">
        <w:rPr>
          <w:rFonts w:cstheme="minorHAnsi"/>
        </w:rPr>
        <w:t xml:space="preserve">that are </w:t>
      </w:r>
      <w:r w:rsidR="00F33250" w:rsidRPr="009F7004">
        <w:rPr>
          <w:rFonts w:cstheme="minorHAnsi"/>
        </w:rPr>
        <w:t xml:space="preserve">not readily apparent from other </w:t>
      </w:r>
      <w:r w:rsidRPr="009F7004">
        <w:rPr>
          <w:rFonts w:cstheme="minorHAnsi"/>
        </w:rPr>
        <w:t>source</w:t>
      </w:r>
      <w:r w:rsidR="00F33250" w:rsidRPr="009F7004">
        <w:rPr>
          <w:rFonts w:cstheme="minorHAnsi"/>
        </w:rPr>
        <w:t xml:space="preserve">s. </w:t>
      </w:r>
    </w:p>
    <w:p w:rsidR="00F33250" w:rsidRPr="009F7004" w:rsidRDefault="00F33250" w:rsidP="00524DBE">
      <w:pPr>
        <w:pStyle w:val="NoSpacing"/>
        <w:rPr>
          <w:rFonts w:cstheme="minorHAnsi"/>
        </w:rPr>
      </w:pPr>
    </w:p>
    <w:p w:rsidR="00A2050A" w:rsidRPr="009F7004" w:rsidRDefault="00F33250" w:rsidP="00524DBE">
      <w:pPr>
        <w:pStyle w:val="NoSpacing"/>
        <w:rPr>
          <w:rFonts w:cstheme="minorHAnsi"/>
        </w:rPr>
      </w:pPr>
      <w:r w:rsidRPr="009F7004">
        <w:rPr>
          <w:rFonts w:cstheme="minorHAnsi"/>
        </w:rPr>
        <w:t xml:space="preserve">The estimates and associated assumptions are based on professional </w:t>
      </w:r>
      <w:r w:rsidR="00A2050A" w:rsidRPr="009F7004">
        <w:rPr>
          <w:rFonts w:cstheme="minorHAnsi"/>
        </w:rPr>
        <w:t>jud</w:t>
      </w:r>
      <w:r w:rsidRPr="009F7004">
        <w:rPr>
          <w:rFonts w:cstheme="minorHAnsi"/>
        </w:rPr>
        <w:t xml:space="preserve">gements derived from historical </w:t>
      </w:r>
      <w:r w:rsidR="00A2050A" w:rsidRPr="009F7004">
        <w:rPr>
          <w:rFonts w:cstheme="minorHAnsi"/>
        </w:rPr>
        <w:t>experience and various other factors that</w:t>
      </w:r>
      <w:r w:rsidRPr="009F7004">
        <w:rPr>
          <w:rFonts w:cstheme="minorHAnsi"/>
        </w:rPr>
        <w:t xml:space="preserve"> are </w:t>
      </w:r>
      <w:r w:rsidR="00A2050A" w:rsidRPr="009F7004">
        <w:rPr>
          <w:rFonts w:cstheme="minorHAnsi"/>
        </w:rPr>
        <w:t>beli</w:t>
      </w:r>
      <w:r w:rsidRPr="009F7004">
        <w:rPr>
          <w:rFonts w:cstheme="minorHAnsi"/>
        </w:rPr>
        <w:t xml:space="preserve">eved to be reasonable under the </w:t>
      </w:r>
      <w:r w:rsidR="00A2050A" w:rsidRPr="009F7004">
        <w:rPr>
          <w:rFonts w:cstheme="minorHAnsi"/>
        </w:rPr>
        <w:t>circumsta</w:t>
      </w:r>
      <w:r w:rsidRPr="009F7004">
        <w:rPr>
          <w:rFonts w:cstheme="minorHAnsi"/>
        </w:rPr>
        <w:t xml:space="preserve">nces. Actual results may differ </w:t>
      </w:r>
      <w:r w:rsidR="00A2050A" w:rsidRPr="009F7004">
        <w:rPr>
          <w:rFonts w:cstheme="minorHAnsi"/>
        </w:rPr>
        <w:t>from these estimates.</w:t>
      </w:r>
    </w:p>
    <w:p w:rsidR="00F33250" w:rsidRPr="009F7004" w:rsidRDefault="00F33250" w:rsidP="00524DBE">
      <w:pPr>
        <w:pStyle w:val="NoSpacing"/>
        <w:rPr>
          <w:rFonts w:cstheme="minorHAnsi"/>
        </w:rPr>
      </w:pPr>
    </w:p>
    <w:p w:rsidR="00A2050A" w:rsidRPr="009F7004" w:rsidRDefault="00F33250" w:rsidP="00524DBE">
      <w:pPr>
        <w:pStyle w:val="NoSpacing"/>
        <w:rPr>
          <w:rFonts w:cstheme="minorHAnsi"/>
        </w:rPr>
      </w:pPr>
      <w:r w:rsidRPr="009F7004">
        <w:rPr>
          <w:rFonts w:cstheme="minorHAnsi"/>
        </w:rPr>
        <w:t xml:space="preserve">The estimates and associated </w:t>
      </w:r>
      <w:r w:rsidR="00A2050A" w:rsidRPr="009F7004">
        <w:rPr>
          <w:rFonts w:cstheme="minorHAnsi"/>
        </w:rPr>
        <w:t>assumpt</w:t>
      </w:r>
      <w:r w:rsidRPr="009F7004">
        <w:rPr>
          <w:rFonts w:cstheme="minorHAnsi"/>
        </w:rPr>
        <w:t xml:space="preserve">ions are reviewed on an ongoing </w:t>
      </w:r>
      <w:r w:rsidR="00A2050A" w:rsidRPr="009F7004">
        <w:rPr>
          <w:rFonts w:cstheme="minorHAnsi"/>
        </w:rPr>
        <w:t>basis. Re</w:t>
      </w:r>
      <w:r w:rsidRPr="009F7004">
        <w:rPr>
          <w:rFonts w:cstheme="minorHAnsi"/>
        </w:rPr>
        <w:t xml:space="preserve">visions to accounting estimates </w:t>
      </w:r>
      <w:r w:rsidR="00A2050A" w:rsidRPr="009F7004">
        <w:rPr>
          <w:rFonts w:cstheme="minorHAnsi"/>
        </w:rPr>
        <w:t>are re</w:t>
      </w:r>
      <w:r w:rsidRPr="009F7004">
        <w:rPr>
          <w:rFonts w:cstheme="minorHAnsi"/>
        </w:rPr>
        <w:t xml:space="preserve">cognised in the period in which </w:t>
      </w:r>
      <w:r w:rsidR="00A2050A" w:rsidRPr="009F7004">
        <w:rPr>
          <w:rFonts w:cstheme="minorHAnsi"/>
        </w:rPr>
        <w:t>the estimat</w:t>
      </w:r>
      <w:r w:rsidRPr="009F7004">
        <w:rPr>
          <w:rFonts w:cstheme="minorHAnsi"/>
        </w:rPr>
        <w:t xml:space="preserve">e is revised and also in future </w:t>
      </w:r>
      <w:r w:rsidR="00A2050A" w:rsidRPr="009F7004">
        <w:rPr>
          <w:rFonts w:cstheme="minorHAnsi"/>
        </w:rPr>
        <w:t>periods that are affected by the revision.</w:t>
      </w:r>
    </w:p>
    <w:p w:rsidR="00F33250" w:rsidRPr="009F7004" w:rsidRDefault="00F33250" w:rsidP="00524DBE">
      <w:pPr>
        <w:pStyle w:val="NoSpacing"/>
        <w:rPr>
          <w:rFonts w:cstheme="minorHAnsi"/>
        </w:rPr>
      </w:pPr>
    </w:p>
    <w:p w:rsidR="00A2050A" w:rsidRPr="009F7004" w:rsidRDefault="00A2050A" w:rsidP="00524DBE">
      <w:pPr>
        <w:pStyle w:val="NoSpacing"/>
        <w:rPr>
          <w:rFonts w:cstheme="minorHAnsi"/>
        </w:rPr>
      </w:pPr>
      <w:r w:rsidRPr="009F7004">
        <w:rPr>
          <w:rFonts w:cstheme="minorHAnsi"/>
        </w:rPr>
        <w:t>J</w:t>
      </w:r>
      <w:r w:rsidR="00F33250" w:rsidRPr="009F7004">
        <w:rPr>
          <w:rFonts w:cstheme="minorHAnsi"/>
        </w:rPr>
        <w:t xml:space="preserve">udgements made by management in </w:t>
      </w:r>
      <w:r w:rsidRPr="009F7004">
        <w:rPr>
          <w:rFonts w:cstheme="minorHAnsi"/>
        </w:rPr>
        <w:t>the appli</w:t>
      </w:r>
      <w:r w:rsidR="00F33250" w:rsidRPr="009F7004">
        <w:rPr>
          <w:rFonts w:cstheme="minorHAnsi"/>
        </w:rPr>
        <w:t xml:space="preserve">cation of Australian Accounting </w:t>
      </w:r>
      <w:r w:rsidRPr="009F7004">
        <w:rPr>
          <w:rFonts w:cstheme="minorHAnsi"/>
        </w:rPr>
        <w:t>Standa</w:t>
      </w:r>
      <w:r w:rsidR="00F33250" w:rsidRPr="009F7004">
        <w:rPr>
          <w:rFonts w:cstheme="minorHAnsi"/>
        </w:rPr>
        <w:t xml:space="preserve">rds (AAS) that have significant </w:t>
      </w:r>
      <w:r w:rsidRPr="009F7004">
        <w:rPr>
          <w:rFonts w:cstheme="minorHAnsi"/>
        </w:rPr>
        <w:t xml:space="preserve">effects </w:t>
      </w:r>
      <w:r w:rsidR="00F33250" w:rsidRPr="009F7004">
        <w:rPr>
          <w:rFonts w:cstheme="minorHAnsi"/>
        </w:rPr>
        <w:t xml:space="preserve">on the financial statements and </w:t>
      </w:r>
      <w:r w:rsidRPr="009F7004">
        <w:rPr>
          <w:rFonts w:cstheme="minorHAnsi"/>
        </w:rPr>
        <w:t>estimates relate to:</w:t>
      </w:r>
    </w:p>
    <w:p w:rsidR="00A2050A" w:rsidRPr="009F7004" w:rsidRDefault="00A2050A" w:rsidP="00524DBE">
      <w:pPr>
        <w:pStyle w:val="NoSpacing"/>
        <w:rPr>
          <w:rFonts w:cstheme="minorHAnsi"/>
        </w:rPr>
      </w:pPr>
      <w:r w:rsidRPr="009F7004">
        <w:rPr>
          <w:rFonts w:cstheme="minorHAnsi"/>
        </w:rPr>
        <w:t xml:space="preserve">• </w:t>
      </w:r>
      <w:r w:rsidR="00F54F93" w:rsidRPr="009F7004">
        <w:rPr>
          <w:rFonts w:cstheme="minorHAnsi"/>
        </w:rPr>
        <w:t>The</w:t>
      </w:r>
      <w:r w:rsidR="00F33250" w:rsidRPr="009F7004">
        <w:rPr>
          <w:rFonts w:cstheme="minorHAnsi"/>
        </w:rPr>
        <w:t xml:space="preserve"> fair value of land, buildings, </w:t>
      </w:r>
      <w:r w:rsidRPr="009F7004">
        <w:rPr>
          <w:rFonts w:cstheme="minorHAnsi"/>
        </w:rPr>
        <w:t>infr</w:t>
      </w:r>
      <w:r w:rsidR="00F33250" w:rsidRPr="009F7004">
        <w:rPr>
          <w:rFonts w:cstheme="minorHAnsi"/>
        </w:rPr>
        <w:t xml:space="preserve">astructure, plant and equipment </w:t>
      </w:r>
      <w:r w:rsidRPr="009F7004">
        <w:rPr>
          <w:rFonts w:cstheme="minorHAnsi"/>
        </w:rPr>
        <w:t>(Refer to Note 7.3);</w:t>
      </w:r>
    </w:p>
    <w:p w:rsidR="00A2050A" w:rsidRPr="009F7004" w:rsidRDefault="00A2050A" w:rsidP="00524DBE">
      <w:pPr>
        <w:pStyle w:val="NoSpacing"/>
        <w:rPr>
          <w:rFonts w:cstheme="minorHAnsi"/>
        </w:rPr>
      </w:pPr>
      <w:r w:rsidRPr="009F7004">
        <w:rPr>
          <w:rFonts w:cstheme="minorHAnsi"/>
        </w:rPr>
        <w:t xml:space="preserve">• </w:t>
      </w:r>
      <w:r w:rsidR="00F54F93" w:rsidRPr="009F7004">
        <w:rPr>
          <w:rFonts w:cstheme="minorHAnsi"/>
        </w:rPr>
        <w:t>The</w:t>
      </w:r>
      <w:r w:rsidRPr="009F7004">
        <w:rPr>
          <w:rFonts w:cstheme="minorHAnsi"/>
        </w:rPr>
        <w:t xml:space="preserve"> es</w:t>
      </w:r>
      <w:r w:rsidR="00F33250" w:rsidRPr="009F7004">
        <w:rPr>
          <w:rFonts w:cstheme="minorHAnsi"/>
        </w:rPr>
        <w:t xml:space="preserve">timated useful lives over which </w:t>
      </w:r>
      <w:r w:rsidRPr="009F7004">
        <w:rPr>
          <w:rFonts w:cstheme="minorHAnsi"/>
        </w:rPr>
        <w:t>non-fi</w:t>
      </w:r>
      <w:r w:rsidR="00F33250" w:rsidRPr="009F7004">
        <w:rPr>
          <w:rFonts w:cstheme="minorHAnsi"/>
        </w:rPr>
        <w:t xml:space="preserve">nancial assets are depreciated; </w:t>
      </w:r>
      <w:r w:rsidR="004B1F18">
        <w:rPr>
          <w:rFonts w:cstheme="minorHAnsi"/>
        </w:rPr>
        <w:t xml:space="preserve">(Refer to Note 4.1.1) </w:t>
      </w:r>
      <w:r w:rsidRPr="009F7004">
        <w:rPr>
          <w:rFonts w:cstheme="minorHAnsi"/>
        </w:rPr>
        <w:t>and</w:t>
      </w:r>
    </w:p>
    <w:p w:rsidR="00A2050A" w:rsidRPr="009F7004" w:rsidRDefault="00F54F93" w:rsidP="00524DBE">
      <w:pPr>
        <w:pStyle w:val="NoSpacing"/>
        <w:rPr>
          <w:rFonts w:cstheme="minorHAnsi"/>
        </w:rPr>
      </w:pPr>
      <w:r>
        <w:rPr>
          <w:rFonts w:cstheme="minorHAnsi"/>
        </w:rPr>
        <w:t>• A</w:t>
      </w:r>
      <w:r w:rsidR="00A2050A" w:rsidRPr="009F7004">
        <w:rPr>
          <w:rFonts w:cstheme="minorHAnsi"/>
        </w:rPr>
        <w:t>ct</w:t>
      </w:r>
      <w:r w:rsidR="00F33250" w:rsidRPr="009F7004">
        <w:rPr>
          <w:rFonts w:cstheme="minorHAnsi"/>
        </w:rPr>
        <w:t xml:space="preserve">uarial assumptions for employee </w:t>
      </w:r>
      <w:r w:rsidR="00A2050A" w:rsidRPr="009F7004">
        <w:rPr>
          <w:rFonts w:cstheme="minorHAnsi"/>
        </w:rPr>
        <w:t>benefit provisions based</w:t>
      </w:r>
      <w:r w:rsidR="00F33250" w:rsidRPr="009F7004">
        <w:rPr>
          <w:rFonts w:cstheme="minorHAnsi"/>
        </w:rPr>
        <w:t xml:space="preserve"> on likely </w:t>
      </w:r>
      <w:r w:rsidR="00A2050A" w:rsidRPr="009F7004">
        <w:rPr>
          <w:rFonts w:cstheme="minorHAnsi"/>
        </w:rPr>
        <w:t>ten</w:t>
      </w:r>
      <w:r w:rsidR="00F33250" w:rsidRPr="009F7004">
        <w:rPr>
          <w:rFonts w:cstheme="minorHAnsi"/>
        </w:rPr>
        <w:t xml:space="preserve">ure of existing staff, patterns of leave claims, future salary </w:t>
      </w:r>
      <w:r w:rsidR="00A2050A" w:rsidRPr="009F7004">
        <w:rPr>
          <w:rFonts w:cstheme="minorHAnsi"/>
        </w:rPr>
        <w:t>move</w:t>
      </w:r>
      <w:r w:rsidR="00F33250" w:rsidRPr="009F7004">
        <w:rPr>
          <w:rFonts w:cstheme="minorHAnsi"/>
        </w:rPr>
        <w:t xml:space="preserve">ments and future discount rates </w:t>
      </w:r>
      <w:r w:rsidR="00A2050A" w:rsidRPr="009F7004">
        <w:rPr>
          <w:rFonts w:cstheme="minorHAnsi"/>
        </w:rPr>
        <w:t>(Refer to note 3.1.2);</w:t>
      </w:r>
    </w:p>
    <w:p w:rsidR="00F33250" w:rsidRPr="009F7004" w:rsidRDefault="00F33250" w:rsidP="00524DBE">
      <w:pPr>
        <w:pStyle w:val="NoSpacing"/>
        <w:rPr>
          <w:rFonts w:cstheme="minorHAnsi"/>
        </w:rPr>
      </w:pPr>
    </w:p>
    <w:p w:rsidR="00A2050A" w:rsidRPr="001021C5" w:rsidRDefault="00A2050A" w:rsidP="00524DBE">
      <w:pPr>
        <w:pStyle w:val="NoSpacing"/>
        <w:rPr>
          <w:rFonts w:cstheme="minorHAnsi"/>
        </w:rPr>
      </w:pPr>
      <w:r w:rsidRPr="001021C5">
        <w:rPr>
          <w:rFonts w:cstheme="minorHAnsi"/>
        </w:rPr>
        <w:t>T</w:t>
      </w:r>
      <w:r w:rsidR="00F33250" w:rsidRPr="001021C5">
        <w:rPr>
          <w:rFonts w:cstheme="minorHAnsi"/>
        </w:rPr>
        <w:t xml:space="preserve">hese financial statements cover </w:t>
      </w:r>
      <w:r w:rsidRPr="001021C5">
        <w:rPr>
          <w:rFonts w:cstheme="minorHAnsi"/>
        </w:rPr>
        <w:t>Chisholm an</w:t>
      </w:r>
      <w:r w:rsidR="00F33250" w:rsidRPr="001021C5">
        <w:rPr>
          <w:rFonts w:cstheme="minorHAnsi"/>
        </w:rPr>
        <w:t xml:space="preserve">d its controlled entities as an </w:t>
      </w:r>
      <w:r w:rsidRPr="001021C5">
        <w:rPr>
          <w:rFonts w:cstheme="minorHAnsi"/>
        </w:rPr>
        <w:t>individu</w:t>
      </w:r>
      <w:r w:rsidR="00F33250" w:rsidRPr="001021C5">
        <w:rPr>
          <w:rFonts w:cstheme="minorHAnsi"/>
        </w:rPr>
        <w:t xml:space="preserve">al reporting entity and include </w:t>
      </w:r>
      <w:r w:rsidRPr="001021C5">
        <w:rPr>
          <w:rFonts w:cstheme="minorHAnsi"/>
        </w:rPr>
        <w:t>all the controlled activities of Chisholm.</w:t>
      </w:r>
    </w:p>
    <w:p w:rsidR="00A2050A" w:rsidRPr="001021C5" w:rsidRDefault="00A2050A" w:rsidP="00524DBE">
      <w:pPr>
        <w:pStyle w:val="NoSpacing"/>
        <w:rPr>
          <w:rFonts w:cstheme="minorHAnsi"/>
        </w:rPr>
      </w:pPr>
    </w:p>
    <w:p w:rsidR="00524DBE" w:rsidRDefault="00A2050A" w:rsidP="00D36BB2">
      <w:pPr>
        <w:pStyle w:val="Heading4"/>
      </w:pPr>
      <w:r w:rsidRPr="00524DBE">
        <w:lastRenderedPageBreak/>
        <w:t>Transactions and Balances</w:t>
      </w:r>
    </w:p>
    <w:p w:rsidR="005E5585" w:rsidRDefault="005E5585" w:rsidP="00524DBE">
      <w:pPr>
        <w:pStyle w:val="NoSpacing"/>
      </w:pPr>
    </w:p>
    <w:p w:rsidR="00A2050A" w:rsidRPr="00524DBE" w:rsidRDefault="00A2050A" w:rsidP="00524DBE">
      <w:pPr>
        <w:pStyle w:val="NoSpacing"/>
        <w:rPr>
          <w:caps/>
        </w:rPr>
      </w:pPr>
      <w:r w:rsidRPr="001021C5">
        <w:t>Fo</w:t>
      </w:r>
      <w:r w:rsidR="00623165" w:rsidRPr="001021C5">
        <w:t xml:space="preserve">reign currency transactions are </w:t>
      </w:r>
      <w:r w:rsidRPr="001021C5">
        <w:t>tran</w:t>
      </w:r>
      <w:r w:rsidR="00623165" w:rsidRPr="001021C5">
        <w:t xml:space="preserve">slated into functional currency using the exchange rates prevailing </w:t>
      </w:r>
      <w:r w:rsidRPr="001021C5">
        <w:t>at the d</w:t>
      </w:r>
      <w:r w:rsidR="00623165" w:rsidRPr="001021C5">
        <w:t xml:space="preserve">ate of the transaction. Foreign </w:t>
      </w:r>
      <w:r w:rsidRPr="001021C5">
        <w:t>currenc</w:t>
      </w:r>
      <w:r w:rsidR="00623165" w:rsidRPr="001021C5">
        <w:t xml:space="preserve">y monetary items are translated </w:t>
      </w:r>
      <w:r w:rsidRPr="001021C5">
        <w:t>at the year-end exchange rate.</w:t>
      </w:r>
    </w:p>
    <w:p w:rsidR="00A2050A" w:rsidRPr="001021C5" w:rsidRDefault="00A2050A" w:rsidP="00524DBE">
      <w:pPr>
        <w:pStyle w:val="NoSpacing"/>
      </w:pPr>
      <w:r w:rsidRPr="001021C5">
        <w:t>No</w:t>
      </w:r>
      <w:r w:rsidR="00623165" w:rsidRPr="001021C5">
        <w:t xml:space="preserve">n-monetary items measured at </w:t>
      </w:r>
      <w:r w:rsidRPr="001021C5">
        <w:t>histori</w:t>
      </w:r>
      <w:r w:rsidR="00623165" w:rsidRPr="001021C5">
        <w:t xml:space="preserve">cal cost continue to be carried </w:t>
      </w:r>
      <w:r w:rsidRPr="001021C5">
        <w:t>at t</w:t>
      </w:r>
      <w:r w:rsidR="00623165" w:rsidRPr="001021C5">
        <w:t xml:space="preserve">he exchange rate at the date of </w:t>
      </w:r>
      <w:r w:rsidRPr="001021C5">
        <w:t xml:space="preserve">the </w:t>
      </w:r>
      <w:r w:rsidR="00623165" w:rsidRPr="001021C5">
        <w:t xml:space="preserve">transaction. Non-monetary items </w:t>
      </w:r>
      <w:r w:rsidRPr="001021C5">
        <w:t>measure</w:t>
      </w:r>
      <w:r w:rsidR="00623165" w:rsidRPr="001021C5">
        <w:t xml:space="preserve">d at fair value are reported at </w:t>
      </w:r>
      <w:r w:rsidRPr="001021C5">
        <w:t>the exch</w:t>
      </w:r>
      <w:r w:rsidR="00623165" w:rsidRPr="001021C5">
        <w:t xml:space="preserve">ange rate at the date when fair </w:t>
      </w:r>
      <w:r w:rsidRPr="001021C5">
        <w:t>values were determined.</w:t>
      </w:r>
    </w:p>
    <w:p w:rsidR="00A2050A" w:rsidRPr="001021C5" w:rsidRDefault="00A2050A" w:rsidP="00524DBE">
      <w:pPr>
        <w:pStyle w:val="NoSpacing"/>
      </w:pPr>
      <w:r w:rsidRPr="001021C5">
        <w:t>Foreign curre</w:t>
      </w:r>
      <w:r w:rsidR="00623165" w:rsidRPr="001021C5">
        <w:t xml:space="preserve">ncy translation differences are recognised in Comprehensive </w:t>
      </w:r>
      <w:r w:rsidRPr="001021C5">
        <w:t>Operat</w:t>
      </w:r>
      <w:r w:rsidR="00623165" w:rsidRPr="001021C5">
        <w:t xml:space="preserve">ing Statement, in the period in </w:t>
      </w:r>
      <w:r w:rsidRPr="001021C5">
        <w:t>which they arise.</w:t>
      </w:r>
    </w:p>
    <w:p w:rsidR="00A2050A" w:rsidRPr="001021C5" w:rsidRDefault="00A2050A" w:rsidP="00524DBE">
      <w:pPr>
        <w:pStyle w:val="NoSpacing"/>
      </w:pPr>
    </w:p>
    <w:p w:rsidR="00A2050A" w:rsidRPr="00524DBE" w:rsidRDefault="00A2050A" w:rsidP="00D36BB2">
      <w:pPr>
        <w:pStyle w:val="Heading4"/>
      </w:pPr>
      <w:r w:rsidRPr="00524DBE">
        <w:t>Goods and Services Tax (GST)</w:t>
      </w:r>
    </w:p>
    <w:p w:rsidR="005E5585" w:rsidRDefault="005E5585" w:rsidP="00524DBE">
      <w:pPr>
        <w:pStyle w:val="NoSpacing"/>
      </w:pPr>
    </w:p>
    <w:p w:rsidR="00A2050A" w:rsidRPr="001021C5" w:rsidRDefault="00623165" w:rsidP="00524DBE">
      <w:pPr>
        <w:pStyle w:val="NoSpacing"/>
      </w:pPr>
      <w:r w:rsidRPr="001021C5">
        <w:t xml:space="preserve">Income, expenses and assets are recognised net of the amount of associated GST, unless the GST </w:t>
      </w:r>
      <w:r w:rsidR="00A2050A" w:rsidRPr="001021C5">
        <w:t>incur</w:t>
      </w:r>
      <w:r w:rsidRPr="001021C5">
        <w:t xml:space="preserve">red is not recoverable from the </w:t>
      </w:r>
      <w:r w:rsidR="00A2050A" w:rsidRPr="001021C5">
        <w:t xml:space="preserve">taxation </w:t>
      </w:r>
      <w:r w:rsidRPr="001021C5">
        <w:t xml:space="preserve">authority. In this case it is </w:t>
      </w:r>
      <w:r w:rsidR="00A2050A" w:rsidRPr="001021C5">
        <w:t>re</w:t>
      </w:r>
      <w:r w:rsidRPr="001021C5">
        <w:t xml:space="preserve">cognised as part of the cost of </w:t>
      </w:r>
      <w:r w:rsidR="00A2050A" w:rsidRPr="001021C5">
        <w:t>acquisi</w:t>
      </w:r>
      <w:r w:rsidRPr="001021C5">
        <w:t xml:space="preserve">tion of the asset or as part of the expense. Receivables and payables are </w:t>
      </w:r>
      <w:r w:rsidR="00A2050A" w:rsidRPr="001021C5">
        <w:t>stated inclusive of the amount of</w:t>
      </w:r>
      <w:r w:rsidRPr="001021C5">
        <w:t xml:space="preserve"> </w:t>
      </w:r>
      <w:r w:rsidR="00A2050A" w:rsidRPr="001021C5">
        <w:t>GST receivable or payable. The net</w:t>
      </w:r>
      <w:r w:rsidRPr="001021C5">
        <w:t xml:space="preserve"> </w:t>
      </w:r>
      <w:r w:rsidR="00A2050A" w:rsidRPr="001021C5">
        <w:t>amount of GST recoverable from,</w:t>
      </w:r>
      <w:r w:rsidRPr="001021C5">
        <w:t xml:space="preserve"> </w:t>
      </w:r>
      <w:r w:rsidR="00A2050A" w:rsidRPr="001021C5">
        <w:t>or payable</w:t>
      </w:r>
      <w:r w:rsidRPr="001021C5">
        <w:t xml:space="preserve"> to, the taxation authority </w:t>
      </w:r>
      <w:r w:rsidR="00A2050A" w:rsidRPr="001021C5">
        <w:t xml:space="preserve">is </w:t>
      </w:r>
      <w:r w:rsidRPr="001021C5">
        <w:t xml:space="preserve">included with other receivables </w:t>
      </w:r>
      <w:r w:rsidR="00A2050A" w:rsidRPr="001021C5">
        <w:t>or payables in the balance sheet.</w:t>
      </w:r>
    </w:p>
    <w:p w:rsidR="00A2050A" w:rsidRPr="001021C5" w:rsidRDefault="00A2050A" w:rsidP="00524DBE">
      <w:pPr>
        <w:pStyle w:val="NoSpacing"/>
      </w:pPr>
    </w:p>
    <w:p w:rsidR="00A2050A" w:rsidRPr="00524DBE" w:rsidRDefault="00A2050A" w:rsidP="00D36BB2">
      <w:pPr>
        <w:pStyle w:val="Heading4"/>
      </w:pPr>
      <w:r w:rsidRPr="00524DBE">
        <w:t>Basis of Consolidation</w:t>
      </w:r>
    </w:p>
    <w:p w:rsidR="005E5585" w:rsidRDefault="005E5585" w:rsidP="00524DBE">
      <w:pPr>
        <w:pStyle w:val="NoSpacing"/>
      </w:pPr>
    </w:p>
    <w:p w:rsidR="00A2050A" w:rsidRPr="001021C5" w:rsidRDefault="00623165" w:rsidP="00524DBE">
      <w:pPr>
        <w:pStyle w:val="NoSpacing"/>
      </w:pPr>
      <w:r w:rsidRPr="001021C5">
        <w:t xml:space="preserve">In accordance with AASB 10 </w:t>
      </w:r>
      <w:r w:rsidR="00A2050A" w:rsidRPr="001021C5">
        <w:t>Con</w:t>
      </w:r>
      <w:r w:rsidRPr="001021C5">
        <w:t xml:space="preserve">solidated Financial Statements, </w:t>
      </w:r>
      <w:r w:rsidR="00A2050A" w:rsidRPr="001021C5">
        <w:t>c</w:t>
      </w:r>
      <w:r w:rsidRPr="001021C5">
        <w:t xml:space="preserve">ontrol exists when an entity is </w:t>
      </w:r>
      <w:r w:rsidR="00A2050A" w:rsidRPr="001021C5">
        <w:t>exposed</w:t>
      </w:r>
      <w:r w:rsidRPr="001021C5">
        <w:t xml:space="preserve"> to, or has rights to, variable </w:t>
      </w:r>
      <w:r w:rsidR="00A2050A" w:rsidRPr="001021C5">
        <w:t>returns from its involveme</w:t>
      </w:r>
      <w:r w:rsidRPr="001021C5">
        <w:t xml:space="preserve">nt with the </w:t>
      </w:r>
      <w:r w:rsidR="00A2050A" w:rsidRPr="001021C5">
        <w:t>entit</w:t>
      </w:r>
      <w:r w:rsidRPr="001021C5">
        <w:t xml:space="preserve">y and has the ability to affect </w:t>
      </w:r>
      <w:r w:rsidR="00A2050A" w:rsidRPr="001021C5">
        <w:t>those</w:t>
      </w:r>
      <w:r w:rsidRPr="001021C5">
        <w:t xml:space="preserve"> returns through its power over </w:t>
      </w:r>
      <w:r w:rsidR="00A2050A" w:rsidRPr="001021C5">
        <w:t>the enti</w:t>
      </w:r>
      <w:r w:rsidRPr="001021C5">
        <w:t xml:space="preserve">ty. The financial statements of </w:t>
      </w:r>
      <w:r w:rsidR="00A2050A" w:rsidRPr="001021C5">
        <w:t>entiti</w:t>
      </w:r>
      <w:r w:rsidRPr="001021C5">
        <w:t xml:space="preserve">es included in the consolidated </w:t>
      </w:r>
      <w:r w:rsidR="00A2050A" w:rsidRPr="001021C5">
        <w:t>fin</w:t>
      </w:r>
      <w:r w:rsidRPr="001021C5">
        <w:t xml:space="preserve">ancial statements from the date </w:t>
      </w:r>
      <w:r w:rsidR="00A2050A" w:rsidRPr="001021C5">
        <w:t>o</w:t>
      </w:r>
      <w:r w:rsidRPr="001021C5">
        <w:t xml:space="preserve">n which control commences until </w:t>
      </w:r>
      <w:r w:rsidR="00A2050A" w:rsidRPr="001021C5">
        <w:t>the date on which control ceases.</w:t>
      </w:r>
    </w:p>
    <w:p w:rsidR="00A2050A" w:rsidRPr="001021C5" w:rsidRDefault="00A2050A" w:rsidP="00524DBE">
      <w:pPr>
        <w:pStyle w:val="NoSpacing"/>
      </w:pPr>
      <w:r w:rsidRPr="001021C5">
        <w:t>In p</w:t>
      </w:r>
      <w:r w:rsidR="00623165" w:rsidRPr="001021C5">
        <w:t xml:space="preserve">reparing consolidated financial </w:t>
      </w:r>
      <w:r w:rsidRPr="001021C5">
        <w:t>statem</w:t>
      </w:r>
      <w:r w:rsidR="00623165" w:rsidRPr="001021C5">
        <w:t xml:space="preserve">ents for Chisholm, all material </w:t>
      </w:r>
      <w:r w:rsidRPr="001021C5">
        <w:t>tr</w:t>
      </w:r>
      <w:r w:rsidR="00623165" w:rsidRPr="001021C5">
        <w:t xml:space="preserve">ansactions and balances between </w:t>
      </w:r>
      <w:r w:rsidRPr="001021C5">
        <w:t>consolidated entities are eliminated.</w:t>
      </w:r>
    </w:p>
    <w:p w:rsidR="00A2050A" w:rsidRPr="001021C5" w:rsidRDefault="00A2050A" w:rsidP="00524DBE">
      <w:pPr>
        <w:pStyle w:val="NoSpacing"/>
      </w:pPr>
    </w:p>
    <w:p w:rsidR="00A2050A" w:rsidRPr="00524DBE" w:rsidRDefault="00A2050A" w:rsidP="00D36BB2">
      <w:pPr>
        <w:pStyle w:val="Heading4"/>
      </w:pPr>
      <w:r w:rsidRPr="00524DBE">
        <w:t>Funding Risk</w:t>
      </w:r>
    </w:p>
    <w:p w:rsidR="005E5585" w:rsidRDefault="005E5585" w:rsidP="00524DBE">
      <w:pPr>
        <w:pStyle w:val="NoSpacing"/>
      </w:pPr>
    </w:p>
    <w:p w:rsidR="00A2050A" w:rsidRPr="001021C5" w:rsidRDefault="00A2050A" w:rsidP="00524DBE">
      <w:pPr>
        <w:pStyle w:val="NoSpacing"/>
      </w:pPr>
      <w:r w:rsidRPr="001021C5">
        <w:t xml:space="preserve">Funding risk </w:t>
      </w:r>
      <w:r w:rsidR="00623165" w:rsidRPr="001021C5">
        <w:t xml:space="preserve">is the risk of over reliance on </w:t>
      </w:r>
      <w:r w:rsidRPr="001021C5">
        <w:t>a particul</w:t>
      </w:r>
      <w:r w:rsidR="00623165" w:rsidRPr="001021C5">
        <w:t xml:space="preserve">ar funding source to the extent </w:t>
      </w:r>
      <w:r w:rsidRPr="001021C5">
        <w:t xml:space="preserve">that a change </w:t>
      </w:r>
      <w:r w:rsidR="00623165" w:rsidRPr="001021C5">
        <w:t xml:space="preserve">in that funding source </w:t>
      </w:r>
      <w:r w:rsidRPr="001021C5">
        <w:t xml:space="preserve">could </w:t>
      </w:r>
      <w:r w:rsidR="00623165" w:rsidRPr="001021C5">
        <w:t xml:space="preserve">impact on the operating results </w:t>
      </w:r>
      <w:r w:rsidRPr="001021C5">
        <w:t>of the current year and future years.</w:t>
      </w:r>
    </w:p>
    <w:p w:rsidR="00A2050A" w:rsidRPr="001021C5" w:rsidRDefault="00A2050A" w:rsidP="00524DBE">
      <w:pPr>
        <w:pStyle w:val="NoSpacing"/>
      </w:pPr>
      <w:r w:rsidRPr="001021C5">
        <w:t>Ch</w:t>
      </w:r>
      <w:r w:rsidR="00623165" w:rsidRPr="001021C5">
        <w:t xml:space="preserve">isholm has substantial economic </w:t>
      </w:r>
      <w:r w:rsidRPr="001021C5">
        <w:t>dep</w:t>
      </w:r>
      <w:r w:rsidR="00623165" w:rsidRPr="001021C5">
        <w:t xml:space="preserve">endency on Government operating </w:t>
      </w:r>
      <w:r w:rsidRPr="001021C5">
        <w:t>and capital contributions.</w:t>
      </w:r>
    </w:p>
    <w:p w:rsidR="00A2050A" w:rsidRPr="001021C5" w:rsidRDefault="00A2050A" w:rsidP="00524DBE">
      <w:pPr>
        <w:pStyle w:val="NoSpacing"/>
      </w:pPr>
      <w:r w:rsidRPr="001021C5">
        <w:t>C</w:t>
      </w:r>
      <w:r w:rsidR="00623165" w:rsidRPr="001021C5">
        <w:t xml:space="preserve">hisholm manages funding risk by </w:t>
      </w:r>
      <w:r w:rsidRPr="001021C5">
        <w:t xml:space="preserve">continuing to diversify and </w:t>
      </w:r>
      <w:r w:rsidR="00623165" w:rsidRPr="001021C5">
        <w:t xml:space="preserve">increase </w:t>
      </w:r>
      <w:r w:rsidRPr="001021C5">
        <w:t>fund</w:t>
      </w:r>
      <w:r w:rsidR="00623165" w:rsidRPr="001021C5">
        <w:t xml:space="preserve">ing from commercial activities, </w:t>
      </w:r>
      <w:r w:rsidRPr="001021C5">
        <w:t>both domestically and offshore.</w:t>
      </w:r>
    </w:p>
    <w:p w:rsidR="00A2050A" w:rsidRPr="001021C5" w:rsidRDefault="00A2050A" w:rsidP="00524DBE">
      <w:pPr>
        <w:pStyle w:val="NoSpacing"/>
      </w:pPr>
      <w:r w:rsidRPr="001021C5">
        <w:t>There ha</w:t>
      </w:r>
      <w:r w:rsidR="00623165" w:rsidRPr="001021C5">
        <w:t xml:space="preserve">s been no significant change in </w:t>
      </w:r>
      <w:r w:rsidRPr="001021C5">
        <w:t>Chisholm</w:t>
      </w:r>
      <w:r w:rsidR="00623165" w:rsidRPr="001021C5">
        <w:t xml:space="preserve">’s exposure, or its objectives, </w:t>
      </w:r>
      <w:r w:rsidRPr="001021C5">
        <w:t>and proc</w:t>
      </w:r>
      <w:r w:rsidR="00623165" w:rsidRPr="001021C5">
        <w:t xml:space="preserve">esses for managing funding risk </w:t>
      </w:r>
      <w:r w:rsidRPr="001021C5">
        <w:t>or the me</w:t>
      </w:r>
      <w:r w:rsidR="00623165" w:rsidRPr="001021C5">
        <w:t xml:space="preserve">thods used to measure this risk </w:t>
      </w:r>
      <w:r w:rsidRPr="001021C5">
        <w:t>from the previous reporting period.</w:t>
      </w:r>
    </w:p>
    <w:p w:rsidR="00A2050A" w:rsidRPr="001021C5" w:rsidRDefault="00A2050A" w:rsidP="00524DBE">
      <w:pPr>
        <w:pStyle w:val="NoSpacing"/>
      </w:pPr>
    </w:p>
    <w:p w:rsidR="00623165" w:rsidRDefault="00A2050A" w:rsidP="00524DBE">
      <w:pPr>
        <w:pStyle w:val="NoSpacing"/>
      </w:pPr>
      <w:r w:rsidRPr="001021C5">
        <w:t>&lt;pp&gt;</w:t>
      </w:r>
      <w:r w:rsidR="007829BB" w:rsidRPr="001021C5">
        <w:t>47</w:t>
      </w:r>
    </w:p>
    <w:p w:rsidR="00524DBE" w:rsidRPr="001021C5" w:rsidRDefault="00524DBE" w:rsidP="00524DBE">
      <w:pPr>
        <w:pStyle w:val="NoSpacing"/>
      </w:pPr>
    </w:p>
    <w:p w:rsidR="00D36E31" w:rsidRDefault="00524DBE" w:rsidP="00D36BB2">
      <w:pPr>
        <w:pStyle w:val="Heading3"/>
      </w:pPr>
      <w:r w:rsidRPr="00524DBE">
        <w:t>1.</w:t>
      </w:r>
      <w:r>
        <w:t xml:space="preserve"> </w:t>
      </w:r>
      <w:proofErr w:type="gramStart"/>
      <w:r w:rsidR="00D36E31" w:rsidRPr="00524DBE">
        <w:t>About</w:t>
      </w:r>
      <w:proofErr w:type="gramEnd"/>
      <w:r w:rsidR="00D36E31" w:rsidRPr="00524DBE">
        <w:t xml:space="preserve"> this Report (Continued) </w:t>
      </w:r>
    </w:p>
    <w:p w:rsidR="00524DBE" w:rsidRPr="00524DBE" w:rsidRDefault="00524DBE" w:rsidP="00524DBE">
      <w:pPr>
        <w:pStyle w:val="NoSpacing"/>
        <w:rPr>
          <w:caps/>
        </w:rPr>
      </w:pPr>
    </w:p>
    <w:p w:rsidR="00D36E31" w:rsidRPr="001021C5" w:rsidRDefault="00D36E31" w:rsidP="00D36BB2">
      <w:pPr>
        <w:pStyle w:val="Heading4"/>
      </w:pPr>
      <w:r w:rsidRPr="001021C5">
        <w:t>1.2 Compliance information</w:t>
      </w:r>
    </w:p>
    <w:p w:rsidR="00605972" w:rsidRPr="001021C5" w:rsidRDefault="00D36E31" w:rsidP="00524DBE">
      <w:pPr>
        <w:pStyle w:val="NoSpacing"/>
      </w:pPr>
      <w:r w:rsidRPr="001021C5">
        <w:t>These general purpose financial</w:t>
      </w:r>
      <w:r w:rsidR="00605972" w:rsidRPr="001021C5">
        <w:t xml:space="preserve"> </w:t>
      </w:r>
      <w:r w:rsidRPr="001021C5">
        <w:t>statements have been prepared</w:t>
      </w:r>
      <w:r w:rsidR="00605972" w:rsidRPr="001021C5">
        <w:t xml:space="preserve"> </w:t>
      </w:r>
      <w:r w:rsidRPr="001021C5">
        <w:t>in accordance with the Financial</w:t>
      </w:r>
      <w:r w:rsidR="00605972" w:rsidRPr="001021C5">
        <w:t xml:space="preserve"> </w:t>
      </w:r>
      <w:r w:rsidRPr="001021C5">
        <w:t>Management Act 1994 (FMA) and</w:t>
      </w:r>
      <w:r w:rsidR="00605972" w:rsidRPr="001021C5">
        <w:t xml:space="preserve"> </w:t>
      </w:r>
      <w:r w:rsidRPr="001021C5">
        <w:t>applicable AAS which include</w:t>
      </w:r>
      <w:r w:rsidR="00605972" w:rsidRPr="001021C5">
        <w:t xml:space="preserve"> </w:t>
      </w:r>
      <w:r w:rsidRPr="001021C5">
        <w:t>interpretations, issued by the</w:t>
      </w:r>
      <w:r w:rsidR="00605972" w:rsidRPr="001021C5">
        <w:t xml:space="preserve"> </w:t>
      </w:r>
      <w:r w:rsidRPr="001021C5">
        <w:t>Australian Accounting Standards</w:t>
      </w:r>
      <w:r w:rsidR="00605972" w:rsidRPr="001021C5">
        <w:t xml:space="preserve"> </w:t>
      </w:r>
      <w:r w:rsidRPr="001021C5">
        <w:t>Board (AASB). In particular, they are</w:t>
      </w:r>
      <w:r w:rsidR="00605972" w:rsidRPr="001021C5">
        <w:t xml:space="preserve"> </w:t>
      </w:r>
      <w:r w:rsidRPr="001021C5">
        <w:t>presented in a manner consistent with</w:t>
      </w:r>
      <w:r w:rsidR="00605972" w:rsidRPr="001021C5">
        <w:t xml:space="preserve"> </w:t>
      </w:r>
      <w:r w:rsidRPr="001021C5">
        <w:t>the requirements of the AASB 1049</w:t>
      </w:r>
      <w:r w:rsidR="00605972" w:rsidRPr="001021C5">
        <w:t xml:space="preserve"> </w:t>
      </w:r>
      <w:r w:rsidRPr="001021C5">
        <w:t>Whole of Government and General</w:t>
      </w:r>
      <w:r w:rsidR="00605972" w:rsidRPr="001021C5">
        <w:t xml:space="preserve"> </w:t>
      </w:r>
      <w:r w:rsidRPr="001021C5">
        <w:t>Government Sector Financial Reporting.</w:t>
      </w:r>
      <w:r w:rsidR="00605972" w:rsidRPr="001021C5">
        <w:t xml:space="preserve"> </w:t>
      </w:r>
    </w:p>
    <w:p w:rsidR="00D36E31" w:rsidRPr="001021C5" w:rsidRDefault="00D36E31" w:rsidP="00524DBE">
      <w:pPr>
        <w:pStyle w:val="NoSpacing"/>
      </w:pPr>
      <w:r w:rsidRPr="001021C5">
        <w:lastRenderedPageBreak/>
        <w:t>For the purposes of preparing financial</w:t>
      </w:r>
      <w:r w:rsidR="00605972" w:rsidRPr="001021C5">
        <w:t xml:space="preserve"> </w:t>
      </w:r>
      <w:r w:rsidRPr="001021C5">
        <w:t>statements, Chisholm is classed as a</w:t>
      </w:r>
      <w:r w:rsidR="00605972" w:rsidRPr="001021C5">
        <w:t xml:space="preserve"> </w:t>
      </w:r>
      <w:r w:rsidRPr="001021C5">
        <w:t>not-for-profit entity. Where appropriate,</w:t>
      </w:r>
      <w:r w:rsidR="00605972" w:rsidRPr="001021C5">
        <w:t xml:space="preserve"> </w:t>
      </w:r>
      <w:r w:rsidRPr="001021C5">
        <w:t>those AAS paragraphs applicable to</w:t>
      </w:r>
      <w:r w:rsidR="00605972" w:rsidRPr="001021C5">
        <w:t xml:space="preserve"> </w:t>
      </w:r>
      <w:r w:rsidRPr="001021C5">
        <w:t>not-for-profit entities have been applied.</w:t>
      </w:r>
    </w:p>
    <w:p w:rsidR="00D36E31" w:rsidRPr="001021C5" w:rsidRDefault="00D36E31" w:rsidP="00524DBE">
      <w:pPr>
        <w:pStyle w:val="NoSpacing"/>
        <w:rPr>
          <w:rFonts w:ascii="ProximaNovaA-Light" w:hAnsi="ProximaNovaA-Light" w:cs="ProximaNovaA-Light"/>
        </w:rPr>
      </w:pPr>
      <w:r w:rsidRPr="001021C5">
        <w:t>Accounting policies are selected and</w:t>
      </w:r>
      <w:r w:rsidR="00605972" w:rsidRPr="001021C5">
        <w:t xml:space="preserve"> </w:t>
      </w:r>
      <w:r w:rsidRPr="001021C5">
        <w:t>applied in a manner which ensures</w:t>
      </w:r>
      <w:r w:rsidR="00605972" w:rsidRPr="001021C5">
        <w:t xml:space="preserve"> </w:t>
      </w:r>
      <w:r w:rsidRPr="001021C5">
        <w:t>that the resulting financial information</w:t>
      </w:r>
      <w:r w:rsidR="00605972" w:rsidRPr="001021C5">
        <w:t xml:space="preserve"> </w:t>
      </w:r>
      <w:r w:rsidRPr="001021C5">
        <w:t>satisfies the concepts of relevance</w:t>
      </w:r>
      <w:r w:rsidR="00605972" w:rsidRPr="001021C5">
        <w:t xml:space="preserve"> </w:t>
      </w:r>
      <w:r w:rsidRPr="001021C5">
        <w:t>and reliability, thereby ensuring</w:t>
      </w:r>
      <w:r w:rsidR="00605972" w:rsidRPr="001021C5">
        <w:t xml:space="preserve"> </w:t>
      </w:r>
      <w:r w:rsidRPr="001021C5">
        <w:t>that the substance of the underlying</w:t>
      </w:r>
      <w:r w:rsidR="00605972" w:rsidRPr="001021C5">
        <w:t xml:space="preserve"> </w:t>
      </w:r>
      <w:r w:rsidRPr="001021C5">
        <w:t>transactions or other events is</w:t>
      </w:r>
      <w:r w:rsidR="00605972" w:rsidRPr="001021C5">
        <w:t xml:space="preserve"> </w:t>
      </w:r>
      <w:r w:rsidRPr="001021C5">
        <w:t>reported. Accounting policies applied</w:t>
      </w:r>
      <w:r w:rsidR="00605972" w:rsidRPr="001021C5">
        <w:t xml:space="preserve"> </w:t>
      </w:r>
      <w:r w:rsidRPr="001021C5">
        <w:t>are disclosed in sections where the</w:t>
      </w:r>
      <w:r w:rsidR="00605972" w:rsidRPr="001021C5">
        <w:t xml:space="preserve"> </w:t>
      </w:r>
      <w:r w:rsidRPr="001021C5">
        <w:t>related accounting balance or financial</w:t>
      </w:r>
      <w:r w:rsidR="00605972" w:rsidRPr="001021C5">
        <w:t xml:space="preserve"> </w:t>
      </w:r>
      <w:r w:rsidRPr="001021C5">
        <w:t>statement matter is disclosed.</w:t>
      </w:r>
    </w:p>
    <w:p w:rsidR="00524DBE" w:rsidRDefault="00524DBE" w:rsidP="00524DBE">
      <w:pPr>
        <w:pStyle w:val="NoSpacing"/>
        <w:rPr>
          <w:b/>
        </w:rPr>
      </w:pPr>
    </w:p>
    <w:p w:rsidR="009363D1" w:rsidRDefault="009363D1" w:rsidP="00524DBE">
      <w:pPr>
        <w:pStyle w:val="NoSpacing"/>
        <w:sectPr w:rsidR="009363D1">
          <w:pgSz w:w="11906" w:h="16838"/>
          <w:pgMar w:top="1440" w:right="1440" w:bottom="1440" w:left="1440" w:header="708" w:footer="708" w:gutter="0"/>
          <w:cols w:space="708"/>
          <w:docGrid w:linePitch="360"/>
        </w:sectPr>
      </w:pPr>
    </w:p>
    <w:p w:rsidR="00605972" w:rsidRPr="001021C5" w:rsidRDefault="00524DBE" w:rsidP="00D36BB2">
      <w:pPr>
        <w:pStyle w:val="Heading3"/>
      </w:pPr>
      <w:r>
        <w:lastRenderedPageBreak/>
        <w:t xml:space="preserve">2. </w:t>
      </w:r>
      <w:r w:rsidR="00605972" w:rsidRPr="004B1F18">
        <w:t>How we earned our funds</w:t>
      </w:r>
    </w:p>
    <w:p w:rsidR="00524DBE" w:rsidRDefault="00524DBE" w:rsidP="00524DBE">
      <w:pPr>
        <w:pStyle w:val="NoSpacing"/>
      </w:pPr>
    </w:p>
    <w:p w:rsidR="00605972" w:rsidRDefault="00524DBE" w:rsidP="00D36BB2">
      <w:pPr>
        <w:pStyle w:val="Heading4"/>
      </w:pPr>
      <w:r>
        <w:t xml:space="preserve">2.1 </w:t>
      </w:r>
      <w:r w:rsidR="00605972" w:rsidRPr="009363D1">
        <w:t>Government contributions</w:t>
      </w:r>
    </w:p>
    <w:p w:rsidR="009363D1" w:rsidRDefault="009363D1" w:rsidP="00524DBE">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9363D1" w:rsidRPr="00AE2D8D" w:rsidTr="009363D1">
        <w:tc>
          <w:tcPr>
            <w:tcW w:w="1417" w:type="dxa"/>
          </w:tcPr>
          <w:p w:rsidR="009363D1" w:rsidRPr="00AE2D8D" w:rsidRDefault="009363D1" w:rsidP="003A5F79">
            <w:pPr>
              <w:pStyle w:val="NoSpacing"/>
              <w:jc w:val="right"/>
              <w:rPr>
                <w:rFonts w:cstheme="minorHAnsi"/>
                <w:bCs/>
                <w:w w:val="105"/>
              </w:rPr>
            </w:pPr>
            <w:r w:rsidRPr="00AE2D8D">
              <w:rPr>
                <w:rFonts w:cstheme="minorHAnsi"/>
                <w:bCs/>
                <w:w w:val="105"/>
              </w:rPr>
              <w:t>2017</w:t>
            </w:r>
          </w:p>
        </w:tc>
        <w:tc>
          <w:tcPr>
            <w:tcW w:w="1276" w:type="dxa"/>
          </w:tcPr>
          <w:p w:rsidR="009363D1" w:rsidRPr="00AE2D8D" w:rsidRDefault="009363D1" w:rsidP="003A5F79">
            <w:pPr>
              <w:pStyle w:val="NoSpacing"/>
              <w:jc w:val="right"/>
              <w:rPr>
                <w:rFonts w:cstheme="minorHAnsi"/>
                <w:bCs/>
                <w:w w:val="105"/>
              </w:rPr>
            </w:pPr>
            <w:r w:rsidRPr="00AE2D8D">
              <w:rPr>
                <w:rFonts w:cstheme="minorHAnsi"/>
                <w:bCs/>
                <w:w w:val="105"/>
              </w:rPr>
              <w:t>2016</w:t>
            </w:r>
          </w:p>
        </w:tc>
        <w:tc>
          <w:tcPr>
            <w:tcW w:w="1134" w:type="dxa"/>
          </w:tcPr>
          <w:p w:rsidR="009363D1" w:rsidRPr="00AE2D8D" w:rsidRDefault="009363D1" w:rsidP="003A5F79">
            <w:pPr>
              <w:pStyle w:val="NoSpacing"/>
              <w:jc w:val="right"/>
              <w:rPr>
                <w:rFonts w:cstheme="minorHAnsi"/>
                <w:bCs/>
                <w:w w:val="105"/>
              </w:rPr>
            </w:pPr>
            <w:r w:rsidRPr="00AE2D8D">
              <w:rPr>
                <w:rFonts w:cstheme="minorHAnsi"/>
                <w:bCs/>
                <w:w w:val="105"/>
              </w:rPr>
              <w:t>2017</w:t>
            </w:r>
          </w:p>
        </w:tc>
        <w:tc>
          <w:tcPr>
            <w:tcW w:w="1276" w:type="dxa"/>
          </w:tcPr>
          <w:p w:rsidR="009363D1" w:rsidRPr="00AE2D8D" w:rsidRDefault="009363D1" w:rsidP="003A5F79">
            <w:pPr>
              <w:pStyle w:val="NoSpacing"/>
              <w:jc w:val="right"/>
              <w:rPr>
                <w:rFonts w:cstheme="minorHAnsi"/>
                <w:bCs/>
                <w:w w:val="105"/>
              </w:rPr>
            </w:pPr>
            <w:r w:rsidRPr="00AE2D8D">
              <w:rPr>
                <w:rFonts w:cstheme="minorHAnsi"/>
                <w:bCs/>
                <w:w w:val="105"/>
              </w:rPr>
              <w:t>2016</w:t>
            </w:r>
          </w:p>
        </w:tc>
      </w:tr>
      <w:tr w:rsidR="009363D1" w:rsidRPr="00AE2D8D" w:rsidTr="009363D1">
        <w:tc>
          <w:tcPr>
            <w:tcW w:w="1417" w:type="dxa"/>
          </w:tcPr>
          <w:p w:rsidR="009363D1" w:rsidRPr="00AE2D8D" w:rsidRDefault="009363D1" w:rsidP="003A5F79">
            <w:pPr>
              <w:jc w:val="right"/>
              <w:rPr>
                <w:rFonts w:cstheme="minorHAnsi"/>
              </w:rPr>
            </w:pPr>
            <w:r w:rsidRPr="00AE2D8D">
              <w:rPr>
                <w:rFonts w:cstheme="minorHAnsi"/>
                <w:bCs/>
                <w:w w:val="105"/>
              </w:rPr>
              <w:t>$’000</w:t>
            </w:r>
          </w:p>
        </w:tc>
        <w:tc>
          <w:tcPr>
            <w:tcW w:w="1276" w:type="dxa"/>
          </w:tcPr>
          <w:p w:rsidR="009363D1" w:rsidRPr="00AE2D8D" w:rsidRDefault="009363D1" w:rsidP="003A5F79">
            <w:pPr>
              <w:jc w:val="right"/>
              <w:rPr>
                <w:rFonts w:cstheme="minorHAnsi"/>
              </w:rPr>
            </w:pPr>
            <w:r w:rsidRPr="00AE2D8D">
              <w:rPr>
                <w:rFonts w:cstheme="minorHAnsi"/>
                <w:bCs/>
                <w:w w:val="105"/>
              </w:rPr>
              <w:t>$’000</w:t>
            </w:r>
          </w:p>
        </w:tc>
        <w:tc>
          <w:tcPr>
            <w:tcW w:w="1134" w:type="dxa"/>
          </w:tcPr>
          <w:p w:rsidR="009363D1" w:rsidRPr="00AE2D8D" w:rsidRDefault="009363D1" w:rsidP="003A5F79">
            <w:pPr>
              <w:jc w:val="right"/>
              <w:rPr>
                <w:rFonts w:cstheme="minorHAnsi"/>
              </w:rPr>
            </w:pPr>
            <w:r w:rsidRPr="00AE2D8D">
              <w:rPr>
                <w:rFonts w:cstheme="minorHAnsi"/>
                <w:bCs/>
                <w:w w:val="105"/>
              </w:rPr>
              <w:t>$’000</w:t>
            </w:r>
          </w:p>
        </w:tc>
        <w:tc>
          <w:tcPr>
            <w:tcW w:w="1276" w:type="dxa"/>
          </w:tcPr>
          <w:p w:rsidR="009363D1" w:rsidRPr="00AE2D8D" w:rsidRDefault="009363D1" w:rsidP="003A5F79">
            <w:pPr>
              <w:pStyle w:val="NoSpacing"/>
              <w:jc w:val="right"/>
              <w:rPr>
                <w:rFonts w:cstheme="minorHAnsi"/>
                <w:bCs/>
                <w:w w:val="105"/>
              </w:rPr>
            </w:pPr>
            <w:r w:rsidRPr="00AE2D8D">
              <w:rPr>
                <w:rFonts w:cstheme="minorHAnsi"/>
                <w:bCs/>
                <w:w w:val="105"/>
              </w:rPr>
              <w:t>$’000</w:t>
            </w:r>
          </w:p>
        </w:tc>
      </w:tr>
    </w:tbl>
    <w:p w:rsidR="009363D1" w:rsidRDefault="009363D1" w:rsidP="00524DBE">
      <w:pPr>
        <w:pStyle w:val="NoSpacing"/>
      </w:pPr>
      <w:r>
        <w:t xml:space="preserve">Grants and other transfers </w:t>
      </w:r>
    </w:p>
    <w:p w:rsidR="009363D1" w:rsidRDefault="009363D1" w:rsidP="00524DBE">
      <w:pPr>
        <w:pStyle w:val="NoSpacing"/>
      </w:pPr>
      <w:r>
        <w:t xml:space="preserve">Government contributions – operating </w:t>
      </w:r>
    </w:p>
    <w:tbl>
      <w:tblPr>
        <w:tblStyle w:val="TableGrid"/>
        <w:tblW w:w="0" w:type="auto"/>
        <w:tblLook w:val="04A0" w:firstRow="1" w:lastRow="0" w:firstColumn="1" w:lastColumn="0" w:noHBand="0" w:noVBand="1"/>
      </w:tblPr>
      <w:tblGrid>
        <w:gridCol w:w="8784"/>
        <w:gridCol w:w="1417"/>
        <w:gridCol w:w="1276"/>
        <w:gridCol w:w="1134"/>
        <w:gridCol w:w="1276"/>
      </w:tblGrid>
      <w:tr w:rsidR="009363D1" w:rsidTr="009363D1">
        <w:tc>
          <w:tcPr>
            <w:tcW w:w="8784" w:type="dxa"/>
          </w:tcPr>
          <w:p w:rsidR="009363D1" w:rsidRDefault="009363D1" w:rsidP="00524DBE">
            <w:pPr>
              <w:pStyle w:val="NoSpacing"/>
            </w:pPr>
            <w:r>
              <w:t>State government – contestable</w:t>
            </w:r>
          </w:p>
        </w:tc>
        <w:tc>
          <w:tcPr>
            <w:tcW w:w="1417" w:type="dxa"/>
          </w:tcPr>
          <w:p w:rsidR="009363D1" w:rsidRDefault="00F5437E" w:rsidP="00F5437E">
            <w:pPr>
              <w:pStyle w:val="NoSpacing"/>
              <w:jc w:val="right"/>
            </w:pPr>
            <w:r>
              <w:t>65,658</w:t>
            </w:r>
          </w:p>
        </w:tc>
        <w:tc>
          <w:tcPr>
            <w:tcW w:w="1276" w:type="dxa"/>
          </w:tcPr>
          <w:p w:rsidR="009363D1" w:rsidRDefault="00F5437E" w:rsidP="00F5437E">
            <w:pPr>
              <w:pStyle w:val="NoSpacing"/>
              <w:jc w:val="right"/>
            </w:pPr>
            <w:r>
              <w:t>52,999</w:t>
            </w:r>
          </w:p>
        </w:tc>
        <w:tc>
          <w:tcPr>
            <w:tcW w:w="1134" w:type="dxa"/>
          </w:tcPr>
          <w:p w:rsidR="009363D1" w:rsidRDefault="00F5437E" w:rsidP="00F5437E">
            <w:pPr>
              <w:pStyle w:val="NoSpacing"/>
              <w:jc w:val="right"/>
            </w:pPr>
            <w:r>
              <w:t>32,698</w:t>
            </w:r>
          </w:p>
        </w:tc>
        <w:tc>
          <w:tcPr>
            <w:tcW w:w="1276" w:type="dxa"/>
          </w:tcPr>
          <w:p w:rsidR="009363D1" w:rsidRDefault="00F5437E" w:rsidP="00F5437E">
            <w:pPr>
              <w:pStyle w:val="NoSpacing"/>
              <w:jc w:val="right"/>
            </w:pPr>
            <w:r>
              <w:t>51,385</w:t>
            </w:r>
          </w:p>
        </w:tc>
      </w:tr>
      <w:tr w:rsidR="009363D1" w:rsidTr="009363D1">
        <w:tc>
          <w:tcPr>
            <w:tcW w:w="8784" w:type="dxa"/>
          </w:tcPr>
          <w:p w:rsidR="009363D1" w:rsidRDefault="009363D1" w:rsidP="00524DBE">
            <w:pPr>
              <w:pStyle w:val="NoSpacing"/>
            </w:pPr>
            <w:r>
              <w:t xml:space="preserve">State government – other contributions </w:t>
            </w:r>
          </w:p>
        </w:tc>
        <w:tc>
          <w:tcPr>
            <w:tcW w:w="1417" w:type="dxa"/>
          </w:tcPr>
          <w:p w:rsidR="009363D1" w:rsidRDefault="00F5437E" w:rsidP="00F5437E">
            <w:pPr>
              <w:pStyle w:val="NoSpacing"/>
              <w:jc w:val="right"/>
            </w:pPr>
            <w:r>
              <w:t>24,017</w:t>
            </w:r>
          </w:p>
        </w:tc>
        <w:tc>
          <w:tcPr>
            <w:tcW w:w="1276" w:type="dxa"/>
          </w:tcPr>
          <w:p w:rsidR="009363D1" w:rsidRDefault="00F5437E" w:rsidP="00F5437E">
            <w:pPr>
              <w:pStyle w:val="NoSpacing"/>
              <w:jc w:val="right"/>
            </w:pPr>
            <w:r>
              <w:t>16,881</w:t>
            </w:r>
          </w:p>
        </w:tc>
        <w:tc>
          <w:tcPr>
            <w:tcW w:w="1134" w:type="dxa"/>
          </w:tcPr>
          <w:p w:rsidR="009363D1" w:rsidRDefault="00F5437E" w:rsidP="00F5437E">
            <w:pPr>
              <w:pStyle w:val="NoSpacing"/>
              <w:jc w:val="right"/>
            </w:pPr>
            <w:r>
              <w:t>23,599</w:t>
            </w:r>
          </w:p>
        </w:tc>
        <w:tc>
          <w:tcPr>
            <w:tcW w:w="1276" w:type="dxa"/>
          </w:tcPr>
          <w:p w:rsidR="009363D1" w:rsidRDefault="00F5437E" w:rsidP="00F5437E">
            <w:pPr>
              <w:pStyle w:val="NoSpacing"/>
              <w:jc w:val="right"/>
            </w:pPr>
            <w:r>
              <w:t>16,710</w:t>
            </w:r>
          </w:p>
        </w:tc>
      </w:tr>
      <w:tr w:rsidR="009363D1" w:rsidTr="009363D1">
        <w:tc>
          <w:tcPr>
            <w:tcW w:w="8784" w:type="dxa"/>
          </w:tcPr>
          <w:p w:rsidR="009363D1" w:rsidRDefault="009363D1" w:rsidP="00524DBE">
            <w:pPr>
              <w:pStyle w:val="NoSpacing"/>
            </w:pPr>
            <w:r>
              <w:t xml:space="preserve">Total government contributions – operating </w:t>
            </w:r>
          </w:p>
        </w:tc>
        <w:tc>
          <w:tcPr>
            <w:tcW w:w="1417" w:type="dxa"/>
          </w:tcPr>
          <w:p w:rsidR="009363D1" w:rsidRDefault="00F5437E" w:rsidP="00F5437E">
            <w:pPr>
              <w:pStyle w:val="NoSpacing"/>
              <w:jc w:val="right"/>
            </w:pPr>
            <w:r>
              <w:t>89,675</w:t>
            </w:r>
          </w:p>
        </w:tc>
        <w:tc>
          <w:tcPr>
            <w:tcW w:w="1276" w:type="dxa"/>
          </w:tcPr>
          <w:p w:rsidR="009363D1" w:rsidRDefault="00F5437E" w:rsidP="00F5437E">
            <w:pPr>
              <w:pStyle w:val="NoSpacing"/>
              <w:jc w:val="right"/>
            </w:pPr>
            <w:r>
              <w:t>69,880</w:t>
            </w:r>
          </w:p>
        </w:tc>
        <w:tc>
          <w:tcPr>
            <w:tcW w:w="1134" w:type="dxa"/>
          </w:tcPr>
          <w:p w:rsidR="009363D1" w:rsidRDefault="00F5437E" w:rsidP="00F5437E">
            <w:pPr>
              <w:pStyle w:val="NoSpacing"/>
              <w:jc w:val="right"/>
            </w:pPr>
            <w:r>
              <w:t>86,297</w:t>
            </w:r>
          </w:p>
        </w:tc>
        <w:tc>
          <w:tcPr>
            <w:tcW w:w="1276" w:type="dxa"/>
          </w:tcPr>
          <w:p w:rsidR="009363D1" w:rsidRDefault="00F5437E" w:rsidP="00F5437E">
            <w:pPr>
              <w:pStyle w:val="NoSpacing"/>
              <w:jc w:val="right"/>
            </w:pPr>
            <w:r>
              <w:t>68,095</w:t>
            </w:r>
          </w:p>
        </w:tc>
      </w:tr>
    </w:tbl>
    <w:p w:rsidR="009363D1" w:rsidRDefault="009363D1" w:rsidP="00524DBE">
      <w:pPr>
        <w:pStyle w:val="NoSpacing"/>
      </w:pPr>
    </w:p>
    <w:p w:rsidR="00D33D34" w:rsidRDefault="00D33D34" w:rsidP="00D33D34">
      <w:pPr>
        <w:pStyle w:val="NoSpacing"/>
      </w:pPr>
      <w:r>
        <w:t>Government contributions - capital</w:t>
      </w:r>
    </w:p>
    <w:tbl>
      <w:tblPr>
        <w:tblStyle w:val="TableGrid"/>
        <w:tblW w:w="0" w:type="auto"/>
        <w:tblLook w:val="04A0" w:firstRow="1" w:lastRow="0" w:firstColumn="1" w:lastColumn="0" w:noHBand="0" w:noVBand="1"/>
      </w:tblPr>
      <w:tblGrid>
        <w:gridCol w:w="8784"/>
        <w:gridCol w:w="1417"/>
        <w:gridCol w:w="1276"/>
        <w:gridCol w:w="1134"/>
        <w:gridCol w:w="1276"/>
      </w:tblGrid>
      <w:tr w:rsidR="00D33D34" w:rsidTr="003A5F79">
        <w:tc>
          <w:tcPr>
            <w:tcW w:w="8784" w:type="dxa"/>
          </w:tcPr>
          <w:p w:rsidR="00D33D34" w:rsidRDefault="00F5437E" w:rsidP="003A5F79">
            <w:pPr>
              <w:pStyle w:val="NoSpacing"/>
            </w:pPr>
            <w:r>
              <w:t>State capital</w:t>
            </w:r>
          </w:p>
        </w:tc>
        <w:tc>
          <w:tcPr>
            <w:tcW w:w="1417" w:type="dxa"/>
          </w:tcPr>
          <w:p w:rsidR="00D33D34" w:rsidRDefault="00F5437E" w:rsidP="00F5437E">
            <w:pPr>
              <w:pStyle w:val="NoSpacing"/>
              <w:jc w:val="right"/>
            </w:pPr>
            <w:r>
              <w:t>21,793</w:t>
            </w:r>
          </w:p>
        </w:tc>
        <w:tc>
          <w:tcPr>
            <w:tcW w:w="1276" w:type="dxa"/>
          </w:tcPr>
          <w:p w:rsidR="00D33D34" w:rsidRDefault="00F5437E" w:rsidP="00F5437E">
            <w:pPr>
              <w:pStyle w:val="NoSpacing"/>
              <w:jc w:val="right"/>
            </w:pPr>
            <w:r>
              <w:t>17,809</w:t>
            </w:r>
          </w:p>
        </w:tc>
        <w:tc>
          <w:tcPr>
            <w:tcW w:w="1134" w:type="dxa"/>
          </w:tcPr>
          <w:p w:rsidR="00D33D34" w:rsidRDefault="00F5437E" w:rsidP="00F5437E">
            <w:pPr>
              <w:pStyle w:val="NoSpacing"/>
              <w:jc w:val="right"/>
            </w:pPr>
            <w:r>
              <w:t>21,793</w:t>
            </w:r>
          </w:p>
        </w:tc>
        <w:tc>
          <w:tcPr>
            <w:tcW w:w="1276" w:type="dxa"/>
          </w:tcPr>
          <w:p w:rsidR="00D33D34" w:rsidRDefault="00F5437E" w:rsidP="00F5437E">
            <w:pPr>
              <w:pStyle w:val="NoSpacing"/>
              <w:jc w:val="right"/>
            </w:pPr>
            <w:r>
              <w:t>17,809</w:t>
            </w:r>
          </w:p>
        </w:tc>
      </w:tr>
      <w:tr w:rsidR="00D33D34" w:rsidTr="003A5F79">
        <w:tc>
          <w:tcPr>
            <w:tcW w:w="8784" w:type="dxa"/>
          </w:tcPr>
          <w:p w:rsidR="00D33D34" w:rsidRDefault="00F5437E" w:rsidP="003A5F79">
            <w:pPr>
              <w:pStyle w:val="NoSpacing"/>
            </w:pPr>
            <w:r>
              <w:t xml:space="preserve">Commonwealth capital </w:t>
            </w:r>
          </w:p>
        </w:tc>
        <w:tc>
          <w:tcPr>
            <w:tcW w:w="1417" w:type="dxa"/>
          </w:tcPr>
          <w:p w:rsidR="00D33D34" w:rsidRDefault="00F5437E" w:rsidP="00F5437E">
            <w:pPr>
              <w:pStyle w:val="NoSpacing"/>
              <w:jc w:val="right"/>
            </w:pPr>
            <w:r>
              <w:t>-</w:t>
            </w:r>
          </w:p>
        </w:tc>
        <w:tc>
          <w:tcPr>
            <w:tcW w:w="1276" w:type="dxa"/>
          </w:tcPr>
          <w:p w:rsidR="00D33D34" w:rsidRDefault="00F5437E" w:rsidP="00F5437E">
            <w:pPr>
              <w:pStyle w:val="NoSpacing"/>
              <w:jc w:val="right"/>
            </w:pPr>
            <w:r>
              <w:t>191</w:t>
            </w:r>
          </w:p>
        </w:tc>
        <w:tc>
          <w:tcPr>
            <w:tcW w:w="1134" w:type="dxa"/>
          </w:tcPr>
          <w:p w:rsidR="00D33D34" w:rsidRDefault="00F5437E" w:rsidP="00F5437E">
            <w:pPr>
              <w:pStyle w:val="NoSpacing"/>
              <w:jc w:val="right"/>
            </w:pPr>
            <w:r>
              <w:t>-</w:t>
            </w:r>
          </w:p>
        </w:tc>
        <w:tc>
          <w:tcPr>
            <w:tcW w:w="1276" w:type="dxa"/>
          </w:tcPr>
          <w:p w:rsidR="00D33D34" w:rsidRDefault="00F5437E" w:rsidP="00F5437E">
            <w:pPr>
              <w:pStyle w:val="NoSpacing"/>
              <w:jc w:val="right"/>
            </w:pPr>
            <w:r>
              <w:t>191</w:t>
            </w:r>
          </w:p>
        </w:tc>
      </w:tr>
      <w:tr w:rsidR="00D33D34" w:rsidTr="003A5F79">
        <w:tc>
          <w:tcPr>
            <w:tcW w:w="8784" w:type="dxa"/>
          </w:tcPr>
          <w:p w:rsidR="00D33D34" w:rsidRDefault="00F5437E" w:rsidP="003A5F79">
            <w:pPr>
              <w:pStyle w:val="NoSpacing"/>
            </w:pPr>
            <w:r>
              <w:t xml:space="preserve">Total Government contributions – capital </w:t>
            </w:r>
          </w:p>
        </w:tc>
        <w:tc>
          <w:tcPr>
            <w:tcW w:w="1417" w:type="dxa"/>
          </w:tcPr>
          <w:p w:rsidR="00D33D34" w:rsidRDefault="00F5437E" w:rsidP="00F5437E">
            <w:pPr>
              <w:pStyle w:val="NoSpacing"/>
              <w:jc w:val="right"/>
            </w:pPr>
            <w:r>
              <w:t>21,793</w:t>
            </w:r>
          </w:p>
        </w:tc>
        <w:tc>
          <w:tcPr>
            <w:tcW w:w="1276" w:type="dxa"/>
          </w:tcPr>
          <w:p w:rsidR="00D33D34" w:rsidRDefault="00F5437E" w:rsidP="00F5437E">
            <w:pPr>
              <w:pStyle w:val="NoSpacing"/>
              <w:jc w:val="right"/>
            </w:pPr>
            <w:r>
              <w:t>18,000</w:t>
            </w:r>
          </w:p>
        </w:tc>
        <w:tc>
          <w:tcPr>
            <w:tcW w:w="1134" w:type="dxa"/>
          </w:tcPr>
          <w:p w:rsidR="00D33D34" w:rsidRDefault="00F5437E" w:rsidP="00F5437E">
            <w:pPr>
              <w:pStyle w:val="NoSpacing"/>
              <w:jc w:val="right"/>
            </w:pPr>
            <w:r>
              <w:t>21,783</w:t>
            </w:r>
          </w:p>
        </w:tc>
        <w:tc>
          <w:tcPr>
            <w:tcW w:w="1276" w:type="dxa"/>
          </w:tcPr>
          <w:p w:rsidR="00D33D34" w:rsidRDefault="00F5437E" w:rsidP="00F5437E">
            <w:pPr>
              <w:pStyle w:val="NoSpacing"/>
              <w:jc w:val="right"/>
            </w:pPr>
            <w:r>
              <w:t>18,000</w:t>
            </w:r>
          </w:p>
        </w:tc>
      </w:tr>
    </w:tbl>
    <w:p w:rsidR="009363D1" w:rsidRDefault="009363D1" w:rsidP="00524DBE">
      <w:pPr>
        <w:pStyle w:val="NoSpacing"/>
      </w:pPr>
    </w:p>
    <w:tbl>
      <w:tblPr>
        <w:tblStyle w:val="TableGrid"/>
        <w:tblW w:w="0" w:type="auto"/>
        <w:tblLook w:val="04A0" w:firstRow="1" w:lastRow="0" w:firstColumn="1" w:lastColumn="0" w:noHBand="0" w:noVBand="1"/>
      </w:tblPr>
      <w:tblGrid>
        <w:gridCol w:w="8784"/>
        <w:gridCol w:w="1417"/>
        <w:gridCol w:w="1276"/>
        <w:gridCol w:w="1134"/>
        <w:gridCol w:w="1276"/>
      </w:tblGrid>
      <w:tr w:rsidR="00F5437E" w:rsidTr="003A5F79">
        <w:tc>
          <w:tcPr>
            <w:tcW w:w="8784" w:type="dxa"/>
          </w:tcPr>
          <w:p w:rsidR="00F5437E" w:rsidRDefault="00F5437E" w:rsidP="003A5F79">
            <w:pPr>
              <w:pStyle w:val="NoSpacing"/>
            </w:pPr>
            <w:r>
              <w:t xml:space="preserve">Total Government contributions </w:t>
            </w:r>
          </w:p>
        </w:tc>
        <w:tc>
          <w:tcPr>
            <w:tcW w:w="1417" w:type="dxa"/>
          </w:tcPr>
          <w:p w:rsidR="00F5437E" w:rsidRDefault="00F5437E" w:rsidP="00F5437E">
            <w:pPr>
              <w:pStyle w:val="NoSpacing"/>
              <w:jc w:val="right"/>
            </w:pPr>
            <w:r>
              <w:t>111,468</w:t>
            </w:r>
          </w:p>
        </w:tc>
        <w:tc>
          <w:tcPr>
            <w:tcW w:w="1276" w:type="dxa"/>
          </w:tcPr>
          <w:p w:rsidR="00F5437E" w:rsidRDefault="00F5437E" w:rsidP="00F5437E">
            <w:pPr>
              <w:pStyle w:val="NoSpacing"/>
              <w:jc w:val="right"/>
            </w:pPr>
            <w:r>
              <w:t>87,880</w:t>
            </w:r>
          </w:p>
        </w:tc>
        <w:tc>
          <w:tcPr>
            <w:tcW w:w="1134" w:type="dxa"/>
          </w:tcPr>
          <w:p w:rsidR="00F5437E" w:rsidRDefault="00F5437E" w:rsidP="00F5437E">
            <w:pPr>
              <w:pStyle w:val="NoSpacing"/>
              <w:jc w:val="right"/>
            </w:pPr>
            <w:r>
              <w:t>108,090</w:t>
            </w:r>
          </w:p>
        </w:tc>
        <w:tc>
          <w:tcPr>
            <w:tcW w:w="1276" w:type="dxa"/>
          </w:tcPr>
          <w:p w:rsidR="00F5437E" w:rsidRDefault="00F5437E" w:rsidP="00F5437E">
            <w:pPr>
              <w:pStyle w:val="NoSpacing"/>
              <w:jc w:val="right"/>
            </w:pPr>
            <w:r>
              <w:t>86,095</w:t>
            </w:r>
          </w:p>
        </w:tc>
      </w:tr>
    </w:tbl>
    <w:p w:rsidR="009363D1" w:rsidRDefault="009363D1" w:rsidP="00524DBE">
      <w:pPr>
        <w:pStyle w:val="NoSpacing"/>
      </w:pPr>
    </w:p>
    <w:p w:rsidR="00FC3FCD" w:rsidRPr="00524DBE" w:rsidRDefault="00FC3FCD" w:rsidP="00FC3FCD">
      <w:pPr>
        <w:pStyle w:val="NoSpacing"/>
      </w:pPr>
      <w:r w:rsidRPr="00524DBE">
        <w:t>Government contributions are recognised as revenue in the period when the following conditions are met: Chisholm obtains control of the contributions or the right to receive the contribution, the economic benefits comprising the contribution will flow to Chisholm and the amount of the contribution can be measured reliably.</w:t>
      </w:r>
    </w:p>
    <w:p w:rsidR="00FC3FCD" w:rsidRDefault="00FC3FCD" w:rsidP="00FC3FCD">
      <w:pPr>
        <w:pStyle w:val="NoSpacing"/>
      </w:pPr>
    </w:p>
    <w:p w:rsidR="00FC3FCD" w:rsidRDefault="00FC3FCD" w:rsidP="00FC3FCD">
      <w:pPr>
        <w:pStyle w:val="NoSpacing"/>
      </w:pPr>
      <w:r>
        <w:t>&lt;pp</w:t>
      </w:r>
      <w:r w:rsidRPr="001021C5">
        <w:t>&gt;</w:t>
      </w:r>
      <w:r>
        <w:t>48</w:t>
      </w:r>
    </w:p>
    <w:p w:rsidR="00FC3FCD" w:rsidRDefault="00FC3FCD" w:rsidP="00FC3FCD">
      <w:pPr>
        <w:pStyle w:val="NoSpacing"/>
      </w:pPr>
    </w:p>
    <w:p w:rsidR="00FC3FCD" w:rsidRDefault="00FC3FCD" w:rsidP="00FC3FCD">
      <w:pPr>
        <w:pStyle w:val="NoSpacing"/>
      </w:pPr>
    </w:p>
    <w:p w:rsidR="00FC3FCD" w:rsidRDefault="00FC3FCD" w:rsidP="00D36BB2">
      <w:pPr>
        <w:pStyle w:val="Heading3"/>
      </w:pPr>
      <w:r>
        <w:t xml:space="preserve">2. </w:t>
      </w:r>
      <w:r w:rsidRPr="00524DBE">
        <w:t>How we earned our funds (continued)</w:t>
      </w:r>
    </w:p>
    <w:p w:rsidR="00FC3FCD" w:rsidRDefault="00FC3FCD" w:rsidP="00FC3FCD">
      <w:pPr>
        <w:pStyle w:val="NoSpacing"/>
      </w:pPr>
    </w:p>
    <w:p w:rsidR="009363D1" w:rsidRDefault="00FC3FCD" w:rsidP="00D36BB2">
      <w:pPr>
        <w:pStyle w:val="Heading4"/>
      </w:pPr>
      <w:r>
        <w:t xml:space="preserve">2.2 </w:t>
      </w:r>
      <w:r w:rsidRPr="00FC3FCD">
        <w:t>Sale of goods and services</w:t>
      </w:r>
    </w:p>
    <w:p w:rsidR="00FC3FCD" w:rsidRDefault="00FC3FCD" w:rsidP="00FC3FCD">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FC3FCD" w:rsidRPr="00AE2D8D" w:rsidTr="00FC3FCD">
        <w:tc>
          <w:tcPr>
            <w:tcW w:w="2693" w:type="dxa"/>
            <w:gridSpan w:val="2"/>
          </w:tcPr>
          <w:p w:rsidR="00FC3FCD" w:rsidRPr="00AE2D8D" w:rsidRDefault="00FC3FCD" w:rsidP="003A5F79">
            <w:pPr>
              <w:pStyle w:val="NoSpacing"/>
              <w:jc w:val="center"/>
              <w:rPr>
                <w:rFonts w:cstheme="minorHAnsi"/>
                <w:bCs/>
                <w:w w:val="105"/>
              </w:rPr>
            </w:pPr>
            <w:r w:rsidRPr="00AE2D8D">
              <w:rPr>
                <w:rFonts w:cstheme="minorHAnsi"/>
                <w:bCs/>
                <w:w w:val="105"/>
              </w:rPr>
              <w:t>Consolidated</w:t>
            </w:r>
          </w:p>
        </w:tc>
        <w:tc>
          <w:tcPr>
            <w:tcW w:w="2410" w:type="dxa"/>
            <w:gridSpan w:val="2"/>
          </w:tcPr>
          <w:p w:rsidR="00FC3FCD" w:rsidRPr="00AE2D8D" w:rsidRDefault="00FC3FCD" w:rsidP="003A5F79">
            <w:pPr>
              <w:pStyle w:val="NoSpacing"/>
              <w:jc w:val="center"/>
              <w:rPr>
                <w:rFonts w:cstheme="minorHAnsi"/>
                <w:bCs/>
                <w:w w:val="105"/>
              </w:rPr>
            </w:pPr>
            <w:r w:rsidRPr="00AE2D8D">
              <w:rPr>
                <w:rFonts w:cstheme="minorHAnsi"/>
                <w:bCs/>
                <w:w w:val="105"/>
              </w:rPr>
              <w:t>Chisholm</w:t>
            </w:r>
          </w:p>
        </w:tc>
      </w:tr>
      <w:tr w:rsidR="00FC3FCD" w:rsidRPr="00AE2D8D" w:rsidTr="00FC3FCD">
        <w:tc>
          <w:tcPr>
            <w:tcW w:w="1417" w:type="dxa"/>
          </w:tcPr>
          <w:p w:rsidR="00FC3FCD" w:rsidRPr="00AE2D8D" w:rsidRDefault="00FC3FCD" w:rsidP="003A5F79">
            <w:pPr>
              <w:pStyle w:val="NoSpacing"/>
              <w:jc w:val="right"/>
              <w:rPr>
                <w:rFonts w:cstheme="minorHAnsi"/>
                <w:bCs/>
                <w:w w:val="105"/>
              </w:rPr>
            </w:pPr>
            <w:r w:rsidRPr="00AE2D8D">
              <w:rPr>
                <w:rFonts w:cstheme="minorHAnsi"/>
                <w:bCs/>
                <w:w w:val="105"/>
              </w:rPr>
              <w:lastRenderedPageBreak/>
              <w:t>2017</w:t>
            </w:r>
          </w:p>
        </w:tc>
        <w:tc>
          <w:tcPr>
            <w:tcW w:w="1276" w:type="dxa"/>
          </w:tcPr>
          <w:p w:rsidR="00FC3FCD" w:rsidRPr="00AE2D8D" w:rsidRDefault="00FC3FCD" w:rsidP="003A5F79">
            <w:pPr>
              <w:pStyle w:val="NoSpacing"/>
              <w:jc w:val="right"/>
              <w:rPr>
                <w:rFonts w:cstheme="minorHAnsi"/>
                <w:bCs/>
                <w:w w:val="105"/>
              </w:rPr>
            </w:pPr>
            <w:r w:rsidRPr="00AE2D8D">
              <w:rPr>
                <w:rFonts w:cstheme="minorHAnsi"/>
                <w:bCs/>
                <w:w w:val="105"/>
              </w:rPr>
              <w:t>2016</w:t>
            </w:r>
          </w:p>
        </w:tc>
        <w:tc>
          <w:tcPr>
            <w:tcW w:w="1134" w:type="dxa"/>
          </w:tcPr>
          <w:p w:rsidR="00FC3FCD" w:rsidRPr="00AE2D8D" w:rsidRDefault="00FC3FCD" w:rsidP="003A5F79">
            <w:pPr>
              <w:pStyle w:val="NoSpacing"/>
              <w:jc w:val="right"/>
              <w:rPr>
                <w:rFonts w:cstheme="minorHAnsi"/>
                <w:bCs/>
                <w:w w:val="105"/>
              </w:rPr>
            </w:pPr>
            <w:r w:rsidRPr="00AE2D8D">
              <w:rPr>
                <w:rFonts w:cstheme="minorHAnsi"/>
                <w:bCs/>
                <w:w w:val="105"/>
              </w:rPr>
              <w:t>2017</w:t>
            </w:r>
          </w:p>
        </w:tc>
        <w:tc>
          <w:tcPr>
            <w:tcW w:w="1276" w:type="dxa"/>
          </w:tcPr>
          <w:p w:rsidR="00FC3FCD" w:rsidRPr="00AE2D8D" w:rsidRDefault="00FC3FCD" w:rsidP="003A5F79">
            <w:pPr>
              <w:pStyle w:val="NoSpacing"/>
              <w:jc w:val="right"/>
              <w:rPr>
                <w:rFonts w:cstheme="minorHAnsi"/>
                <w:bCs/>
                <w:w w:val="105"/>
              </w:rPr>
            </w:pPr>
            <w:r w:rsidRPr="00AE2D8D">
              <w:rPr>
                <w:rFonts w:cstheme="minorHAnsi"/>
                <w:bCs/>
                <w:w w:val="105"/>
              </w:rPr>
              <w:t>2016</w:t>
            </w:r>
          </w:p>
        </w:tc>
      </w:tr>
      <w:tr w:rsidR="00FC3FCD" w:rsidRPr="00AE2D8D" w:rsidTr="00FC3FCD">
        <w:tc>
          <w:tcPr>
            <w:tcW w:w="1417" w:type="dxa"/>
          </w:tcPr>
          <w:p w:rsidR="00FC3FCD" w:rsidRPr="00AE2D8D" w:rsidRDefault="00FC3FCD" w:rsidP="003A5F79">
            <w:pPr>
              <w:jc w:val="right"/>
              <w:rPr>
                <w:rFonts w:cstheme="minorHAnsi"/>
              </w:rPr>
            </w:pPr>
            <w:r w:rsidRPr="00AE2D8D">
              <w:rPr>
                <w:rFonts w:cstheme="minorHAnsi"/>
                <w:bCs/>
                <w:w w:val="105"/>
              </w:rPr>
              <w:t>$’000</w:t>
            </w:r>
          </w:p>
        </w:tc>
        <w:tc>
          <w:tcPr>
            <w:tcW w:w="1276" w:type="dxa"/>
          </w:tcPr>
          <w:p w:rsidR="00FC3FCD" w:rsidRPr="00AE2D8D" w:rsidRDefault="00FC3FCD" w:rsidP="003A5F79">
            <w:pPr>
              <w:jc w:val="right"/>
              <w:rPr>
                <w:rFonts w:cstheme="minorHAnsi"/>
              </w:rPr>
            </w:pPr>
            <w:r w:rsidRPr="00AE2D8D">
              <w:rPr>
                <w:rFonts w:cstheme="minorHAnsi"/>
                <w:bCs/>
                <w:w w:val="105"/>
              </w:rPr>
              <w:t>$’000</w:t>
            </w:r>
          </w:p>
        </w:tc>
        <w:tc>
          <w:tcPr>
            <w:tcW w:w="1134" w:type="dxa"/>
          </w:tcPr>
          <w:p w:rsidR="00FC3FCD" w:rsidRPr="00AE2D8D" w:rsidRDefault="00FC3FCD" w:rsidP="003A5F79">
            <w:pPr>
              <w:jc w:val="right"/>
              <w:rPr>
                <w:rFonts w:cstheme="minorHAnsi"/>
              </w:rPr>
            </w:pPr>
            <w:r w:rsidRPr="00AE2D8D">
              <w:rPr>
                <w:rFonts w:cstheme="minorHAnsi"/>
                <w:bCs/>
                <w:w w:val="105"/>
              </w:rPr>
              <w:t>$’000</w:t>
            </w:r>
          </w:p>
        </w:tc>
        <w:tc>
          <w:tcPr>
            <w:tcW w:w="1276" w:type="dxa"/>
          </w:tcPr>
          <w:p w:rsidR="00FC3FCD" w:rsidRPr="00AE2D8D" w:rsidRDefault="00FC3FCD" w:rsidP="003A5F79">
            <w:pPr>
              <w:pStyle w:val="NoSpacing"/>
              <w:jc w:val="right"/>
              <w:rPr>
                <w:rFonts w:cstheme="minorHAnsi"/>
                <w:bCs/>
                <w:w w:val="105"/>
              </w:rPr>
            </w:pPr>
            <w:r w:rsidRPr="00AE2D8D">
              <w:rPr>
                <w:rFonts w:cstheme="minorHAnsi"/>
                <w:bCs/>
                <w:w w:val="105"/>
              </w:rPr>
              <w:t>$’000</w:t>
            </w:r>
          </w:p>
        </w:tc>
      </w:tr>
    </w:tbl>
    <w:p w:rsidR="00FC3FCD" w:rsidRDefault="00FC3FCD" w:rsidP="00FC3FCD">
      <w:pPr>
        <w:pStyle w:val="NoSpacing"/>
      </w:pPr>
    </w:p>
    <w:tbl>
      <w:tblPr>
        <w:tblStyle w:val="TableGrid"/>
        <w:tblW w:w="0" w:type="auto"/>
        <w:tblLook w:val="04A0" w:firstRow="1" w:lastRow="0" w:firstColumn="1" w:lastColumn="0" w:noHBand="0" w:noVBand="1"/>
      </w:tblPr>
      <w:tblGrid>
        <w:gridCol w:w="8784"/>
        <w:gridCol w:w="1417"/>
        <w:gridCol w:w="1276"/>
        <w:gridCol w:w="1134"/>
        <w:gridCol w:w="1337"/>
      </w:tblGrid>
      <w:tr w:rsidR="00FC3FCD" w:rsidTr="00FC3FCD">
        <w:tc>
          <w:tcPr>
            <w:tcW w:w="8784" w:type="dxa"/>
          </w:tcPr>
          <w:p w:rsidR="00FC3FCD" w:rsidRDefault="00FC3FCD" w:rsidP="00FC3FCD">
            <w:pPr>
              <w:pStyle w:val="NoSpacing"/>
            </w:pPr>
            <w:r>
              <w:t>Student fees and charges</w:t>
            </w:r>
          </w:p>
        </w:tc>
        <w:tc>
          <w:tcPr>
            <w:tcW w:w="1417" w:type="dxa"/>
          </w:tcPr>
          <w:p w:rsidR="00FC3FCD" w:rsidRDefault="00FC3FCD" w:rsidP="00FC3FCD">
            <w:pPr>
              <w:pStyle w:val="NoSpacing"/>
              <w:jc w:val="right"/>
            </w:pPr>
            <w:r>
              <w:t>23,218</w:t>
            </w:r>
          </w:p>
        </w:tc>
        <w:tc>
          <w:tcPr>
            <w:tcW w:w="1276" w:type="dxa"/>
          </w:tcPr>
          <w:p w:rsidR="00FC3FCD" w:rsidRDefault="00FC3FCD" w:rsidP="00FC3FCD">
            <w:pPr>
              <w:pStyle w:val="NoSpacing"/>
              <w:jc w:val="right"/>
            </w:pPr>
            <w:r>
              <w:t>21,525</w:t>
            </w:r>
          </w:p>
        </w:tc>
        <w:tc>
          <w:tcPr>
            <w:tcW w:w="1134" w:type="dxa"/>
          </w:tcPr>
          <w:p w:rsidR="00FC3FCD" w:rsidRDefault="00FC3FCD" w:rsidP="00FC3FCD">
            <w:pPr>
              <w:pStyle w:val="NoSpacing"/>
              <w:jc w:val="right"/>
            </w:pPr>
            <w:r>
              <w:t>21,759</w:t>
            </w:r>
          </w:p>
        </w:tc>
        <w:tc>
          <w:tcPr>
            <w:tcW w:w="1337" w:type="dxa"/>
          </w:tcPr>
          <w:p w:rsidR="00FC3FCD" w:rsidRDefault="00FC3FCD" w:rsidP="00FC3FCD">
            <w:pPr>
              <w:pStyle w:val="NoSpacing"/>
              <w:jc w:val="right"/>
            </w:pPr>
            <w:r>
              <w:t>20,257</w:t>
            </w:r>
          </w:p>
        </w:tc>
      </w:tr>
      <w:tr w:rsidR="00FC3FCD" w:rsidTr="00FC3FCD">
        <w:tc>
          <w:tcPr>
            <w:tcW w:w="8784" w:type="dxa"/>
          </w:tcPr>
          <w:p w:rsidR="00FC3FCD" w:rsidRDefault="00FC3FCD" w:rsidP="00FC3FCD">
            <w:pPr>
              <w:pStyle w:val="NoSpacing"/>
            </w:pPr>
            <w:r>
              <w:t>Fee for service – government</w:t>
            </w:r>
          </w:p>
        </w:tc>
        <w:tc>
          <w:tcPr>
            <w:tcW w:w="1417" w:type="dxa"/>
          </w:tcPr>
          <w:p w:rsidR="00FC3FCD" w:rsidRDefault="00FC3FCD" w:rsidP="00FC3FCD">
            <w:pPr>
              <w:pStyle w:val="NoSpacing"/>
              <w:jc w:val="right"/>
            </w:pPr>
            <w:r>
              <w:t>11,271</w:t>
            </w:r>
          </w:p>
        </w:tc>
        <w:tc>
          <w:tcPr>
            <w:tcW w:w="1276" w:type="dxa"/>
          </w:tcPr>
          <w:p w:rsidR="00FC3FCD" w:rsidRDefault="00FC3FCD" w:rsidP="00FC3FCD">
            <w:pPr>
              <w:pStyle w:val="NoSpacing"/>
              <w:jc w:val="right"/>
            </w:pPr>
            <w:r>
              <w:t>10,810</w:t>
            </w:r>
          </w:p>
        </w:tc>
        <w:tc>
          <w:tcPr>
            <w:tcW w:w="1134" w:type="dxa"/>
          </w:tcPr>
          <w:p w:rsidR="00FC3FCD" w:rsidRDefault="00FC3FCD" w:rsidP="00FC3FCD">
            <w:pPr>
              <w:pStyle w:val="NoSpacing"/>
              <w:jc w:val="right"/>
            </w:pPr>
            <w:r>
              <w:t>11,271</w:t>
            </w:r>
          </w:p>
        </w:tc>
        <w:tc>
          <w:tcPr>
            <w:tcW w:w="1337" w:type="dxa"/>
          </w:tcPr>
          <w:p w:rsidR="00FC3FCD" w:rsidRDefault="00FC3FCD" w:rsidP="00FC3FCD">
            <w:pPr>
              <w:pStyle w:val="NoSpacing"/>
              <w:jc w:val="right"/>
            </w:pPr>
            <w:r>
              <w:t>10,810</w:t>
            </w:r>
          </w:p>
        </w:tc>
      </w:tr>
      <w:tr w:rsidR="00FC3FCD" w:rsidTr="00FC3FCD">
        <w:tc>
          <w:tcPr>
            <w:tcW w:w="8784" w:type="dxa"/>
          </w:tcPr>
          <w:p w:rsidR="00FC3FCD" w:rsidRDefault="00FC3FCD" w:rsidP="00FC3FCD">
            <w:pPr>
              <w:pStyle w:val="NoSpacing"/>
            </w:pPr>
            <w:r>
              <w:t>Fee for service – international operations – onshore</w:t>
            </w:r>
          </w:p>
        </w:tc>
        <w:tc>
          <w:tcPr>
            <w:tcW w:w="1417" w:type="dxa"/>
          </w:tcPr>
          <w:p w:rsidR="00FC3FCD" w:rsidRDefault="00FC3FCD" w:rsidP="00FC3FCD">
            <w:pPr>
              <w:pStyle w:val="NoSpacing"/>
              <w:jc w:val="right"/>
            </w:pPr>
            <w:r>
              <w:t>4,098</w:t>
            </w:r>
          </w:p>
        </w:tc>
        <w:tc>
          <w:tcPr>
            <w:tcW w:w="1276" w:type="dxa"/>
          </w:tcPr>
          <w:p w:rsidR="00FC3FCD" w:rsidRDefault="00FC3FCD" w:rsidP="00FC3FCD">
            <w:pPr>
              <w:pStyle w:val="NoSpacing"/>
              <w:jc w:val="right"/>
            </w:pPr>
            <w:r>
              <w:t>5,958</w:t>
            </w:r>
          </w:p>
        </w:tc>
        <w:tc>
          <w:tcPr>
            <w:tcW w:w="1134" w:type="dxa"/>
          </w:tcPr>
          <w:p w:rsidR="00FC3FCD" w:rsidRDefault="00FC3FCD" w:rsidP="00FC3FCD">
            <w:pPr>
              <w:pStyle w:val="NoSpacing"/>
              <w:jc w:val="right"/>
            </w:pPr>
            <w:r>
              <w:t>3,980</w:t>
            </w:r>
          </w:p>
        </w:tc>
        <w:tc>
          <w:tcPr>
            <w:tcW w:w="1337" w:type="dxa"/>
          </w:tcPr>
          <w:p w:rsidR="00FC3FCD" w:rsidRDefault="00FC3FCD" w:rsidP="00FC3FCD">
            <w:pPr>
              <w:pStyle w:val="NoSpacing"/>
              <w:jc w:val="right"/>
            </w:pPr>
            <w:r>
              <w:t>5,935</w:t>
            </w:r>
          </w:p>
        </w:tc>
      </w:tr>
      <w:tr w:rsidR="00FC3FCD" w:rsidTr="00FC3FCD">
        <w:tc>
          <w:tcPr>
            <w:tcW w:w="8784" w:type="dxa"/>
          </w:tcPr>
          <w:p w:rsidR="00FC3FCD" w:rsidRDefault="00FC3FCD" w:rsidP="00FC3FCD">
            <w:pPr>
              <w:pStyle w:val="NoSpacing"/>
            </w:pPr>
            <w:r>
              <w:t>Fee for service – international operations – offshore</w:t>
            </w:r>
          </w:p>
        </w:tc>
        <w:tc>
          <w:tcPr>
            <w:tcW w:w="1417" w:type="dxa"/>
          </w:tcPr>
          <w:p w:rsidR="00FC3FCD" w:rsidRDefault="00FC3FCD" w:rsidP="00FC3FCD">
            <w:pPr>
              <w:pStyle w:val="NoSpacing"/>
              <w:jc w:val="right"/>
            </w:pPr>
            <w:r>
              <w:t>6,606</w:t>
            </w:r>
          </w:p>
        </w:tc>
        <w:tc>
          <w:tcPr>
            <w:tcW w:w="1276" w:type="dxa"/>
          </w:tcPr>
          <w:p w:rsidR="00FC3FCD" w:rsidRDefault="00FC3FCD" w:rsidP="00FC3FCD">
            <w:pPr>
              <w:pStyle w:val="NoSpacing"/>
              <w:jc w:val="right"/>
            </w:pPr>
            <w:r>
              <w:t>5,192</w:t>
            </w:r>
          </w:p>
        </w:tc>
        <w:tc>
          <w:tcPr>
            <w:tcW w:w="1134" w:type="dxa"/>
          </w:tcPr>
          <w:p w:rsidR="00FC3FCD" w:rsidRDefault="00FC3FCD" w:rsidP="00FC3FCD">
            <w:pPr>
              <w:pStyle w:val="NoSpacing"/>
              <w:jc w:val="right"/>
            </w:pPr>
            <w:r>
              <w:t>6,606</w:t>
            </w:r>
          </w:p>
        </w:tc>
        <w:tc>
          <w:tcPr>
            <w:tcW w:w="1337" w:type="dxa"/>
          </w:tcPr>
          <w:p w:rsidR="00FC3FCD" w:rsidRDefault="00FC3FCD" w:rsidP="00FC3FCD">
            <w:pPr>
              <w:pStyle w:val="NoSpacing"/>
              <w:jc w:val="right"/>
            </w:pPr>
            <w:r>
              <w:t>5,192</w:t>
            </w:r>
          </w:p>
        </w:tc>
      </w:tr>
      <w:tr w:rsidR="00FC3FCD" w:rsidTr="00FC3FCD">
        <w:tc>
          <w:tcPr>
            <w:tcW w:w="8784" w:type="dxa"/>
          </w:tcPr>
          <w:p w:rsidR="00FC3FCD" w:rsidRDefault="00FC3FCD" w:rsidP="00FC3FCD">
            <w:pPr>
              <w:pStyle w:val="NoSpacing"/>
            </w:pPr>
            <w:r>
              <w:t xml:space="preserve">Fee for service – other </w:t>
            </w:r>
          </w:p>
        </w:tc>
        <w:tc>
          <w:tcPr>
            <w:tcW w:w="1417" w:type="dxa"/>
          </w:tcPr>
          <w:p w:rsidR="00FC3FCD" w:rsidRDefault="00FC3FCD" w:rsidP="00FC3FCD">
            <w:pPr>
              <w:pStyle w:val="NoSpacing"/>
              <w:jc w:val="right"/>
            </w:pPr>
            <w:r>
              <w:t>5,464</w:t>
            </w:r>
          </w:p>
        </w:tc>
        <w:tc>
          <w:tcPr>
            <w:tcW w:w="1276" w:type="dxa"/>
          </w:tcPr>
          <w:p w:rsidR="00FC3FCD" w:rsidRDefault="00FC3FCD" w:rsidP="00FC3FCD">
            <w:pPr>
              <w:pStyle w:val="NoSpacing"/>
              <w:jc w:val="right"/>
            </w:pPr>
            <w:r>
              <w:t>6,283</w:t>
            </w:r>
          </w:p>
        </w:tc>
        <w:tc>
          <w:tcPr>
            <w:tcW w:w="1134" w:type="dxa"/>
          </w:tcPr>
          <w:p w:rsidR="00FC3FCD" w:rsidRDefault="00FC3FCD" w:rsidP="00FC3FCD">
            <w:pPr>
              <w:pStyle w:val="NoSpacing"/>
              <w:jc w:val="right"/>
            </w:pPr>
            <w:r>
              <w:t>5,055</w:t>
            </w:r>
          </w:p>
        </w:tc>
        <w:tc>
          <w:tcPr>
            <w:tcW w:w="1337" w:type="dxa"/>
          </w:tcPr>
          <w:p w:rsidR="00FC3FCD" w:rsidRDefault="00FC3FCD" w:rsidP="00FC3FCD">
            <w:pPr>
              <w:pStyle w:val="NoSpacing"/>
              <w:jc w:val="right"/>
            </w:pPr>
            <w:r>
              <w:t>6,025</w:t>
            </w:r>
          </w:p>
        </w:tc>
      </w:tr>
      <w:tr w:rsidR="00FC3FCD" w:rsidTr="003A5F79">
        <w:tc>
          <w:tcPr>
            <w:tcW w:w="13948" w:type="dxa"/>
            <w:gridSpan w:val="5"/>
          </w:tcPr>
          <w:p w:rsidR="00FC3FCD" w:rsidRDefault="00FC3FCD" w:rsidP="00FC3FCD">
            <w:pPr>
              <w:pStyle w:val="NoSpacing"/>
            </w:pPr>
            <w:r>
              <w:t>Other non-course fees and charges</w:t>
            </w:r>
          </w:p>
        </w:tc>
      </w:tr>
      <w:tr w:rsidR="00FC3FCD" w:rsidTr="00FC3FCD">
        <w:tc>
          <w:tcPr>
            <w:tcW w:w="8784" w:type="dxa"/>
          </w:tcPr>
          <w:p w:rsidR="00FC3FCD" w:rsidRDefault="00FC3FCD" w:rsidP="00FC3FCD">
            <w:pPr>
              <w:pStyle w:val="NoSpacing"/>
            </w:pPr>
            <w:r>
              <w:t>Sale of goods</w:t>
            </w:r>
          </w:p>
        </w:tc>
        <w:tc>
          <w:tcPr>
            <w:tcW w:w="1417" w:type="dxa"/>
          </w:tcPr>
          <w:p w:rsidR="00FC3FCD" w:rsidRDefault="00FC3FCD" w:rsidP="00FC3FCD">
            <w:pPr>
              <w:pStyle w:val="NoSpacing"/>
              <w:jc w:val="right"/>
            </w:pPr>
            <w:r>
              <w:t>424</w:t>
            </w:r>
          </w:p>
        </w:tc>
        <w:tc>
          <w:tcPr>
            <w:tcW w:w="1276" w:type="dxa"/>
          </w:tcPr>
          <w:p w:rsidR="00FC3FCD" w:rsidRDefault="00FC3FCD" w:rsidP="00FC3FCD">
            <w:pPr>
              <w:pStyle w:val="NoSpacing"/>
              <w:jc w:val="right"/>
            </w:pPr>
            <w:r>
              <w:t>577</w:t>
            </w:r>
          </w:p>
        </w:tc>
        <w:tc>
          <w:tcPr>
            <w:tcW w:w="1134" w:type="dxa"/>
          </w:tcPr>
          <w:p w:rsidR="00FC3FCD" w:rsidRDefault="00FC3FCD" w:rsidP="00FC3FCD">
            <w:pPr>
              <w:pStyle w:val="NoSpacing"/>
              <w:jc w:val="right"/>
            </w:pPr>
            <w:r>
              <w:t>357</w:t>
            </w:r>
          </w:p>
        </w:tc>
        <w:tc>
          <w:tcPr>
            <w:tcW w:w="1337" w:type="dxa"/>
          </w:tcPr>
          <w:p w:rsidR="00FC3FCD" w:rsidRDefault="00FC3FCD" w:rsidP="00FC3FCD">
            <w:pPr>
              <w:pStyle w:val="NoSpacing"/>
              <w:jc w:val="right"/>
            </w:pPr>
            <w:r>
              <w:t>469</w:t>
            </w:r>
          </w:p>
        </w:tc>
      </w:tr>
      <w:tr w:rsidR="00FC3FCD" w:rsidTr="00FC3FCD">
        <w:tc>
          <w:tcPr>
            <w:tcW w:w="8784" w:type="dxa"/>
          </w:tcPr>
          <w:p w:rsidR="00FC3FCD" w:rsidRDefault="00FC3FCD" w:rsidP="00FC3FCD">
            <w:pPr>
              <w:pStyle w:val="NoSpacing"/>
            </w:pPr>
            <w:r>
              <w:t xml:space="preserve">Total income for sales of goods and services </w:t>
            </w:r>
          </w:p>
        </w:tc>
        <w:tc>
          <w:tcPr>
            <w:tcW w:w="1417" w:type="dxa"/>
          </w:tcPr>
          <w:p w:rsidR="00FC3FCD" w:rsidRDefault="00FC3FCD" w:rsidP="00FC3FCD">
            <w:pPr>
              <w:pStyle w:val="NoSpacing"/>
              <w:jc w:val="right"/>
            </w:pPr>
            <w:r>
              <w:t>51,081</w:t>
            </w:r>
          </w:p>
        </w:tc>
        <w:tc>
          <w:tcPr>
            <w:tcW w:w="1276" w:type="dxa"/>
          </w:tcPr>
          <w:p w:rsidR="00FC3FCD" w:rsidRDefault="00FC3FCD" w:rsidP="00FC3FCD">
            <w:pPr>
              <w:pStyle w:val="NoSpacing"/>
              <w:jc w:val="right"/>
            </w:pPr>
            <w:r>
              <w:t>50,345</w:t>
            </w:r>
          </w:p>
        </w:tc>
        <w:tc>
          <w:tcPr>
            <w:tcW w:w="1134" w:type="dxa"/>
          </w:tcPr>
          <w:p w:rsidR="00FC3FCD" w:rsidRDefault="00FC3FCD" w:rsidP="00FC3FCD">
            <w:pPr>
              <w:pStyle w:val="NoSpacing"/>
              <w:jc w:val="right"/>
            </w:pPr>
            <w:r>
              <w:t>49,028</w:t>
            </w:r>
          </w:p>
        </w:tc>
        <w:tc>
          <w:tcPr>
            <w:tcW w:w="1337" w:type="dxa"/>
          </w:tcPr>
          <w:p w:rsidR="00FC3FCD" w:rsidRDefault="00FC3FCD" w:rsidP="00FC3FCD">
            <w:pPr>
              <w:pStyle w:val="NoSpacing"/>
              <w:jc w:val="right"/>
            </w:pPr>
            <w:r>
              <w:t>48,688</w:t>
            </w:r>
          </w:p>
        </w:tc>
      </w:tr>
    </w:tbl>
    <w:p w:rsidR="00FC3FCD" w:rsidRDefault="00FC3FCD" w:rsidP="00FC3FCD">
      <w:pPr>
        <w:pStyle w:val="NoSpacing"/>
      </w:pPr>
    </w:p>
    <w:p w:rsidR="009363D1" w:rsidRDefault="009363D1" w:rsidP="00524DBE">
      <w:pPr>
        <w:pStyle w:val="NoSpacing"/>
      </w:pPr>
    </w:p>
    <w:p w:rsidR="009363D1" w:rsidRDefault="009363D1" w:rsidP="00524DBE">
      <w:pPr>
        <w:pStyle w:val="NoSpacing"/>
        <w:sectPr w:rsidR="009363D1" w:rsidSect="009363D1">
          <w:pgSz w:w="16838" w:h="11906" w:orient="landscape"/>
          <w:pgMar w:top="1440" w:right="1440" w:bottom="1440" w:left="1440" w:header="709" w:footer="709" w:gutter="0"/>
          <w:cols w:space="708"/>
          <w:docGrid w:linePitch="360"/>
        </w:sectPr>
      </w:pPr>
    </w:p>
    <w:p w:rsidR="00524DBE" w:rsidRPr="00524DBE" w:rsidRDefault="00524DBE" w:rsidP="00D36BB2">
      <w:pPr>
        <w:pStyle w:val="Heading4"/>
      </w:pPr>
      <w:r w:rsidRPr="00524DBE">
        <w:lastRenderedPageBreak/>
        <w:t>Student fees and charges</w:t>
      </w:r>
    </w:p>
    <w:p w:rsidR="005E5585" w:rsidRDefault="005E5585" w:rsidP="00524DBE">
      <w:pPr>
        <w:pStyle w:val="NoSpacing"/>
      </w:pPr>
    </w:p>
    <w:p w:rsidR="00524DBE" w:rsidRPr="00524DBE" w:rsidRDefault="00524DBE" w:rsidP="00524DBE">
      <w:pPr>
        <w:pStyle w:val="NoSpacing"/>
      </w:pPr>
      <w:r w:rsidRPr="00524DBE">
        <w:t>Student fees and charges revenue is recognised by reference to the percentage of education and training services provided. Where student fees and charges revenue has been clearly received in respect of courses or programs to be delivered in the following year, any non-refundable portion of the fees are treated as revenue in the year of receipt and the balance as revenue in advance.</w:t>
      </w:r>
    </w:p>
    <w:p w:rsidR="00524DBE" w:rsidRPr="00524DBE" w:rsidRDefault="00524DBE" w:rsidP="00524DBE">
      <w:pPr>
        <w:pStyle w:val="NoSpacing"/>
      </w:pPr>
    </w:p>
    <w:p w:rsidR="00524DBE" w:rsidRPr="00524DBE" w:rsidRDefault="00524DBE" w:rsidP="00D36BB2">
      <w:pPr>
        <w:pStyle w:val="Heading4"/>
      </w:pPr>
      <w:r w:rsidRPr="00524DBE">
        <w:t>Fee for service</w:t>
      </w:r>
    </w:p>
    <w:p w:rsidR="005E5585" w:rsidRDefault="005E5585" w:rsidP="00524DBE">
      <w:pPr>
        <w:pStyle w:val="NoSpacing"/>
      </w:pPr>
    </w:p>
    <w:p w:rsidR="00524DBE" w:rsidRPr="00524DBE" w:rsidRDefault="00524DBE" w:rsidP="00524DBE">
      <w:pPr>
        <w:pStyle w:val="NoSpacing"/>
      </w:pPr>
      <w:r w:rsidRPr="00524DBE">
        <w:t>Fee for service revenue is recognised by reference to the percentage completion of each contract, i.e. in the reporting period in which the services are rendered. Where fee for service revenue of a reciprocal nature has been clearly received in respect of programs or services to be delivered in the following year, such amounts are disclosed as revenue in advance.</w:t>
      </w:r>
    </w:p>
    <w:p w:rsidR="00524DBE" w:rsidRPr="00524DBE" w:rsidRDefault="00524DBE" w:rsidP="00524DBE">
      <w:pPr>
        <w:pStyle w:val="NoSpacing"/>
      </w:pPr>
    </w:p>
    <w:p w:rsidR="00524DBE" w:rsidRPr="00524DBE" w:rsidRDefault="00524DBE" w:rsidP="00D36BB2">
      <w:pPr>
        <w:pStyle w:val="Heading4"/>
      </w:pPr>
      <w:r w:rsidRPr="00524DBE">
        <w:t>Revenue from sale of goods</w:t>
      </w:r>
    </w:p>
    <w:p w:rsidR="005E5585" w:rsidRDefault="005E5585" w:rsidP="00524DBE">
      <w:pPr>
        <w:pStyle w:val="NoSpacing"/>
      </w:pPr>
    </w:p>
    <w:p w:rsidR="00524DBE" w:rsidRPr="00524DBE" w:rsidRDefault="00524DBE" w:rsidP="00524DBE">
      <w:pPr>
        <w:pStyle w:val="NoSpacing"/>
      </w:pPr>
      <w:r w:rsidRPr="00524DBE">
        <w:t>Revenue from sale of goods are recognised by Chisholm when:</w:t>
      </w:r>
    </w:p>
    <w:p w:rsidR="00524DBE" w:rsidRPr="00524DBE" w:rsidRDefault="00524DBE" w:rsidP="00524DBE">
      <w:pPr>
        <w:pStyle w:val="NoSpacing"/>
      </w:pPr>
      <w:r w:rsidRPr="00524DBE">
        <w:t xml:space="preserve">• </w:t>
      </w:r>
      <w:r w:rsidR="00F54F93" w:rsidRPr="00524DBE">
        <w:t>The</w:t>
      </w:r>
      <w:r w:rsidRPr="00524DBE">
        <w:t xml:space="preserve"> significant risks and rewards of ownership of the goods have been transferred to the buyer;</w:t>
      </w:r>
    </w:p>
    <w:p w:rsidR="00524DBE" w:rsidRPr="00524DBE" w:rsidRDefault="00524DBE" w:rsidP="00524DBE">
      <w:pPr>
        <w:pStyle w:val="NoSpacing"/>
      </w:pPr>
      <w:r w:rsidRPr="00524DBE">
        <w:t>• Chisholm retains neither continuing managerial involvement to the degree usually associated with ownership     nor effective control over the goods sold;</w:t>
      </w:r>
    </w:p>
    <w:p w:rsidR="00524DBE" w:rsidRPr="00524DBE" w:rsidRDefault="00524DBE" w:rsidP="00524DBE">
      <w:pPr>
        <w:pStyle w:val="NoSpacing"/>
      </w:pPr>
      <w:r w:rsidRPr="00524DBE">
        <w:t xml:space="preserve">• </w:t>
      </w:r>
      <w:r w:rsidR="00F54F93" w:rsidRPr="00524DBE">
        <w:t>The</w:t>
      </w:r>
      <w:r w:rsidRPr="00524DBE">
        <w:t xml:space="preserve"> amount of revenue can be reliably measured;</w:t>
      </w:r>
    </w:p>
    <w:p w:rsidR="00524DBE" w:rsidRPr="00524DBE" w:rsidRDefault="00524DBE" w:rsidP="00524DBE">
      <w:pPr>
        <w:pStyle w:val="NoSpacing"/>
      </w:pPr>
      <w:r w:rsidRPr="00524DBE">
        <w:t xml:space="preserve">• </w:t>
      </w:r>
      <w:r w:rsidR="00F54F93" w:rsidRPr="00524DBE">
        <w:t>It</w:t>
      </w:r>
      <w:r w:rsidRPr="00524DBE">
        <w:t xml:space="preserve"> is probable that the economic benefits associated with the transaction will flow to Chisholm; and</w:t>
      </w:r>
    </w:p>
    <w:p w:rsidR="00524DBE" w:rsidRPr="00524DBE" w:rsidRDefault="00524DBE" w:rsidP="00524DBE">
      <w:pPr>
        <w:pStyle w:val="NoSpacing"/>
      </w:pPr>
      <w:r w:rsidRPr="00524DBE">
        <w:t xml:space="preserve">• </w:t>
      </w:r>
      <w:r w:rsidR="00F54F93" w:rsidRPr="00524DBE">
        <w:t>The</w:t>
      </w:r>
      <w:r w:rsidRPr="00524DBE">
        <w:t xml:space="preserve"> costs incurred or to be incurred in respect of the transaction can be measured reliably.</w:t>
      </w:r>
    </w:p>
    <w:p w:rsidR="00524DBE" w:rsidRDefault="00524DBE" w:rsidP="00524DBE">
      <w:pPr>
        <w:pStyle w:val="NoSpacing"/>
        <w:rPr>
          <w:b/>
        </w:rPr>
      </w:pPr>
    </w:p>
    <w:p w:rsidR="00524DBE" w:rsidRDefault="00524DBE" w:rsidP="00524DBE">
      <w:pPr>
        <w:pStyle w:val="NoSpacing"/>
      </w:pPr>
      <w:r>
        <w:t>&lt;pp</w:t>
      </w:r>
      <w:r w:rsidRPr="001021C5">
        <w:t>&gt;</w:t>
      </w:r>
      <w:r w:rsidR="007829BB">
        <w:t>49</w:t>
      </w:r>
    </w:p>
    <w:p w:rsidR="00524DBE" w:rsidRDefault="00524DBE" w:rsidP="00524DBE">
      <w:pPr>
        <w:pStyle w:val="NoSpacing"/>
      </w:pPr>
    </w:p>
    <w:p w:rsidR="007A705A" w:rsidRDefault="007A705A" w:rsidP="00524DBE">
      <w:pPr>
        <w:pStyle w:val="NoSpacing"/>
        <w:sectPr w:rsidR="007A705A">
          <w:pgSz w:w="11906" w:h="16838"/>
          <w:pgMar w:top="1440" w:right="1440" w:bottom="1440" w:left="1440" w:header="708" w:footer="708" w:gutter="0"/>
          <w:cols w:space="708"/>
          <w:docGrid w:linePitch="360"/>
        </w:sectPr>
      </w:pPr>
    </w:p>
    <w:p w:rsidR="00524DBE" w:rsidRDefault="00524DBE" w:rsidP="00D36BB2">
      <w:pPr>
        <w:pStyle w:val="Heading3"/>
      </w:pPr>
      <w:r>
        <w:lastRenderedPageBreak/>
        <w:t xml:space="preserve">2. </w:t>
      </w:r>
      <w:r w:rsidRPr="00524DBE">
        <w:t>How we earned our funds (continued)</w:t>
      </w:r>
    </w:p>
    <w:p w:rsidR="00524DBE" w:rsidRDefault="00524DBE" w:rsidP="00524DBE">
      <w:pPr>
        <w:pStyle w:val="NoSpacing"/>
        <w:rPr>
          <w:caps/>
        </w:rPr>
      </w:pPr>
    </w:p>
    <w:p w:rsidR="00524DBE" w:rsidRDefault="00524DBE" w:rsidP="00D36BB2">
      <w:pPr>
        <w:pStyle w:val="Heading4"/>
      </w:pPr>
      <w:r>
        <w:rPr>
          <w:caps/>
        </w:rPr>
        <w:t xml:space="preserve">2.3 </w:t>
      </w:r>
      <w:r w:rsidRPr="007A705A">
        <w:t>Other income</w:t>
      </w: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7A705A" w:rsidRPr="00AE2D8D" w:rsidTr="003A5F79">
        <w:tc>
          <w:tcPr>
            <w:tcW w:w="2693" w:type="dxa"/>
            <w:gridSpan w:val="2"/>
          </w:tcPr>
          <w:p w:rsidR="007A705A" w:rsidRPr="00AE2D8D" w:rsidRDefault="007A705A" w:rsidP="003A5F79">
            <w:pPr>
              <w:pStyle w:val="NoSpacing"/>
              <w:jc w:val="center"/>
              <w:rPr>
                <w:rFonts w:cstheme="minorHAnsi"/>
                <w:bCs/>
                <w:w w:val="105"/>
              </w:rPr>
            </w:pPr>
            <w:r w:rsidRPr="00AE2D8D">
              <w:rPr>
                <w:rFonts w:cstheme="minorHAnsi"/>
                <w:bCs/>
                <w:w w:val="105"/>
              </w:rPr>
              <w:t>Consolidated</w:t>
            </w:r>
          </w:p>
        </w:tc>
        <w:tc>
          <w:tcPr>
            <w:tcW w:w="2410" w:type="dxa"/>
            <w:gridSpan w:val="2"/>
          </w:tcPr>
          <w:p w:rsidR="007A705A" w:rsidRPr="00AE2D8D" w:rsidRDefault="007A705A" w:rsidP="003A5F79">
            <w:pPr>
              <w:pStyle w:val="NoSpacing"/>
              <w:jc w:val="center"/>
              <w:rPr>
                <w:rFonts w:cstheme="minorHAnsi"/>
                <w:bCs/>
                <w:w w:val="105"/>
              </w:rPr>
            </w:pPr>
            <w:r w:rsidRPr="00AE2D8D">
              <w:rPr>
                <w:rFonts w:cstheme="minorHAnsi"/>
                <w:bCs/>
                <w:w w:val="105"/>
              </w:rPr>
              <w:t>Chisholm</w:t>
            </w:r>
          </w:p>
        </w:tc>
      </w:tr>
      <w:tr w:rsidR="007A705A" w:rsidRPr="00AE2D8D" w:rsidTr="003A5F79">
        <w:tc>
          <w:tcPr>
            <w:tcW w:w="1417" w:type="dxa"/>
          </w:tcPr>
          <w:p w:rsidR="007A705A" w:rsidRPr="00AE2D8D" w:rsidRDefault="007A705A" w:rsidP="003A5F79">
            <w:pPr>
              <w:pStyle w:val="NoSpacing"/>
              <w:jc w:val="right"/>
              <w:rPr>
                <w:rFonts w:cstheme="minorHAnsi"/>
                <w:bCs/>
                <w:w w:val="105"/>
              </w:rPr>
            </w:pPr>
            <w:r w:rsidRPr="00AE2D8D">
              <w:rPr>
                <w:rFonts w:cstheme="minorHAnsi"/>
                <w:bCs/>
                <w:w w:val="105"/>
              </w:rPr>
              <w:t>2017</w:t>
            </w:r>
          </w:p>
        </w:tc>
        <w:tc>
          <w:tcPr>
            <w:tcW w:w="1276" w:type="dxa"/>
          </w:tcPr>
          <w:p w:rsidR="007A705A" w:rsidRPr="00AE2D8D" w:rsidRDefault="007A705A" w:rsidP="003A5F79">
            <w:pPr>
              <w:pStyle w:val="NoSpacing"/>
              <w:jc w:val="right"/>
              <w:rPr>
                <w:rFonts w:cstheme="minorHAnsi"/>
                <w:bCs/>
                <w:w w:val="105"/>
              </w:rPr>
            </w:pPr>
            <w:r w:rsidRPr="00AE2D8D">
              <w:rPr>
                <w:rFonts w:cstheme="minorHAnsi"/>
                <w:bCs/>
                <w:w w:val="105"/>
              </w:rPr>
              <w:t>2016</w:t>
            </w:r>
          </w:p>
        </w:tc>
        <w:tc>
          <w:tcPr>
            <w:tcW w:w="1134" w:type="dxa"/>
          </w:tcPr>
          <w:p w:rsidR="007A705A" w:rsidRPr="00AE2D8D" w:rsidRDefault="007A705A" w:rsidP="003A5F79">
            <w:pPr>
              <w:pStyle w:val="NoSpacing"/>
              <w:jc w:val="right"/>
              <w:rPr>
                <w:rFonts w:cstheme="minorHAnsi"/>
                <w:bCs/>
                <w:w w:val="105"/>
              </w:rPr>
            </w:pPr>
            <w:r w:rsidRPr="00AE2D8D">
              <w:rPr>
                <w:rFonts w:cstheme="minorHAnsi"/>
                <w:bCs/>
                <w:w w:val="105"/>
              </w:rPr>
              <w:t>2017</w:t>
            </w:r>
          </w:p>
        </w:tc>
        <w:tc>
          <w:tcPr>
            <w:tcW w:w="1276" w:type="dxa"/>
          </w:tcPr>
          <w:p w:rsidR="007A705A" w:rsidRPr="00AE2D8D" w:rsidRDefault="007A705A" w:rsidP="003A5F79">
            <w:pPr>
              <w:pStyle w:val="NoSpacing"/>
              <w:jc w:val="right"/>
              <w:rPr>
                <w:rFonts w:cstheme="minorHAnsi"/>
                <w:bCs/>
                <w:w w:val="105"/>
              </w:rPr>
            </w:pPr>
            <w:r w:rsidRPr="00AE2D8D">
              <w:rPr>
                <w:rFonts w:cstheme="minorHAnsi"/>
                <w:bCs/>
                <w:w w:val="105"/>
              </w:rPr>
              <w:t>2016</w:t>
            </w:r>
          </w:p>
        </w:tc>
      </w:tr>
      <w:tr w:rsidR="007A705A" w:rsidRPr="00AE2D8D" w:rsidTr="003A5F79">
        <w:tc>
          <w:tcPr>
            <w:tcW w:w="1417" w:type="dxa"/>
          </w:tcPr>
          <w:p w:rsidR="007A705A" w:rsidRPr="00AE2D8D" w:rsidRDefault="007A705A" w:rsidP="003A5F79">
            <w:pPr>
              <w:jc w:val="right"/>
              <w:rPr>
                <w:rFonts w:cstheme="minorHAnsi"/>
              </w:rPr>
            </w:pPr>
            <w:r w:rsidRPr="00AE2D8D">
              <w:rPr>
                <w:rFonts w:cstheme="minorHAnsi"/>
                <w:bCs/>
                <w:w w:val="105"/>
              </w:rPr>
              <w:t>$’000</w:t>
            </w:r>
          </w:p>
        </w:tc>
        <w:tc>
          <w:tcPr>
            <w:tcW w:w="1276" w:type="dxa"/>
          </w:tcPr>
          <w:p w:rsidR="007A705A" w:rsidRPr="00AE2D8D" w:rsidRDefault="007A705A" w:rsidP="003A5F79">
            <w:pPr>
              <w:jc w:val="right"/>
              <w:rPr>
                <w:rFonts w:cstheme="minorHAnsi"/>
              </w:rPr>
            </w:pPr>
            <w:r w:rsidRPr="00AE2D8D">
              <w:rPr>
                <w:rFonts w:cstheme="minorHAnsi"/>
                <w:bCs/>
                <w:w w:val="105"/>
              </w:rPr>
              <w:t>$’000</w:t>
            </w:r>
          </w:p>
        </w:tc>
        <w:tc>
          <w:tcPr>
            <w:tcW w:w="1134" w:type="dxa"/>
          </w:tcPr>
          <w:p w:rsidR="007A705A" w:rsidRPr="00AE2D8D" w:rsidRDefault="007A705A" w:rsidP="003A5F79">
            <w:pPr>
              <w:jc w:val="right"/>
              <w:rPr>
                <w:rFonts w:cstheme="minorHAnsi"/>
              </w:rPr>
            </w:pPr>
            <w:r w:rsidRPr="00AE2D8D">
              <w:rPr>
                <w:rFonts w:cstheme="minorHAnsi"/>
                <w:bCs/>
                <w:w w:val="105"/>
              </w:rPr>
              <w:t>$’000</w:t>
            </w:r>
          </w:p>
        </w:tc>
        <w:tc>
          <w:tcPr>
            <w:tcW w:w="1276" w:type="dxa"/>
          </w:tcPr>
          <w:p w:rsidR="007A705A" w:rsidRPr="00AE2D8D" w:rsidRDefault="007A705A" w:rsidP="003A5F79">
            <w:pPr>
              <w:pStyle w:val="NoSpacing"/>
              <w:jc w:val="right"/>
              <w:rPr>
                <w:rFonts w:cstheme="minorHAnsi"/>
                <w:bCs/>
                <w:w w:val="105"/>
              </w:rPr>
            </w:pPr>
            <w:r w:rsidRPr="00AE2D8D">
              <w:rPr>
                <w:rFonts w:cstheme="minorHAnsi"/>
                <w:bCs/>
                <w:w w:val="105"/>
              </w:rPr>
              <w:t>$’000</w:t>
            </w:r>
          </w:p>
        </w:tc>
      </w:tr>
    </w:tbl>
    <w:p w:rsidR="00524DBE" w:rsidRDefault="00524DBE" w:rsidP="00524DBE">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134"/>
        <w:gridCol w:w="1337"/>
      </w:tblGrid>
      <w:tr w:rsidR="007A705A" w:rsidTr="003A5F79">
        <w:tc>
          <w:tcPr>
            <w:tcW w:w="8784" w:type="dxa"/>
          </w:tcPr>
          <w:p w:rsidR="007A705A" w:rsidRDefault="007A705A" w:rsidP="003A5F79">
            <w:pPr>
              <w:pStyle w:val="NoSpacing"/>
            </w:pPr>
            <w:r>
              <w:t>Assets received in consideration</w:t>
            </w:r>
          </w:p>
        </w:tc>
        <w:tc>
          <w:tcPr>
            <w:tcW w:w="1417" w:type="dxa"/>
          </w:tcPr>
          <w:p w:rsidR="007A705A" w:rsidRDefault="007A705A" w:rsidP="003A5F79">
            <w:pPr>
              <w:pStyle w:val="NoSpacing"/>
              <w:jc w:val="right"/>
            </w:pPr>
            <w:r>
              <w:t>-</w:t>
            </w:r>
          </w:p>
        </w:tc>
        <w:tc>
          <w:tcPr>
            <w:tcW w:w="1276" w:type="dxa"/>
          </w:tcPr>
          <w:p w:rsidR="007A705A" w:rsidRDefault="007A705A" w:rsidP="003A5F79">
            <w:pPr>
              <w:pStyle w:val="NoSpacing"/>
              <w:jc w:val="right"/>
            </w:pPr>
            <w:r>
              <w:t>-</w:t>
            </w:r>
          </w:p>
        </w:tc>
        <w:tc>
          <w:tcPr>
            <w:tcW w:w="1134" w:type="dxa"/>
          </w:tcPr>
          <w:p w:rsidR="007A705A" w:rsidRDefault="007A705A" w:rsidP="003A5F79">
            <w:pPr>
              <w:pStyle w:val="NoSpacing"/>
              <w:jc w:val="right"/>
            </w:pPr>
            <w:r>
              <w:t>1,449</w:t>
            </w:r>
          </w:p>
        </w:tc>
        <w:tc>
          <w:tcPr>
            <w:tcW w:w="1337" w:type="dxa"/>
          </w:tcPr>
          <w:p w:rsidR="007A705A" w:rsidRDefault="007A705A" w:rsidP="003A5F79">
            <w:pPr>
              <w:pStyle w:val="NoSpacing"/>
              <w:jc w:val="right"/>
            </w:pPr>
            <w:r>
              <w:t>-</w:t>
            </w:r>
          </w:p>
        </w:tc>
      </w:tr>
      <w:tr w:rsidR="007A705A" w:rsidTr="003A5F79">
        <w:tc>
          <w:tcPr>
            <w:tcW w:w="8784" w:type="dxa"/>
          </w:tcPr>
          <w:p w:rsidR="007A705A" w:rsidRDefault="007A705A" w:rsidP="003A5F79">
            <w:pPr>
              <w:pStyle w:val="NoSpacing"/>
            </w:pPr>
            <w:r>
              <w:t>Donations bequests and contributions</w:t>
            </w:r>
          </w:p>
        </w:tc>
        <w:tc>
          <w:tcPr>
            <w:tcW w:w="1417" w:type="dxa"/>
          </w:tcPr>
          <w:p w:rsidR="007A705A" w:rsidRDefault="007A705A" w:rsidP="003A5F79">
            <w:pPr>
              <w:pStyle w:val="NoSpacing"/>
              <w:jc w:val="right"/>
            </w:pPr>
            <w:r>
              <w:t>47</w:t>
            </w:r>
          </w:p>
        </w:tc>
        <w:tc>
          <w:tcPr>
            <w:tcW w:w="1276" w:type="dxa"/>
          </w:tcPr>
          <w:p w:rsidR="007A705A" w:rsidRDefault="007A705A" w:rsidP="003A5F79">
            <w:pPr>
              <w:pStyle w:val="NoSpacing"/>
              <w:jc w:val="right"/>
            </w:pPr>
            <w:r>
              <w:t>42</w:t>
            </w:r>
          </w:p>
        </w:tc>
        <w:tc>
          <w:tcPr>
            <w:tcW w:w="1134" w:type="dxa"/>
          </w:tcPr>
          <w:p w:rsidR="007A705A" w:rsidRDefault="007A705A" w:rsidP="003A5F79">
            <w:pPr>
              <w:pStyle w:val="NoSpacing"/>
              <w:jc w:val="right"/>
            </w:pPr>
            <w:r>
              <w:t>-</w:t>
            </w:r>
          </w:p>
        </w:tc>
        <w:tc>
          <w:tcPr>
            <w:tcW w:w="1337" w:type="dxa"/>
          </w:tcPr>
          <w:p w:rsidR="007A705A" w:rsidRDefault="007A705A" w:rsidP="003A5F79">
            <w:pPr>
              <w:pStyle w:val="NoSpacing"/>
              <w:jc w:val="right"/>
            </w:pPr>
            <w:r>
              <w:t>14</w:t>
            </w:r>
          </w:p>
        </w:tc>
      </w:tr>
      <w:tr w:rsidR="007A705A" w:rsidTr="003A5F79">
        <w:tc>
          <w:tcPr>
            <w:tcW w:w="8784" w:type="dxa"/>
          </w:tcPr>
          <w:p w:rsidR="007A705A" w:rsidRDefault="007A705A" w:rsidP="003A5F79">
            <w:pPr>
              <w:pStyle w:val="NoSpacing"/>
            </w:pPr>
            <w:r>
              <w:t>Overhead recovery</w:t>
            </w:r>
          </w:p>
        </w:tc>
        <w:tc>
          <w:tcPr>
            <w:tcW w:w="1417" w:type="dxa"/>
          </w:tcPr>
          <w:p w:rsidR="007A705A" w:rsidRDefault="007A705A" w:rsidP="003A5F79">
            <w:pPr>
              <w:pStyle w:val="NoSpacing"/>
              <w:jc w:val="right"/>
            </w:pPr>
            <w:r>
              <w:t>-</w:t>
            </w:r>
          </w:p>
        </w:tc>
        <w:tc>
          <w:tcPr>
            <w:tcW w:w="1276" w:type="dxa"/>
          </w:tcPr>
          <w:p w:rsidR="007A705A" w:rsidRDefault="007A705A" w:rsidP="003A5F79">
            <w:pPr>
              <w:pStyle w:val="NoSpacing"/>
              <w:jc w:val="right"/>
            </w:pPr>
            <w:r>
              <w:t>-</w:t>
            </w:r>
          </w:p>
        </w:tc>
        <w:tc>
          <w:tcPr>
            <w:tcW w:w="1134" w:type="dxa"/>
          </w:tcPr>
          <w:p w:rsidR="007A705A" w:rsidRDefault="007A705A" w:rsidP="003A5F79">
            <w:pPr>
              <w:pStyle w:val="NoSpacing"/>
              <w:jc w:val="right"/>
            </w:pPr>
            <w:r>
              <w:t>1,076</w:t>
            </w:r>
          </w:p>
        </w:tc>
        <w:tc>
          <w:tcPr>
            <w:tcW w:w="1337" w:type="dxa"/>
          </w:tcPr>
          <w:p w:rsidR="007A705A" w:rsidRDefault="007A705A" w:rsidP="003A5F79">
            <w:pPr>
              <w:pStyle w:val="NoSpacing"/>
              <w:jc w:val="right"/>
            </w:pPr>
            <w:r>
              <w:t>-</w:t>
            </w:r>
          </w:p>
        </w:tc>
      </w:tr>
      <w:tr w:rsidR="007A705A" w:rsidTr="003A5F79">
        <w:tc>
          <w:tcPr>
            <w:tcW w:w="8784" w:type="dxa"/>
          </w:tcPr>
          <w:p w:rsidR="007A705A" w:rsidRDefault="007A705A" w:rsidP="003A5F79">
            <w:pPr>
              <w:pStyle w:val="NoSpacing"/>
            </w:pPr>
            <w:r>
              <w:t>Rental income</w:t>
            </w:r>
          </w:p>
        </w:tc>
        <w:tc>
          <w:tcPr>
            <w:tcW w:w="1417" w:type="dxa"/>
          </w:tcPr>
          <w:p w:rsidR="007A705A" w:rsidRDefault="007A705A" w:rsidP="003A5F79">
            <w:pPr>
              <w:pStyle w:val="NoSpacing"/>
              <w:jc w:val="right"/>
            </w:pPr>
            <w:r>
              <w:t>344</w:t>
            </w:r>
          </w:p>
        </w:tc>
        <w:tc>
          <w:tcPr>
            <w:tcW w:w="1276" w:type="dxa"/>
          </w:tcPr>
          <w:p w:rsidR="007A705A" w:rsidRDefault="007A705A" w:rsidP="003A5F79">
            <w:pPr>
              <w:pStyle w:val="NoSpacing"/>
              <w:jc w:val="right"/>
            </w:pPr>
            <w:r>
              <w:t>413</w:t>
            </w:r>
          </w:p>
        </w:tc>
        <w:tc>
          <w:tcPr>
            <w:tcW w:w="1134" w:type="dxa"/>
          </w:tcPr>
          <w:p w:rsidR="007A705A" w:rsidRDefault="007A705A" w:rsidP="003A5F79">
            <w:pPr>
              <w:pStyle w:val="NoSpacing"/>
              <w:jc w:val="right"/>
            </w:pPr>
            <w:r>
              <w:t>344</w:t>
            </w:r>
          </w:p>
        </w:tc>
        <w:tc>
          <w:tcPr>
            <w:tcW w:w="1337" w:type="dxa"/>
          </w:tcPr>
          <w:p w:rsidR="007A705A" w:rsidRDefault="007A705A" w:rsidP="003A5F79">
            <w:pPr>
              <w:pStyle w:val="NoSpacing"/>
              <w:jc w:val="right"/>
            </w:pPr>
            <w:r>
              <w:t>374</w:t>
            </w:r>
          </w:p>
        </w:tc>
      </w:tr>
      <w:tr w:rsidR="007A705A" w:rsidTr="003A5F79">
        <w:tc>
          <w:tcPr>
            <w:tcW w:w="8784" w:type="dxa"/>
          </w:tcPr>
          <w:p w:rsidR="007A705A" w:rsidRDefault="007A705A" w:rsidP="003A5F79">
            <w:pPr>
              <w:pStyle w:val="NoSpacing"/>
            </w:pPr>
            <w:r>
              <w:t>Revenue recovery</w:t>
            </w:r>
          </w:p>
        </w:tc>
        <w:tc>
          <w:tcPr>
            <w:tcW w:w="1417" w:type="dxa"/>
          </w:tcPr>
          <w:p w:rsidR="007A705A" w:rsidRDefault="007A705A" w:rsidP="003A5F79">
            <w:pPr>
              <w:pStyle w:val="NoSpacing"/>
              <w:jc w:val="right"/>
            </w:pPr>
            <w:r>
              <w:t>-</w:t>
            </w:r>
          </w:p>
        </w:tc>
        <w:tc>
          <w:tcPr>
            <w:tcW w:w="1276" w:type="dxa"/>
          </w:tcPr>
          <w:p w:rsidR="007A705A" w:rsidRDefault="007A705A" w:rsidP="003A5F79">
            <w:pPr>
              <w:pStyle w:val="NoSpacing"/>
              <w:jc w:val="right"/>
            </w:pPr>
            <w:r>
              <w:t>-</w:t>
            </w:r>
          </w:p>
        </w:tc>
        <w:tc>
          <w:tcPr>
            <w:tcW w:w="1134" w:type="dxa"/>
          </w:tcPr>
          <w:p w:rsidR="007A705A" w:rsidRDefault="007A705A" w:rsidP="003A5F79">
            <w:pPr>
              <w:pStyle w:val="NoSpacing"/>
              <w:jc w:val="right"/>
            </w:pPr>
            <w:r>
              <w:t>1,107</w:t>
            </w:r>
          </w:p>
        </w:tc>
        <w:tc>
          <w:tcPr>
            <w:tcW w:w="1337" w:type="dxa"/>
          </w:tcPr>
          <w:p w:rsidR="007A705A" w:rsidRDefault="007A705A" w:rsidP="003A5F79">
            <w:pPr>
              <w:pStyle w:val="NoSpacing"/>
              <w:jc w:val="right"/>
            </w:pPr>
            <w:r>
              <w:t>287</w:t>
            </w:r>
          </w:p>
        </w:tc>
      </w:tr>
      <w:tr w:rsidR="007A705A" w:rsidTr="003A5F79">
        <w:tc>
          <w:tcPr>
            <w:tcW w:w="8784" w:type="dxa"/>
          </w:tcPr>
          <w:p w:rsidR="007A705A" w:rsidRDefault="007A705A" w:rsidP="003A5F79">
            <w:pPr>
              <w:pStyle w:val="NoSpacing"/>
            </w:pPr>
            <w:r>
              <w:t>Scholarships</w:t>
            </w:r>
          </w:p>
        </w:tc>
        <w:tc>
          <w:tcPr>
            <w:tcW w:w="1417" w:type="dxa"/>
          </w:tcPr>
          <w:p w:rsidR="007A705A" w:rsidRDefault="007A705A" w:rsidP="003A5F79">
            <w:pPr>
              <w:pStyle w:val="NoSpacing"/>
              <w:jc w:val="right"/>
            </w:pPr>
            <w:r>
              <w:t>361</w:t>
            </w:r>
          </w:p>
        </w:tc>
        <w:tc>
          <w:tcPr>
            <w:tcW w:w="1276" w:type="dxa"/>
          </w:tcPr>
          <w:p w:rsidR="007A705A" w:rsidRDefault="007A705A" w:rsidP="003A5F79">
            <w:pPr>
              <w:pStyle w:val="NoSpacing"/>
              <w:jc w:val="right"/>
            </w:pPr>
            <w:r>
              <w:t>346</w:t>
            </w:r>
          </w:p>
        </w:tc>
        <w:tc>
          <w:tcPr>
            <w:tcW w:w="1134" w:type="dxa"/>
          </w:tcPr>
          <w:p w:rsidR="007A705A" w:rsidRDefault="007A705A" w:rsidP="003A5F79">
            <w:pPr>
              <w:pStyle w:val="NoSpacing"/>
              <w:jc w:val="right"/>
            </w:pPr>
            <w:r>
              <w:t>896</w:t>
            </w:r>
          </w:p>
        </w:tc>
        <w:tc>
          <w:tcPr>
            <w:tcW w:w="1337" w:type="dxa"/>
          </w:tcPr>
          <w:p w:rsidR="007A705A" w:rsidRDefault="007A705A" w:rsidP="003A5F79">
            <w:pPr>
              <w:pStyle w:val="NoSpacing"/>
              <w:jc w:val="right"/>
            </w:pPr>
            <w:r>
              <w:t>935</w:t>
            </w:r>
          </w:p>
        </w:tc>
      </w:tr>
      <w:tr w:rsidR="007A705A" w:rsidTr="003A5F79">
        <w:tc>
          <w:tcPr>
            <w:tcW w:w="8784" w:type="dxa"/>
          </w:tcPr>
          <w:p w:rsidR="007A705A" w:rsidRDefault="007A705A" w:rsidP="003A5F79">
            <w:pPr>
              <w:pStyle w:val="NoSpacing"/>
            </w:pPr>
            <w:r>
              <w:t xml:space="preserve">Other </w:t>
            </w:r>
          </w:p>
        </w:tc>
        <w:tc>
          <w:tcPr>
            <w:tcW w:w="1417" w:type="dxa"/>
          </w:tcPr>
          <w:p w:rsidR="007A705A" w:rsidRDefault="007A705A" w:rsidP="003A5F79">
            <w:pPr>
              <w:pStyle w:val="NoSpacing"/>
              <w:jc w:val="right"/>
            </w:pPr>
            <w:r>
              <w:t>896</w:t>
            </w:r>
          </w:p>
        </w:tc>
        <w:tc>
          <w:tcPr>
            <w:tcW w:w="1276" w:type="dxa"/>
          </w:tcPr>
          <w:p w:rsidR="007A705A" w:rsidRDefault="007A705A" w:rsidP="003A5F79">
            <w:pPr>
              <w:pStyle w:val="NoSpacing"/>
              <w:jc w:val="right"/>
            </w:pPr>
            <w:r>
              <w:t>936</w:t>
            </w:r>
          </w:p>
        </w:tc>
        <w:tc>
          <w:tcPr>
            <w:tcW w:w="1134" w:type="dxa"/>
          </w:tcPr>
          <w:p w:rsidR="007A705A" w:rsidRDefault="007A705A" w:rsidP="003A5F79">
            <w:pPr>
              <w:pStyle w:val="NoSpacing"/>
              <w:jc w:val="right"/>
            </w:pPr>
            <w:r>
              <w:t>896</w:t>
            </w:r>
          </w:p>
        </w:tc>
        <w:tc>
          <w:tcPr>
            <w:tcW w:w="1337" w:type="dxa"/>
          </w:tcPr>
          <w:p w:rsidR="007A705A" w:rsidRDefault="007A705A" w:rsidP="003A5F79">
            <w:pPr>
              <w:pStyle w:val="NoSpacing"/>
              <w:jc w:val="right"/>
            </w:pPr>
            <w:r>
              <w:t>935</w:t>
            </w:r>
          </w:p>
        </w:tc>
      </w:tr>
      <w:tr w:rsidR="007A705A" w:rsidTr="003A5F79">
        <w:tc>
          <w:tcPr>
            <w:tcW w:w="8784" w:type="dxa"/>
          </w:tcPr>
          <w:p w:rsidR="007A705A" w:rsidRDefault="007A705A" w:rsidP="003A5F79">
            <w:pPr>
              <w:pStyle w:val="NoSpacing"/>
            </w:pPr>
            <w:r>
              <w:t>Total other income</w:t>
            </w:r>
          </w:p>
        </w:tc>
        <w:tc>
          <w:tcPr>
            <w:tcW w:w="1417" w:type="dxa"/>
          </w:tcPr>
          <w:p w:rsidR="007A705A" w:rsidRDefault="007A705A" w:rsidP="003A5F79">
            <w:pPr>
              <w:pStyle w:val="NoSpacing"/>
              <w:jc w:val="right"/>
            </w:pPr>
            <w:r>
              <w:t>1,648</w:t>
            </w:r>
          </w:p>
        </w:tc>
        <w:tc>
          <w:tcPr>
            <w:tcW w:w="1276" w:type="dxa"/>
          </w:tcPr>
          <w:p w:rsidR="007A705A" w:rsidRDefault="007A705A" w:rsidP="003A5F79">
            <w:pPr>
              <w:pStyle w:val="NoSpacing"/>
              <w:jc w:val="right"/>
            </w:pPr>
            <w:r>
              <w:t>1,737</w:t>
            </w:r>
          </w:p>
        </w:tc>
        <w:tc>
          <w:tcPr>
            <w:tcW w:w="1134" w:type="dxa"/>
          </w:tcPr>
          <w:p w:rsidR="007A705A" w:rsidRDefault="007A705A" w:rsidP="003A5F79">
            <w:pPr>
              <w:pStyle w:val="NoSpacing"/>
              <w:jc w:val="right"/>
            </w:pPr>
            <w:r>
              <w:t>4,998</w:t>
            </w:r>
          </w:p>
        </w:tc>
        <w:tc>
          <w:tcPr>
            <w:tcW w:w="1337" w:type="dxa"/>
          </w:tcPr>
          <w:p w:rsidR="007A705A" w:rsidRDefault="007A705A" w:rsidP="003A5F79">
            <w:pPr>
              <w:pStyle w:val="NoSpacing"/>
              <w:jc w:val="right"/>
            </w:pPr>
            <w:r>
              <w:t>1,651</w:t>
            </w:r>
          </w:p>
        </w:tc>
      </w:tr>
    </w:tbl>
    <w:p w:rsidR="007A705A" w:rsidRDefault="007A705A" w:rsidP="00524DBE">
      <w:pPr>
        <w:pStyle w:val="NoSpacing"/>
        <w:rPr>
          <w:rFonts w:cstheme="minorHAnsi"/>
        </w:rPr>
      </w:pPr>
    </w:p>
    <w:p w:rsidR="00524DBE" w:rsidRPr="00524DBE" w:rsidRDefault="00524DBE" w:rsidP="00524DBE">
      <w:pPr>
        <w:pStyle w:val="NoSpacing"/>
        <w:rPr>
          <w:rFonts w:cstheme="minorHAnsi"/>
        </w:rPr>
      </w:pPr>
      <w:r w:rsidRPr="00524DBE">
        <w:rPr>
          <w:rFonts w:cstheme="minorHAnsi"/>
        </w:rPr>
        <w:t>Chisholm receives rental income for certain land and buildings leased out to the general public during the semester break</w:t>
      </w:r>
      <w:r>
        <w:rPr>
          <w:rFonts w:cstheme="minorHAnsi"/>
        </w:rPr>
        <w:t xml:space="preserve"> </w:t>
      </w:r>
      <w:r w:rsidRPr="00524DBE">
        <w:rPr>
          <w:rFonts w:cstheme="minorHAnsi"/>
        </w:rPr>
        <w:t>period and when the buildings are excess to the current requirement.</w:t>
      </w:r>
    </w:p>
    <w:p w:rsidR="00524DBE" w:rsidRPr="00524DBE" w:rsidRDefault="00524DBE" w:rsidP="00524DBE">
      <w:pPr>
        <w:pStyle w:val="NoSpacing"/>
        <w:rPr>
          <w:rFonts w:cstheme="minorHAnsi"/>
        </w:rPr>
      </w:pPr>
    </w:p>
    <w:p w:rsidR="00524DBE" w:rsidRPr="00524DBE" w:rsidRDefault="00524DBE" w:rsidP="00D36BB2">
      <w:pPr>
        <w:pStyle w:val="Heading4"/>
      </w:pPr>
      <w:r w:rsidRPr="00524DBE">
        <w:t>Rental income</w:t>
      </w:r>
    </w:p>
    <w:p w:rsidR="005E5585" w:rsidRDefault="005E5585" w:rsidP="00524DBE">
      <w:pPr>
        <w:pStyle w:val="NoSpacing"/>
        <w:rPr>
          <w:rFonts w:cstheme="minorHAnsi"/>
        </w:rPr>
      </w:pPr>
    </w:p>
    <w:p w:rsidR="00524DBE" w:rsidRDefault="00524DBE" w:rsidP="00524DBE">
      <w:pPr>
        <w:pStyle w:val="NoSpacing"/>
        <w:rPr>
          <w:rFonts w:cstheme="minorHAnsi"/>
        </w:rPr>
      </w:pPr>
      <w:r w:rsidRPr="00524DBE">
        <w:rPr>
          <w:rFonts w:cstheme="minorHAnsi"/>
        </w:rPr>
        <w:t>Rental income is recognised on a time proportional basis and is brought to account when Chisholm’s right to receive the rental is established</w:t>
      </w:r>
    </w:p>
    <w:p w:rsidR="00712C34" w:rsidRDefault="00712C34" w:rsidP="00524DBE">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7A705A" w:rsidRPr="00AE2D8D" w:rsidTr="003A5F79">
        <w:tc>
          <w:tcPr>
            <w:tcW w:w="2693" w:type="dxa"/>
            <w:gridSpan w:val="2"/>
          </w:tcPr>
          <w:p w:rsidR="007A705A" w:rsidRPr="00AE2D8D" w:rsidRDefault="007A705A" w:rsidP="003A5F79">
            <w:pPr>
              <w:pStyle w:val="NoSpacing"/>
              <w:jc w:val="center"/>
              <w:rPr>
                <w:rFonts w:cstheme="minorHAnsi"/>
                <w:bCs/>
                <w:w w:val="105"/>
              </w:rPr>
            </w:pPr>
            <w:r w:rsidRPr="00AE2D8D">
              <w:rPr>
                <w:rFonts w:cstheme="minorHAnsi"/>
                <w:bCs/>
                <w:w w:val="105"/>
              </w:rPr>
              <w:t>Consolidated</w:t>
            </w:r>
          </w:p>
        </w:tc>
        <w:tc>
          <w:tcPr>
            <w:tcW w:w="2410" w:type="dxa"/>
            <w:gridSpan w:val="2"/>
          </w:tcPr>
          <w:p w:rsidR="007A705A" w:rsidRPr="00AE2D8D" w:rsidRDefault="007A705A" w:rsidP="003A5F79">
            <w:pPr>
              <w:pStyle w:val="NoSpacing"/>
              <w:jc w:val="center"/>
              <w:rPr>
                <w:rFonts w:cstheme="minorHAnsi"/>
                <w:bCs/>
                <w:w w:val="105"/>
              </w:rPr>
            </w:pPr>
            <w:r w:rsidRPr="00AE2D8D">
              <w:rPr>
                <w:rFonts w:cstheme="minorHAnsi"/>
                <w:bCs/>
                <w:w w:val="105"/>
              </w:rPr>
              <w:t>Chisholm</w:t>
            </w:r>
          </w:p>
        </w:tc>
      </w:tr>
      <w:tr w:rsidR="007A705A" w:rsidRPr="00AE2D8D" w:rsidTr="003A5F79">
        <w:tc>
          <w:tcPr>
            <w:tcW w:w="1417" w:type="dxa"/>
          </w:tcPr>
          <w:p w:rsidR="007A705A" w:rsidRPr="00AE2D8D" w:rsidRDefault="007A705A" w:rsidP="003A5F79">
            <w:pPr>
              <w:pStyle w:val="NoSpacing"/>
              <w:jc w:val="right"/>
              <w:rPr>
                <w:rFonts w:cstheme="minorHAnsi"/>
                <w:bCs/>
                <w:w w:val="105"/>
              </w:rPr>
            </w:pPr>
            <w:r w:rsidRPr="00AE2D8D">
              <w:rPr>
                <w:rFonts w:cstheme="minorHAnsi"/>
                <w:bCs/>
                <w:w w:val="105"/>
              </w:rPr>
              <w:t>2017</w:t>
            </w:r>
          </w:p>
        </w:tc>
        <w:tc>
          <w:tcPr>
            <w:tcW w:w="1276" w:type="dxa"/>
          </w:tcPr>
          <w:p w:rsidR="007A705A" w:rsidRPr="00AE2D8D" w:rsidRDefault="007A705A" w:rsidP="003A5F79">
            <w:pPr>
              <w:pStyle w:val="NoSpacing"/>
              <w:jc w:val="right"/>
              <w:rPr>
                <w:rFonts w:cstheme="minorHAnsi"/>
                <w:bCs/>
                <w:w w:val="105"/>
              </w:rPr>
            </w:pPr>
            <w:r w:rsidRPr="00AE2D8D">
              <w:rPr>
                <w:rFonts w:cstheme="minorHAnsi"/>
                <w:bCs/>
                <w:w w:val="105"/>
              </w:rPr>
              <w:t>2016</w:t>
            </w:r>
          </w:p>
        </w:tc>
        <w:tc>
          <w:tcPr>
            <w:tcW w:w="1134" w:type="dxa"/>
          </w:tcPr>
          <w:p w:rsidR="007A705A" w:rsidRPr="00AE2D8D" w:rsidRDefault="007A705A" w:rsidP="003A5F79">
            <w:pPr>
              <w:pStyle w:val="NoSpacing"/>
              <w:jc w:val="right"/>
              <w:rPr>
                <w:rFonts w:cstheme="minorHAnsi"/>
                <w:bCs/>
                <w:w w:val="105"/>
              </w:rPr>
            </w:pPr>
            <w:r w:rsidRPr="00AE2D8D">
              <w:rPr>
                <w:rFonts w:cstheme="minorHAnsi"/>
                <w:bCs/>
                <w:w w:val="105"/>
              </w:rPr>
              <w:t>2017</w:t>
            </w:r>
          </w:p>
        </w:tc>
        <w:tc>
          <w:tcPr>
            <w:tcW w:w="1276" w:type="dxa"/>
          </w:tcPr>
          <w:p w:rsidR="007A705A" w:rsidRPr="00AE2D8D" w:rsidRDefault="007A705A" w:rsidP="003A5F79">
            <w:pPr>
              <w:pStyle w:val="NoSpacing"/>
              <w:jc w:val="right"/>
              <w:rPr>
                <w:rFonts w:cstheme="minorHAnsi"/>
                <w:bCs/>
                <w:w w:val="105"/>
              </w:rPr>
            </w:pPr>
            <w:r w:rsidRPr="00AE2D8D">
              <w:rPr>
                <w:rFonts w:cstheme="minorHAnsi"/>
                <w:bCs/>
                <w:w w:val="105"/>
              </w:rPr>
              <w:t>2016</w:t>
            </w:r>
          </w:p>
        </w:tc>
      </w:tr>
      <w:tr w:rsidR="007A705A" w:rsidRPr="00AE2D8D" w:rsidTr="003A5F79">
        <w:tc>
          <w:tcPr>
            <w:tcW w:w="1417" w:type="dxa"/>
          </w:tcPr>
          <w:p w:rsidR="007A705A" w:rsidRPr="00AE2D8D" w:rsidRDefault="007A705A" w:rsidP="003A5F79">
            <w:pPr>
              <w:jc w:val="right"/>
              <w:rPr>
                <w:rFonts w:cstheme="minorHAnsi"/>
              </w:rPr>
            </w:pPr>
            <w:r w:rsidRPr="00AE2D8D">
              <w:rPr>
                <w:rFonts w:cstheme="minorHAnsi"/>
                <w:bCs/>
                <w:w w:val="105"/>
              </w:rPr>
              <w:t>$’000</w:t>
            </w:r>
          </w:p>
        </w:tc>
        <w:tc>
          <w:tcPr>
            <w:tcW w:w="1276" w:type="dxa"/>
          </w:tcPr>
          <w:p w:rsidR="007A705A" w:rsidRPr="00AE2D8D" w:rsidRDefault="007A705A" w:rsidP="003A5F79">
            <w:pPr>
              <w:jc w:val="right"/>
              <w:rPr>
                <w:rFonts w:cstheme="minorHAnsi"/>
              </w:rPr>
            </w:pPr>
            <w:r w:rsidRPr="00AE2D8D">
              <w:rPr>
                <w:rFonts w:cstheme="minorHAnsi"/>
                <w:bCs/>
                <w:w w:val="105"/>
              </w:rPr>
              <w:t>$’000</w:t>
            </w:r>
          </w:p>
        </w:tc>
        <w:tc>
          <w:tcPr>
            <w:tcW w:w="1134" w:type="dxa"/>
          </w:tcPr>
          <w:p w:rsidR="007A705A" w:rsidRPr="00AE2D8D" w:rsidRDefault="007A705A" w:rsidP="003A5F79">
            <w:pPr>
              <w:jc w:val="right"/>
              <w:rPr>
                <w:rFonts w:cstheme="minorHAnsi"/>
              </w:rPr>
            </w:pPr>
            <w:r w:rsidRPr="00AE2D8D">
              <w:rPr>
                <w:rFonts w:cstheme="minorHAnsi"/>
                <w:bCs/>
                <w:w w:val="105"/>
              </w:rPr>
              <w:t>$’000</w:t>
            </w:r>
          </w:p>
        </w:tc>
        <w:tc>
          <w:tcPr>
            <w:tcW w:w="1276" w:type="dxa"/>
          </w:tcPr>
          <w:p w:rsidR="007A705A" w:rsidRPr="00AE2D8D" w:rsidRDefault="007A705A" w:rsidP="003A5F79">
            <w:pPr>
              <w:pStyle w:val="NoSpacing"/>
              <w:jc w:val="right"/>
              <w:rPr>
                <w:rFonts w:cstheme="minorHAnsi"/>
                <w:bCs/>
                <w:w w:val="105"/>
              </w:rPr>
            </w:pPr>
            <w:r w:rsidRPr="00AE2D8D">
              <w:rPr>
                <w:rFonts w:cstheme="minorHAnsi"/>
                <w:bCs/>
                <w:w w:val="105"/>
              </w:rPr>
              <w:t>$’000</w:t>
            </w:r>
          </w:p>
        </w:tc>
      </w:tr>
    </w:tbl>
    <w:p w:rsidR="00712C34" w:rsidRDefault="007A705A" w:rsidP="00524DBE">
      <w:pPr>
        <w:pStyle w:val="NoSpacing"/>
        <w:rPr>
          <w:rFonts w:cstheme="minorHAnsi"/>
        </w:rPr>
      </w:pPr>
      <w:r>
        <w:rPr>
          <w:rFonts w:cstheme="minorHAnsi"/>
        </w:rPr>
        <w:t>Receivable</w:t>
      </w:r>
    </w:p>
    <w:tbl>
      <w:tblPr>
        <w:tblStyle w:val="TableGrid"/>
        <w:tblW w:w="0" w:type="auto"/>
        <w:tblLook w:val="04A0" w:firstRow="1" w:lastRow="0" w:firstColumn="1" w:lastColumn="0" w:noHBand="0" w:noVBand="1"/>
      </w:tblPr>
      <w:tblGrid>
        <w:gridCol w:w="8784"/>
        <w:gridCol w:w="1417"/>
        <w:gridCol w:w="1276"/>
        <w:gridCol w:w="1134"/>
        <w:gridCol w:w="1337"/>
      </w:tblGrid>
      <w:tr w:rsidR="007A705A" w:rsidTr="003A5F79">
        <w:tc>
          <w:tcPr>
            <w:tcW w:w="8784" w:type="dxa"/>
          </w:tcPr>
          <w:p w:rsidR="007A705A" w:rsidRDefault="007A705A" w:rsidP="003A5F79">
            <w:pPr>
              <w:pStyle w:val="NoSpacing"/>
            </w:pPr>
            <w:r>
              <w:t>Within one year</w:t>
            </w:r>
          </w:p>
        </w:tc>
        <w:tc>
          <w:tcPr>
            <w:tcW w:w="1417" w:type="dxa"/>
          </w:tcPr>
          <w:p w:rsidR="007A705A" w:rsidRDefault="007A705A" w:rsidP="003A5F79">
            <w:pPr>
              <w:pStyle w:val="NoSpacing"/>
              <w:jc w:val="right"/>
            </w:pPr>
            <w:r>
              <w:t>85</w:t>
            </w:r>
          </w:p>
        </w:tc>
        <w:tc>
          <w:tcPr>
            <w:tcW w:w="1276" w:type="dxa"/>
          </w:tcPr>
          <w:p w:rsidR="007A705A" w:rsidRDefault="007A705A" w:rsidP="003A5F79">
            <w:pPr>
              <w:pStyle w:val="NoSpacing"/>
              <w:jc w:val="right"/>
            </w:pPr>
            <w:r>
              <w:t>111</w:t>
            </w:r>
          </w:p>
        </w:tc>
        <w:tc>
          <w:tcPr>
            <w:tcW w:w="1134" w:type="dxa"/>
          </w:tcPr>
          <w:p w:rsidR="007A705A" w:rsidRDefault="007A705A" w:rsidP="003A5F79">
            <w:pPr>
              <w:pStyle w:val="NoSpacing"/>
              <w:jc w:val="right"/>
            </w:pPr>
            <w:r>
              <w:t>85</w:t>
            </w:r>
          </w:p>
        </w:tc>
        <w:tc>
          <w:tcPr>
            <w:tcW w:w="1337" w:type="dxa"/>
          </w:tcPr>
          <w:p w:rsidR="007A705A" w:rsidRDefault="007A705A" w:rsidP="003A5F79">
            <w:pPr>
              <w:pStyle w:val="NoSpacing"/>
              <w:jc w:val="right"/>
            </w:pPr>
            <w:r>
              <w:t>111</w:t>
            </w:r>
          </w:p>
        </w:tc>
      </w:tr>
      <w:tr w:rsidR="007A705A" w:rsidTr="003A5F79">
        <w:tc>
          <w:tcPr>
            <w:tcW w:w="8784" w:type="dxa"/>
          </w:tcPr>
          <w:p w:rsidR="007A705A" w:rsidRDefault="007A705A" w:rsidP="003A5F79">
            <w:pPr>
              <w:pStyle w:val="NoSpacing"/>
            </w:pPr>
            <w:r>
              <w:t>Later than one year but no later than five years</w:t>
            </w:r>
          </w:p>
        </w:tc>
        <w:tc>
          <w:tcPr>
            <w:tcW w:w="1417" w:type="dxa"/>
          </w:tcPr>
          <w:p w:rsidR="007A705A" w:rsidRDefault="007A705A" w:rsidP="003A5F79">
            <w:pPr>
              <w:pStyle w:val="NoSpacing"/>
              <w:jc w:val="right"/>
            </w:pPr>
            <w:r>
              <w:t>275</w:t>
            </w:r>
          </w:p>
        </w:tc>
        <w:tc>
          <w:tcPr>
            <w:tcW w:w="1276" w:type="dxa"/>
          </w:tcPr>
          <w:p w:rsidR="007A705A" w:rsidRDefault="007A705A" w:rsidP="003A5F79">
            <w:pPr>
              <w:pStyle w:val="NoSpacing"/>
              <w:jc w:val="right"/>
            </w:pPr>
            <w:r>
              <w:t>292</w:t>
            </w:r>
          </w:p>
        </w:tc>
        <w:tc>
          <w:tcPr>
            <w:tcW w:w="1134" w:type="dxa"/>
          </w:tcPr>
          <w:p w:rsidR="007A705A" w:rsidRDefault="007A705A" w:rsidP="003A5F79">
            <w:pPr>
              <w:pStyle w:val="NoSpacing"/>
              <w:jc w:val="right"/>
            </w:pPr>
            <w:r>
              <w:t>275</w:t>
            </w:r>
          </w:p>
        </w:tc>
        <w:tc>
          <w:tcPr>
            <w:tcW w:w="1337" w:type="dxa"/>
          </w:tcPr>
          <w:p w:rsidR="007A705A" w:rsidRDefault="007A705A" w:rsidP="003A5F79">
            <w:pPr>
              <w:pStyle w:val="NoSpacing"/>
              <w:jc w:val="right"/>
            </w:pPr>
            <w:r>
              <w:t>292</w:t>
            </w:r>
          </w:p>
        </w:tc>
      </w:tr>
      <w:tr w:rsidR="007A705A" w:rsidTr="003A5F79">
        <w:tc>
          <w:tcPr>
            <w:tcW w:w="8784" w:type="dxa"/>
          </w:tcPr>
          <w:p w:rsidR="007A705A" w:rsidRDefault="007A705A" w:rsidP="003A5F79">
            <w:pPr>
              <w:pStyle w:val="NoSpacing"/>
            </w:pPr>
            <w:r>
              <w:t xml:space="preserve">Total leases receivable </w:t>
            </w:r>
          </w:p>
        </w:tc>
        <w:tc>
          <w:tcPr>
            <w:tcW w:w="1417" w:type="dxa"/>
          </w:tcPr>
          <w:p w:rsidR="007A705A" w:rsidRDefault="007A705A" w:rsidP="003A5F79">
            <w:pPr>
              <w:pStyle w:val="NoSpacing"/>
              <w:jc w:val="right"/>
            </w:pPr>
            <w:r>
              <w:t>360</w:t>
            </w:r>
          </w:p>
        </w:tc>
        <w:tc>
          <w:tcPr>
            <w:tcW w:w="1276" w:type="dxa"/>
          </w:tcPr>
          <w:p w:rsidR="007A705A" w:rsidRDefault="007A705A" w:rsidP="003A5F79">
            <w:pPr>
              <w:pStyle w:val="NoSpacing"/>
              <w:jc w:val="right"/>
            </w:pPr>
            <w:r>
              <w:t>403</w:t>
            </w:r>
          </w:p>
        </w:tc>
        <w:tc>
          <w:tcPr>
            <w:tcW w:w="1134" w:type="dxa"/>
          </w:tcPr>
          <w:p w:rsidR="007A705A" w:rsidRDefault="007A705A" w:rsidP="003A5F79">
            <w:pPr>
              <w:pStyle w:val="NoSpacing"/>
              <w:jc w:val="right"/>
            </w:pPr>
            <w:r>
              <w:t>360</w:t>
            </w:r>
          </w:p>
        </w:tc>
        <w:tc>
          <w:tcPr>
            <w:tcW w:w="1337" w:type="dxa"/>
          </w:tcPr>
          <w:p w:rsidR="007A705A" w:rsidRDefault="007A705A" w:rsidP="003A5F79">
            <w:pPr>
              <w:pStyle w:val="NoSpacing"/>
              <w:jc w:val="right"/>
            </w:pPr>
            <w:r>
              <w:t>403</w:t>
            </w:r>
          </w:p>
        </w:tc>
      </w:tr>
    </w:tbl>
    <w:p w:rsidR="007A705A" w:rsidRDefault="007A705A" w:rsidP="00524DBE">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134"/>
        <w:gridCol w:w="1337"/>
      </w:tblGrid>
      <w:tr w:rsidR="007A705A" w:rsidTr="003A5F79">
        <w:tc>
          <w:tcPr>
            <w:tcW w:w="8784" w:type="dxa"/>
          </w:tcPr>
          <w:p w:rsidR="007A705A" w:rsidRDefault="007A705A" w:rsidP="003A5F79">
            <w:pPr>
              <w:pStyle w:val="NoSpacing"/>
            </w:pPr>
            <w:r>
              <w:lastRenderedPageBreak/>
              <w:t>GST payable on the above</w:t>
            </w:r>
          </w:p>
        </w:tc>
        <w:tc>
          <w:tcPr>
            <w:tcW w:w="1417" w:type="dxa"/>
          </w:tcPr>
          <w:p w:rsidR="007A705A" w:rsidRDefault="00783AC6" w:rsidP="003A5F79">
            <w:pPr>
              <w:pStyle w:val="NoSpacing"/>
              <w:jc w:val="right"/>
            </w:pPr>
            <w:r>
              <w:t>33</w:t>
            </w:r>
          </w:p>
        </w:tc>
        <w:tc>
          <w:tcPr>
            <w:tcW w:w="1276" w:type="dxa"/>
          </w:tcPr>
          <w:p w:rsidR="007A705A" w:rsidRDefault="00783AC6" w:rsidP="003A5F79">
            <w:pPr>
              <w:pStyle w:val="NoSpacing"/>
              <w:jc w:val="right"/>
            </w:pPr>
            <w:r>
              <w:t>37</w:t>
            </w:r>
          </w:p>
        </w:tc>
        <w:tc>
          <w:tcPr>
            <w:tcW w:w="1134" w:type="dxa"/>
          </w:tcPr>
          <w:p w:rsidR="007A705A" w:rsidRDefault="00783AC6" w:rsidP="003A5F79">
            <w:pPr>
              <w:pStyle w:val="NoSpacing"/>
              <w:jc w:val="right"/>
            </w:pPr>
            <w:r>
              <w:t>33</w:t>
            </w:r>
          </w:p>
        </w:tc>
        <w:tc>
          <w:tcPr>
            <w:tcW w:w="1337" w:type="dxa"/>
          </w:tcPr>
          <w:p w:rsidR="007A705A" w:rsidRDefault="00783AC6" w:rsidP="003A5F79">
            <w:pPr>
              <w:pStyle w:val="NoSpacing"/>
              <w:jc w:val="right"/>
            </w:pPr>
            <w:r>
              <w:t>37</w:t>
            </w:r>
          </w:p>
        </w:tc>
      </w:tr>
      <w:tr w:rsidR="007A705A" w:rsidTr="003A5F79">
        <w:tc>
          <w:tcPr>
            <w:tcW w:w="8784" w:type="dxa"/>
          </w:tcPr>
          <w:p w:rsidR="007A705A" w:rsidRDefault="007A705A" w:rsidP="003A5F79">
            <w:pPr>
              <w:pStyle w:val="NoSpacing"/>
            </w:pPr>
            <w:r>
              <w:t xml:space="preserve">Net operating leases receivable </w:t>
            </w:r>
          </w:p>
        </w:tc>
        <w:tc>
          <w:tcPr>
            <w:tcW w:w="1417" w:type="dxa"/>
          </w:tcPr>
          <w:p w:rsidR="007A705A" w:rsidRDefault="00783AC6" w:rsidP="003A5F79">
            <w:pPr>
              <w:pStyle w:val="NoSpacing"/>
              <w:jc w:val="right"/>
            </w:pPr>
            <w:r>
              <w:t>327</w:t>
            </w:r>
          </w:p>
        </w:tc>
        <w:tc>
          <w:tcPr>
            <w:tcW w:w="1276" w:type="dxa"/>
          </w:tcPr>
          <w:p w:rsidR="007A705A" w:rsidRDefault="00783AC6" w:rsidP="003A5F79">
            <w:pPr>
              <w:pStyle w:val="NoSpacing"/>
              <w:jc w:val="right"/>
            </w:pPr>
            <w:r>
              <w:t>366</w:t>
            </w:r>
          </w:p>
        </w:tc>
        <w:tc>
          <w:tcPr>
            <w:tcW w:w="1134" w:type="dxa"/>
          </w:tcPr>
          <w:p w:rsidR="007A705A" w:rsidRDefault="00783AC6" w:rsidP="003A5F79">
            <w:pPr>
              <w:pStyle w:val="NoSpacing"/>
              <w:jc w:val="right"/>
            </w:pPr>
            <w:r>
              <w:t>327</w:t>
            </w:r>
          </w:p>
        </w:tc>
        <w:tc>
          <w:tcPr>
            <w:tcW w:w="1337" w:type="dxa"/>
          </w:tcPr>
          <w:p w:rsidR="007A705A" w:rsidRDefault="00783AC6" w:rsidP="003A5F79">
            <w:pPr>
              <w:pStyle w:val="NoSpacing"/>
              <w:jc w:val="right"/>
            </w:pPr>
            <w:r>
              <w:t>366</w:t>
            </w:r>
          </w:p>
        </w:tc>
      </w:tr>
    </w:tbl>
    <w:p w:rsidR="00712C34" w:rsidRDefault="00712C34" w:rsidP="00524DBE">
      <w:pPr>
        <w:pStyle w:val="NoSpacing"/>
        <w:rPr>
          <w:rFonts w:cstheme="minorHAnsi"/>
        </w:rPr>
      </w:pPr>
    </w:p>
    <w:p w:rsidR="00712C34" w:rsidRDefault="00712C34" w:rsidP="00712C34">
      <w:pPr>
        <w:pStyle w:val="NoSpacing"/>
      </w:pPr>
      <w:r>
        <w:t>Rental income from operating leases is recognised on a straight-line basis over the term of the relevant lease.</w:t>
      </w:r>
    </w:p>
    <w:p w:rsidR="00783AC6" w:rsidRDefault="00712C34" w:rsidP="00524DBE">
      <w:pPr>
        <w:pStyle w:val="NoSpacing"/>
      </w:pPr>
      <w:r>
        <w:t>All incentives for the agreement of a new or renewed operating lease are recognised as an integral part of the net consideration agreed for the use of the leased asset.</w:t>
      </w:r>
    </w:p>
    <w:p w:rsidR="00783AC6" w:rsidRPr="00783AC6" w:rsidRDefault="00783AC6" w:rsidP="00524DBE">
      <w:pPr>
        <w:pStyle w:val="NoSpacing"/>
      </w:pPr>
    </w:p>
    <w:p w:rsidR="007A705A" w:rsidRDefault="007A705A" w:rsidP="00524DBE">
      <w:pPr>
        <w:pStyle w:val="NoSpacing"/>
        <w:rPr>
          <w:rFonts w:cstheme="minorHAnsi"/>
        </w:rPr>
        <w:sectPr w:rsidR="007A705A" w:rsidSect="007A705A">
          <w:pgSz w:w="16838" w:h="11906" w:orient="landscape"/>
          <w:pgMar w:top="1440" w:right="1440" w:bottom="1440" w:left="1440" w:header="709" w:footer="709" w:gutter="0"/>
          <w:cols w:space="708"/>
          <w:docGrid w:linePitch="360"/>
        </w:sectPr>
      </w:pPr>
    </w:p>
    <w:p w:rsidR="00783AC6" w:rsidRDefault="00783AC6" w:rsidP="00783AC6">
      <w:pPr>
        <w:pStyle w:val="NoSpacing"/>
        <w:rPr>
          <w:rFonts w:cstheme="minorHAnsi"/>
        </w:rPr>
      </w:pPr>
    </w:p>
    <w:p w:rsidR="00783AC6" w:rsidRDefault="00783AC6" w:rsidP="00D36BB2">
      <w:pPr>
        <w:pStyle w:val="Heading3"/>
      </w:pPr>
      <w:r>
        <w:t xml:space="preserve">3. </w:t>
      </w:r>
      <w:proofErr w:type="gramStart"/>
      <w:r w:rsidRPr="00712C34">
        <w:t>how</w:t>
      </w:r>
      <w:proofErr w:type="gramEnd"/>
      <w:r w:rsidRPr="00712C34">
        <w:t xml:space="preserve"> we expended our funds</w:t>
      </w:r>
    </w:p>
    <w:p w:rsidR="00712C34" w:rsidRDefault="00712C34" w:rsidP="00524DBE">
      <w:pPr>
        <w:pStyle w:val="NoSpacing"/>
        <w:rPr>
          <w:rFonts w:cstheme="minorHAnsi"/>
        </w:rPr>
      </w:pPr>
    </w:p>
    <w:p w:rsidR="00712C34" w:rsidRPr="00712C34" w:rsidRDefault="00712C34" w:rsidP="00D36BB2">
      <w:pPr>
        <w:pStyle w:val="Heading4"/>
      </w:pPr>
      <w:r w:rsidRPr="00712C34">
        <w:t>Significant judgement and estimates: Provision for employee benefits</w:t>
      </w:r>
    </w:p>
    <w:p w:rsidR="005E5585" w:rsidRDefault="005E5585" w:rsidP="00712C34">
      <w:pPr>
        <w:pStyle w:val="NoSpacing"/>
        <w:rPr>
          <w:rFonts w:cstheme="minorHAnsi"/>
        </w:rPr>
      </w:pPr>
    </w:p>
    <w:p w:rsidR="00712C34" w:rsidRPr="00712C34" w:rsidRDefault="00712C34" w:rsidP="00712C34">
      <w:pPr>
        <w:pStyle w:val="NoSpacing"/>
        <w:rPr>
          <w:rFonts w:cstheme="minorHAnsi"/>
        </w:rPr>
      </w:pPr>
      <w:r w:rsidRPr="00712C34">
        <w:rPr>
          <w:rFonts w:cstheme="minorHAnsi"/>
        </w:rPr>
        <w:t>The present value of employee benefit obligations including annual leave, long service le</w:t>
      </w:r>
      <w:r>
        <w:rPr>
          <w:rFonts w:cstheme="minorHAnsi"/>
        </w:rPr>
        <w:t xml:space="preserve">ave and on-costs are determined </w:t>
      </w:r>
      <w:r w:rsidRPr="00712C34">
        <w:rPr>
          <w:rFonts w:cstheme="minorHAnsi"/>
        </w:rPr>
        <w:t>using various assumptions that may differ from actual developments in the future. These inc</w:t>
      </w:r>
      <w:r>
        <w:rPr>
          <w:rFonts w:cstheme="minorHAnsi"/>
        </w:rPr>
        <w:t xml:space="preserve">lude future salary growth rate, </w:t>
      </w:r>
      <w:r w:rsidRPr="00712C34">
        <w:rPr>
          <w:rFonts w:cstheme="minorHAnsi"/>
        </w:rPr>
        <w:t>future discount rates; tenure of existing staff and patterns of leave claims.</w:t>
      </w:r>
    </w:p>
    <w:p w:rsidR="00712C34" w:rsidRPr="00712C34" w:rsidRDefault="00712C34" w:rsidP="00712C34">
      <w:pPr>
        <w:pStyle w:val="NoSpacing"/>
        <w:rPr>
          <w:rFonts w:cstheme="minorHAnsi"/>
        </w:rPr>
      </w:pPr>
      <w:r w:rsidRPr="00712C34">
        <w:rPr>
          <w:rFonts w:cstheme="minorHAnsi"/>
        </w:rPr>
        <w:t>All assumptions are reviewed at each reporting date.</w:t>
      </w:r>
    </w:p>
    <w:p w:rsidR="00524DBE" w:rsidRDefault="00524DBE" w:rsidP="00524DBE">
      <w:pPr>
        <w:pStyle w:val="NoSpacing"/>
      </w:pPr>
    </w:p>
    <w:p w:rsidR="00524DBE" w:rsidRDefault="00690F98" w:rsidP="00524DBE">
      <w:pPr>
        <w:pStyle w:val="NoSpacing"/>
      </w:pPr>
      <w:r>
        <w:t>&lt;pp</w:t>
      </w:r>
      <w:r w:rsidR="00712C34" w:rsidRPr="001021C5">
        <w:t>&gt;</w:t>
      </w:r>
      <w:r w:rsidR="007829BB">
        <w:t>50</w:t>
      </w:r>
    </w:p>
    <w:p w:rsidR="00690F98" w:rsidRDefault="00690F98" w:rsidP="00524DBE">
      <w:pPr>
        <w:pStyle w:val="NoSpacing"/>
      </w:pPr>
    </w:p>
    <w:p w:rsidR="003A5F79" w:rsidRDefault="003A5F79" w:rsidP="00524DBE">
      <w:pPr>
        <w:pStyle w:val="NoSpacing"/>
        <w:sectPr w:rsidR="003A5F79">
          <w:pgSz w:w="11906" w:h="16838"/>
          <w:pgMar w:top="1440" w:right="1440" w:bottom="1440" w:left="1440" w:header="708" w:footer="708" w:gutter="0"/>
          <w:cols w:space="708"/>
          <w:docGrid w:linePitch="360"/>
        </w:sectPr>
      </w:pPr>
    </w:p>
    <w:p w:rsidR="00690F98" w:rsidRDefault="00690F98" w:rsidP="00D36BB2">
      <w:pPr>
        <w:pStyle w:val="Heading3"/>
      </w:pPr>
      <w:r>
        <w:lastRenderedPageBreak/>
        <w:t>3. HOW WE EXPENDED OUR FUNDS (CONTINUED)</w:t>
      </w:r>
    </w:p>
    <w:p w:rsidR="00690F98" w:rsidRDefault="00690F98" w:rsidP="00524DBE">
      <w:pPr>
        <w:pStyle w:val="NoSpacing"/>
      </w:pPr>
    </w:p>
    <w:p w:rsidR="00690F98" w:rsidRDefault="00690F98" w:rsidP="00D36BB2">
      <w:pPr>
        <w:pStyle w:val="Heading4"/>
      </w:pPr>
      <w:r>
        <w:t xml:space="preserve">3.1 </w:t>
      </w:r>
      <w:r w:rsidRPr="00783AC6">
        <w:t>Employee benefits</w:t>
      </w:r>
    </w:p>
    <w:p w:rsidR="003A5F79" w:rsidRPr="00690F98" w:rsidRDefault="003A5F79" w:rsidP="00D36BB2">
      <w:pPr>
        <w:pStyle w:val="Heading4"/>
        <w:rPr>
          <w:color w:val="FF0000"/>
        </w:rPr>
      </w:pPr>
    </w:p>
    <w:p w:rsidR="00690F98" w:rsidRDefault="00690F98" w:rsidP="00D36BB2">
      <w:pPr>
        <w:pStyle w:val="Heading4"/>
      </w:pPr>
      <w:r>
        <w:t>3.1.1 Employee benefits in the comprehensive operating statement</w:t>
      </w:r>
    </w:p>
    <w:p w:rsidR="003A5F79" w:rsidRDefault="003A5F79" w:rsidP="00D36BB2">
      <w:pPr>
        <w:pStyle w:val="Heading4"/>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3A5F79" w:rsidRPr="00AE2D8D" w:rsidTr="003A5F79">
        <w:tc>
          <w:tcPr>
            <w:tcW w:w="2693" w:type="dxa"/>
            <w:gridSpan w:val="2"/>
          </w:tcPr>
          <w:p w:rsidR="003A5F79" w:rsidRPr="00AE2D8D" w:rsidRDefault="003A5F79" w:rsidP="003A5F79">
            <w:pPr>
              <w:pStyle w:val="NoSpacing"/>
              <w:jc w:val="center"/>
              <w:rPr>
                <w:rFonts w:cstheme="minorHAnsi"/>
                <w:bCs/>
                <w:w w:val="105"/>
              </w:rPr>
            </w:pPr>
            <w:r w:rsidRPr="00AE2D8D">
              <w:rPr>
                <w:rFonts w:cstheme="minorHAnsi"/>
                <w:bCs/>
                <w:w w:val="105"/>
              </w:rPr>
              <w:t>Consolidated</w:t>
            </w:r>
          </w:p>
        </w:tc>
        <w:tc>
          <w:tcPr>
            <w:tcW w:w="2410" w:type="dxa"/>
            <w:gridSpan w:val="2"/>
          </w:tcPr>
          <w:p w:rsidR="003A5F79" w:rsidRPr="00AE2D8D" w:rsidRDefault="003A5F79" w:rsidP="003A5F79">
            <w:pPr>
              <w:pStyle w:val="NoSpacing"/>
              <w:jc w:val="center"/>
              <w:rPr>
                <w:rFonts w:cstheme="minorHAnsi"/>
                <w:bCs/>
                <w:w w:val="105"/>
              </w:rPr>
            </w:pPr>
            <w:r w:rsidRPr="00AE2D8D">
              <w:rPr>
                <w:rFonts w:cstheme="minorHAnsi"/>
                <w:bCs/>
                <w:w w:val="105"/>
              </w:rPr>
              <w:t>Chisholm</w:t>
            </w:r>
          </w:p>
        </w:tc>
      </w:tr>
      <w:tr w:rsidR="003A5F79" w:rsidRPr="00AE2D8D" w:rsidTr="003A5F79">
        <w:tc>
          <w:tcPr>
            <w:tcW w:w="1417" w:type="dxa"/>
          </w:tcPr>
          <w:p w:rsidR="003A5F79" w:rsidRPr="00AE2D8D" w:rsidRDefault="003A5F79" w:rsidP="003A5F79">
            <w:pPr>
              <w:pStyle w:val="NoSpacing"/>
              <w:jc w:val="right"/>
              <w:rPr>
                <w:rFonts w:cstheme="minorHAnsi"/>
                <w:bCs/>
                <w:w w:val="105"/>
              </w:rPr>
            </w:pPr>
            <w:r w:rsidRPr="00AE2D8D">
              <w:rPr>
                <w:rFonts w:cstheme="minorHAnsi"/>
                <w:bCs/>
                <w:w w:val="105"/>
              </w:rPr>
              <w:t>2017</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2016</w:t>
            </w:r>
          </w:p>
        </w:tc>
        <w:tc>
          <w:tcPr>
            <w:tcW w:w="1134" w:type="dxa"/>
          </w:tcPr>
          <w:p w:rsidR="003A5F79" w:rsidRPr="00AE2D8D" w:rsidRDefault="003A5F79" w:rsidP="003A5F79">
            <w:pPr>
              <w:pStyle w:val="NoSpacing"/>
              <w:jc w:val="right"/>
              <w:rPr>
                <w:rFonts w:cstheme="minorHAnsi"/>
                <w:bCs/>
                <w:w w:val="105"/>
              </w:rPr>
            </w:pPr>
            <w:r w:rsidRPr="00AE2D8D">
              <w:rPr>
                <w:rFonts w:cstheme="minorHAnsi"/>
                <w:bCs/>
                <w:w w:val="105"/>
              </w:rPr>
              <w:t>2017</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2016</w:t>
            </w:r>
          </w:p>
        </w:tc>
      </w:tr>
      <w:tr w:rsidR="003A5F79" w:rsidRPr="00AE2D8D" w:rsidTr="003A5F79">
        <w:tc>
          <w:tcPr>
            <w:tcW w:w="1417" w:type="dxa"/>
          </w:tcPr>
          <w:p w:rsidR="003A5F79" w:rsidRPr="00AE2D8D" w:rsidRDefault="003A5F79" w:rsidP="003A5F79">
            <w:pPr>
              <w:jc w:val="right"/>
              <w:rPr>
                <w:rFonts w:cstheme="minorHAnsi"/>
              </w:rPr>
            </w:pPr>
            <w:r w:rsidRPr="00AE2D8D">
              <w:rPr>
                <w:rFonts w:cstheme="minorHAnsi"/>
                <w:bCs/>
                <w:w w:val="105"/>
              </w:rPr>
              <w:t>$’000</w:t>
            </w:r>
          </w:p>
        </w:tc>
        <w:tc>
          <w:tcPr>
            <w:tcW w:w="1276" w:type="dxa"/>
          </w:tcPr>
          <w:p w:rsidR="003A5F79" w:rsidRPr="00AE2D8D" w:rsidRDefault="003A5F79" w:rsidP="003A5F79">
            <w:pPr>
              <w:jc w:val="right"/>
              <w:rPr>
                <w:rFonts w:cstheme="minorHAnsi"/>
              </w:rPr>
            </w:pPr>
            <w:r w:rsidRPr="00AE2D8D">
              <w:rPr>
                <w:rFonts w:cstheme="minorHAnsi"/>
                <w:bCs/>
                <w:w w:val="105"/>
              </w:rPr>
              <w:t>$’000</w:t>
            </w:r>
          </w:p>
        </w:tc>
        <w:tc>
          <w:tcPr>
            <w:tcW w:w="1134" w:type="dxa"/>
          </w:tcPr>
          <w:p w:rsidR="003A5F79" w:rsidRPr="00AE2D8D" w:rsidRDefault="003A5F79" w:rsidP="003A5F79">
            <w:pPr>
              <w:jc w:val="right"/>
              <w:rPr>
                <w:rFonts w:cstheme="minorHAnsi"/>
              </w:rPr>
            </w:pPr>
            <w:r w:rsidRPr="00AE2D8D">
              <w:rPr>
                <w:rFonts w:cstheme="minorHAnsi"/>
                <w:bCs/>
                <w:w w:val="105"/>
              </w:rPr>
              <w:t>$’000</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$’000</w:t>
            </w:r>
          </w:p>
        </w:tc>
      </w:tr>
    </w:tbl>
    <w:p w:rsidR="003A5F79" w:rsidRDefault="003A5F79" w:rsidP="003A5F79">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134"/>
        <w:gridCol w:w="1337"/>
      </w:tblGrid>
      <w:tr w:rsidR="003A5F79" w:rsidTr="003A5F79">
        <w:tc>
          <w:tcPr>
            <w:tcW w:w="8784" w:type="dxa"/>
          </w:tcPr>
          <w:p w:rsidR="003A5F79" w:rsidRDefault="003A5F79" w:rsidP="003A5F79">
            <w:pPr>
              <w:pStyle w:val="NoSpacing"/>
            </w:pPr>
            <w:r>
              <w:t>Salaries, wages, overtime and allowances</w:t>
            </w:r>
          </w:p>
        </w:tc>
        <w:tc>
          <w:tcPr>
            <w:tcW w:w="1417" w:type="dxa"/>
          </w:tcPr>
          <w:p w:rsidR="003A5F79" w:rsidRDefault="003A5F79" w:rsidP="003A5F79">
            <w:pPr>
              <w:pStyle w:val="NoSpacing"/>
              <w:jc w:val="right"/>
            </w:pPr>
            <w:r>
              <w:t>66,832</w:t>
            </w:r>
          </w:p>
        </w:tc>
        <w:tc>
          <w:tcPr>
            <w:tcW w:w="1276" w:type="dxa"/>
          </w:tcPr>
          <w:p w:rsidR="003A5F79" w:rsidRDefault="003A5F79" w:rsidP="003A5F79">
            <w:pPr>
              <w:pStyle w:val="NoSpacing"/>
              <w:jc w:val="right"/>
            </w:pPr>
            <w:r>
              <w:t>63,401</w:t>
            </w:r>
          </w:p>
        </w:tc>
        <w:tc>
          <w:tcPr>
            <w:tcW w:w="1134" w:type="dxa"/>
          </w:tcPr>
          <w:p w:rsidR="003A5F79" w:rsidRDefault="003A5F79" w:rsidP="003A5F79">
            <w:pPr>
              <w:pStyle w:val="NoSpacing"/>
              <w:jc w:val="right"/>
            </w:pPr>
            <w:r>
              <w:t>64,237</w:t>
            </w:r>
          </w:p>
        </w:tc>
        <w:tc>
          <w:tcPr>
            <w:tcW w:w="1337" w:type="dxa"/>
          </w:tcPr>
          <w:p w:rsidR="003A5F79" w:rsidRDefault="003A5F79" w:rsidP="003A5F79">
            <w:pPr>
              <w:pStyle w:val="NoSpacing"/>
              <w:jc w:val="right"/>
            </w:pPr>
            <w:r>
              <w:t>60,670</w:t>
            </w:r>
          </w:p>
        </w:tc>
      </w:tr>
      <w:tr w:rsidR="003A5F79" w:rsidTr="003A5F79">
        <w:tc>
          <w:tcPr>
            <w:tcW w:w="8784" w:type="dxa"/>
          </w:tcPr>
          <w:p w:rsidR="003A5F79" w:rsidRDefault="003A5F79" w:rsidP="003A5F79">
            <w:pPr>
              <w:pStyle w:val="NoSpacing"/>
            </w:pPr>
            <w:r>
              <w:t>Superannuation</w:t>
            </w:r>
          </w:p>
        </w:tc>
        <w:tc>
          <w:tcPr>
            <w:tcW w:w="1417" w:type="dxa"/>
          </w:tcPr>
          <w:p w:rsidR="003A5F79" w:rsidRDefault="003A5F79" w:rsidP="003A5F79">
            <w:pPr>
              <w:pStyle w:val="NoSpacing"/>
              <w:jc w:val="right"/>
            </w:pPr>
            <w:r>
              <w:t>5,841</w:t>
            </w:r>
          </w:p>
        </w:tc>
        <w:tc>
          <w:tcPr>
            <w:tcW w:w="1276" w:type="dxa"/>
          </w:tcPr>
          <w:p w:rsidR="003A5F79" w:rsidRDefault="003A5F79" w:rsidP="003A5F79">
            <w:pPr>
              <w:pStyle w:val="NoSpacing"/>
              <w:jc w:val="right"/>
            </w:pPr>
            <w:r>
              <w:t>5,595</w:t>
            </w:r>
          </w:p>
        </w:tc>
        <w:tc>
          <w:tcPr>
            <w:tcW w:w="1134" w:type="dxa"/>
          </w:tcPr>
          <w:p w:rsidR="003A5F79" w:rsidRDefault="003A5F79" w:rsidP="003A5F79">
            <w:pPr>
              <w:pStyle w:val="NoSpacing"/>
              <w:jc w:val="right"/>
            </w:pPr>
            <w:r>
              <w:t>5,606</w:t>
            </w:r>
          </w:p>
        </w:tc>
        <w:tc>
          <w:tcPr>
            <w:tcW w:w="1337" w:type="dxa"/>
          </w:tcPr>
          <w:p w:rsidR="003A5F79" w:rsidRDefault="003A5F79" w:rsidP="003A5F79">
            <w:pPr>
              <w:pStyle w:val="NoSpacing"/>
              <w:jc w:val="right"/>
            </w:pPr>
            <w:r>
              <w:t>5,344</w:t>
            </w:r>
          </w:p>
        </w:tc>
      </w:tr>
      <w:tr w:rsidR="003A5F79" w:rsidTr="003A5F79">
        <w:tc>
          <w:tcPr>
            <w:tcW w:w="8784" w:type="dxa"/>
          </w:tcPr>
          <w:p w:rsidR="003A5F79" w:rsidRDefault="003A5F79" w:rsidP="003A5F79">
            <w:pPr>
              <w:pStyle w:val="NoSpacing"/>
            </w:pPr>
            <w:r>
              <w:t>Payroll tax</w:t>
            </w:r>
          </w:p>
        </w:tc>
        <w:tc>
          <w:tcPr>
            <w:tcW w:w="1417" w:type="dxa"/>
          </w:tcPr>
          <w:p w:rsidR="003A5F79" w:rsidRDefault="003A5F79" w:rsidP="003A5F79">
            <w:pPr>
              <w:pStyle w:val="NoSpacing"/>
              <w:jc w:val="right"/>
            </w:pPr>
            <w:r>
              <w:t>3,399</w:t>
            </w:r>
          </w:p>
        </w:tc>
        <w:tc>
          <w:tcPr>
            <w:tcW w:w="1276" w:type="dxa"/>
          </w:tcPr>
          <w:p w:rsidR="003A5F79" w:rsidRDefault="003A5F79" w:rsidP="003A5F79">
            <w:pPr>
              <w:pStyle w:val="NoSpacing"/>
              <w:jc w:val="right"/>
            </w:pPr>
            <w:r>
              <w:t>3,253</w:t>
            </w:r>
          </w:p>
        </w:tc>
        <w:tc>
          <w:tcPr>
            <w:tcW w:w="1134" w:type="dxa"/>
          </w:tcPr>
          <w:p w:rsidR="003A5F79" w:rsidRDefault="003A5F79" w:rsidP="003A5F79">
            <w:pPr>
              <w:pStyle w:val="NoSpacing"/>
              <w:jc w:val="right"/>
            </w:pPr>
            <w:r>
              <w:t>3,263</w:t>
            </w:r>
          </w:p>
        </w:tc>
        <w:tc>
          <w:tcPr>
            <w:tcW w:w="1337" w:type="dxa"/>
          </w:tcPr>
          <w:p w:rsidR="003A5F79" w:rsidRDefault="003A5F79" w:rsidP="003A5F79">
            <w:pPr>
              <w:pStyle w:val="NoSpacing"/>
              <w:jc w:val="right"/>
            </w:pPr>
            <w:r>
              <w:t>3,108</w:t>
            </w:r>
          </w:p>
        </w:tc>
      </w:tr>
      <w:tr w:rsidR="003A5F79" w:rsidTr="003A5F79">
        <w:tc>
          <w:tcPr>
            <w:tcW w:w="8784" w:type="dxa"/>
          </w:tcPr>
          <w:p w:rsidR="003A5F79" w:rsidRDefault="003A5F79" w:rsidP="003A5F79">
            <w:pPr>
              <w:pStyle w:val="NoSpacing"/>
            </w:pPr>
            <w:r>
              <w:t>Worker’s compensation</w:t>
            </w:r>
          </w:p>
        </w:tc>
        <w:tc>
          <w:tcPr>
            <w:tcW w:w="1417" w:type="dxa"/>
          </w:tcPr>
          <w:p w:rsidR="003A5F79" w:rsidRDefault="003A5F79" w:rsidP="003A5F79">
            <w:pPr>
              <w:pStyle w:val="NoSpacing"/>
              <w:jc w:val="right"/>
            </w:pPr>
            <w:r>
              <w:t>587</w:t>
            </w:r>
          </w:p>
        </w:tc>
        <w:tc>
          <w:tcPr>
            <w:tcW w:w="1276" w:type="dxa"/>
          </w:tcPr>
          <w:p w:rsidR="003A5F79" w:rsidRDefault="003A5F79" w:rsidP="003A5F79">
            <w:pPr>
              <w:pStyle w:val="NoSpacing"/>
              <w:jc w:val="right"/>
            </w:pPr>
            <w:r>
              <w:t>894</w:t>
            </w:r>
          </w:p>
        </w:tc>
        <w:tc>
          <w:tcPr>
            <w:tcW w:w="1134" w:type="dxa"/>
          </w:tcPr>
          <w:p w:rsidR="003A5F79" w:rsidRDefault="003A5F79" w:rsidP="003A5F79">
            <w:pPr>
              <w:pStyle w:val="NoSpacing"/>
              <w:jc w:val="right"/>
            </w:pPr>
            <w:r>
              <w:t>574</w:t>
            </w:r>
          </w:p>
        </w:tc>
        <w:tc>
          <w:tcPr>
            <w:tcW w:w="1337" w:type="dxa"/>
          </w:tcPr>
          <w:p w:rsidR="003A5F79" w:rsidRDefault="003A5F79" w:rsidP="003A5F79">
            <w:pPr>
              <w:pStyle w:val="NoSpacing"/>
              <w:jc w:val="right"/>
            </w:pPr>
            <w:r>
              <w:t>854</w:t>
            </w:r>
          </w:p>
        </w:tc>
      </w:tr>
      <w:tr w:rsidR="003A5F79" w:rsidTr="003A5F79">
        <w:tc>
          <w:tcPr>
            <w:tcW w:w="8784" w:type="dxa"/>
          </w:tcPr>
          <w:p w:rsidR="003A5F79" w:rsidRDefault="003A5F79" w:rsidP="003A5F79">
            <w:pPr>
              <w:pStyle w:val="NoSpacing"/>
            </w:pPr>
            <w:r>
              <w:t xml:space="preserve">Long service leave </w:t>
            </w:r>
          </w:p>
        </w:tc>
        <w:tc>
          <w:tcPr>
            <w:tcW w:w="1417" w:type="dxa"/>
          </w:tcPr>
          <w:p w:rsidR="003A5F79" w:rsidRDefault="003A5F79" w:rsidP="003A5F79">
            <w:pPr>
              <w:pStyle w:val="NoSpacing"/>
              <w:jc w:val="right"/>
            </w:pPr>
            <w:r>
              <w:t>1,395</w:t>
            </w:r>
          </w:p>
        </w:tc>
        <w:tc>
          <w:tcPr>
            <w:tcW w:w="1276" w:type="dxa"/>
          </w:tcPr>
          <w:p w:rsidR="003A5F79" w:rsidRDefault="003A5F79" w:rsidP="003A5F79">
            <w:pPr>
              <w:pStyle w:val="NoSpacing"/>
              <w:jc w:val="right"/>
            </w:pPr>
            <w:r>
              <w:t>1,019</w:t>
            </w:r>
          </w:p>
        </w:tc>
        <w:tc>
          <w:tcPr>
            <w:tcW w:w="1134" w:type="dxa"/>
          </w:tcPr>
          <w:p w:rsidR="003A5F79" w:rsidRDefault="003A5F79" w:rsidP="003A5F79">
            <w:pPr>
              <w:pStyle w:val="NoSpacing"/>
              <w:jc w:val="right"/>
            </w:pPr>
            <w:r>
              <w:t>1,352</w:t>
            </w:r>
          </w:p>
        </w:tc>
        <w:tc>
          <w:tcPr>
            <w:tcW w:w="1337" w:type="dxa"/>
          </w:tcPr>
          <w:p w:rsidR="003A5F79" w:rsidRDefault="003A5F79" w:rsidP="003A5F79">
            <w:pPr>
              <w:pStyle w:val="NoSpacing"/>
              <w:jc w:val="right"/>
            </w:pPr>
            <w:r>
              <w:t>986</w:t>
            </w:r>
          </w:p>
        </w:tc>
      </w:tr>
      <w:tr w:rsidR="003A5F79" w:rsidTr="003A5F79">
        <w:tc>
          <w:tcPr>
            <w:tcW w:w="8784" w:type="dxa"/>
          </w:tcPr>
          <w:p w:rsidR="003A5F79" w:rsidRDefault="003A5F79" w:rsidP="003A5F79">
            <w:pPr>
              <w:pStyle w:val="NoSpacing"/>
            </w:pPr>
            <w:r>
              <w:t>Annual leave</w:t>
            </w:r>
          </w:p>
        </w:tc>
        <w:tc>
          <w:tcPr>
            <w:tcW w:w="1417" w:type="dxa"/>
          </w:tcPr>
          <w:p w:rsidR="003A5F79" w:rsidRDefault="003A5F79" w:rsidP="003A5F79">
            <w:pPr>
              <w:pStyle w:val="NoSpacing"/>
              <w:jc w:val="right"/>
            </w:pPr>
            <w:r>
              <w:t>874</w:t>
            </w:r>
          </w:p>
        </w:tc>
        <w:tc>
          <w:tcPr>
            <w:tcW w:w="1276" w:type="dxa"/>
          </w:tcPr>
          <w:p w:rsidR="003A5F79" w:rsidRDefault="003A5F79" w:rsidP="003A5F79">
            <w:pPr>
              <w:pStyle w:val="NoSpacing"/>
              <w:jc w:val="right"/>
            </w:pPr>
            <w:r>
              <w:t>524</w:t>
            </w:r>
          </w:p>
        </w:tc>
        <w:tc>
          <w:tcPr>
            <w:tcW w:w="1134" w:type="dxa"/>
          </w:tcPr>
          <w:p w:rsidR="003A5F79" w:rsidRDefault="003A5F79" w:rsidP="003A5F79">
            <w:pPr>
              <w:pStyle w:val="NoSpacing"/>
              <w:jc w:val="right"/>
            </w:pPr>
            <w:r>
              <w:t>843</w:t>
            </w:r>
          </w:p>
        </w:tc>
        <w:tc>
          <w:tcPr>
            <w:tcW w:w="1337" w:type="dxa"/>
          </w:tcPr>
          <w:p w:rsidR="003A5F79" w:rsidRDefault="003A5F79" w:rsidP="003A5F79">
            <w:pPr>
              <w:pStyle w:val="NoSpacing"/>
              <w:jc w:val="right"/>
            </w:pPr>
            <w:r>
              <w:t>506</w:t>
            </w:r>
          </w:p>
        </w:tc>
      </w:tr>
      <w:tr w:rsidR="003A5F79" w:rsidTr="003A5F79">
        <w:tc>
          <w:tcPr>
            <w:tcW w:w="8784" w:type="dxa"/>
          </w:tcPr>
          <w:p w:rsidR="003A5F79" w:rsidRDefault="003A5F79" w:rsidP="003A5F79">
            <w:pPr>
              <w:pStyle w:val="NoSpacing"/>
            </w:pPr>
            <w:r>
              <w:t>Termination benefits</w:t>
            </w:r>
          </w:p>
        </w:tc>
        <w:tc>
          <w:tcPr>
            <w:tcW w:w="1417" w:type="dxa"/>
          </w:tcPr>
          <w:p w:rsidR="003A5F79" w:rsidRDefault="003A5F79" w:rsidP="003A5F79">
            <w:pPr>
              <w:pStyle w:val="NoSpacing"/>
              <w:jc w:val="right"/>
            </w:pPr>
            <w:r>
              <w:t>502</w:t>
            </w:r>
          </w:p>
        </w:tc>
        <w:tc>
          <w:tcPr>
            <w:tcW w:w="1276" w:type="dxa"/>
          </w:tcPr>
          <w:p w:rsidR="003A5F79" w:rsidRDefault="003A5F79" w:rsidP="003A5F79">
            <w:pPr>
              <w:pStyle w:val="NoSpacing"/>
              <w:jc w:val="right"/>
            </w:pPr>
            <w:r>
              <w:t>407</w:t>
            </w:r>
          </w:p>
        </w:tc>
        <w:tc>
          <w:tcPr>
            <w:tcW w:w="1134" w:type="dxa"/>
          </w:tcPr>
          <w:p w:rsidR="003A5F79" w:rsidRDefault="003A5F79" w:rsidP="003A5F79">
            <w:pPr>
              <w:pStyle w:val="NoSpacing"/>
              <w:jc w:val="right"/>
            </w:pPr>
            <w:r>
              <w:t>502</w:t>
            </w:r>
          </w:p>
        </w:tc>
        <w:tc>
          <w:tcPr>
            <w:tcW w:w="1337" w:type="dxa"/>
          </w:tcPr>
          <w:p w:rsidR="003A5F79" w:rsidRDefault="003A5F79" w:rsidP="003A5F79">
            <w:pPr>
              <w:pStyle w:val="NoSpacing"/>
              <w:jc w:val="right"/>
            </w:pPr>
            <w:r>
              <w:t>407</w:t>
            </w:r>
          </w:p>
        </w:tc>
      </w:tr>
      <w:tr w:rsidR="003A5F79" w:rsidTr="003A5F79">
        <w:tc>
          <w:tcPr>
            <w:tcW w:w="8784" w:type="dxa"/>
          </w:tcPr>
          <w:p w:rsidR="003A5F79" w:rsidRDefault="003A5F79" w:rsidP="003A5F79">
            <w:pPr>
              <w:pStyle w:val="NoSpacing"/>
            </w:pPr>
            <w:r>
              <w:t>Other</w:t>
            </w:r>
          </w:p>
        </w:tc>
        <w:tc>
          <w:tcPr>
            <w:tcW w:w="1417" w:type="dxa"/>
          </w:tcPr>
          <w:p w:rsidR="003A5F79" w:rsidRDefault="003A5F79" w:rsidP="003A5F79">
            <w:pPr>
              <w:pStyle w:val="NoSpacing"/>
              <w:jc w:val="right"/>
            </w:pPr>
            <w:r>
              <w:t>25</w:t>
            </w:r>
          </w:p>
        </w:tc>
        <w:tc>
          <w:tcPr>
            <w:tcW w:w="1276" w:type="dxa"/>
          </w:tcPr>
          <w:p w:rsidR="003A5F79" w:rsidRDefault="003A5F79" w:rsidP="003A5F79">
            <w:pPr>
              <w:pStyle w:val="NoSpacing"/>
              <w:jc w:val="right"/>
            </w:pPr>
            <w:r>
              <w:t>62</w:t>
            </w:r>
          </w:p>
        </w:tc>
        <w:tc>
          <w:tcPr>
            <w:tcW w:w="1134" w:type="dxa"/>
          </w:tcPr>
          <w:p w:rsidR="003A5F79" w:rsidRDefault="003A5F79" w:rsidP="003A5F79">
            <w:pPr>
              <w:pStyle w:val="NoSpacing"/>
              <w:jc w:val="right"/>
            </w:pPr>
            <w:r>
              <w:t>25</w:t>
            </w:r>
          </w:p>
        </w:tc>
        <w:tc>
          <w:tcPr>
            <w:tcW w:w="1337" w:type="dxa"/>
          </w:tcPr>
          <w:p w:rsidR="003A5F79" w:rsidRDefault="003A5F79" w:rsidP="003A5F79">
            <w:pPr>
              <w:pStyle w:val="NoSpacing"/>
              <w:jc w:val="right"/>
            </w:pPr>
            <w:r>
              <w:t>62</w:t>
            </w:r>
          </w:p>
        </w:tc>
      </w:tr>
      <w:tr w:rsidR="003A5F79" w:rsidTr="003A5F79">
        <w:tc>
          <w:tcPr>
            <w:tcW w:w="8784" w:type="dxa"/>
          </w:tcPr>
          <w:p w:rsidR="003A5F79" w:rsidRDefault="003A5F79" w:rsidP="003A5F79">
            <w:pPr>
              <w:pStyle w:val="NoSpacing"/>
            </w:pPr>
            <w:r>
              <w:t>Total employee benefits</w:t>
            </w:r>
          </w:p>
        </w:tc>
        <w:tc>
          <w:tcPr>
            <w:tcW w:w="1417" w:type="dxa"/>
          </w:tcPr>
          <w:p w:rsidR="003A5F79" w:rsidRDefault="003A5F79" w:rsidP="003A5F79">
            <w:pPr>
              <w:pStyle w:val="NoSpacing"/>
              <w:jc w:val="right"/>
            </w:pPr>
            <w:r>
              <w:t>79,455</w:t>
            </w:r>
          </w:p>
        </w:tc>
        <w:tc>
          <w:tcPr>
            <w:tcW w:w="1276" w:type="dxa"/>
          </w:tcPr>
          <w:p w:rsidR="003A5F79" w:rsidRDefault="003A5F79" w:rsidP="003A5F79">
            <w:pPr>
              <w:pStyle w:val="NoSpacing"/>
              <w:jc w:val="right"/>
            </w:pPr>
            <w:r>
              <w:t>75,155</w:t>
            </w:r>
          </w:p>
        </w:tc>
        <w:tc>
          <w:tcPr>
            <w:tcW w:w="1134" w:type="dxa"/>
          </w:tcPr>
          <w:p w:rsidR="003A5F79" w:rsidRDefault="003A5F79" w:rsidP="003A5F79">
            <w:pPr>
              <w:pStyle w:val="NoSpacing"/>
              <w:jc w:val="right"/>
            </w:pPr>
            <w:r>
              <w:t>76,402</w:t>
            </w:r>
          </w:p>
        </w:tc>
        <w:tc>
          <w:tcPr>
            <w:tcW w:w="1337" w:type="dxa"/>
          </w:tcPr>
          <w:p w:rsidR="003A5F79" w:rsidRDefault="003A5F79" w:rsidP="003A5F79">
            <w:pPr>
              <w:pStyle w:val="NoSpacing"/>
              <w:jc w:val="right"/>
            </w:pPr>
            <w:r>
              <w:t>71,937</w:t>
            </w:r>
          </w:p>
        </w:tc>
      </w:tr>
    </w:tbl>
    <w:p w:rsidR="003A5F79" w:rsidRDefault="003A5F79" w:rsidP="003A5F79">
      <w:pPr>
        <w:pStyle w:val="NoSpacing"/>
      </w:pPr>
    </w:p>
    <w:p w:rsidR="003A5F79" w:rsidRDefault="003A5F79" w:rsidP="003A5F79">
      <w:pPr>
        <w:pStyle w:val="NoSpacing"/>
      </w:pPr>
      <w:r>
        <w:t>Employee expenses include all costs related to employment, including wages and salaries, fringe benefits tax, leave entitlements, termination payments and WorkCover premiums. Superannuation disclosed above are employer contributions that are paid or payable during the reporting period.</w:t>
      </w:r>
    </w:p>
    <w:p w:rsidR="003A5F79" w:rsidRDefault="003A5F79" w:rsidP="003A5F79">
      <w:pPr>
        <w:pStyle w:val="NoSpacing"/>
      </w:pPr>
      <w:r>
        <w:t>Termination benefits are payable when employment is terminated before the normal retirement date, or when an employee accepts voluntary redundancy in exchange for these benefits. Chisholm recognises termination benefits when it is demonstrably committed to either terminating the employment of current employees according to a detailed formal plan without possibility of withdrawal or providing termination benefits as a result of an offer made to encourage voluntary redundancy. Benefits falling due more than 12 months after balance sheet date are discounted to present value.</w:t>
      </w:r>
    </w:p>
    <w:p w:rsidR="003A5F79" w:rsidRDefault="003A5F79" w:rsidP="003A5F79">
      <w:pPr>
        <w:pStyle w:val="NoSpacing"/>
      </w:pPr>
    </w:p>
    <w:p w:rsidR="003A5F79" w:rsidRDefault="003A5F79" w:rsidP="00D36BB2">
      <w:pPr>
        <w:pStyle w:val="Heading4"/>
      </w:pPr>
      <w:r>
        <w:t xml:space="preserve">3.1.2 </w:t>
      </w:r>
      <w:r w:rsidRPr="003A5F79">
        <w:t>Employee benefits in the balance sheet</w:t>
      </w:r>
    </w:p>
    <w:p w:rsidR="003A5F79" w:rsidRDefault="003A5F79" w:rsidP="003A5F79">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3A5F79" w:rsidRPr="00AE2D8D" w:rsidTr="003A5F79">
        <w:tc>
          <w:tcPr>
            <w:tcW w:w="2693" w:type="dxa"/>
            <w:gridSpan w:val="2"/>
          </w:tcPr>
          <w:p w:rsidR="003A5F79" w:rsidRPr="00AE2D8D" w:rsidRDefault="003A5F79" w:rsidP="003A5F79">
            <w:pPr>
              <w:pStyle w:val="NoSpacing"/>
              <w:jc w:val="center"/>
              <w:rPr>
                <w:rFonts w:cstheme="minorHAnsi"/>
                <w:bCs/>
                <w:w w:val="105"/>
              </w:rPr>
            </w:pPr>
            <w:r w:rsidRPr="00AE2D8D">
              <w:rPr>
                <w:rFonts w:cstheme="minorHAnsi"/>
                <w:bCs/>
                <w:w w:val="105"/>
              </w:rPr>
              <w:t>Consolidated</w:t>
            </w:r>
          </w:p>
        </w:tc>
        <w:tc>
          <w:tcPr>
            <w:tcW w:w="2410" w:type="dxa"/>
            <w:gridSpan w:val="2"/>
          </w:tcPr>
          <w:p w:rsidR="003A5F79" w:rsidRPr="00AE2D8D" w:rsidRDefault="003A5F79" w:rsidP="003A5F79">
            <w:pPr>
              <w:pStyle w:val="NoSpacing"/>
              <w:jc w:val="center"/>
              <w:rPr>
                <w:rFonts w:cstheme="minorHAnsi"/>
                <w:bCs/>
                <w:w w:val="105"/>
              </w:rPr>
            </w:pPr>
            <w:r w:rsidRPr="00AE2D8D">
              <w:rPr>
                <w:rFonts w:cstheme="minorHAnsi"/>
                <w:bCs/>
                <w:w w:val="105"/>
              </w:rPr>
              <w:t>Chisholm</w:t>
            </w:r>
          </w:p>
        </w:tc>
      </w:tr>
      <w:tr w:rsidR="003A5F79" w:rsidRPr="00AE2D8D" w:rsidTr="003A5F79">
        <w:tc>
          <w:tcPr>
            <w:tcW w:w="1417" w:type="dxa"/>
          </w:tcPr>
          <w:p w:rsidR="003A5F79" w:rsidRPr="00AE2D8D" w:rsidRDefault="003A5F79" w:rsidP="003A5F79">
            <w:pPr>
              <w:pStyle w:val="NoSpacing"/>
              <w:jc w:val="right"/>
              <w:rPr>
                <w:rFonts w:cstheme="minorHAnsi"/>
                <w:bCs/>
                <w:w w:val="105"/>
              </w:rPr>
            </w:pPr>
            <w:r w:rsidRPr="00AE2D8D">
              <w:rPr>
                <w:rFonts w:cstheme="minorHAnsi"/>
                <w:bCs/>
                <w:w w:val="105"/>
              </w:rPr>
              <w:t>2017</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2016</w:t>
            </w:r>
          </w:p>
        </w:tc>
        <w:tc>
          <w:tcPr>
            <w:tcW w:w="1134" w:type="dxa"/>
          </w:tcPr>
          <w:p w:rsidR="003A5F79" w:rsidRPr="00AE2D8D" w:rsidRDefault="003A5F79" w:rsidP="003A5F79">
            <w:pPr>
              <w:pStyle w:val="NoSpacing"/>
              <w:jc w:val="right"/>
              <w:rPr>
                <w:rFonts w:cstheme="minorHAnsi"/>
                <w:bCs/>
                <w:w w:val="105"/>
              </w:rPr>
            </w:pPr>
            <w:r w:rsidRPr="00AE2D8D">
              <w:rPr>
                <w:rFonts w:cstheme="minorHAnsi"/>
                <w:bCs/>
                <w:w w:val="105"/>
              </w:rPr>
              <w:t>2017</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2016</w:t>
            </w:r>
          </w:p>
        </w:tc>
      </w:tr>
      <w:tr w:rsidR="003A5F79" w:rsidRPr="00AE2D8D" w:rsidTr="003A5F79">
        <w:tc>
          <w:tcPr>
            <w:tcW w:w="1417" w:type="dxa"/>
          </w:tcPr>
          <w:p w:rsidR="003A5F79" w:rsidRPr="00AE2D8D" w:rsidRDefault="003A5F79" w:rsidP="003A5F79">
            <w:pPr>
              <w:jc w:val="right"/>
              <w:rPr>
                <w:rFonts w:cstheme="minorHAnsi"/>
              </w:rPr>
            </w:pPr>
            <w:r w:rsidRPr="00AE2D8D">
              <w:rPr>
                <w:rFonts w:cstheme="minorHAnsi"/>
                <w:bCs/>
                <w:w w:val="105"/>
              </w:rPr>
              <w:lastRenderedPageBreak/>
              <w:t>$’000</w:t>
            </w:r>
          </w:p>
        </w:tc>
        <w:tc>
          <w:tcPr>
            <w:tcW w:w="1276" w:type="dxa"/>
          </w:tcPr>
          <w:p w:rsidR="003A5F79" w:rsidRPr="00AE2D8D" w:rsidRDefault="003A5F79" w:rsidP="003A5F79">
            <w:pPr>
              <w:jc w:val="right"/>
              <w:rPr>
                <w:rFonts w:cstheme="minorHAnsi"/>
              </w:rPr>
            </w:pPr>
            <w:r w:rsidRPr="00AE2D8D">
              <w:rPr>
                <w:rFonts w:cstheme="minorHAnsi"/>
                <w:bCs/>
                <w:w w:val="105"/>
              </w:rPr>
              <w:t>$’000</w:t>
            </w:r>
          </w:p>
        </w:tc>
        <w:tc>
          <w:tcPr>
            <w:tcW w:w="1134" w:type="dxa"/>
          </w:tcPr>
          <w:p w:rsidR="003A5F79" w:rsidRPr="00AE2D8D" w:rsidRDefault="003A5F79" w:rsidP="003A5F79">
            <w:pPr>
              <w:jc w:val="right"/>
              <w:rPr>
                <w:rFonts w:cstheme="minorHAnsi"/>
              </w:rPr>
            </w:pPr>
            <w:r w:rsidRPr="00AE2D8D">
              <w:rPr>
                <w:rFonts w:cstheme="minorHAnsi"/>
                <w:bCs/>
                <w:w w:val="105"/>
              </w:rPr>
              <w:t>$’000</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$’000</w:t>
            </w:r>
          </w:p>
        </w:tc>
      </w:tr>
    </w:tbl>
    <w:p w:rsidR="003A5F79" w:rsidRDefault="003A5F79" w:rsidP="003A5F79">
      <w:pPr>
        <w:pStyle w:val="NoSpacing"/>
      </w:pPr>
      <w:r>
        <w:t>Current Provisions</w:t>
      </w:r>
    </w:p>
    <w:p w:rsidR="003A5F79" w:rsidRDefault="003A5F79" w:rsidP="003A5F79">
      <w:pPr>
        <w:pStyle w:val="NoSpacing"/>
      </w:pPr>
      <w:r>
        <w:t>Employee benefits – Annual leave</w:t>
      </w:r>
    </w:p>
    <w:tbl>
      <w:tblPr>
        <w:tblStyle w:val="TableGrid"/>
        <w:tblW w:w="0" w:type="auto"/>
        <w:tblLook w:val="04A0" w:firstRow="1" w:lastRow="0" w:firstColumn="1" w:lastColumn="0" w:noHBand="0" w:noVBand="1"/>
      </w:tblPr>
      <w:tblGrid>
        <w:gridCol w:w="8784"/>
        <w:gridCol w:w="1417"/>
        <w:gridCol w:w="1276"/>
        <w:gridCol w:w="1134"/>
        <w:gridCol w:w="1337"/>
      </w:tblGrid>
      <w:tr w:rsidR="003A5F79" w:rsidTr="003A5F79">
        <w:tc>
          <w:tcPr>
            <w:tcW w:w="8784" w:type="dxa"/>
          </w:tcPr>
          <w:p w:rsidR="003A5F79" w:rsidRDefault="003A5F79" w:rsidP="003A5F79">
            <w:pPr>
              <w:pStyle w:val="NoSpacing"/>
            </w:pPr>
            <w:r>
              <w:t>Unconditional and expected to settle within 12 months</w:t>
            </w:r>
          </w:p>
        </w:tc>
        <w:tc>
          <w:tcPr>
            <w:tcW w:w="1417" w:type="dxa"/>
          </w:tcPr>
          <w:p w:rsidR="003A5F79" w:rsidRDefault="003A5F79" w:rsidP="003A5F79">
            <w:pPr>
              <w:pStyle w:val="NoSpacing"/>
              <w:jc w:val="right"/>
            </w:pPr>
            <w:r>
              <w:t>1,457</w:t>
            </w:r>
          </w:p>
        </w:tc>
        <w:tc>
          <w:tcPr>
            <w:tcW w:w="1276" w:type="dxa"/>
          </w:tcPr>
          <w:p w:rsidR="003A5F79" w:rsidRDefault="003A5F79" w:rsidP="003A5F79">
            <w:pPr>
              <w:pStyle w:val="NoSpacing"/>
              <w:jc w:val="right"/>
            </w:pPr>
            <w:r>
              <w:t>1,459</w:t>
            </w:r>
          </w:p>
        </w:tc>
        <w:tc>
          <w:tcPr>
            <w:tcW w:w="1134" w:type="dxa"/>
          </w:tcPr>
          <w:p w:rsidR="003A5F79" w:rsidRDefault="003A5F79" w:rsidP="003A5F79">
            <w:pPr>
              <w:pStyle w:val="NoSpacing"/>
              <w:jc w:val="right"/>
            </w:pPr>
            <w:r>
              <w:t>1,420</w:t>
            </w:r>
          </w:p>
        </w:tc>
        <w:tc>
          <w:tcPr>
            <w:tcW w:w="1337" w:type="dxa"/>
          </w:tcPr>
          <w:p w:rsidR="003A5F79" w:rsidRDefault="003A5F79" w:rsidP="003A5F79">
            <w:pPr>
              <w:pStyle w:val="NoSpacing"/>
              <w:jc w:val="right"/>
            </w:pPr>
            <w:r>
              <w:t>1,420</w:t>
            </w:r>
          </w:p>
        </w:tc>
      </w:tr>
      <w:tr w:rsidR="003A5F79" w:rsidTr="003A5F79">
        <w:tc>
          <w:tcPr>
            <w:tcW w:w="8784" w:type="dxa"/>
          </w:tcPr>
          <w:p w:rsidR="003A5F79" w:rsidRDefault="003A5F79" w:rsidP="003A5F79">
            <w:pPr>
              <w:pStyle w:val="NoSpacing"/>
            </w:pPr>
            <w:r>
              <w:t>Unconditional and expected to settle after 12 months</w:t>
            </w:r>
          </w:p>
        </w:tc>
        <w:tc>
          <w:tcPr>
            <w:tcW w:w="1417" w:type="dxa"/>
          </w:tcPr>
          <w:p w:rsidR="003A5F79" w:rsidRDefault="003A5F79" w:rsidP="003A5F79">
            <w:pPr>
              <w:pStyle w:val="NoSpacing"/>
              <w:jc w:val="right"/>
            </w:pPr>
            <w:r>
              <w:t>163</w:t>
            </w:r>
          </w:p>
        </w:tc>
        <w:tc>
          <w:tcPr>
            <w:tcW w:w="1276" w:type="dxa"/>
          </w:tcPr>
          <w:p w:rsidR="003A5F79" w:rsidRDefault="003A5F79" w:rsidP="003A5F79">
            <w:pPr>
              <w:pStyle w:val="NoSpacing"/>
              <w:jc w:val="right"/>
            </w:pPr>
            <w:r>
              <w:t>195</w:t>
            </w:r>
          </w:p>
        </w:tc>
        <w:tc>
          <w:tcPr>
            <w:tcW w:w="1134" w:type="dxa"/>
          </w:tcPr>
          <w:p w:rsidR="003A5F79" w:rsidRDefault="003A5F79" w:rsidP="003A5F79">
            <w:pPr>
              <w:pStyle w:val="NoSpacing"/>
              <w:jc w:val="right"/>
            </w:pPr>
            <w:r>
              <w:t>159</w:t>
            </w:r>
          </w:p>
        </w:tc>
        <w:tc>
          <w:tcPr>
            <w:tcW w:w="1337" w:type="dxa"/>
          </w:tcPr>
          <w:p w:rsidR="003A5F79" w:rsidRDefault="003A5F79" w:rsidP="003A5F79">
            <w:pPr>
              <w:pStyle w:val="NoSpacing"/>
              <w:jc w:val="right"/>
            </w:pPr>
            <w:r>
              <w:t>191</w:t>
            </w:r>
          </w:p>
        </w:tc>
      </w:tr>
    </w:tbl>
    <w:p w:rsidR="003A5F79" w:rsidRDefault="003A5F79" w:rsidP="003A5F79">
      <w:pPr>
        <w:pStyle w:val="NoSpacing"/>
      </w:pPr>
    </w:p>
    <w:p w:rsidR="003A5F79" w:rsidRDefault="003A5F79" w:rsidP="003A5F79">
      <w:pPr>
        <w:pStyle w:val="NoSpacing"/>
      </w:pPr>
      <w:r>
        <w:t xml:space="preserve">Employee benefits – Long service leave </w:t>
      </w:r>
    </w:p>
    <w:tbl>
      <w:tblPr>
        <w:tblStyle w:val="TableGrid"/>
        <w:tblW w:w="0" w:type="auto"/>
        <w:tblLook w:val="04A0" w:firstRow="1" w:lastRow="0" w:firstColumn="1" w:lastColumn="0" w:noHBand="0" w:noVBand="1"/>
      </w:tblPr>
      <w:tblGrid>
        <w:gridCol w:w="8784"/>
        <w:gridCol w:w="1417"/>
        <w:gridCol w:w="1276"/>
        <w:gridCol w:w="1134"/>
        <w:gridCol w:w="1337"/>
      </w:tblGrid>
      <w:tr w:rsidR="003A5F79" w:rsidTr="003A5F79">
        <w:tc>
          <w:tcPr>
            <w:tcW w:w="8784" w:type="dxa"/>
          </w:tcPr>
          <w:p w:rsidR="003A5F79" w:rsidRDefault="003A5F79" w:rsidP="003A5F79">
            <w:pPr>
              <w:pStyle w:val="NoSpacing"/>
            </w:pPr>
            <w:r>
              <w:t>Unconditional and expected to settle within 12 months</w:t>
            </w:r>
          </w:p>
        </w:tc>
        <w:tc>
          <w:tcPr>
            <w:tcW w:w="1417" w:type="dxa"/>
          </w:tcPr>
          <w:p w:rsidR="003A5F79" w:rsidRDefault="003A5F79" w:rsidP="003A5F79">
            <w:pPr>
              <w:pStyle w:val="NoSpacing"/>
              <w:jc w:val="right"/>
            </w:pPr>
            <w:r>
              <w:t>1,162</w:t>
            </w:r>
          </w:p>
        </w:tc>
        <w:tc>
          <w:tcPr>
            <w:tcW w:w="1276" w:type="dxa"/>
          </w:tcPr>
          <w:p w:rsidR="003A5F79" w:rsidRDefault="003A5F79" w:rsidP="003A5F79">
            <w:pPr>
              <w:pStyle w:val="NoSpacing"/>
              <w:jc w:val="right"/>
            </w:pPr>
            <w:r>
              <w:t>1,123</w:t>
            </w:r>
          </w:p>
        </w:tc>
        <w:tc>
          <w:tcPr>
            <w:tcW w:w="1134" w:type="dxa"/>
          </w:tcPr>
          <w:p w:rsidR="003A5F79" w:rsidRDefault="003A5F79" w:rsidP="003A5F79">
            <w:pPr>
              <w:pStyle w:val="NoSpacing"/>
              <w:jc w:val="right"/>
            </w:pPr>
            <w:r>
              <w:t>1,162</w:t>
            </w:r>
          </w:p>
        </w:tc>
        <w:tc>
          <w:tcPr>
            <w:tcW w:w="1337" w:type="dxa"/>
          </w:tcPr>
          <w:p w:rsidR="003A5F79" w:rsidRDefault="003A5F79" w:rsidP="003A5F79">
            <w:pPr>
              <w:pStyle w:val="NoSpacing"/>
              <w:jc w:val="right"/>
            </w:pPr>
            <w:r>
              <w:t>1,123</w:t>
            </w:r>
          </w:p>
        </w:tc>
      </w:tr>
      <w:tr w:rsidR="003A5F79" w:rsidTr="003A5F79">
        <w:tc>
          <w:tcPr>
            <w:tcW w:w="8784" w:type="dxa"/>
          </w:tcPr>
          <w:p w:rsidR="003A5F79" w:rsidRDefault="003A5F79" w:rsidP="003A5F79">
            <w:pPr>
              <w:pStyle w:val="NoSpacing"/>
            </w:pPr>
            <w:r>
              <w:t>Unconditional and expected to settle after 12 months</w:t>
            </w:r>
          </w:p>
        </w:tc>
        <w:tc>
          <w:tcPr>
            <w:tcW w:w="1417" w:type="dxa"/>
          </w:tcPr>
          <w:p w:rsidR="003A5F79" w:rsidRDefault="003A5F79" w:rsidP="003A5F79">
            <w:pPr>
              <w:pStyle w:val="NoSpacing"/>
              <w:jc w:val="right"/>
            </w:pPr>
            <w:r>
              <w:t>4,486</w:t>
            </w:r>
          </w:p>
        </w:tc>
        <w:tc>
          <w:tcPr>
            <w:tcW w:w="1276" w:type="dxa"/>
          </w:tcPr>
          <w:p w:rsidR="003A5F79" w:rsidRDefault="003A5F79" w:rsidP="003A5F79">
            <w:pPr>
              <w:pStyle w:val="NoSpacing"/>
              <w:jc w:val="right"/>
            </w:pPr>
            <w:r>
              <w:t>5,026</w:t>
            </w:r>
          </w:p>
        </w:tc>
        <w:tc>
          <w:tcPr>
            <w:tcW w:w="1134" w:type="dxa"/>
          </w:tcPr>
          <w:p w:rsidR="003A5F79" w:rsidRDefault="003A5F79" w:rsidP="003A5F79">
            <w:pPr>
              <w:pStyle w:val="NoSpacing"/>
              <w:jc w:val="right"/>
            </w:pPr>
            <w:r>
              <w:t>4,486</w:t>
            </w:r>
          </w:p>
        </w:tc>
        <w:tc>
          <w:tcPr>
            <w:tcW w:w="1337" w:type="dxa"/>
          </w:tcPr>
          <w:p w:rsidR="003A5F79" w:rsidRDefault="003A5F79" w:rsidP="003A5F79">
            <w:pPr>
              <w:pStyle w:val="NoSpacing"/>
              <w:jc w:val="right"/>
            </w:pPr>
            <w:r>
              <w:t>5,023</w:t>
            </w:r>
          </w:p>
        </w:tc>
      </w:tr>
    </w:tbl>
    <w:p w:rsidR="003A5F79" w:rsidRDefault="003A5F79" w:rsidP="003A5F79">
      <w:pPr>
        <w:pStyle w:val="NoSpacing"/>
      </w:pPr>
    </w:p>
    <w:p w:rsidR="003A5F79" w:rsidRDefault="003A5F79" w:rsidP="003A5F79">
      <w:pPr>
        <w:pStyle w:val="NoSpacing"/>
      </w:pPr>
      <w:r>
        <w:t>Employee benefits - Other</w:t>
      </w:r>
    </w:p>
    <w:tbl>
      <w:tblPr>
        <w:tblStyle w:val="TableGrid"/>
        <w:tblW w:w="0" w:type="auto"/>
        <w:tblLook w:val="04A0" w:firstRow="1" w:lastRow="0" w:firstColumn="1" w:lastColumn="0" w:noHBand="0" w:noVBand="1"/>
      </w:tblPr>
      <w:tblGrid>
        <w:gridCol w:w="8784"/>
        <w:gridCol w:w="1417"/>
        <w:gridCol w:w="1276"/>
        <w:gridCol w:w="1134"/>
        <w:gridCol w:w="1337"/>
      </w:tblGrid>
      <w:tr w:rsidR="003A5F79" w:rsidTr="003A5F79">
        <w:tc>
          <w:tcPr>
            <w:tcW w:w="8784" w:type="dxa"/>
          </w:tcPr>
          <w:p w:rsidR="003A5F79" w:rsidRDefault="003A5F79" w:rsidP="003A5F79">
            <w:pPr>
              <w:pStyle w:val="NoSpacing"/>
            </w:pPr>
            <w:r>
              <w:t>Unconditional and expected to settle within 12 months</w:t>
            </w:r>
          </w:p>
        </w:tc>
        <w:tc>
          <w:tcPr>
            <w:tcW w:w="1417" w:type="dxa"/>
          </w:tcPr>
          <w:p w:rsidR="003A5F79" w:rsidRDefault="003A5F79" w:rsidP="003A5F79">
            <w:pPr>
              <w:pStyle w:val="NoSpacing"/>
              <w:jc w:val="right"/>
            </w:pPr>
            <w:r>
              <w:t>149</w:t>
            </w:r>
          </w:p>
        </w:tc>
        <w:tc>
          <w:tcPr>
            <w:tcW w:w="1276" w:type="dxa"/>
          </w:tcPr>
          <w:p w:rsidR="003A5F79" w:rsidRDefault="003A5F79" w:rsidP="003A5F79">
            <w:pPr>
              <w:pStyle w:val="NoSpacing"/>
              <w:jc w:val="right"/>
            </w:pPr>
            <w:r>
              <w:t>239</w:t>
            </w:r>
          </w:p>
        </w:tc>
        <w:tc>
          <w:tcPr>
            <w:tcW w:w="1134" w:type="dxa"/>
          </w:tcPr>
          <w:p w:rsidR="003A5F79" w:rsidRDefault="003A5F79" w:rsidP="003A5F79">
            <w:pPr>
              <w:pStyle w:val="NoSpacing"/>
              <w:jc w:val="right"/>
            </w:pPr>
            <w:r>
              <w:t>140</w:t>
            </w:r>
          </w:p>
        </w:tc>
        <w:tc>
          <w:tcPr>
            <w:tcW w:w="1337" w:type="dxa"/>
          </w:tcPr>
          <w:p w:rsidR="003A5F79" w:rsidRDefault="003A5F79" w:rsidP="003A5F79">
            <w:pPr>
              <w:pStyle w:val="NoSpacing"/>
              <w:jc w:val="right"/>
            </w:pPr>
            <w:r>
              <w:t>239</w:t>
            </w:r>
          </w:p>
        </w:tc>
      </w:tr>
    </w:tbl>
    <w:p w:rsidR="003A5F79" w:rsidRDefault="003A5F79" w:rsidP="003A5F79">
      <w:pPr>
        <w:pStyle w:val="NoSpacing"/>
        <w:rPr>
          <w:rFonts w:cstheme="minorHAnsi"/>
        </w:rPr>
      </w:pPr>
    </w:p>
    <w:p w:rsidR="003A5F79" w:rsidRDefault="003A5F79" w:rsidP="003A5F79">
      <w:pPr>
        <w:pStyle w:val="NoSpacing"/>
        <w:rPr>
          <w:rFonts w:cstheme="minorHAnsi"/>
        </w:rPr>
      </w:pPr>
      <w:r>
        <w:rPr>
          <w:rFonts w:cstheme="minorHAnsi"/>
        </w:rPr>
        <w:t>Provisions for on-costs</w:t>
      </w:r>
    </w:p>
    <w:tbl>
      <w:tblPr>
        <w:tblStyle w:val="TableGrid"/>
        <w:tblW w:w="0" w:type="auto"/>
        <w:tblLook w:val="04A0" w:firstRow="1" w:lastRow="0" w:firstColumn="1" w:lastColumn="0" w:noHBand="0" w:noVBand="1"/>
      </w:tblPr>
      <w:tblGrid>
        <w:gridCol w:w="8784"/>
        <w:gridCol w:w="1417"/>
        <w:gridCol w:w="1276"/>
        <w:gridCol w:w="1134"/>
        <w:gridCol w:w="1337"/>
      </w:tblGrid>
      <w:tr w:rsidR="003A5F79" w:rsidTr="003A5F79">
        <w:tc>
          <w:tcPr>
            <w:tcW w:w="8784" w:type="dxa"/>
          </w:tcPr>
          <w:p w:rsidR="003A5F79" w:rsidRDefault="003A5F79" w:rsidP="003A5F79">
            <w:pPr>
              <w:pStyle w:val="NoSpacing"/>
            </w:pPr>
            <w:r>
              <w:t>Unconditional and expected to settle within 12 months</w:t>
            </w:r>
          </w:p>
        </w:tc>
        <w:tc>
          <w:tcPr>
            <w:tcW w:w="1417" w:type="dxa"/>
          </w:tcPr>
          <w:p w:rsidR="003A5F79" w:rsidRDefault="003A5F79" w:rsidP="003A5F79">
            <w:pPr>
              <w:pStyle w:val="NoSpacing"/>
              <w:jc w:val="right"/>
            </w:pPr>
            <w:r>
              <w:t>438</w:t>
            </w:r>
          </w:p>
        </w:tc>
        <w:tc>
          <w:tcPr>
            <w:tcW w:w="1276" w:type="dxa"/>
          </w:tcPr>
          <w:p w:rsidR="003A5F79" w:rsidRDefault="003A5F79" w:rsidP="003A5F79">
            <w:pPr>
              <w:pStyle w:val="NoSpacing"/>
              <w:jc w:val="right"/>
            </w:pPr>
            <w:r>
              <w:t>449</w:t>
            </w:r>
          </w:p>
        </w:tc>
        <w:tc>
          <w:tcPr>
            <w:tcW w:w="1134" w:type="dxa"/>
          </w:tcPr>
          <w:p w:rsidR="003A5F79" w:rsidRDefault="003A5F79" w:rsidP="003A5F79">
            <w:pPr>
              <w:pStyle w:val="NoSpacing"/>
              <w:jc w:val="right"/>
            </w:pPr>
            <w:r>
              <w:t>432</w:t>
            </w:r>
          </w:p>
        </w:tc>
        <w:tc>
          <w:tcPr>
            <w:tcW w:w="1337" w:type="dxa"/>
          </w:tcPr>
          <w:p w:rsidR="003A5F79" w:rsidRDefault="003A5F79" w:rsidP="003A5F79">
            <w:pPr>
              <w:pStyle w:val="NoSpacing"/>
              <w:jc w:val="right"/>
            </w:pPr>
            <w:r>
              <w:t>443</w:t>
            </w:r>
          </w:p>
        </w:tc>
      </w:tr>
      <w:tr w:rsidR="003A5F79" w:rsidTr="003A5F79">
        <w:tc>
          <w:tcPr>
            <w:tcW w:w="8784" w:type="dxa"/>
          </w:tcPr>
          <w:p w:rsidR="003A5F79" w:rsidRDefault="003A5F79" w:rsidP="003A5F79">
            <w:pPr>
              <w:pStyle w:val="NoSpacing"/>
            </w:pPr>
            <w:r>
              <w:t>Unconditional and expected to settle after 12 months</w:t>
            </w:r>
          </w:p>
        </w:tc>
        <w:tc>
          <w:tcPr>
            <w:tcW w:w="1417" w:type="dxa"/>
          </w:tcPr>
          <w:p w:rsidR="003A5F79" w:rsidRDefault="003A5F79" w:rsidP="003A5F79">
            <w:pPr>
              <w:pStyle w:val="NoSpacing"/>
              <w:jc w:val="right"/>
            </w:pPr>
            <w:r>
              <w:t>749</w:t>
            </w:r>
          </w:p>
        </w:tc>
        <w:tc>
          <w:tcPr>
            <w:tcW w:w="1276" w:type="dxa"/>
          </w:tcPr>
          <w:p w:rsidR="003A5F79" w:rsidRDefault="003A5F79" w:rsidP="003A5F79">
            <w:pPr>
              <w:pStyle w:val="NoSpacing"/>
              <w:jc w:val="right"/>
            </w:pPr>
            <w:r>
              <w:t>842</w:t>
            </w:r>
          </w:p>
        </w:tc>
        <w:tc>
          <w:tcPr>
            <w:tcW w:w="1134" w:type="dxa"/>
          </w:tcPr>
          <w:p w:rsidR="003A5F79" w:rsidRDefault="003A5F79" w:rsidP="003A5F79">
            <w:pPr>
              <w:pStyle w:val="NoSpacing"/>
              <w:jc w:val="right"/>
            </w:pPr>
            <w:r>
              <w:t>749</w:t>
            </w:r>
          </w:p>
        </w:tc>
        <w:tc>
          <w:tcPr>
            <w:tcW w:w="1337" w:type="dxa"/>
          </w:tcPr>
          <w:p w:rsidR="003A5F79" w:rsidRDefault="003A5F79" w:rsidP="003A5F79">
            <w:pPr>
              <w:pStyle w:val="NoSpacing"/>
              <w:jc w:val="right"/>
            </w:pPr>
            <w:r>
              <w:t>841</w:t>
            </w:r>
          </w:p>
        </w:tc>
      </w:tr>
      <w:tr w:rsidR="003A5F79" w:rsidTr="003A5F79">
        <w:tc>
          <w:tcPr>
            <w:tcW w:w="8784" w:type="dxa"/>
          </w:tcPr>
          <w:p w:rsidR="003A5F79" w:rsidRDefault="003A5F79" w:rsidP="003A5F79">
            <w:pPr>
              <w:pStyle w:val="NoSpacing"/>
            </w:pPr>
            <w:r>
              <w:t xml:space="preserve">Total current provisions for employee benefits </w:t>
            </w:r>
          </w:p>
        </w:tc>
        <w:tc>
          <w:tcPr>
            <w:tcW w:w="1417" w:type="dxa"/>
          </w:tcPr>
          <w:p w:rsidR="003A5F79" w:rsidRDefault="003A5F79" w:rsidP="003A5F79">
            <w:pPr>
              <w:pStyle w:val="NoSpacing"/>
              <w:jc w:val="right"/>
            </w:pPr>
            <w:r>
              <w:t>8,604</w:t>
            </w:r>
          </w:p>
        </w:tc>
        <w:tc>
          <w:tcPr>
            <w:tcW w:w="1276" w:type="dxa"/>
          </w:tcPr>
          <w:p w:rsidR="003A5F79" w:rsidRDefault="003A5F79" w:rsidP="003A5F79">
            <w:pPr>
              <w:pStyle w:val="NoSpacing"/>
              <w:jc w:val="right"/>
            </w:pPr>
            <w:r>
              <w:t>9,333</w:t>
            </w:r>
          </w:p>
        </w:tc>
        <w:tc>
          <w:tcPr>
            <w:tcW w:w="1134" w:type="dxa"/>
          </w:tcPr>
          <w:p w:rsidR="003A5F79" w:rsidRDefault="003A5F79" w:rsidP="003A5F79">
            <w:pPr>
              <w:pStyle w:val="NoSpacing"/>
              <w:jc w:val="right"/>
            </w:pPr>
            <w:r>
              <w:t>8,548</w:t>
            </w:r>
          </w:p>
        </w:tc>
        <w:tc>
          <w:tcPr>
            <w:tcW w:w="1337" w:type="dxa"/>
          </w:tcPr>
          <w:p w:rsidR="003A5F79" w:rsidRDefault="003A5F79" w:rsidP="003A5F79">
            <w:pPr>
              <w:pStyle w:val="NoSpacing"/>
              <w:jc w:val="right"/>
            </w:pPr>
            <w:r>
              <w:t>9,280</w:t>
            </w:r>
          </w:p>
        </w:tc>
      </w:tr>
    </w:tbl>
    <w:p w:rsidR="003A5F79" w:rsidRDefault="003A5F79" w:rsidP="003A5F79">
      <w:pPr>
        <w:pStyle w:val="NoSpacing"/>
        <w:rPr>
          <w:rFonts w:cstheme="minorHAnsi"/>
        </w:rPr>
      </w:pPr>
    </w:p>
    <w:p w:rsidR="003A5F79" w:rsidRDefault="003A5F79" w:rsidP="003A5F79">
      <w:pPr>
        <w:pStyle w:val="NoSpacing"/>
        <w:rPr>
          <w:rFonts w:cstheme="minorHAnsi"/>
        </w:rPr>
      </w:pPr>
      <w:r>
        <w:rPr>
          <w:rFonts w:cstheme="minorHAnsi"/>
        </w:rPr>
        <w:t>&lt;pp&gt;51</w:t>
      </w:r>
    </w:p>
    <w:p w:rsidR="003A5F79" w:rsidRDefault="003A5F79" w:rsidP="003A5F79">
      <w:pPr>
        <w:pStyle w:val="NoSpacing"/>
        <w:rPr>
          <w:rFonts w:cstheme="minorHAnsi"/>
        </w:rPr>
      </w:pPr>
    </w:p>
    <w:p w:rsidR="003A5F79" w:rsidRDefault="003A5F79" w:rsidP="00D36BB2">
      <w:pPr>
        <w:pStyle w:val="Heading3"/>
      </w:pPr>
      <w:r>
        <w:t>3. HOW WE EXPENDED OUR FUNDS (CONTINUED)</w:t>
      </w:r>
    </w:p>
    <w:p w:rsidR="003A5F79" w:rsidRDefault="003A5F79" w:rsidP="003A5F79">
      <w:pPr>
        <w:pStyle w:val="NoSpacing"/>
      </w:pPr>
    </w:p>
    <w:p w:rsidR="003A5F79" w:rsidRDefault="003A5F79" w:rsidP="00D36BB2">
      <w:pPr>
        <w:pStyle w:val="Heading4"/>
      </w:pPr>
      <w:r>
        <w:t xml:space="preserve">3.1 </w:t>
      </w:r>
      <w:r w:rsidRPr="003A5F79">
        <w:t>Employee benefits (continued)</w:t>
      </w:r>
    </w:p>
    <w:p w:rsidR="003A5F79" w:rsidRDefault="003A5F79" w:rsidP="003A5F79">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3A5F79" w:rsidRPr="00AE2D8D" w:rsidTr="003A5F79">
        <w:tc>
          <w:tcPr>
            <w:tcW w:w="2693" w:type="dxa"/>
            <w:gridSpan w:val="2"/>
          </w:tcPr>
          <w:p w:rsidR="003A5F79" w:rsidRPr="00AE2D8D" w:rsidRDefault="003A5F79" w:rsidP="003A5F79">
            <w:pPr>
              <w:pStyle w:val="NoSpacing"/>
              <w:jc w:val="center"/>
              <w:rPr>
                <w:rFonts w:cstheme="minorHAnsi"/>
                <w:bCs/>
                <w:w w:val="105"/>
              </w:rPr>
            </w:pPr>
            <w:r w:rsidRPr="00AE2D8D">
              <w:rPr>
                <w:rFonts w:cstheme="minorHAnsi"/>
                <w:bCs/>
                <w:w w:val="105"/>
              </w:rPr>
              <w:t>Consolidated</w:t>
            </w:r>
          </w:p>
        </w:tc>
        <w:tc>
          <w:tcPr>
            <w:tcW w:w="2410" w:type="dxa"/>
            <w:gridSpan w:val="2"/>
          </w:tcPr>
          <w:p w:rsidR="003A5F79" w:rsidRPr="00AE2D8D" w:rsidRDefault="003A5F79" w:rsidP="003A5F79">
            <w:pPr>
              <w:pStyle w:val="NoSpacing"/>
              <w:jc w:val="center"/>
              <w:rPr>
                <w:rFonts w:cstheme="minorHAnsi"/>
                <w:bCs/>
                <w:w w:val="105"/>
              </w:rPr>
            </w:pPr>
            <w:r w:rsidRPr="00AE2D8D">
              <w:rPr>
                <w:rFonts w:cstheme="minorHAnsi"/>
                <w:bCs/>
                <w:w w:val="105"/>
              </w:rPr>
              <w:t>Chisholm</w:t>
            </w:r>
          </w:p>
        </w:tc>
      </w:tr>
      <w:tr w:rsidR="003A5F79" w:rsidRPr="00AE2D8D" w:rsidTr="003A5F79">
        <w:tc>
          <w:tcPr>
            <w:tcW w:w="1417" w:type="dxa"/>
          </w:tcPr>
          <w:p w:rsidR="003A5F79" w:rsidRPr="00AE2D8D" w:rsidRDefault="003A5F79" w:rsidP="003A5F79">
            <w:pPr>
              <w:pStyle w:val="NoSpacing"/>
              <w:jc w:val="right"/>
              <w:rPr>
                <w:rFonts w:cstheme="minorHAnsi"/>
                <w:bCs/>
                <w:w w:val="105"/>
              </w:rPr>
            </w:pPr>
            <w:r w:rsidRPr="00AE2D8D">
              <w:rPr>
                <w:rFonts w:cstheme="minorHAnsi"/>
                <w:bCs/>
                <w:w w:val="105"/>
              </w:rPr>
              <w:t>2017</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2016</w:t>
            </w:r>
          </w:p>
        </w:tc>
        <w:tc>
          <w:tcPr>
            <w:tcW w:w="1134" w:type="dxa"/>
          </w:tcPr>
          <w:p w:rsidR="003A5F79" w:rsidRPr="00AE2D8D" w:rsidRDefault="003A5F79" w:rsidP="003A5F79">
            <w:pPr>
              <w:pStyle w:val="NoSpacing"/>
              <w:jc w:val="right"/>
              <w:rPr>
                <w:rFonts w:cstheme="minorHAnsi"/>
                <w:bCs/>
                <w:w w:val="105"/>
              </w:rPr>
            </w:pPr>
            <w:r w:rsidRPr="00AE2D8D">
              <w:rPr>
                <w:rFonts w:cstheme="minorHAnsi"/>
                <w:bCs/>
                <w:w w:val="105"/>
              </w:rPr>
              <w:t>2017</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2016</w:t>
            </w:r>
          </w:p>
        </w:tc>
      </w:tr>
      <w:tr w:rsidR="003A5F79" w:rsidRPr="00AE2D8D" w:rsidTr="003A5F79">
        <w:tc>
          <w:tcPr>
            <w:tcW w:w="1417" w:type="dxa"/>
          </w:tcPr>
          <w:p w:rsidR="003A5F79" w:rsidRPr="00AE2D8D" w:rsidRDefault="003A5F79" w:rsidP="003A5F79">
            <w:pPr>
              <w:jc w:val="right"/>
              <w:rPr>
                <w:rFonts w:cstheme="minorHAnsi"/>
              </w:rPr>
            </w:pPr>
            <w:r w:rsidRPr="00AE2D8D">
              <w:rPr>
                <w:rFonts w:cstheme="minorHAnsi"/>
                <w:bCs/>
                <w:w w:val="105"/>
              </w:rPr>
              <w:t>$’000</w:t>
            </w:r>
          </w:p>
        </w:tc>
        <w:tc>
          <w:tcPr>
            <w:tcW w:w="1276" w:type="dxa"/>
          </w:tcPr>
          <w:p w:rsidR="003A5F79" w:rsidRPr="00AE2D8D" w:rsidRDefault="003A5F79" w:rsidP="003A5F79">
            <w:pPr>
              <w:jc w:val="right"/>
              <w:rPr>
                <w:rFonts w:cstheme="minorHAnsi"/>
              </w:rPr>
            </w:pPr>
            <w:r w:rsidRPr="00AE2D8D">
              <w:rPr>
                <w:rFonts w:cstheme="minorHAnsi"/>
                <w:bCs/>
                <w:w w:val="105"/>
              </w:rPr>
              <w:t>$’000</w:t>
            </w:r>
          </w:p>
        </w:tc>
        <w:tc>
          <w:tcPr>
            <w:tcW w:w="1134" w:type="dxa"/>
          </w:tcPr>
          <w:p w:rsidR="003A5F79" w:rsidRPr="00AE2D8D" w:rsidRDefault="003A5F79" w:rsidP="003A5F79">
            <w:pPr>
              <w:jc w:val="right"/>
              <w:rPr>
                <w:rFonts w:cstheme="minorHAnsi"/>
              </w:rPr>
            </w:pPr>
            <w:r w:rsidRPr="00AE2D8D">
              <w:rPr>
                <w:rFonts w:cstheme="minorHAnsi"/>
                <w:bCs/>
                <w:w w:val="105"/>
              </w:rPr>
              <w:t>$’000</w:t>
            </w:r>
          </w:p>
        </w:tc>
        <w:tc>
          <w:tcPr>
            <w:tcW w:w="1276" w:type="dxa"/>
          </w:tcPr>
          <w:p w:rsidR="003A5F79" w:rsidRPr="00AE2D8D" w:rsidRDefault="003A5F79" w:rsidP="003A5F79">
            <w:pPr>
              <w:pStyle w:val="NoSpacing"/>
              <w:jc w:val="right"/>
              <w:rPr>
                <w:rFonts w:cstheme="minorHAnsi"/>
                <w:bCs/>
                <w:w w:val="105"/>
              </w:rPr>
            </w:pPr>
            <w:r w:rsidRPr="00AE2D8D">
              <w:rPr>
                <w:rFonts w:cstheme="minorHAnsi"/>
                <w:bCs/>
                <w:w w:val="105"/>
              </w:rPr>
              <w:t>$’000</w:t>
            </w:r>
          </w:p>
        </w:tc>
      </w:tr>
    </w:tbl>
    <w:p w:rsidR="00B503F5" w:rsidRDefault="00B503F5" w:rsidP="00B503F5">
      <w:pPr>
        <w:pStyle w:val="NoSpacing"/>
        <w:rPr>
          <w:rFonts w:cstheme="minorHAnsi"/>
        </w:rPr>
      </w:pPr>
      <w:r>
        <w:rPr>
          <w:rFonts w:cstheme="minorHAnsi"/>
        </w:rPr>
        <w:t>Non-current provisions</w:t>
      </w:r>
    </w:p>
    <w:tbl>
      <w:tblPr>
        <w:tblStyle w:val="TableGrid"/>
        <w:tblW w:w="0" w:type="auto"/>
        <w:tblLook w:val="04A0" w:firstRow="1" w:lastRow="0" w:firstColumn="1" w:lastColumn="0" w:noHBand="0" w:noVBand="1"/>
      </w:tblPr>
      <w:tblGrid>
        <w:gridCol w:w="8784"/>
        <w:gridCol w:w="1417"/>
        <w:gridCol w:w="1276"/>
        <w:gridCol w:w="1134"/>
        <w:gridCol w:w="1337"/>
      </w:tblGrid>
      <w:tr w:rsidR="00B503F5" w:rsidTr="00DE1A91">
        <w:tc>
          <w:tcPr>
            <w:tcW w:w="8784" w:type="dxa"/>
          </w:tcPr>
          <w:p w:rsidR="00B503F5" w:rsidRDefault="00B503F5" w:rsidP="00DE1A91">
            <w:pPr>
              <w:pStyle w:val="NoSpacing"/>
            </w:pPr>
            <w:r>
              <w:t>Employee benefits</w:t>
            </w:r>
          </w:p>
        </w:tc>
        <w:tc>
          <w:tcPr>
            <w:tcW w:w="1417" w:type="dxa"/>
          </w:tcPr>
          <w:p w:rsidR="00B503F5" w:rsidRDefault="00B503F5" w:rsidP="00DE1A91">
            <w:pPr>
              <w:pStyle w:val="NoSpacing"/>
              <w:jc w:val="right"/>
            </w:pPr>
            <w:r>
              <w:t>575</w:t>
            </w:r>
          </w:p>
        </w:tc>
        <w:tc>
          <w:tcPr>
            <w:tcW w:w="1276" w:type="dxa"/>
          </w:tcPr>
          <w:p w:rsidR="00B503F5" w:rsidRDefault="00B503F5" w:rsidP="00DE1A91">
            <w:pPr>
              <w:pStyle w:val="NoSpacing"/>
              <w:jc w:val="right"/>
            </w:pPr>
            <w:r>
              <w:t>489</w:t>
            </w:r>
          </w:p>
        </w:tc>
        <w:tc>
          <w:tcPr>
            <w:tcW w:w="1134" w:type="dxa"/>
          </w:tcPr>
          <w:p w:rsidR="00B503F5" w:rsidRDefault="00B503F5" w:rsidP="00DE1A91">
            <w:pPr>
              <w:pStyle w:val="NoSpacing"/>
              <w:jc w:val="right"/>
            </w:pPr>
            <w:r>
              <w:t>568</w:t>
            </w:r>
          </w:p>
        </w:tc>
        <w:tc>
          <w:tcPr>
            <w:tcW w:w="1337" w:type="dxa"/>
          </w:tcPr>
          <w:p w:rsidR="00B503F5" w:rsidRDefault="00B503F5" w:rsidP="00DE1A91">
            <w:pPr>
              <w:pStyle w:val="NoSpacing"/>
              <w:jc w:val="right"/>
            </w:pPr>
            <w:r>
              <w:t>479</w:t>
            </w:r>
          </w:p>
        </w:tc>
      </w:tr>
      <w:tr w:rsidR="00B503F5" w:rsidTr="00DE1A91">
        <w:tc>
          <w:tcPr>
            <w:tcW w:w="8784" w:type="dxa"/>
          </w:tcPr>
          <w:p w:rsidR="00B503F5" w:rsidRDefault="00B503F5" w:rsidP="00DE1A91">
            <w:pPr>
              <w:pStyle w:val="NoSpacing"/>
            </w:pPr>
            <w:r>
              <w:t>On costs</w:t>
            </w:r>
          </w:p>
        </w:tc>
        <w:tc>
          <w:tcPr>
            <w:tcW w:w="1417" w:type="dxa"/>
          </w:tcPr>
          <w:p w:rsidR="00B503F5" w:rsidRDefault="00B503F5" w:rsidP="00DE1A91">
            <w:pPr>
              <w:pStyle w:val="NoSpacing"/>
              <w:jc w:val="right"/>
            </w:pPr>
            <w:r>
              <w:t>93</w:t>
            </w:r>
          </w:p>
        </w:tc>
        <w:tc>
          <w:tcPr>
            <w:tcW w:w="1276" w:type="dxa"/>
          </w:tcPr>
          <w:p w:rsidR="00B503F5" w:rsidRDefault="00B503F5" w:rsidP="00DE1A91">
            <w:pPr>
              <w:pStyle w:val="NoSpacing"/>
              <w:jc w:val="right"/>
            </w:pPr>
            <w:r>
              <w:t>78</w:t>
            </w:r>
          </w:p>
        </w:tc>
        <w:tc>
          <w:tcPr>
            <w:tcW w:w="1134" w:type="dxa"/>
          </w:tcPr>
          <w:p w:rsidR="00B503F5" w:rsidRDefault="00B503F5" w:rsidP="00DE1A91">
            <w:pPr>
              <w:pStyle w:val="NoSpacing"/>
              <w:jc w:val="right"/>
            </w:pPr>
            <w:r>
              <w:t>92</w:t>
            </w:r>
          </w:p>
        </w:tc>
        <w:tc>
          <w:tcPr>
            <w:tcW w:w="1337" w:type="dxa"/>
          </w:tcPr>
          <w:p w:rsidR="00B503F5" w:rsidRDefault="00B503F5" w:rsidP="00DE1A91">
            <w:pPr>
              <w:pStyle w:val="NoSpacing"/>
              <w:jc w:val="right"/>
            </w:pPr>
            <w:r>
              <w:t>77</w:t>
            </w:r>
          </w:p>
        </w:tc>
      </w:tr>
      <w:tr w:rsidR="00B503F5" w:rsidTr="00DE1A91">
        <w:tc>
          <w:tcPr>
            <w:tcW w:w="8784" w:type="dxa"/>
          </w:tcPr>
          <w:p w:rsidR="00B503F5" w:rsidRDefault="00B503F5" w:rsidP="00DE1A91">
            <w:pPr>
              <w:pStyle w:val="NoSpacing"/>
            </w:pPr>
            <w:r>
              <w:t>Total non-current provisions for employee benefits</w:t>
            </w:r>
          </w:p>
        </w:tc>
        <w:tc>
          <w:tcPr>
            <w:tcW w:w="1417" w:type="dxa"/>
          </w:tcPr>
          <w:p w:rsidR="00B503F5" w:rsidRDefault="00B503F5" w:rsidP="00DE1A91">
            <w:pPr>
              <w:pStyle w:val="NoSpacing"/>
              <w:jc w:val="right"/>
            </w:pPr>
            <w:r>
              <w:t>668</w:t>
            </w:r>
          </w:p>
        </w:tc>
        <w:tc>
          <w:tcPr>
            <w:tcW w:w="1276" w:type="dxa"/>
          </w:tcPr>
          <w:p w:rsidR="00B503F5" w:rsidRDefault="00B503F5" w:rsidP="00DE1A91">
            <w:pPr>
              <w:pStyle w:val="NoSpacing"/>
              <w:jc w:val="right"/>
            </w:pPr>
            <w:r>
              <w:t>567</w:t>
            </w:r>
          </w:p>
        </w:tc>
        <w:tc>
          <w:tcPr>
            <w:tcW w:w="1134" w:type="dxa"/>
          </w:tcPr>
          <w:p w:rsidR="00B503F5" w:rsidRDefault="00B503F5" w:rsidP="00DE1A91">
            <w:pPr>
              <w:pStyle w:val="NoSpacing"/>
              <w:jc w:val="right"/>
            </w:pPr>
            <w:r>
              <w:t>660</w:t>
            </w:r>
          </w:p>
        </w:tc>
        <w:tc>
          <w:tcPr>
            <w:tcW w:w="1337" w:type="dxa"/>
          </w:tcPr>
          <w:p w:rsidR="00B503F5" w:rsidRDefault="00B503F5" w:rsidP="00DE1A91">
            <w:pPr>
              <w:pStyle w:val="NoSpacing"/>
              <w:jc w:val="right"/>
            </w:pPr>
            <w:r>
              <w:t>556</w:t>
            </w:r>
          </w:p>
        </w:tc>
      </w:tr>
    </w:tbl>
    <w:p w:rsidR="003A5F79" w:rsidRDefault="003A5F79" w:rsidP="003A5F79">
      <w:pPr>
        <w:pStyle w:val="NoSpacing"/>
      </w:pPr>
    </w:p>
    <w:tbl>
      <w:tblPr>
        <w:tblStyle w:val="TableGrid"/>
        <w:tblW w:w="0" w:type="auto"/>
        <w:tblLook w:val="04A0" w:firstRow="1" w:lastRow="0" w:firstColumn="1" w:lastColumn="0" w:noHBand="0" w:noVBand="1"/>
      </w:tblPr>
      <w:tblGrid>
        <w:gridCol w:w="8784"/>
        <w:gridCol w:w="1417"/>
        <w:gridCol w:w="1276"/>
        <w:gridCol w:w="1134"/>
        <w:gridCol w:w="1337"/>
      </w:tblGrid>
      <w:tr w:rsidR="00B503F5" w:rsidTr="00DE1A91">
        <w:tc>
          <w:tcPr>
            <w:tcW w:w="8784" w:type="dxa"/>
          </w:tcPr>
          <w:p w:rsidR="00B503F5" w:rsidRDefault="00B503F5" w:rsidP="00DE1A91">
            <w:pPr>
              <w:pStyle w:val="NoSpacing"/>
            </w:pPr>
            <w:r>
              <w:lastRenderedPageBreak/>
              <w:t xml:space="preserve">Total provisions for employee benefits </w:t>
            </w:r>
          </w:p>
        </w:tc>
        <w:tc>
          <w:tcPr>
            <w:tcW w:w="1417" w:type="dxa"/>
          </w:tcPr>
          <w:p w:rsidR="00B503F5" w:rsidRDefault="00B503F5" w:rsidP="00DE1A91">
            <w:pPr>
              <w:pStyle w:val="NoSpacing"/>
              <w:jc w:val="right"/>
            </w:pPr>
            <w:r>
              <w:t>9,272</w:t>
            </w:r>
          </w:p>
        </w:tc>
        <w:tc>
          <w:tcPr>
            <w:tcW w:w="1276" w:type="dxa"/>
          </w:tcPr>
          <w:p w:rsidR="00B503F5" w:rsidRDefault="00B503F5" w:rsidP="00DE1A91">
            <w:pPr>
              <w:pStyle w:val="NoSpacing"/>
              <w:jc w:val="right"/>
            </w:pPr>
            <w:r>
              <w:t>9,900</w:t>
            </w:r>
          </w:p>
        </w:tc>
        <w:tc>
          <w:tcPr>
            <w:tcW w:w="1134" w:type="dxa"/>
          </w:tcPr>
          <w:p w:rsidR="00B503F5" w:rsidRDefault="00B503F5" w:rsidP="00DE1A91">
            <w:pPr>
              <w:pStyle w:val="NoSpacing"/>
              <w:jc w:val="right"/>
            </w:pPr>
            <w:r>
              <w:t>9,208</w:t>
            </w:r>
          </w:p>
        </w:tc>
        <w:tc>
          <w:tcPr>
            <w:tcW w:w="1337" w:type="dxa"/>
          </w:tcPr>
          <w:p w:rsidR="00B503F5" w:rsidRDefault="00B503F5" w:rsidP="00DE1A91">
            <w:pPr>
              <w:pStyle w:val="NoSpacing"/>
              <w:jc w:val="right"/>
            </w:pPr>
            <w:r>
              <w:t>9,836</w:t>
            </w:r>
          </w:p>
        </w:tc>
      </w:tr>
    </w:tbl>
    <w:p w:rsidR="00B503F5" w:rsidRDefault="00B503F5" w:rsidP="00B503F5">
      <w:pPr>
        <w:pStyle w:val="NoSpacing"/>
      </w:pPr>
    </w:p>
    <w:p w:rsidR="00B503F5" w:rsidRDefault="00B503F5" w:rsidP="00B503F5">
      <w:pPr>
        <w:pStyle w:val="NoSpacing"/>
      </w:pPr>
      <w:r>
        <w:t>Provision is made for benefits accruing to employees in respect of wages and salaries, annual leave and long service leave for services rendered to the reporting date.</w:t>
      </w:r>
    </w:p>
    <w:p w:rsidR="00B503F5" w:rsidRDefault="00B503F5" w:rsidP="00B503F5">
      <w:pPr>
        <w:pStyle w:val="NoSpacing"/>
      </w:pPr>
      <w:r>
        <w:t>Assumptions for employee benefit provisions are based on likely tenure of existing staff, patterns of leave claims, future salary movements and future discount rates.</w:t>
      </w:r>
    </w:p>
    <w:p w:rsidR="00B503F5" w:rsidRDefault="00B503F5" w:rsidP="00B503F5">
      <w:pPr>
        <w:pStyle w:val="NoSpacing"/>
      </w:pPr>
    </w:p>
    <w:p w:rsidR="00B503F5" w:rsidRDefault="00B503F5" w:rsidP="00D36BB2">
      <w:pPr>
        <w:pStyle w:val="Heading4"/>
      </w:pPr>
      <w:r w:rsidRPr="00A635C4">
        <w:t>Reconciliation of movements in employee provisions</w:t>
      </w:r>
    </w:p>
    <w:p w:rsidR="00B503F5" w:rsidRDefault="00B503F5" w:rsidP="00B503F5">
      <w:pPr>
        <w:pStyle w:val="NoSpacing"/>
        <w:rPr>
          <w:caps/>
        </w:rPr>
      </w:pPr>
    </w:p>
    <w:tbl>
      <w:tblPr>
        <w:tblStyle w:val="TableGrid"/>
        <w:tblW w:w="13887" w:type="dxa"/>
        <w:tblLayout w:type="fixed"/>
        <w:tblLook w:val="04A0" w:firstRow="1" w:lastRow="0" w:firstColumn="1" w:lastColumn="0" w:noHBand="0" w:noVBand="1"/>
      </w:tblPr>
      <w:tblGrid>
        <w:gridCol w:w="8784"/>
        <w:gridCol w:w="1417"/>
        <w:gridCol w:w="1276"/>
        <w:gridCol w:w="1134"/>
        <w:gridCol w:w="1276"/>
      </w:tblGrid>
      <w:tr w:rsidR="00B503F5" w:rsidRPr="00AE2D8D" w:rsidTr="00B503F5">
        <w:trPr>
          <w:gridBefore w:val="1"/>
          <w:wBefore w:w="8784" w:type="dxa"/>
        </w:trPr>
        <w:tc>
          <w:tcPr>
            <w:tcW w:w="2693" w:type="dxa"/>
            <w:gridSpan w:val="2"/>
          </w:tcPr>
          <w:p w:rsidR="00B503F5" w:rsidRPr="00AE2D8D" w:rsidRDefault="00B503F5"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B503F5" w:rsidRPr="00AE2D8D" w:rsidRDefault="00B503F5" w:rsidP="00DE1A91">
            <w:pPr>
              <w:pStyle w:val="NoSpacing"/>
              <w:jc w:val="center"/>
              <w:rPr>
                <w:rFonts w:cstheme="minorHAnsi"/>
                <w:bCs/>
                <w:w w:val="105"/>
              </w:rPr>
            </w:pPr>
            <w:r w:rsidRPr="00AE2D8D">
              <w:rPr>
                <w:rFonts w:cstheme="minorHAnsi"/>
                <w:bCs/>
                <w:w w:val="105"/>
              </w:rPr>
              <w:t>Chisholm</w:t>
            </w:r>
          </w:p>
        </w:tc>
      </w:tr>
      <w:tr w:rsidR="00B503F5" w:rsidRPr="00AE2D8D" w:rsidTr="00B503F5">
        <w:trPr>
          <w:gridBefore w:val="1"/>
          <w:wBefore w:w="8784" w:type="dxa"/>
        </w:trPr>
        <w:tc>
          <w:tcPr>
            <w:tcW w:w="1417" w:type="dxa"/>
          </w:tcPr>
          <w:p w:rsidR="00B503F5" w:rsidRPr="00AE2D8D" w:rsidRDefault="00B503F5" w:rsidP="00DE1A91">
            <w:pPr>
              <w:pStyle w:val="NoSpacing"/>
              <w:jc w:val="right"/>
              <w:rPr>
                <w:rFonts w:cstheme="minorHAnsi"/>
                <w:bCs/>
                <w:w w:val="105"/>
              </w:rPr>
            </w:pPr>
            <w:r w:rsidRPr="00AE2D8D">
              <w:rPr>
                <w:rFonts w:cstheme="minorHAnsi"/>
                <w:bCs/>
                <w:w w:val="105"/>
              </w:rPr>
              <w:t>2017</w:t>
            </w:r>
          </w:p>
        </w:tc>
        <w:tc>
          <w:tcPr>
            <w:tcW w:w="1276" w:type="dxa"/>
          </w:tcPr>
          <w:p w:rsidR="00B503F5" w:rsidRPr="00AE2D8D" w:rsidRDefault="00B503F5" w:rsidP="00DE1A91">
            <w:pPr>
              <w:pStyle w:val="NoSpacing"/>
              <w:jc w:val="right"/>
              <w:rPr>
                <w:rFonts w:cstheme="minorHAnsi"/>
                <w:bCs/>
                <w:w w:val="105"/>
              </w:rPr>
            </w:pPr>
            <w:r w:rsidRPr="00AE2D8D">
              <w:rPr>
                <w:rFonts w:cstheme="minorHAnsi"/>
                <w:bCs/>
                <w:w w:val="105"/>
              </w:rPr>
              <w:t>2016</w:t>
            </w:r>
          </w:p>
        </w:tc>
        <w:tc>
          <w:tcPr>
            <w:tcW w:w="1134" w:type="dxa"/>
          </w:tcPr>
          <w:p w:rsidR="00B503F5" w:rsidRPr="00AE2D8D" w:rsidRDefault="00B503F5" w:rsidP="00DE1A91">
            <w:pPr>
              <w:pStyle w:val="NoSpacing"/>
              <w:jc w:val="right"/>
              <w:rPr>
                <w:rFonts w:cstheme="minorHAnsi"/>
                <w:bCs/>
                <w:w w:val="105"/>
              </w:rPr>
            </w:pPr>
            <w:r w:rsidRPr="00AE2D8D">
              <w:rPr>
                <w:rFonts w:cstheme="minorHAnsi"/>
                <w:bCs/>
                <w:w w:val="105"/>
              </w:rPr>
              <w:t>2017</w:t>
            </w:r>
          </w:p>
        </w:tc>
        <w:tc>
          <w:tcPr>
            <w:tcW w:w="1276" w:type="dxa"/>
          </w:tcPr>
          <w:p w:rsidR="00B503F5" w:rsidRPr="00AE2D8D" w:rsidRDefault="00B503F5" w:rsidP="00DE1A91">
            <w:pPr>
              <w:pStyle w:val="NoSpacing"/>
              <w:jc w:val="right"/>
              <w:rPr>
                <w:rFonts w:cstheme="minorHAnsi"/>
                <w:bCs/>
                <w:w w:val="105"/>
              </w:rPr>
            </w:pPr>
            <w:r w:rsidRPr="00AE2D8D">
              <w:rPr>
                <w:rFonts w:cstheme="minorHAnsi"/>
                <w:bCs/>
                <w:w w:val="105"/>
              </w:rPr>
              <w:t>2016</w:t>
            </w:r>
          </w:p>
        </w:tc>
      </w:tr>
      <w:tr w:rsidR="00B503F5" w:rsidRPr="00AE2D8D" w:rsidTr="00B503F5">
        <w:trPr>
          <w:gridBefore w:val="1"/>
          <w:wBefore w:w="8784" w:type="dxa"/>
        </w:trPr>
        <w:tc>
          <w:tcPr>
            <w:tcW w:w="1417" w:type="dxa"/>
          </w:tcPr>
          <w:p w:rsidR="00B503F5" w:rsidRPr="00AE2D8D" w:rsidRDefault="00B503F5" w:rsidP="00DE1A91">
            <w:pPr>
              <w:jc w:val="right"/>
              <w:rPr>
                <w:rFonts w:cstheme="minorHAnsi"/>
              </w:rPr>
            </w:pPr>
            <w:r w:rsidRPr="00AE2D8D">
              <w:rPr>
                <w:rFonts w:cstheme="minorHAnsi"/>
                <w:bCs/>
                <w:w w:val="105"/>
              </w:rPr>
              <w:t>$’000</w:t>
            </w:r>
          </w:p>
        </w:tc>
        <w:tc>
          <w:tcPr>
            <w:tcW w:w="1276" w:type="dxa"/>
          </w:tcPr>
          <w:p w:rsidR="00B503F5" w:rsidRPr="00AE2D8D" w:rsidRDefault="00B503F5" w:rsidP="00DE1A91">
            <w:pPr>
              <w:jc w:val="right"/>
              <w:rPr>
                <w:rFonts w:cstheme="minorHAnsi"/>
              </w:rPr>
            </w:pPr>
            <w:r w:rsidRPr="00AE2D8D">
              <w:rPr>
                <w:rFonts w:cstheme="minorHAnsi"/>
                <w:bCs/>
                <w:w w:val="105"/>
              </w:rPr>
              <w:t>$’000</w:t>
            </w:r>
          </w:p>
        </w:tc>
        <w:tc>
          <w:tcPr>
            <w:tcW w:w="1134" w:type="dxa"/>
          </w:tcPr>
          <w:p w:rsidR="00B503F5" w:rsidRPr="00AE2D8D" w:rsidRDefault="00B503F5" w:rsidP="00DE1A91">
            <w:pPr>
              <w:jc w:val="right"/>
              <w:rPr>
                <w:rFonts w:cstheme="minorHAnsi"/>
              </w:rPr>
            </w:pPr>
            <w:r w:rsidRPr="00AE2D8D">
              <w:rPr>
                <w:rFonts w:cstheme="minorHAnsi"/>
                <w:bCs/>
                <w:w w:val="105"/>
              </w:rPr>
              <w:t>$’000</w:t>
            </w:r>
          </w:p>
        </w:tc>
        <w:tc>
          <w:tcPr>
            <w:tcW w:w="1276" w:type="dxa"/>
          </w:tcPr>
          <w:p w:rsidR="00B503F5" w:rsidRPr="00AE2D8D" w:rsidRDefault="00B503F5" w:rsidP="00DE1A91">
            <w:pPr>
              <w:pStyle w:val="NoSpacing"/>
              <w:jc w:val="right"/>
              <w:rPr>
                <w:rFonts w:cstheme="minorHAnsi"/>
                <w:bCs/>
                <w:w w:val="105"/>
              </w:rPr>
            </w:pPr>
            <w:r w:rsidRPr="00AE2D8D">
              <w:rPr>
                <w:rFonts w:cstheme="minorHAnsi"/>
                <w:bCs/>
                <w:w w:val="105"/>
              </w:rPr>
              <w:t>$’000</w:t>
            </w:r>
          </w:p>
        </w:tc>
      </w:tr>
      <w:tr w:rsidR="00B503F5" w:rsidTr="00B503F5">
        <w:tc>
          <w:tcPr>
            <w:tcW w:w="8784" w:type="dxa"/>
          </w:tcPr>
          <w:p w:rsidR="00B503F5" w:rsidRDefault="00B503F5" w:rsidP="00DE1A91">
            <w:pPr>
              <w:pStyle w:val="NoSpacing"/>
            </w:pPr>
            <w:r>
              <w:t>Carrying amount at the start of the year</w:t>
            </w:r>
          </w:p>
        </w:tc>
        <w:tc>
          <w:tcPr>
            <w:tcW w:w="1417" w:type="dxa"/>
          </w:tcPr>
          <w:p w:rsidR="00B503F5" w:rsidRDefault="00B503F5" w:rsidP="00DE1A91">
            <w:pPr>
              <w:pStyle w:val="NoSpacing"/>
              <w:jc w:val="right"/>
            </w:pPr>
            <w:r>
              <w:t>8,531</w:t>
            </w:r>
          </w:p>
        </w:tc>
        <w:tc>
          <w:tcPr>
            <w:tcW w:w="1276" w:type="dxa"/>
          </w:tcPr>
          <w:p w:rsidR="00B503F5" w:rsidRDefault="00B503F5" w:rsidP="00DE1A91">
            <w:pPr>
              <w:pStyle w:val="NoSpacing"/>
              <w:jc w:val="right"/>
            </w:pPr>
            <w:r>
              <w:t>8,268</w:t>
            </w:r>
          </w:p>
        </w:tc>
        <w:tc>
          <w:tcPr>
            <w:tcW w:w="1134" w:type="dxa"/>
          </w:tcPr>
          <w:p w:rsidR="00B503F5" w:rsidRDefault="00B503F5" w:rsidP="00DE1A91">
            <w:pPr>
              <w:pStyle w:val="NoSpacing"/>
              <w:jc w:val="right"/>
            </w:pPr>
            <w:r>
              <w:t>8,475</w:t>
            </w:r>
          </w:p>
        </w:tc>
        <w:tc>
          <w:tcPr>
            <w:tcW w:w="1276" w:type="dxa"/>
          </w:tcPr>
          <w:p w:rsidR="00B503F5" w:rsidRDefault="00B503F5" w:rsidP="00DE1A91">
            <w:pPr>
              <w:pStyle w:val="NoSpacing"/>
              <w:jc w:val="right"/>
            </w:pPr>
            <w:r>
              <w:t>8,222</w:t>
            </w:r>
          </w:p>
        </w:tc>
      </w:tr>
    </w:tbl>
    <w:p w:rsidR="00B503F5" w:rsidRPr="00A635C4" w:rsidRDefault="00B503F5" w:rsidP="00B503F5">
      <w:pPr>
        <w:pStyle w:val="NoSpacing"/>
        <w:rPr>
          <w:caps/>
        </w:rPr>
      </w:pPr>
    </w:p>
    <w:tbl>
      <w:tblPr>
        <w:tblStyle w:val="TableGrid"/>
        <w:tblW w:w="0" w:type="auto"/>
        <w:tblLook w:val="04A0" w:firstRow="1" w:lastRow="0" w:firstColumn="1" w:lastColumn="0" w:noHBand="0" w:noVBand="1"/>
      </w:tblPr>
      <w:tblGrid>
        <w:gridCol w:w="8784"/>
        <w:gridCol w:w="1417"/>
        <w:gridCol w:w="1276"/>
        <w:gridCol w:w="1134"/>
        <w:gridCol w:w="1276"/>
      </w:tblGrid>
      <w:tr w:rsidR="00B503F5" w:rsidTr="00B503F5">
        <w:tc>
          <w:tcPr>
            <w:tcW w:w="8784" w:type="dxa"/>
          </w:tcPr>
          <w:p w:rsidR="00B503F5" w:rsidRDefault="00B503F5" w:rsidP="00DE1A91">
            <w:pPr>
              <w:pStyle w:val="NoSpacing"/>
            </w:pPr>
            <w:r>
              <w:t>Additional provisions recognised</w:t>
            </w:r>
          </w:p>
        </w:tc>
        <w:tc>
          <w:tcPr>
            <w:tcW w:w="1417" w:type="dxa"/>
          </w:tcPr>
          <w:p w:rsidR="00B503F5" w:rsidRDefault="00B503F5" w:rsidP="00DE1A91">
            <w:pPr>
              <w:pStyle w:val="NoSpacing"/>
              <w:jc w:val="right"/>
            </w:pPr>
            <w:r>
              <w:t>5,099</w:t>
            </w:r>
          </w:p>
        </w:tc>
        <w:tc>
          <w:tcPr>
            <w:tcW w:w="1276" w:type="dxa"/>
          </w:tcPr>
          <w:p w:rsidR="00B503F5" w:rsidRDefault="00B503F5" w:rsidP="00DE1A91">
            <w:pPr>
              <w:pStyle w:val="NoSpacing"/>
              <w:jc w:val="right"/>
            </w:pPr>
            <w:r>
              <w:t>5,465</w:t>
            </w:r>
          </w:p>
        </w:tc>
        <w:tc>
          <w:tcPr>
            <w:tcW w:w="1134" w:type="dxa"/>
          </w:tcPr>
          <w:p w:rsidR="00B503F5" w:rsidRDefault="00B503F5" w:rsidP="00DE1A91">
            <w:pPr>
              <w:pStyle w:val="NoSpacing"/>
              <w:jc w:val="right"/>
            </w:pPr>
            <w:r>
              <w:t>5,023</w:t>
            </w:r>
          </w:p>
        </w:tc>
        <w:tc>
          <w:tcPr>
            <w:tcW w:w="1276" w:type="dxa"/>
          </w:tcPr>
          <w:p w:rsidR="00B503F5" w:rsidRDefault="00B503F5" w:rsidP="00DE1A91">
            <w:pPr>
              <w:pStyle w:val="NoSpacing"/>
              <w:jc w:val="right"/>
            </w:pPr>
            <w:r>
              <w:t>5,361</w:t>
            </w:r>
          </w:p>
        </w:tc>
      </w:tr>
      <w:tr w:rsidR="00B503F5" w:rsidTr="00B503F5">
        <w:tc>
          <w:tcPr>
            <w:tcW w:w="8784" w:type="dxa"/>
          </w:tcPr>
          <w:p w:rsidR="00B503F5" w:rsidRDefault="00B503F5" w:rsidP="00DE1A91">
            <w:pPr>
              <w:pStyle w:val="NoSpacing"/>
            </w:pPr>
            <w:r>
              <w:t>Amounts due to transfer in</w:t>
            </w:r>
          </w:p>
        </w:tc>
        <w:tc>
          <w:tcPr>
            <w:tcW w:w="1417" w:type="dxa"/>
          </w:tcPr>
          <w:p w:rsidR="00B503F5" w:rsidRDefault="00B503F5" w:rsidP="00DE1A91">
            <w:pPr>
              <w:pStyle w:val="NoSpacing"/>
              <w:jc w:val="right"/>
            </w:pPr>
            <w:r>
              <w:t>-</w:t>
            </w:r>
          </w:p>
        </w:tc>
        <w:tc>
          <w:tcPr>
            <w:tcW w:w="1276" w:type="dxa"/>
          </w:tcPr>
          <w:p w:rsidR="00B503F5" w:rsidRDefault="00B503F5" w:rsidP="00DE1A91">
            <w:pPr>
              <w:pStyle w:val="NoSpacing"/>
              <w:jc w:val="right"/>
            </w:pPr>
            <w:r>
              <w:t>15</w:t>
            </w:r>
          </w:p>
        </w:tc>
        <w:tc>
          <w:tcPr>
            <w:tcW w:w="1134" w:type="dxa"/>
          </w:tcPr>
          <w:p w:rsidR="00B503F5" w:rsidRDefault="00B503F5" w:rsidP="00DE1A91">
            <w:pPr>
              <w:pStyle w:val="NoSpacing"/>
              <w:jc w:val="right"/>
            </w:pPr>
            <w:r>
              <w:t>-</w:t>
            </w:r>
          </w:p>
        </w:tc>
        <w:tc>
          <w:tcPr>
            <w:tcW w:w="1276" w:type="dxa"/>
          </w:tcPr>
          <w:p w:rsidR="00B503F5" w:rsidRDefault="00B503F5" w:rsidP="00DE1A91">
            <w:pPr>
              <w:pStyle w:val="NoSpacing"/>
              <w:jc w:val="right"/>
            </w:pPr>
            <w:r>
              <w:t>-</w:t>
            </w:r>
          </w:p>
        </w:tc>
      </w:tr>
      <w:tr w:rsidR="00B503F5" w:rsidTr="00B503F5">
        <w:tc>
          <w:tcPr>
            <w:tcW w:w="8784" w:type="dxa"/>
          </w:tcPr>
          <w:p w:rsidR="00B503F5" w:rsidRDefault="00B503F5" w:rsidP="00DE1A91">
            <w:pPr>
              <w:pStyle w:val="NoSpacing"/>
            </w:pPr>
            <w:r>
              <w:t>Reductions arising from payment/ other sacrifices of future economic benefits</w:t>
            </w:r>
          </w:p>
        </w:tc>
        <w:tc>
          <w:tcPr>
            <w:tcW w:w="1417" w:type="dxa"/>
          </w:tcPr>
          <w:p w:rsidR="00B503F5" w:rsidRDefault="00B503F5" w:rsidP="00DE1A91">
            <w:pPr>
              <w:pStyle w:val="NoSpacing"/>
              <w:jc w:val="right"/>
            </w:pPr>
            <w:r>
              <w:t>(5,262)</w:t>
            </w:r>
          </w:p>
        </w:tc>
        <w:tc>
          <w:tcPr>
            <w:tcW w:w="1276" w:type="dxa"/>
          </w:tcPr>
          <w:p w:rsidR="00B503F5" w:rsidRDefault="00B503F5" w:rsidP="00DE1A91">
            <w:pPr>
              <w:pStyle w:val="NoSpacing"/>
              <w:jc w:val="right"/>
            </w:pPr>
            <w:r>
              <w:t>(4,887)</w:t>
            </w:r>
          </w:p>
        </w:tc>
        <w:tc>
          <w:tcPr>
            <w:tcW w:w="1134" w:type="dxa"/>
          </w:tcPr>
          <w:p w:rsidR="00B503F5" w:rsidRDefault="00B503F5" w:rsidP="00DE1A91">
            <w:pPr>
              <w:pStyle w:val="NoSpacing"/>
              <w:jc w:val="right"/>
            </w:pPr>
            <w:r>
              <w:t>(5,217)</w:t>
            </w:r>
          </w:p>
        </w:tc>
        <w:tc>
          <w:tcPr>
            <w:tcW w:w="1276" w:type="dxa"/>
          </w:tcPr>
          <w:p w:rsidR="00B503F5" w:rsidRDefault="00B503F5" w:rsidP="00DE1A91">
            <w:pPr>
              <w:pStyle w:val="NoSpacing"/>
              <w:jc w:val="right"/>
            </w:pPr>
            <w:r>
              <w:t>(4,796)</w:t>
            </w:r>
          </w:p>
        </w:tc>
      </w:tr>
      <w:tr w:rsidR="00B503F5" w:rsidTr="00B503F5">
        <w:tc>
          <w:tcPr>
            <w:tcW w:w="8784" w:type="dxa"/>
          </w:tcPr>
          <w:p w:rsidR="00B503F5" w:rsidRDefault="00B503F5" w:rsidP="00DE1A91">
            <w:pPr>
              <w:pStyle w:val="NoSpacing"/>
            </w:pPr>
            <w:r>
              <w:t>Unwind of discount and effect of changes in the discount rate</w:t>
            </w:r>
          </w:p>
        </w:tc>
        <w:tc>
          <w:tcPr>
            <w:tcW w:w="1417" w:type="dxa"/>
          </w:tcPr>
          <w:p w:rsidR="00B503F5" w:rsidRDefault="00B503F5" w:rsidP="00DE1A91">
            <w:pPr>
              <w:pStyle w:val="NoSpacing"/>
              <w:jc w:val="right"/>
            </w:pPr>
            <w:r>
              <w:t>(376)</w:t>
            </w:r>
          </w:p>
        </w:tc>
        <w:tc>
          <w:tcPr>
            <w:tcW w:w="1276" w:type="dxa"/>
          </w:tcPr>
          <w:p w:rsidR="00B503F5" w:rsidRDefault="00B503F5" w:rsidP="00DE1A91">
            <w:pPr>
              <w:pStyle w:val="NoSpacing"/>
              <w:jc w:val="right"/>
            </w:pPr>
            <w:r>
              <w:t>(330)</w:t>
            </w:r>
          </w:p>
        </w:tc>
        <w:tc>
          <w:tcPr>
            <w:tcW w:w="1134" w:type="dxa"/>
          </w:tcPr>
          <w:p w:rsidR="00B503F5" w:rsidRDefault="00B503F5" w:rsidP="00DE1A91">
            <w:pPr>
              <w:pStyle w:val="NoSpacing"/>
              <w:jc w:val="right"/>
            </w:pPr>
            <w:r>
              <w:t>(346)</w:t>
            </w:r>
          </w:p>
        </w:tc>
        <w:tc>
          <w:tcPr>
            <w:tcW w:w="1276" w:type="dxa"/>
          </w:tcPr>
          <w:p w:rsidR="00B503F5" w:rsidRDefault="00B503F5" w:rsidP="00DE1A91">
            <w:pPr>
              <w:pStyle w:val="NoSpacing"/>
              <w:jc w:val="right"/>
            </w:pPr>
            <w:r>
              <w:t>(312)</w:t>
            </w:r>
          </w:p>
        </w:tc>
      </w:tr>
      <w:tr w:rsidR="00B503F5" w:rsidTr="00B503F5">
        <w:tc>
          <w:tcPr>
            <w:tcW w:w="8784" w:type="dxa"/>
          </w:tcPr>
          <w:p w:rsidR="00B503F5" w:rsidRDefault="00B503F5" w:rsidP="00DE1A91">
            <w:pPr>
              <w:pStyle w:val="NoSpacing"/>
            </w:pPr>
            <w:r>
              <w:t xml:space="preserve">Carrying amount at the end of the year </w:t>
            </w:r>
          </w:p>
        </w:tc>
        <w:tc>
          <w:tcPr>
            <w:tcW w:w="1417" w:type="dxa"/>
          </w:tcPr>
          <w:p w:rsidR="00B503F5" w:rsidRDefault="00B503F5" w:rsidP="00DE1A91">
            <w:pPr>
              <w:pStyle w:val="NoSpacing"/>
              <w:jc w:val="right"/>
            </w:pPr>
            <w:r>
              <w:t>7,992</w:t>
            </w:r>
          </w:p>
        </w:tc>
        <w:tc>
          <w:tcPr>
            <w:tcW w:w="1276" w:type="dxa"/>
          </w:tcPr>
          <w:p w:rsidR="00B503F5" w:rsidRDefault="00B503F5" w:rsidP="00DE1A91">
            <w:pPr>
              <w:pStyle w:val="NoSpacing"/>
              <w:jc w:val="right"/>
            </w:pPr>
            <w:r>
              <w:t>8,531</w:t>
            </w:r>
          </w:p>
        </w:tc>
        <w:tc>
          <w:tcPr>
            <w:tcW w:w="1134" w:type="dxa"/>
          </w:tcPr>
          <w:p w:rsidR="00B503F5" w:rsidRDefault="00B503F5" w:rsidP="00DE1A91">
            <w:pPr>
              <w:pStyle w:val="NoSpacing"/>
              <w:jc w:val="right"/>
            </w:pPr>
            <w:r>
              <w:t>7,935</w:t>
            </w:r>
          </w:p>
        </w:tc>
        <w:tc>
          <w:tcPr>
            <w:tcW w:w="1276" w:type="dxa"/>
          </w:tcPr>
          <w:p w:rsidR="00B503F5" w:rsidRDefault="00B503F5" w:rsidP="00DE1A91">
            <w:pPr>
              <w:pStyle w:val="NoSpacing"/>
              <w:jc w:val="right"/>
            </w:pPr>
            <w:r>
              <w:t>8,475</w:t>
            </w:r>
          </w:p>
        </w:tc>
      </w:tr>
    </w:tbl>
    <w:p w:rsidR="00B503F5" w:rsidRDefault="00B503F5" w:rsidP="00B503F5">
      <w:pPr>
        <w:pStyle w:val="NoSpacing"/>
      </w:pPr>
    </w:p>
    <w:p w:rsidR="003A5F79" w:rsidRDefault="00B503F5" w:rsidP="00524DBE">
      <w:pPr>
        <w:pStyle w:val="NoSpacing"/>
      </w:pPr>
      <w:r>
        <w:t>Movements in employee provisions do not include the on cost component of the employee provisions.</w:t>
      </w:r>
    </w:p>
    <w:p w:rsidR="003A5F79" w:rsidRDefault="003A5F79" w:rsidP="00524DBE">
      <w:pPr>
        <w:pStyle w:val="NoSpacing"/>
      </w:pPr>
    </w:p>
    <w:p w:rsidR="003A5F79" w:rsidRDefault="003A5F79" w:rsidP="00524DBE">
      <w:pPr>
        <w:pStyle w:val="NoSpacing"/>
        <w:sectPr w:rsidR="003A5F79" w:rsidSect="003A5F79">
          <w:pgSz w:w="16838" w:h="11906" w:orient="landscape"/>
          <w:pgMar w:top="1440" w:right="1440" w:bottom="1440" w:left="1440" w:header="709" w:footer="709" w:gutter="0"/>
          <w:cols w:space="708"/>
          <w:docGrid w:linePitch="360"/>
        </w:sectPr>
      </w:pPr>
    </w:p>
    <w:p w:rsidR="00690F98" w:rsidRDefault="00690F98" w:rsidP="00524DBE">
      <w:pPr>
        <w:pStyle w:val="NoSpacing"/>
      </w:pPr>
    </w:p>
    <w:p w:rsidR="00A635C4" w:rsidRPr="00A635C4" w:rsidRDefault="00A635C4" w:rsidP="00D36BB2">
      <w:pPr>
        <w:pStyle w:val="Heading4"/>
      </w:pPr>
      <w:r w:rsidRPr="00A635C4">
        <w:t>Wages, salaries and annual leave</w:t>
      </w:r>
    </w:p>
    <w:p w:rsidR="00B503F5" w:rsidRDefault="00B503F5" w:rsidP="00A635C4">
      <w:pPr>
        <w:pStyle w:val="NoSpacing"/>
      </w:pPr>
    </w:p>
    <w:p w:rsidR="00A635C4" w:rsidRPr="00A635C4" w:rsidRDefault="00A635C4" w:rsidP="00A635C4">
      <w:pPr>
        <w:pStyle w:val="NoSpacing"/>
      </w:pPr>
      <w:r w:rsidRPr="00A635C4">
        <w:t>Liabilities for wages and salaries, including non-monetary benefits annual leave are all recognise</w:t>
      </w:r>
      <w:r>
        <w:t xml:space="preserve">d in the provision for employee </w:t>
      </w:r>
      <w:r w:rsidRPr="00A635C4">
        <w:t>benefits as ‘current liabilities’, because Chisholm does not have an unconditional right to defer settlements of these liabilities.</w:t>
      </w:r>
    </w:p>
    <w:p w:rsidR="00A635C4" w:rsidRPr="00A635C4" w:rsidRDefault="00A635C4" w:rsidP="00A635C4">
      <w:pPr>
        <w:pStyle w:val="NoSpacing"/>
      </w:pPr>
      <w:r w:rsidRPr="00A635C4">
        <w:t>Depending on the expectation of the timing of settlement, liabilities for wages and salari</w:t>
      </w:r>
      <w:r>
        <w:t xml:space="preserve">es, annual leave and sick leave </w:t>
      </w:r>
      <w:r w:rsidRPr="00A635C4">
        <w:t>are measured at:</w:t>
      </w:r>
    </w:p>
    <w:p w:rsidR="00A635C4" w:rsidRPr="00A635C4" w:rsidRDefault="00A635C4" w:rsidP="00A635C4">
      <w:pPr>
        <w:pStyle w:val="NoSpacing"/>
      </w:pPr>
      <w:r w:rsidRPr="00A635C4">
        <w:t xml:space="preserve">• </w:t>
      </w:r>
      <w:r w:rsidR="00F54F93" w:rsidRPr="00A635C4">
        <w:t>Undiscounted</w:t>
      </w:r>
      <w:r w:rsidRPr="00A635C4">
        <w:t xml:space="preserve"> value - if Chisholm expects to wholly settle within 12 months; or</w:t>
      </w:r>
    </w:p>
    <w:p w:rsidR="00A635C4" w:rsidRPr="00A635C4" w:rsidRDefault="00A635C4" w:rsidP="00A635C4">
      <w:pPr>
        <w:pStyle w:val="NoSpacing"/>
      </w:pPr>
      <w:r w:rsidRPr="00A635C4">
        <w:t xml:space="preserve">• </w:t>
      </w:r>
      <w:r w:rsidR="00F54F93" w:rsidRPr="00A635C4">
        <w:t>Present</w:t>
      </w:r>
      <w:r w:rsidRPr="00A635C4">
        <w:t xml:space="preserve"> value - if Chisholm does not expect to wholly settle within 12 months.</w:t>
      </w:r>
    </w:p>
    <w:p w:rsidR="00A635C4" w:rsidRDefault="00A635C4" w:rsidP="00A635C4">
      <w:pPr>
        <w:pStyle w:val="NoSpacing"/>
        <w:rPr>
          <w:rFonts w:cstheme="minorHAnsi"/>
        </w:rPr>
      </w:pPr>
    </w:p>
    <w:p w:rsidR="00A635C4" w:rsidRPr="00A635C4" w:rsidRDefault="00A635C4" w:rsidP="00A635C4">
      <w:pPr>
        <w:pStyle w:val="NoSpacing"/>
      </w:pPr>
      <w:r w:rsidRPr="00A635C4">
        <w:rPr>
          <w:rFonts w:cstheme="minorHAnsi"/>
        </w:rPr>
        <w:t>Unconditional LSL is disclosed</w:t>
      </w:r>
      <w:r w:rsidRPr="00A635C4">
        <w:t xml:space="preserve"> in the notes to the financial statements as a current liability,</w:t>
      </w:r>
      <w:r>
        <w:t xml:space="preserve"> even where Chisholm does not </w:t>
      </w:r>
      <w:r w:rsidRPr="00A635C4">
        <w:t>expect to settle the liability within 12 months because it will not have the unconditional right</w:t>
      </w:r>
      <w:r>
        <w:t xml:space="preserve"> to defer the settlement of the </w:t>
      </w:r>
      <w:r w:rsidRPr="00A635C4">
        <w:t>entitlement should an employee take leave within 12 months.</w:t>
      </w:r>
    </w:p>
    <w:p w:rsidR="00A635C4" w:rsidRPr="00A635C4" w:rsidRDefault="00A635C4" w:rsidP="00A635C4">
      <w:pPr>
        <w:pStyle w:val="NoSpacing"/>
      </w:pPr>
      <w:r w:rsidRPr="00A635C4">
        <w:t>The components of the current LSL liability are measured at:</w:t>
      </w:r>
    </w:p>
    <w:p w:rsidR="00A635C4" w:rsidRPr="00A635C4" w:rsidRDefault="00A635C4" w:rsidP="00A635C4">
      <w:pPr>
        <w:pStyle w:val="NoSpacing"/>
      </w:pPr>
      <w:r w:rsidRPr="00A635C4">
        <w:t xml:space="preserve">• </w:t>
      </w:r>
      <w:r w:rsidR="00F54F93" w:rsidRPr="00A635C4">
        <w:t>Nominal</w:t>
      </w:r>
      <w:r w:rsidRPr="00A635C4">
        <w:t xml:space="preserve"> value (undiscounted value) - component that is expected to be wholly settled within 12 months; and</w:t>
      </w:r>
    </w:p>
    <w:p w:rsidR="00A635C4" w:rsidRPr="00A635C4" w:rsidRDefault="00A635C4" w:rsidP="00A635C4">
      <w:pPr>
        <w:pStyle w:val="NoSpacing"/>
      </w:pPr>
      <w:r w:rsidRPr="00A635C4">
        <w:t xml:space="preserve">• </w:t>
      </w:r>
      <w:r w:rsidR="00F54F93" w:rsidRPr="00A635C4">
        <w:t>Present</w:t>
      </w:r>
      <w:r w:rsidRPr="00A635C4">
        <w:t xml:space="preserve"> value (discounted value) - component that is not expected to be wholly settled within 12 months</w:t>
      </w:r>
    </w:p>
    <w:p w:rsidR="00213D6E" w:rsidRDefault="00213D6E" w:rsidP="00A635C4">
      <w:pPr>
        <w:pStyle w:val="NoSpacing"/>
      </w:pPr>
    </w:p>
    <w:p w:rsidR="00A635C4" w:rsidRDefault="00A635C4" w:rsidP="00A635C4">
      <w:pPr>
        <w:pStyle w:val="NoSpacing"/>
      </w:pPr>
      <w:r>
        <w:t>&lt;pp</w:t>
      </w:r>
      <w:r w:rsidRPr="001021C5">
        <w:t>&gt;</w:t>
      </w:r>
      <w:r w:rsidR="007829BB">
        <w:t>52</w:t>
      </w:r>
    </w:p>
    <w:p w:rsidR="00A635C4" w:rsidRDefault="00A635C4" w:rsidP="00A635C4">
      <w:pPr>
        <w:pStyle w:val="NoSpacing"/>
      </w:pPr>
    </w:p>
    <w:p w:rsidR="00F809E3" w:rsidRDefault="00F809E3" w:rsidP="00D36BB2">
      <w:pPr>
        <w:pStyle w:val="Heading3"/>
      </w:pPr>
      <w:r>
        <w:t>3. HOW WE EXPENDED OUR FUNDS (CONTINUED)</w:t>
      </w:r>
    </w:p>
    <w:p w:rsidR="00A635C4" w:rsidRDefault="00A635C4" w:rsidP="00A635C4">
      <w:pPr>
        <w:pStyle w:val="NoSpacing"/>
      </w:pPr>
    </w:p>
    <w:p w:rsidR="00F809E3" w:rsidRDefault="00F809E3" w:rsidP="00D36BB2">
      <w:pPr>
        <w:pStyle w:val="Heading4"/>
      </w:pPr>
      <w:r>
        <w:t>3.1 Employee benefits (continued)</w:t>
      </w:r>
    </w:p>
    <w:p w:rsidR="00F809E3" w:rsidRDefault="00F809E3" w:rsidP="00A635C4">
      <w:pPr>
        <w:pStyle w:val="NoSpacing"/>
      </w:pPr>
    </w:p>
    <w:p w:rsidR="00F809E3" w:rsidRPr="00F809E3" w:rsidRDefault="00F809E3" w:rsidP="00F809E3">
      <w:pPr>
        <w:pStyle w:val="NoSpacing"/>
        <w:rPr>
          <w:rFonts w:cstheme="minorHAnsi"/>
        </w:rPr>
      </w:pPr>
      <w:r w:rsidRPr="00F809E3">
        <w:rPr>
          <w:rFonts w:cstheme="minorHAnsi"/>
        </w:rPr>
        <w:t>Conditional LSL is disclosed as a</w:t>
      </w:r>
      <w:r>
        <w:rPr>
          <w:rFonts w:cstheme="minorHAnsi"/>
        </w:rPr>
        <w:t xml:space="preserve"> </w:t>
      </w:r>
      <w:r w:rsidRPr="00F809E3">
        <w:rPr>
          <w:rFonts w:cstheme="minorHAnsi"/>
        </w:rPr>
        <w:t>non</w:t>
      </w:r>
      <w:r>
        <w:rPr>
          <w:rFonts w:cstheme="minorHAnsi"/>
        </w:rPr>
        <w:t xml:space="preserve">-current liability. There is an </w:t>
      </w:r>
      <w:r w:rsidRPr="00F809E3">
        <w:rPr>
          <w:rFonts w:cstheme="minorHAnsi"/>
        </w:rPr>
        <w:t>unconditional right to defer the settlement</w:t>
      </w:r>
      <w:r>
        <w:rPr>
          <w:rFonts w:cstheme="minorHAnsi"/>
        </w:rPr>
        <w:t xml:space="preserve"> </w:t>
      </w:r>
      <w:r w:rsidRPr="00F809E3">
        <w:rPr>
          <w:rFonts w:cstheme="minorHAnsi"/>
        </w:rPr>
        <w:t>of the entitlement until the employee</w:t>
      </w:r>
      <w:r>
        <w:rPr>
          <w:rFonts w:cstheme="minorHAnsi"/>
        </w:rPr>
        <w:t xml:space="preserve"> </w:t>
      </w:r>
      <w:r w:rsidRPr="00F809E3">
        <w:rPr>
          <w:rFonts w:cstheme="minorHAnsi"/>
        </w:rPr>
        <w:t>has completed the requisite years of</w:t>
      </w:r>
      <w:r>
        <w:rPr>
          <w:rFonts w:cstheme="minorHAnsi"/>
        </w:rPr>
        <w:t xml:space="preserve"> </w:t>
      </w:r>
      <w:r w:rsidRPr="00F809E3">
        <w:rPr>
          <w:rFonts w:cstheme="minorHAnsi"/>
        </w:rPr>
        <w:t>service. Th</w:t>
      </w:r>
      <w:r>
        <w:rPr>
          <w:rFonts w:cstheme="minorHAnsi"/>
        </w:rPr>
        <w:t xml:space="preserve">is non-current LSL liability is </w:t>
      </w:r>
      <w:r w:rsidRPr="00F809E3">
        <w:rPr>
          <w:rFonts w:cstheme="minorHAnsi"/>
        </w:rPr>
        <w:t>measure</w:t>
      </w:r>
      <w:r>
        <w:rPr>
          <w:rFonts w:cstheme="minorHAnsi"/>
        </w:rPr>
        <w:t xml:space="preserve">d at present value. Any gain or </w:t>
      </w:r>
      <w:r w:rsidRPr="00F809E3">
        <w:rPr>
          <w:rFonts w:cstheme="minorHAnsi"/>
        </w:rPr>
        <w:t>loss follo</w:t>
      </w:r>
      <w:r>
        <w:rPr>
          <w:rFonts w:cstheme="minorHAnsi"/>
        </w:rPr>
        <w:t xml:space="preserve">wing revaluation of the present </w:t>
      </w:r>
      <w:r w:rsidRPr="00F809E3">
        <w:rPr>
          <w:rFonts w:cstheme="minorHAnsi"/>
        </w:rPr>
        <w:t xml:space="preserve">value </w:t>
      </w:r>
      <w:r>
        <w:rPr>
          <w:rFonts w:cstheme="minorHAnsi"/>
        </w:rPr>
        <w:t xml:space="preserve">of non-current LSL liability is </w:t>
      </w:r>
      <w:r w:rsidRPr="00F809E3">
        <w:rPr>
          <w:rFonts w:cstheme="minorHAnsi"/>
        </w:rPr>
        <w:t>recogni</w:t>
      </w:r>
      <w:r>
        <w:rPr>
          <w:rFonts w:cstheme="minorHAnsi"/>
        </w:rPr>
        <w:t xml:space="preserve">sed as a transaction, except to </w:t>
      </w:r>
      <w:r w:rsidRPr="00F809E3">
        <w:rPr>
          <w:rFonts w:cstheme="minorHAnsi"/>
        </w:rPr>
        <w:t>the extent</w:t>
      </w:r>
      <w:r>
        <w:rPr>
          <w:rFonts w:cstheme="minorHAnsi"/>
        </w:rPr>
        <w:t xml:space="preserve"> that a gain or loss arises due </w:t>
      </w:r>
      <w:r w:rsidRPr="00F809E3">
        <w:rPr>
          <w:rFonts w:cstheme="minorHAnsi"/>
        </w:rPr>
        <w:t>to change</w:t>
      </w:r>
      <w:r>
        <w:rPr>
          <w:rFonts w:cstheme="minorHAnsi"/>
        </w:rPr>
        <w:t xml:space="preserve">s in bond interest for which it </w:t>
      </w:r>
      <w:r w:rsidRPr="00F809E3">
        <w:rPr>
          <w:rFonts w:cstheme="minorHAnsi"/>
        </w:rPr>
        <w:t xml:space="preserve">is then </w:t>
      </w:r>
      <w:r>
        <w:rPr>
          <w:rFonts w:cstheme="minorHAnsi"/>
        </w:rPr>
        <w:t xml:space="preserve">recognised as an other economic </w:t>
      </w:r>
      <w:r w:rsidRPr="00F809E3">
        <w:rPr>
          <w:rFonts w:cstheme="minorHAnsi"/>
        </w:rPr>
        <w:t xml:space="preserve">flow. The discount </w:t>
      </w:r>
      <w:r>
        <w:rPr>
          <w:rFonts w:cstheme="minorHAnsi"/>
        </w:rPr>
        <w:t xml:space="preserve">rate applied is as </w:t>
      </w:r>
      <w:r w:rsidRPr="00F809E3">
        <w:rPr>
          <w:rFonts w:cstheme="minorHAnsi"/>
        </w:rPr>
        <w:t>advised by the Minister of Finance.</w:t>
      </w:r>
    </w:p>
    <w:p w:rsidR="00F809E3" w:rsidRPr="00F809E3" w:rsidRDefault="00F809E3" w:rsidP="00F809E3">
      <w:pPr>
        <w:pStyle w:val="NoSpacing"/>
        <w:rPr>
          <w:rFonts w:cstheme="minorHAnsi"/>
        </w:rPr>
      </w:pPr>
      <w:r w:rsidRPr="00F809E3">
        <w:rPr>
          <w:rFonts w:cstheme="minorHAnsi"/>
        </w:rPr>
        <w:t xml:space="preserve">Provision for on-costs </w:t>
      </w:r>
      <w:r>
        <w:rPr>
          <w:rFonts w:cstheme="minorHAnsi"/>
        </w:rPr>
        <w:t xml:space="preserve">such as </w:t>
      </w:r>
      <w:r w:rsidRPr="00F809E3">
        <w:rPr>
          <w:rFonts w:cstheme="minorHAnsi"/>
        </w:rPr>
        <w:t>pa</w:t>
      </w:r>
      <w:r>
        <w:rPr>
          <w:rFonts w:cstheme="minorHAnsi"/>
        </w:rPr>
        <w:t xml:space="preserve">yroll tax, workers compensation </w:t>
      </w:r>
      <w:r w:rsidRPr="00F809E3">
        <w:rPr>
          <w:rFonts w:cstheme="minorHAnsi"/>
        </w:rPr>
        <w:t>an</w:t>
      </w:r>
      <w:r>
        <w:rPr>
          <w:rFonts w:cstheme="minorHAnsi"/>
        </w:rPr>
        <w:t xml:space="preserve">d superannuation are recognised </w:t>
      </w:r>
      <w:r w:rsidRPr="00F809E3">
        <w:rPr>
          <w:rFonts w:cstheme="minorHAnsi"/>
        </w:rPr>
        <w:t>s</w:t>
      </w:r>
      <w:r>
        <w:rPr>
          <w:rFonts w:cstheme="minorHAnsi"/>
        </w:rPr>
        <w:t xml:space="preserve">eparately from the provision of </w:t>
      </w:r>
      <w:r w:rsidRPr="00F809E3">
        <w:rPr>
          <w:rFonts w:cstheme="minorHAnsi"/>
        </w:rPr>
        <w:t>employee benefits.</w:t>
      </w:r>
    </w:p>
    <w:p w:rsidR="00F809E3" w:rsidRDefault="00F809E3" w:rsidP="00F809E3">
      <w:pPr>
        <w:pStyle w:val="NoSpacing"/>
        <w:rPr>
          <w:rFonts w:cstheme="minorHAnsi"/>
          <w:b/>
          <w:bCs/>
        </w:rPr>
      </w:pPr>
    </w:p>
    <w:p w:rsidR="00F809E3" w:rsidRPr="00F809E3" w:rsidRDefault="00F809E3" w:rsidP="00D36BB2">
      <w:pPr>
        <w:pStyle w:val="Heading4"/>
      </w:pPr>
      <w:r w:rsidRPr="00F809E3">
        <w:t>Performance payments</w:t>
      </w:r>
    </w:p>
    <w:p w:rsidR="005E5585" w:rsidRDefault="005E5585" w:rsidP="00F809E3">
      <w:pPr>
        <w:pStyle w:val="NoSpacing"/>
        <w:rPr>
          <w:rFonts w:cstheme="minorHAnsi"/>
        </w:rPr>
      </w:pPr>
    </w:p>
    <w:p w:rsidR="00F809E3" w:rsidRPr="00F809E3" w:rsidRDefault="00F809E3" w:rsidP="00F809E3">
      <w:pPr>
        <w:pStyle w:val="NoSpacing"/>
        <w:rPr>
          <w:rFonts w:cstheme="minorHAnsi"/>
        </w:rPr>
      </w:pPr>
      <w:r w:rsidRPr="00F809E3">
        <w:rPr>
          <w:rFonts w:cstheme="minorHAnsi"/>
        </w:rPr>
        <w:t>Performance payments for Chis</w:t>
      </w:r>
      <w:r>
        <w:rPr>
          <w:rFonts w:cstheme="minorHAnsi"/>
        </w:rPr>
        <w:t xml:space="preserve">holm’s </w:t>
      </w:r>
      <w:r w:rsidRPr="00F809E3">
        <w:rPr>
          <w:rFonts w:cstheme="minorHAnsi"/>
        </w:rPr>
        <w:t>Ex</w:t>
      </w:r>
      <w:r>
        <w:rPr>
          <w:rFonts w:cstheme="minorHAnsi"/>
        </w:rPr>
        <w:t xml:space="preserve">ecutive Officers and Management </w:t>
      </w:r>
      <w:r w:rsidRPr="00F809E3">
        <w:rPr>
          <w:rFonts w:cstheme="minorHAnsi"/>
        </w:rPr>
        <w:t>a</w:t>
      </w:r>
      <w:r>
        <w:rPr>
          <w:rFonts w:cstheme="minorHAnsi"/>
        </w:rPr>
        <w:t xml:space="preserve">re based on a percentage of the </w:t>
      </w:r>
      <w:r w:rsidRPr="00F809E3">
        <w:rPr>
          <w:rFonts w:cstheme="minorHAnsi"/>
        </w:rPr>
        <w:t>annua</w:t>
      </w:r>
      <w:r>
        <w:rPr>
          <w:rFonts w:cstheme="minorHAnsi"/>
        </w:rPr>
        <w:t xml:space="preserve">l salary package provided under </w:t>
      </w:r>
      <w:r w:rsidRPr="00F809E3">
        <w:rPr>
          <w:rFonts w:cstheme="minorHAnsi"/>
        </w:rPr>
        <w:t>the cont</w:t>
      </w:r>
      <w:r>
        <w:rPr>
          <w:rFonts w:cstheme="minorHAnsi"/>
        </w:rPr>
        <w:t xml:space="preserve">ract of employment. A liability </w:t>
      </w:r>
      <w:r w:rsidRPr="00F809E3">
        <w:rPr>
          <w:rFonts w:cstheme="minorHAnsi"/>
        </w:rPr>
        <w:t>is pro</w:t>
      </w:r>
      <w:r>
        <w:rPr>
          <w:rFonts w:cstheme="minorHAnsi"/>
        </w:rPr>
        <w:t xml:space="preserve">vided for under the term of the </w:t>
      </w:r>
      <w:r w:rsidRPr="00F809E3">
        <w:rPr>
          <w:rFonts w:cstheme="minorHAnsi"/>
        </w:rPr>
        <w:t>contr</w:t>
      </w:r>
      <w:r>
        <w:rPr>
          <w:rFonts w:cstheme="minorHAnsi"/>
        </w:rPr>
        <w:t xml:space="preserve">acts at reporting date and paid </w:t>
      </w:r>
      <w:r w:rsidRPr="00F809E3">
        <w:rPr>
          <w:rFonts w:cstheme="minorHAnsi"/>
        </w:rPr>
        <w:t>out in the next financial year.</w:t>
      </w:r>
    </w:p>
    <w:p w:rsidR="00F809E3" w:rsidRDefault="00F809E3" w:rsidP="00F809E3">
      <w:pPr>
        <w:pStyle w:val="NoSpacing"/>
        <w:rPr>
          <w:rFonts w:cstheme="minorHAnsi"/>
          <w:b/>
          <w:bCs/>
        </w:rPr>
      </w:pPr>
    </w:p>
    <w:p w:rsidR="00F809E3" w:rsidRPr="00F809E3" w:rsidRDefault="00F809E3" w:rsidP="00D36BB2">
      <w:pPr>
        <w:pStyle w:val="Heading4"/>
      </w:pPr>
      <w:r w:rsidRPr="00F809E3">
        <w:t>3.2 Superannuation</w:t>
      </w:r>
    </w:p>
    <w:p w:rsidR="00F809E3" w:rsidRPr="00F809E3" w:rsidRDefault="00F809E3" w:rsidP="00F809E3">
      <w:pPr>
        <w:pStyle w:val="NoSpacing"/>
        <w:rPr>
          <w:rFonts w:cstheme="minorHAnsi"/>
        </w:rPr>
      </w:pPr>
      <w:r w:rsidRPr="00F809E3">
        <w:rPr>
          <w:rFonts w:cstheme="minorHAnsi"/>
        </w:rPr>
        <w:t>Chi</w:t>
      </w:r>
      <w:r>
        <w:rPr>
          <w:rFonts w:cstheme="minorHAnsi"/>
        </w:rPr>
        <w:t xml:space="preserve">sholm employees are entitled to </w:t>
      </w:r>
      <w:r w:rsidRPr="00F809E3">
        <w:rPr>
          <w:rFonts w:cstheme="minorHAnsi"/>
        </w:rPr>
        <w:t>recei</w:t>
      </w:r>
      <w:r>
        <w:rPr>
          <w:rFonts w:cstheme="minorHAnsi"/>
        </w:rPr>
        <w:t xml:space="preserve">ve superannuation contributions </w:t>
      </w:r>
      <w:r w:rsidRPr="00F809E3">
        <w:rPr>
          <w:rFonts w:cstheme="minorHAnsi"/>
        </w:rPr>
        <w:t>a</w:t>
      </w:r>
      <w:r>
        <w:rPr>
          <w:rFonts w:cstheme="minorHAnsi"/>
        </w:rPr>
        <w:t xml:space="preserve">nd Chisholm contributes to both </w:t>
      </w:r>
      <w:r w:rsidRPr="00F809E3">
        <w:rPr>
          <w:rFonts w:cstheme="minorHAnsi"/>
        </w:rPr>
        <w:t>d</w:t>
      </w:r>
      <w:r>
        <w:rPr>
          <w:rFonts w:cstheme="minorHAnsi"/>
        </w:rPr>
        <w:t xml:space="preserve">efined benefit and accumulation </w:t>
      </w:r>
      <w:r w:rsidRPr="00F809E3">
        <w:rPr>
          <w:rFonts w:cstheme="minorHAnsi"/>
        </w:rPr>
        <w:t>contribution plans.</w:t>
      </w:r>
    </w:p>
    <w:p w:rsidR="00F809E3" w:rsidRPr="00F809E3" w:rsidRDefault="00F809E3" w:rsidP="00F809E3">
      <w:pPr>
        <w:pStyle w:val="NoSpacing"/>
        <w:rPr>
          <w:rFonts w:cstheme="minorHAnsi"/>
        </w:rPr>
      </w:pPr>
      <w:r>
        <w:rPr>
          <w:rFonts w:cstheme="minorHAnsi"/>
        </w:rPr>
        <w:t xml:space="preserve">Chisholm does not recognise any </w:t>
      </w:r>
      <w:r w:rsidRPr="00F809E3">
        <w:rPr>
          <w:rFonts w:cstheme="minorHAnsi"/>
        </w:rPr>
        <w:t xml:space="preserve">defined </w:t>
      </w:r>
      <w:r>
        <w:rPr>
          <w:rFonts w:cstheme="minorHAnsi"/>
        </w:rPr>
        <w:t xml:space="preserve">benefit liability in respect of </w:t>
      </w:r>
      <w:r w:rsidRPr="00F809E3">
        <w:rPr>
          <w:rFonts w:cstheme="minorHAnsi"/>
        </w:rPr>
        <w:t>the p</w:t>
      </w:r>
      <w:r>
        <w:rPr>
          <w:rFonts w:cstheme="minorHAnsi"/>
        </w:rPr>
        <w:t xml:space="preserve">lan(s) because the entity has </w:t>
      </w:r>
      <w:r w:rsidRPr="00F809E3">
        <w:rPr>
          <w:rFonts w:cstheme="minorHAnsi"/>
        </w:rPr>
        <w:t>no l</w:t>
      </w:r>
      <w:r>
        <w:rPr>
          <w:rFonts w:cstheme="minorHAnsi"/>
        </w:rPr>
        <w:t xml:space="preserve">egal or constructive obligation </w:t>
      </w:r>
      <w:r w:rsidRPr="00F809E3">
        <w:rPr>
          <w:rFonts w:cstheme="minorHAnsi"/>
        </w:rPr>
        <w:t xml:space="preserve">to pay </w:t>
      </w:r>
      <w:r>
        <w:rPr>
          <w:rFonts w:cstheme="minorHAnsi"/>
        </w:rPr>
        <w:t xml:space="preserve">future benefits relating to its </w:t>
      </w:r>
      <w:r w:rsidRPr="00F809E3">
        <w:rPr>
          <w:rFonts w:cstheme="minorHAnsi"/>
        </w:rPr>
        <w:t>emplo</w:t>
      </w:r>
      <w:r>
        <w:rPr>
          <w:rFonts w:cstheme="minorHAnsi"/>
        </w:rPr>
        <w:t xml:space="preserve">yees; its only obligation is to </w:t>
      </w:r>
      <w:r w:rsidRPr="00F809E3">
        <w:rPr>
          <w:rFonts w:cstheme="minorHAnsi"/>
        </w:rPr>
        <w:t>p</w:t>
      </w:r>
      <w:r>
        <w:rPr>
          <w:rFonts w:cstheme="minorHAnsi"/>
        </w:rPr>
        <w:t xml:space="preserve">ay superannuation contributions </w:t>
      </w:r>
      <w:r w:rsidRPr="00F809E3">
        <w:rPr>
          <w:rFonts w:cstheme="minorHAnsi"/>
        </w:rPr>
        <w:t>as they fall due. The Department of</w:t>
      </w:r>
    </w:p>
    <w:p w:rsidR="00F809E3" w:rsidRPr="00F809E3" w:rsidRDefault="00F809E3" w:rsidP="00F809E3">
      <w:pPr>
        <w:pStyle w:val="NoSpacing"/>
        <w:rPr>
          <w:rFonts w:cstheme="minorHAnsi"/>
        </w:rPr>
      </w:pPr>
      <w:r w:rsidRPr="00F809E3">
        <w:rPr>
          <w:rFonts w:cstheme="minorHAnsi"/>
        </w:rPr>
        <w:lastRenderedPageBreak/>
        <w:t>Trea</w:t>
      </w:r>
      <w:r>
        <w:rPr>
          <w:rFonts w:cstheme="minorHAnsi"/>
        </w:rPr>
        <w:t xml:space="preserve">sury and Finance recognises and </w:t>
      </w:r>
      <w:r w:rsidRPr="00F809E3">
        <w:rPr>
          <w:rFonts w:cstheme="minorHAnsi"/>
        </w:rPr>
        <w:t>discloses</w:t>
      </w:r>
      <w:r>
        <w:rPr>
          <w:rFonts w:cstheme="minorHAnsi"/>
        </w:rPr>
        <w:t xml:space="preserve"> the State’s defined benefit </w:t>
      </w:r>
      <w:r w:rsidRPr="00F809E3">
        <w:rPr>
          <w:rFonts w:cstheme="minorHAnsi"/>
        </w:rPr>
        <w:t>liabilities in its financial statements.</w:t>
      </w:r>
    </w:p>
    <w:p w:rsidR="00F809E3" w:rsidRDefault="00F809E3" w:rsidP="00F809E3">
      <w:pPr>
        <w:pStyle w:val="NoSpacing"/>
        <w:rPr>
          <w:rFonts w:cstheme="minorHAnsi"/>
        </w:rPr>
      </w:pPr>
      <w:r w:rsidRPr="00F809E3">
        <w:rPr>
          <w:rFonts w:cstheme="minorHAnsi"/>
        </w:rPr>
        <w:t>Howeve</w:t>
      </w:r>
      <w:r>
        <w:rPr>
          <w:rFonts w:cstheme="minorHAnsi"/>
        </w:rPr>
        <w:t xml:space="preserve">r, superannuation contributions </w:t>
      </w:r>
      <w:r w:rsidRPr="00F809E3">
        <w:rPr>
          <w:rFonts w:cstheme="minorHAnsi"/>
        </w:rPr>
        <w:t>paid or p</w:t>
      </w:r>
      <w:r>
        <w:rPr>
          <w:rFonts w:cstheme="minorHAnsi"/>
        </w:rPr>
        <w:t xml:space="preserve">ayable for the reporting period </w:t>
      </w:r>
      <w:r w:rsidRPr="00F809E3">
        <w:rPr>
          <w:rFonts w:cstheme="minorHAnsi"/>
        </w:rPr>
        <w:t>are includ</w:t>
      </w:r>
      <w:r>
        <w:rPr>
          <w:rFonts w:cstheme="minorHAnsi"/>
        </w:rPr>
        <w:t xml:space="preserve">ed as part of employee benefits </w:t>
      </w:r>
      <w:r w:rsidRPr="00F809E3">
        <w:rPr>
          <w:rFonts w:cstheme="minorHAnsi"/>
        </w:rPr>
        <w:t>in the comprehensive income statement.</w:t>
      </w:r>
    </w:p>
    <w:p w:rsidR="00F809E3" w:rsidRDefault="00F809E3" w:rsidP="00F809E3">
      <w:pPr>
        <w:pStyle w:val="NoSpacing"/>
        <w:rPr>
          <w:rFonts w:cstheme="minorHAnsi"/>
        </w:rPr>
      </w:pPr>
    </w:p>
    <w:p w:rsidR="0026376E" w:rsidRDefault="0026376E" w:rsidP="00F809E3">
      <w:pPr>
        <w:pStyle w:val="NoSpacing"/>
        <w:sectPr w:rsidR="0026376E">
          <w:pgSz w:w="11906" w:h="16838"/>
          <w:pgMar w:top="1440" w:right="1440" w:bottom="1440" w:left="1440" w:header="708" w:footer="708" w:gutter="0"/>
          <w:cols w:space="708"/>
          <w:docGrid w:linePitch="360"/>
        </w:sectPr>
      </w:pPr>
    </w:p>
    <w:p w:rsidR="00F809E3" w:rsidRDefault="00F809E3" w:rsidP="00F809E3">
      <w:pPr>
        <w:pStyle w:val="NoSpacing"/>
      </w:pPr>
      <w:r w:rsidRPr="00F809E3">
        <w:lastRenderedPageBreak/>
        <w:t xml:space="preserve">The name and details of the major employee superannuation funds and contributions made </w:t>
      </w:r>
      <w:r w:rsidRPr="0026376E">
        <w:t>by Chisholm are as follows</w:t>
      </w:r>
      <w:r w:rsidRPr="00F809E3">
        <w:t>:</w:t>
      </w:r>
    </w:p>
    <w:p w:rsidR="0026376E" w:rsidRDefault="0026376E" w:rsidP="00F809E3">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134"/>
        <w:gridCol w:w="1276"/>
      </w:tblGrid>
      <w:tr w:rsidR="0026376E" w:rsidRPr="00AE2D8D" w:rsidTr="00DE1A91">
        <w:tc>
          <w:tcPr>
            <w:tcW w:w="2693" w:type="dxa"/>
            <w:gridSpan w:val="2"/>
          </w:tcPr>
          <w:p w:rsidR="0026376E" w:rsidRPr="00AE2D8D" w:rsidRDefault="0026376E"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26376E" w:rsidRPr="00AE2D8D" w:rsidRDefault="0026376E" w:rsidP="00DE1A91">
            <w:pPr>
              <w:pStyle w:val="NoSpacing"/>
              <w:jc w:val="center"/>
              <w:rPr>
                <w:rFonts w:cstheme="minorHAnsi"/>
                <w:bCs/>
                <w:w w:val="105"/>
              </w:rPr>
            </w:pPr>
            <w:r w:rsidRPr="00AE2D8D">
              <w:rPr>
                <w:rFonts w:cstheme="minorHAnsi"/>
                <w:bCs/>
                <w:w w:val="105"/>
              </w:rPr>
              <w:t>Chisholm</w:t>
            </w:r>
          </w:p>
        </w:tc>
      </w:tr>
      <w:tr w:rsidR="0026376E" w:rsidRPr="00AE2D8D" w:rsidTr="00DE1A91">
        <w:tc>
          <w:tcPr>
            <w:tcW w:w="1417" w:type="dxa"/>
          </w:tcPr>
          <w:p w:rsidR="0026376E" w:rsidRPr="00AE2D8D" w:rsidRDefault="0026376E" w:rsidP="00DE1A91">
            <w:pPr>
              <w:pStyle w:val="NoSpacing"/>
              <w:jc w:val="right"/>
              <w:rPr>
                <w:rFonts w:cstheme="minorHAnsi"/>
                <w:bCs/>
                <w:w w:val="105"/>
              </w:rPr>
            </w:pPr>
            <w:r w:rsidRPr="00AE2D8D">
              <w:rPr>
                <w:rFonts w:cstheme="minorHAnsi"/>
                <w:bCs/>
                <w:w w:val="105"/>
              </w:rPr>
              <w:t>2017</w:t>
            </w:r>
          </w:p>
        </w:tc>
        <w:tc>
          <w:tcPr>
            <w:tcW w:w="1276" w:type="dxa"/>
          </w:tcPr>
          <w:p w:rsidR="0026376E" w:rsidRPr="00AE2D8D" w:rsidRDefault="0026376E" w:rsidP="00DE1A91">
            <w:pPr>
              <w:pStyle w:val="NoSpacing"/>
              <w:jc w:val="right"/>
              <w:rPr>
                <w:rFonts w:cstheme="minorHAnsi"/>
                <w:bCs/>
                <w:w w:val="105"/>
              </w:rPr>
            </w:pPr>
            <w:r w:rsidRPr="00AE2D8D">
              <w:rPr>
                <w:rFonts w:cstheme="minorHAnsi"/>
                <w:bCs/>
                <w:w w:val="105"/>
              </w:rPr>
              <w:t>2016</w:t>
            </w:r>
          </w:p>
        </w:tc>
        <w:tc>
          <w:tcPr>
            <w:tcW w:w="1134" w:type="dxa"/>
          </w:tcPr>
          <w:p w:rsidR="0026376E" w:rsidRPr="00AE2D8D" w:rsidRDefault="0026376E" w:rsidP="00DE1A91">
            <w:pPr>
              <w:pStyle w:val="NoSpacing"/>
              <w:jc w:val="right"/>
              <w:rPr>
                <w:rFonts w:cstheme="minorHAnsi"/>
                <w:bCs/>
                <w:w w:val="105"/>
              </w:rPr>
            </w:pPr>
            <w:r w:rsidRPr="00AE2D8D">
              <w:rPr>
                <w:rFonts w:cstheme="minorHAnsi"/>
                <w:bCs/>
                <w:w w:val="105"/>
              </w:rPr>
              <w:t>2017</w:t>
            </w:r>
          </w:p>
        </w:tc>
        <w:tc>
          <w:tcPr>
            <w:tcW w:w="1276" w:type="dxa"/>
          </w:tcPr>
          <w:p w:rsidR="0026376E" w:rsidRPr="00AE2D8D" w:rsidRDefault="0026376E" w:rsidP="00DE1A91">
            <w:pPr>
              <w:pStyle w:val="NoSpacing"/>
              <w:jc w:val="right"/>
              <w:rPr>
                <w:rFonts w:cstheme="minorHAnsi"/>
                <w:bCs/>
                <w:w w:val="105"/>
              </w:rPr>
            </w:pPr>
            <w:r w:rsidRPr="00AE2D8D">
              <w:rPr>
                <w:rFonts w:cstheme="minorHAnsi"/>
                <w:bCs/>
                <w:w w:val="105"/>
              </w:rPr>
              <w:t>2016</w:t>
            </w:r>
          </w:p>
        </w:tc>
      </w:tr>
      <w:tr w:rsidR="0026376E" w:rsidRPr="00AE2D8D" w:rsidTr="00DE1A91">
        <w:tc>
          <w:tcPr>
            <w:tcW w:w="1417" w:type="dxa"/>
          </w:tcPr>
          <w:p w:rsidR="0026376E" w:rsidRPr="00AE2D8D" w:rsidRDefault="0026376E" w:rsidP="00DE1A91">
            <w:pPr>
              <w:jc w:val="right"/>
              <w:rPr>
                <w:rFonts w:cstheme="minorHAnsi"/>
              </w:rPr>
            </w:pPr>
            <w:r w:rsidRPr="00AE2D8D">
              <w:rPr>
                <w:rFonts w:cstheme="minorHAnsi"/>
                <w:bCs/>
                <w:w w:val="105"/>
              </w:rPr>
              <w:t>$’000</w:t>
            </w:r>
          </w:p>
        </w:tc>
        <w:tc>
          <w:tcPr>
            <w:tcW w:w="1276" w:type="dxa"/>
          </w:tcPr>
          <w:p w:rsidR="0026376E" w:rsidRPr="00AE2D8D" w:rsidRDefault="0026376E" w:rsidP="00DE1A91">
            <w:pPr>
              <w:jc w:val="right"/>
              <w:rPr>
                <w:rFonts w:cstheme="minorHAnsi"/>
              </w:rPr>
            </w:pPr>
            <w:r w:rsidRPr="00AE2D8D">
              <w:rPr>
                <w:rFonts w:cstheme="minorHAnsi"/>
                <w:bCs/>
                <w:w w:val="105"/>
              </w:rPr>
              <w:t>$’000</w:t>
            </w:r>
          </w:p>
        </w:tc>
        <w:tc>
          <w:tcPr>
            <w:tcW w:w="1134" w:type="dxa"/>
          </w:tcPr>
          <w:p w:rsidR="0026376E" w:rsidRPr="00AE2D8D" w:rsidRDefault="0026376E" w:rsidP="00DE1A91">
            <w:pPr>
              <w:jc w:val="right"/>
              <w:rPr>
                <w:rFonts w:cstheme="minorHAnsi"/>
              </w:rPr>
            </w:pPr>
            <w:r w:rsidRPr="00AE2D8D">
              <w:rPr>
                <w:rFonts w:cstheme="minorHAnsi"/>
                <w:bCs/>
                <w:w w:val="105"/>
              </w:rPr>
              <w:t>$’000</w:t>
            </w:r>
          </w:p>
        </w:tc>
        <w:tc>
          <w:tcPr>
            <w:tcW w:w="1276" w:type="dxa"/>
          </w:tcPr>
          <w:p w:rsidR="0026376E" w:rsidRPr="00AE2D8D" w:rsidRDefault="0026376E" w:rsidP="00DE1A91">
            <w:pPr>
              <w:pStyle w:val="NoSpacing"/>
              <w:jc w:val="right"/>
              <w:rPr>
                <w:rFonts w:cstheme="minorHAnsi"/>
                <w:bCs/>
                <w:w w:val="105"/>
              </w:rPr>
            </w:pPr>
            <w:r w:rsidRPr="00AE2D8D">
              <w:rPr>
                <w:rFonts w:cstheme="minorHAnsi"/>
                <w:bCs/>
                <w:w w:val="105"/>
              </w:rPr>
              <w:t>$’000</w:t>
            </w:r>
          </w:p>
        </w:tc>
      </w:tr>
    </w:tbl>
    <w:p w:rsidR="0026376E" w:rsidRDefault="0026376E" w:rsidP="00F809E3">
      <w:pPr>
        <w:pStyle w:val="NoSpacing"/>
      </w:pPr>
      <w:r>
        <w:t>Paid contribution for the year</w:t>
      </w:r>
    </w:p>
    <w:p w:rsidR="0026376E" w:rsidRDefault="0026376E" w:rsidP="00F809E3">
      <w:pPr>
        <w:pStyle w:val="NoSpacing"/>
      </w:pPr>
      <w:r>
        <w:t>Defined benefit plans:</w:t>
      </w:r>
    </w:p>
    <w:tbl>
      <w:tblPr>
        <w:tblStyle w:val="TableGrid"/>
        <w:tblW w:w="0" w:type="auto"/>
        <w:tblLook w:val="04A0" w:firstRow="1" w:lastRow="0" w:firstColumn="1" w:lastColumn="0" w:noHBand="0" w:noVBand="1"/>
      </w:tblPr>
      <w:tblGrid>
        <w:gridCol w:w="8784"/>
        <w:gridCol w:w="1417"/>
        <w:gridCol w:w="1276"/>
        <w:gridCol w:w="1134"/>
        <w:gridCol w:w="1276"/>
      </w:tblGrid>
      <w:tr w:rsidR="0026376E" w:rsidTr="00DE1A91">
        <w:tc>
          <w:tcPr>
            <w:tcW w:w="8784" w:type="dxa"/>
          </w:tcPr>
          <w:p w:rsidR="0026376E" w:rsidRDefault="0026376E" w:rsidP="00DE1A91">
            <w:pPr>
              <w:pStyle w:val="NoSpacing"/>
            </w:pPr>
            <w:r>
              <w:t>State Superannuation Fund – revised and new</w:t>
            </w:r>
          </w:p>
        </w:tc>
        <w:tc>
          <w:tcPr>
            <w:tcW w:w="1417" w:type="dxa"/>
          </w:tcPr>
          <w:p w:rsidR="0026376E" w:rsidRDefault="0026376E" w:rsidP="00DE1A91">
            <w:pPr>
              <w:pStyle w:val="NoSpacing"/>
              <w:jc w:val="right"/>
            </w:pPr>
            <w:r>
              <w:t>284</w:t>
            </w:r>
          </w:p>
        </w:tc>
        <w:tc>
          <w:tcPr>
            <w:tcW w:w="1276" w:type="dxa"/>
          </w:tcPr>
          <w:p w:rsidR="0026376E" w:rsidRDefault="0026376E" w:rsidP="00DE1A91">
            <w:pPr>
              <w:pStyle w:val="NoSpacing"/>
              <w:jc w:val="right"/>
            </w:pPr>
            <w:r>
              <w:t>297</w:t>
            </w:r>
          </w:p>
        </w:tc>
        <w:tc>
          <w:tcPr>
            <w:tcW w:w="1134" w:type="dxa"/>
          </w:tcPr>
          <w:p w:rsidR="0026376E" w:rsidRDefault="0026376E" w:rsidP="00DE1A91">
            <w:pPr>
              <w:pStyle w:val="NoSpacing"/>
              <w:jc w:val="right"/>
            </w:pPr>
            <w:r>
              <w:t>284</w:t>
            </w:r>
          </w:p>
        </w:tc>
        <w:tc>
          <w:tcPr>
            <w:tcW w:w="1276" w:type="dxa"/>
          </w:tcPr>
          <w:p w:rsidR="0026376E" w:rsidRDefault="0026376E" w:rsidP="00DE1A91">
            <w:pPr>
              <w:pStyle w:val="NoSpacing"/>
              <w:jc w:val="right"/>
            </w:pPr>
            <w:r>
              <w:t>297</w:t>
            </w:r>
          </w:p>
        </w:tc>
      </w:tr>
      <w:tr w:rsidR="0026376E" w:rsidTr="00DE1A91">
        <w:tc>
          <w:tcPr>
            <w:tcW w:w="8784" w:type="dxa"/>
          </w:tcPr>
          <w:p w:rsidR="0026376E" w:rsidRDefault="0026376E" w:rsidP="00DE1A91">
            <w:pPr>
              <w:pStyle w:val="NoSpacing"/>
            </w:pPr>
            <w:r>
              <w:t>Total defined benefit plans</w:t>
            </w:r>
          </w:p>
        </w:tc>
        <w:tc>
          <w:tcPr>
            <w:tcW w:w="1417" w:type="dxa"/>
          </w:tcPr>
          <w:p w:rsidR="0026376E" w:rsidRDefault="0026376E" w:rsidP="00DE1A91">
            <w:pPr>
              <w:pStyle w:val="NoSpacing"/>
              <w:jc w:val="right"/>
            </w:pPr>
            <w:r>
              <w:t>284</w:t>
            </w:r>
          </w:p>
        </w:tc>
        <w:tc>
          <w:tcPr>
            <w:tcW w:w="1276" w:type="dxa"/>
          </w:tcPr>
          <w:p w:rsidR="0026376E" w:rsidRDefault="0026376E" w:rsidP="00DE1A91">
            <w:pPr>
              <w:pStyle w:val="NoSpacing"/>
              <w:jc w:val="right"/>
            </w:pPr>
            <w:r>
              <w:t>297</w:t>
            </w:r>
          </w:p>
        </w:tc>
        <w:tc>
          <w:tcPr>
            <w:tcW w:w="1134" w:type="dxa"/>
          </w:tcPr>
          <w:p w:rsidR="0026376E" w:rsidRDefault="0026376E" w:rsidP="00DE1A91">
            <w:pPr>
              <w:pStyle w:val="NoSpacing"/>
              <w:jc w:val="right"/>
            </w:pPr>
            <w:r>
              <w:t>284</w:t>
            </w:r>
          </w:p>
        </w:tc>
        <w:tc>
          <w:tcPr>
            <w:tcW w:w="1276" w:type="dxa"/>
          </w:tcPr>
          <w:p w:rsidR="0026376E" w:rsidRDefault="0026376E" w:rsidP="00DE1A91">
            <w:pPr>
              <w:pStyle w:val="NoSpacing"/>
              <w:jc w:val="right"/>
            </w:pPr>
            <w:r>
              <w:t>297</w:t>
            </w:r>
          </w:p>
        </w:tc>
      </w:tr>
    </w:tbl>
    <w:p w:rsidR="0026376E" w:rsidRDefault="0026376E" w:rsidP="00F809E3">
      <w:pPr>
        <w:pStyle w:val="NoSpacing"/>
      </w:pPr>
    </w:p>
    <w:p w:rsidR="0026376E" w:rsidRDefault="0026376E" w:rsidP="0026376E">
      <w:pPr>
        <w:pStyle w:val="NoSpacing"/>
      </w:pPr>
      <w:r>
        <w:t>Accumulation contribution plans:</w:t>
      </w:r>
    </w:p>
    <w:tbl>
      <w:tblPr>
        <w:tblStyle w:val="TableGrid"/>
        <w:tblW w:w="0" w:type="auto"/>
        <w:tblLook w:val="04A0" w:firstRow="1" w:lastRow="0" w:firstColumn="1" w:lastColumn="0" w:noHBand="0" w:noVBand="1"/>
      </w:tblPr>
      <w:tblGrid>
        <w:gridCol w:w="8784"/>
        <w:gridCol w:w="1417"/>
        <w:gridCol w:w="1276"/>
        <w:gridCol w:w="1134"/>
        <w:gridCol w:w="1276"/>
      </w:tblGrid>
      <w:tr w:rsidR="0026376E" w:rsidTr="00DE1A91">
        <w:tc>
          <w:tcPr>
            <w:tcW w:w="8784" w:type="dxa"/>
          </w:tcPr>
          <w:p w:rsidR="0026376E" w:rsidRDefault="0026376E" w:rsidP="00DE1A91">
            <w:pPr>
              <w:pStyle w:val="NoSpacing"/>
            </w:pPr>
            <w:r>
              <w:t>VicSuper</w:t>
            </w:r>
          </w:p>
        </w:tc>
        <w:tc>
          <w:tcPr>
            <w:tcW w:w="1417" w:type="dxa"/>
          </w:tcPr>
          <w:p w:rsidR="0026376E" w:rsidRDefault="0026376E" w:rsidP="00DE1A91">
            <w:pPr>
              <w:pStyle w:val="NoSpacing"/>
              <w:jc w:val="right"/>
            </w:pPr>
            <w:r>
              <w:t>2,736</w:t>
            </w:r>
          </w:p>
        </w:tc>
        <w:tc>
          <w:tcPr>
            <w:tcW w:w="1276" w:type="dxa"/>
          </w:tcPr>
          <w:p w:rsidR="0026376E" w:rsidRDefault="0026376E" w:rsidP="00DE1A91">
            <w:pPr>
              <w:pStyle w:val="NoSpacing"/>
              <w:jc w:val="right"/>
            </w:pPr>
            <w:r>
              <w:t>2,824</w:t>
            </w:r>
          </w:p>
        </w:tc>
        <w:tc>
          <w:tcPr>
            <w:tcW w:w="1134" w:type="dxa"/>
          </w:tcPr>
          <w:p w:rsidR="0026376E" w:rsidRDefault="0026376E" w:rsidP="00DE1A91">
            <w:pPr>
              <w:pStyle w:val="NoSpacing"/>
              <w:jc w:val="right"/>
            </w:pPr>
            <w:r>
              <w:t>2,650</w:t>
            </w:r>
          </w:p>
        </w:tc>
        <w:tc>
          <w:tcPr>
            <w:tcW w:w="1276" w:type="dxa"/>
          </w:tcPr>
          <w:p w:rsidR="0026376E" w:rsidRDefault="0026376E" w:rsidP="00DE1A91">
            <w:pPr>
              <w:pStyle w:val="NoSpacing"/>
              <w:jc w:val="right"/>
            </w:pPr>
            <w:r>
              <w:t>2,735</w:t>
            </w:r>
          </w:p>
        </w:tc>
      </w:tr>
      <w:tr w:rsidR="0026376E" w:rsidTr="00DE1A91">
        <w:tc>
          <w:tcPr>
            <w:tcW w:w="8784" w:type="dxa"/>
          </w:tcPr>
          <w:p w:rsidR="0026376E" w:rsidRDefault="0026376E" w:rsidP="00DE1A91">
            <w:pPr>
              <w:pStyle w:val="NoSpacing"/>
            </w:pPr>
            <w:r>
              <w:t>Other</w:t>
            </w:r>
          </w:p>
        </w:tc>
        <w:tc>
          <w:tcPr>
            <w:tcW w:w="1417" w:type="dxa"/>
          </w:tcPr>
          <w:p w:rsidR="0026376E" w:rsidRDefault="0026376E" w:rsidP="00DE1A91">
            <w:pPr>
              <w:pStyle w:val="NoSpacing"/>
              <w:jc w:val="right"/>
            </w:pPr>
            <w:r>
              <w:t>2,283</w:t>
            </w:r>
          </w:p>
        </w:tc>
        <w:tc>
          <w:tcPr>
            <w:tcW w:w="1276" w:type="dxa"/>
          </w:tcPr>
          <w:p w:rsidR="0026376E" w:rsidRDefault="0026376E" w:rsidP="00DE1A91">
            <w:pPr>
              <w:pStyle w:val="NoSpacing"/>
              <w:jc w:val="right"/>
            </w:pPr>
            <w:r>
              <w:t>2,079</w:t>
            </w:r>
          </w:p>
        </w:tc>
        <w:tc>
          <w:tcPr>
            <w:tcW w:w="1134" w:type="dxa"/>
          </w:tcPr>
          <w:p w:rsidR="0026376E" w:rsidRDefault="0026376E" w:rsidP="00DE1A91">
            <w:pPr>
              <w:pStyle w:val="NoSpacing"/>
              <w:jc w:val="right"/>
            </w:pPr>
            <w:r>
              <w:t>2,164</w:t>
            </w:r>
          </w:p>
        </w:tc>
        <w:tc>
          <w:tcPr>
            <w:tcW w:w="1276" w:type="dxa"/>
          </w:tcPr>
          <w:p w:rsidR="0026376E" w:rsidRDefault="0026376E" w:rsidP="00DE1A91">
            <w:pPr>
              <w:pStyle w:val="NoSpacing"/>
              <w:jc w:val="right"/>
            </w:pPr>
            <w:r>
              <w:t>1,933</w:t>
            </w:r>
          </w:p>
        </w:tc>
      </w:tr>
      <w:tr w:rsidR="0026376E" w:rsidTr="00DE1A91">
        <w:tc>
          <w:tcPr>
            <w:tcW w:w="8784" w:type="dxa"/>
          </w:tcPr>
          <w:p w:rsidR="0026376E" w:rsidRDefault="0026376E" w:rsidP="00DE1A91">
            <w:pPr>
              <w:pStyle w:val="NoSpacing"/>
            </w:pPr>
            <w:r>
              <w:t>Total accumulation contribution plans</w:t>
            </w:r>
          </w:p>
        </w:tc>
        <w:tc>
          <w:tcPr>
            <w:tcW w:w="1417" w:type="dxa"/>
          </w:tcPr>
          <w:p w:rsidR="0026376E" w:rsidRDefault="0026376E" w:rsidP="00DE1A91">
            <w:pPr>
              <w:pStyle w:val="NoSpacing"/>
              <w:jc w:val="right"/>
            </w:pPr>
            <w:r>
              <w:t>5,019</w:t>
            </w:r>
          </w:p>
        </w:tc>
        <w:tc>
          <w:tcPr>
            <w:tcW w:w="1276" w:type="dxa"/>
          </w:tcPr>
          <w:p w:rsidR="0026376E" w:rsidRDefault="0026376E" w:rsidP="00DE1A91">
            <w:pPr>
              <w:pStyle w:val="NoSpacing"/>
              <w:jc w:val="right"/>
            </w:pPr>
            <w:r>
              <w:t>4,903</w:t>
            </w:r>
          </w:p>
        </w:tc>
        <w:tc>
          <w:tcPr>
            <w:tcW w:w="1134" w:type="dxa"/>
          </w:tcPr>
          <w:p w:rsidR="0026376E" w:rsidRDefault="0026376E" w:rsidP="00DE1A91">
            <w:pPr>
              <w:pStyle w:val="NoSpacing"/>
              <w:jc w:val="right"/>
            </w:pPr>
            <w:r>
              <w:t>4,814</w:t>
            </w:r>
          </w:p>
        </w:tc>
        <w:tc>
          <w:tcPr>
            <w:tcW w:w="1276" w:type="dxa"/>
          </w:tcPr>
          <w:p w:rsidR="0026376E" w:rsidRDefault="0026376E" w:rsidP="00DE1A91">
            <w:pPr>
              <w:pStyle w:val="NoSpacing"/>
              <w:jc w:val="right"/>
            </w:pPr>
            <w:r>
              <w:t>4,668</w:t>
            </w:r>
          </w:p>
        </w:tc>
      </w:tr>
    </w:tbl>
    <w:p w:rsidR="0026376E" w:rsidRDefault="0026376E" w:rsidP="00F809E3">
      <w:pPr>
        <w:pStyle w:val="NoSpacing"/>
      </w:pPr>
    </w:p>
    <w:tbl>
      <w:tblPr>
        <w:tblStyle w:val="TableGrid"/>
        <w:tblW w:w="0" w:type="auto"/>
        <w:tblLook w:val="04A0" w:firstRow="1" w:lastRow="0" w:firstColumn="1" w:lastColumn="0" w:noHBand="0" w:noVBand="1"/>
      </w:tblPr>
      <w:tblGrid>
        <w:gridCol w:w="8784"/>
        <w:gridCol w:w="1417"/>
        <w:gridCol w:w="1276"/>
        <w:gridCol w:w="1134"/>
        <w:gridCol w:w="1276"/>
      </w:tblGrid>
      <w:tr w:rsidR="0026376E" w:rsidTr="00DE1A91">
        <w:tc>
          <w:tcPr>
            <w:tcW w:w="8784" w:type="dxa"/>
          </w:tcPr>
          <w:p w:rsidR="0026376E" w:rsidRDefault="0026376E" w:rsidP="00DE1A91">
            <w:pPr>
              <w:pStyle w:val="NoSpacing"/>
            </w:pPr>
            <w:r>
              <w:t>Total paid contribution for the year</w:t>
            </w:r>
          </w:p>
        </w:tc>
        <w:tc>
          <w:tcPr>
            <w:tcW w:w="1417" w:type="dxa"/>
          </w:tcPr>
          <w:p w:rsidR="0026376E" w:rsidRDefault="0026376E" w:rsidP="00DE1A91">
            <w:pPr>
              <w:pStyle w:val="NoSpacing"/>
              <w:jc w:val="right"/>
            </w:pPr>
            <w:r>
              <w:t>5,303</w:t>
            </w:r>
          </w:p>
        </w:tc>
        <w:tc>
          <w:tcPr>
            <w:tcW w:w="1276" w:type="dxa"/>
          </w:tcPr>
          <w:p w:rsidR="0026376E" w:rsidRDefault="0026376E" w:rsidP="00DE1A91">
            <w:pPr>
              <w:pStyle w:val="NoSpacing"/>
              <w:jc w:val="right"/>
            </w:pPr>
            <w:r>
              <w:t>5,200</w:t>
            </w:r>
          </w:p>
        </w:tc>
        <w:tc>
          <w:tcPr>
            <w:tcW w:w="1134" w:type="dxa"/>
          </w:tcPr>
          <w:p w:rsidR="0026376E" w:rsidRDefault="0026376E" w:rsidP="00DE1A91">
            <w:pPr>
              <w:pStyle w:val="NoSpacing"/>
              <w:jc w:val="right"/>
            </w:pPr>
            <w:r>
              <w:t>5,098</w:t>
            </w:r>
          </w:p>
        </w:tc>
        <w:tc>
          <w:tcPr>
            <w:tcW w:w="1276" w:type="dxa"/>
          </w:tcPr>
          <w:p w:rsidR="0026376E" w:rsidRDefault="0026376E" w:rsidP="00DE1A91">
            <w:pPr>
              <w:pStyle w:val="NoSpacing"/>
              <w:jc w:val="right"/>
            </w:pPr>
            <w:r>
              <w:t>4,965</w:t>
            </w:r>
          </w:p>
        </w:tc>
      </w:tr>
    </w:tbl>
    <w:p w:rsidR="0026376E" w:rsidRDefault="0026376E" w:rsidP="00F809E3">
      <w:pPr>
        <w:pStyle w:val="NoSpacing"/>
      </w:pPr>
    </w:p>
    <w:p w:rsidR="0026376E" w:rsidRDefault="0026376E" w:rsidP="00F809E3">
      <w:pPr>
        <w:pStyle w:val="NoSpacing"/>
      </w:pPr>
      <w:r>
        <w:t>Contribution outstanding at year end</w:t>
      </w:r>
    </w:p>
    <w:p w:rsidR="0026376E" w:rsidRDefault="0026376E" w:rsidP="00F809E3">
      <w:pPr>
        <w:pStyle w:val="NoSpacing"/>
      </w:pPr>
      <w:r>
        <w:t>Accumulation contribution plans:</w:t>
      </w:r>
    </w:p>
    <w:tbl>
      <w:tblPr>
        <w:tblStyle w:val="TableGrid"/>
        <w:tblW w:w="0" w:type="auto"/>
        <w:tblLook w:val="04A0" w:firstRow="1" w:lastRow="0" w:firstColumn="1" w:lastColumn="0" w:noHBand="0" w:noVBand="1"/>
      </w:tblPr>
      <w:tblGrid>
        <w:gridCol w:w="8784"/>
        <w:gridCol w:w="1417"/>
        <w:gridCol w:w="1276"/>
        <w:gridCol w:w="1134"/>
        <w:gridCol w:w="1276"/>
      </w:tblGrid>
      <w:tr w:rsidR="0026376E" w:rsidTr="00DE1A91">
        <w:tc>
          <w:tcPr>
            <w:tcW w:w="8784" w:type="dxa"/>
          </w:tcPr>
          <w:p w:rsidR="0026376E" w:rsidRDefault="0026376E" w:rsidP="00DE1A91">
            <w:pPr>
              <w:pStyle w:val="NoSpacing"/>
            </w:pPr>
            <w:r>
              <w:t>VicSuper</w:t>
            </w:r>
          </w:p>
        </w:tc>
        <w:tc>
          <w:tcPr>
            <w:tcW w:w="1417" w:type="dxa"/>
          </w:tcPr>
          <w:p w:rsidR="0026376E" w:rsidRDefault="0026376E" w:rsidP="00DE1A91">
            <w:pPr>
              <w:pStyle w:val="NoSpacing"/>
              <w:jc w:val="right"/>
            </w:pPr>
            <w:r>
              <w:t>324</w:t>
            </w:r>
          </w:p>
        </w:tc>
        <w:tc>
          <w:tcPr>
            <w:tcW w:w="1276" w:type="dxa"/>
          </w:tcPr>
          <w:p w:rsidR="0026376E" w:rsidRDefault="0026376E" w:rsidP="00DE1A91">
            <w:pPr>
              <w:pStyle w:val="NoSpacing"/>
              <w:jc w:val="right"/>
            </w:pPr>
            <w:r>
              <w:t>230</w:t>
            </w:r>
          </w:p>
        </w:tc>
        <w:tc>
          <w:tcPr>
            <w:tcW w:w="1134" w:type="dxa"/>
          </w:tcPr>
          <w:p w:rsidR="0026376E" w:rsidRDefault="0026376E" w:rsidP="00DE1A91">
            <w:pPr>
              <w:pStyle w:val="NoSpacing"/>
              <w:jc w:val="right"/>
            </w:pPr>
            <w:r>
              <w:t>313</w:t>
            </w:r>
          </w:p>
        </w:tc>
        <w:tc>
          <w:tcPr>
            <w:tcW w:w="1276" w:type="dxa"/>
          </w:tcPr>
          <w:p w:rsidR="0026376E" w:rsidRDefault="0026376E" w:rsidP="00DE1A91">
            <w:pPr>
              <w:pStyle w:val="NoSpacing"/>
              <w:jc w:val="right"/>
            </w:pPr>
            <w:r>
              <w:t>223</w:t>
            </w:r>
          </w:p>
        </w:tc>
      </w:tr>
      <w:tr w:rsidR="0026376E" w:rsidTr="00DE1A91">
        <w:tc>
          <w:tcPr>
            <w:tcW w:w="8784" w:type="dxa"/>
          </w:tcPr>
          <w:p w:rsidR="0026376E" w:rsidRDefault="0026376E" w:rsidP="00DE1A91">
            <w:pPr>
              <w:pStyle w:val="NoSpacing"/>
            </w:pPr>
            <w:r>
              <w:t>Other</w:t>
            </w:r>
          </w:p>
        </w:tc>
        <w:tc>
          <w:tcPr>
            <w:tcW w:w="1417" w:type="dxa"/>
          </w:tcPr>
          <w:p w:rsidR="0026376E" w:rsidRDefault="0026376E" w:rsidP="00DE1A91">
            <w:pPr>
              <w:pStyle w:val="NoSpacing"/>
              <w:jc w:val="right"/>
            </w:pPr>
            <w:r>
              <w:t>278</w:t>
            </w:r>
          </w:p>
        </w:tc>
        <w:tc>
          <w:tcPr>
            <w:tcW w:w="1276" w:type="dxa"/>
          </w:tcPr>
          <w:p w:rsidR="0026376E" w:rsidRDefault="0026376E" w:rsidP="00DE1A91">
            <w:pPr>
              <w:pStyle w:val="NoSpacing"/>
              <w:jc w:val="right"/>
            </w:pPr>
            <w:r>
              <w:t>178</w:t>
            </w:r>
          </w:p>
        </w:tc>
        <w:tc>
          <w:tcPr>
            <w:tcW w:w="1134" w:type="dxa"/>
          </w:tcPr>
          <w:p w:rsidR="0026376E" w:rsidRDefault="0026376E" w:rsidP="00DE1A91">
            <w:pPr>
              <w:pStyle w:val="NoSpacing"/>
              <w:jc w:val="right"/>
            </w:pPr>
            <w:r>
              <w:t>266</w:t>
            </w:r>
          </w:p>
        </w:tc>
        <w:tc>
          <w:tcPr>
            <w:tcW w:w="1276" w:type="dxa"/>
          </w:tcPr>
          <w:p w:rsidR="0026376E" w:rsidRDefault="0026376E" w:rsidP="00DE1A91">
            <w:pPr>
              <w:pStyle w:val="NoSpacing"/>
              <w:jc w:val="right"/>
            </w:pPr>
            <w:r>
              <w:t>166</w:t>
            </w:r>
          </w:p>
        </w:tc>
      </w:tr>
      <w:tr w:rsidR="0026376E" w:rsidTr="00DE1A91">
        <w:tc>
          <w:tcPr>
            <w:tcW w:w="8784" w:type="dxa"/>
          </w:tcPr>
          <w:p w:rsidR="0026376E" w:rsidRDefault="0026376E" w:rsidP="00DE1A91">
            <w:pPr>
              <w:pStyle w:val="NoSpacing"/>
            </w:pPr>
            <w:r>
              <w:t>Total accumulation contribution plans</w:t>
            </w:r>
          </w:p>
        </w:tc>
        <w:tc>
          <w:tcPr>
            <w:tcW w:w="1417" w:type="dxa"/>
          </w:tcPr>
          <w:p w:rsidR="0026376E" w:rsidRDefault="0026376E" w:rsidP="00DE1A91">
            <w:pPr>
              <w:pStyle w:val="NoSpacing"/>
              <w:jc w:val="right"/>
            </w:pPr>
            <w:r>
              <w:t>602</w:t>
            </w:r>
          </w:p>
        </w:tc>
        <w:tc>
          <w:tcPr>
            <w:tcW w:w="1276" w:type="dxa"/>
          </w:tcPr>
          <w:p w:rsidR="0026376E" w:rsidRDefault="0026376E" w:rsidP="00DE1A91">
            <w:pPr>
              <w:pStyle w:val="NoSpacing"/>
              <w:jc w:val="right"/>
            </w:pPr>
            <w:r>
              <w:t>408</w:t>
            </w:r>
          </w:p>
        </w:tc>
        <w:tc>
          <w:tcPr>
            <w:tcW w:w="1134" w:type="dxa"/>
          </w:tcPr>
          <w:p w:rsidR="0026376E" w:rsidRDefault="0026376E" w:rsidP="00DE1A91">
            <w:pPr>
              <w:pStyle w:val="NoSpacing"/>
              <w:jc w:val="right"/>
            </w:pPr>
            <w:r>
              <w:t>579</w:t>
            </w:r>
          </w:p>
        </w:tc>
        <w:tc>
          <w:tcPr>
            <w:tcW w:w="1276" w:type="dxa"/>
          </w:tcPr>
          <w:p w:rsidR="0026376E" w:rsidRDefault="0026376E" w:rsidP="00DE1A91">
            <w:pPr>
              <w:pStyle w:val="NoSpacing"/>
              <w:jc w:val="right"/>
            </w:pPr>
            <w:r>
              <w:t>389</w:t>
            </w:r>
          </w:p>
        </w:tc>
      </w:tr>
    </w:tbl>
    <w:p w:rsidR="0026376E" w:rsidRPr="00F809E3" w:rsidRDefault="0026376E" w:rsidP="00F809E3">
      <w:pPr>
        <w:pStyle w:val="NoSpacing"/>
      </w:pPr>
    </w:p>
    <w:tbl>
      <w:tblPr>
        <w:tblStyle w:val="TableGrid"/>
        <w:tblW w:w="0" w:type="auto"/>
        <w:tblLook w:val="04A0" w:firstRow="1" w:lastRow="0" w:firstColumn="1" w:lastColumn="0" w:noHBand="0" w:noVBand="1"/>
      </w:tblPr>
      <w:tblGrid>
        <w:gridCol w:w="8784"/>
        <w:gridCol w:w="1417"/>
        <w:gridCol w:w="1276"/>
        <w:gridCol w:w="1134"/>
        <w:gridCol w:w="1276"/>
      </w:tblGrid>
      <w:tr w:rsidR="0026376E" w:rsidTr="00DE1A91">
        <w:tc>
          <w:tcPr>
            <w:tcW w:w="8784" w:type="dxa"/>
          </w:tcPr>
          <w:p w:rsidR="0026376E" w:rsidRDefault="0026376E" w:rsidP="00DE1A91">
            <w:pPr>
              <w:pStyle w:val="NoSpacing"/>
            </w:pPr>
            <w:r>
              <w:t>Total contribution outstanding at year end</w:t>
            </w:r>
          </w:p>
        </w:tc>
        <w:tc>
          <w:tcPr>
            <w:tcW w:w="1417" w:type="dxa"/>
          </w:tcPr>
          <w:p w:rsidR="0026376E" w:rsidRDefault="0026376E" w:rsidP="00DE1A91">
            <w:pPr>
              <w:pStyle w:val="NoSpacing"/>
              <w:jc w:val="right"/>
            </w:pPr>
            <w:r>
              <w:t>602</w:t>
            </w:r>
          </w:p>
        </w:tc>
        <w:tc>
          <w:tcPr>
            <w:tcW w:w="1276" w:type="dxa"/>
          </w:tcPr>
          <w:p w:rsidR="0026376E" w:rsidRDefault="0026376E" w:rsidP="00DE1A91">
            <w:pPr>
              <w:pStyle w:val="NoSpacing"/>
              <w:jc w:val="right"/>
            </w:pPr>
            <w:r>
              <w:t>408</w:t>
            </w:r>
          </w:p>
        </w:tc>
        <w:tc>
          <w:tcPr>
            <w:tcW w:w="1134" w:type="dxa"/>
          </w:tcPr>
          <w:p w:rsidR="0026376E" w:rsidRDefault="0026376E" w:rsidP="00DE1A91">
            <w:pPr>
              <w:pStyle w:val="NoSpacing"/>
              <w:jc w:val="right"/>
            </w:pPr>
            <w:r>
              <w:t>579</w:t>
            </w:r>
          </w:p>
        </w:tc>
        <w:tc>
          <w:tcPr>
            <w:tcW w:w="1276" w:type="dxa"/>
          </w:tcPr>
          <w:p w:rsidR="0026376E" w:rsidRDefault="0026376E" w:rsidP="00DE1A91">
            <w:pPr>
              <w:pStyle w:val="NoSpacing"/>
              <w:jc w:val="right"/>
            </w:pPr>
            <w:r>
              <w:t>389</w:t>
            </w:r>
          </w:p>
        </w:tc>
      </w:tr>
    </w:tbl>
    <w:p w:rsidR="0026376E" w:rsidRPr="00F809E3" w:rsidRDefault="0026376E" w:rsidP="00F809E3">
      <w:pPr>
        <w:pStyle w:val="NoSpacing"/>
      </w:pPr>
    </w:p>
    <w:p w:rsidR="0026376E" w:rsidRPr="00F809E3" w:rsidRDefault="0026376E" w:rsidP="00D36BB2">
      <w:pPr>
        <w:pStyle w:val="Heading4"/>
      </w:pPr>
      <w:r w:rsidRPr="00F809E3">
        <w:t>Accumulation contribution plans</w:t>
      </w:r>
    </w:p>
    <w:p w:rsidR="0026376E" w:rsidRDefault="0026376E" w:rsidP="0026376E">
      <w:pPr>
        <w:pStyle w:val="NoSpacing"/>
        <w:rPr>
          <w:rFonts w:cstheme="minorHAnsi"/>
        </w:rPr>
      </w:pPr>
    </w:p>
    <w:p w:rsidR="0026376E" w:rsidRPr="00F809E3" w:rsidRDefault="0026376E" w:rsidP="0026376E">
      <w:pPr>
        <w:pStyle w:val="NoSpacing"/>
        <w:rPr>
          <w:rFonts w:cstheme="minorHAnsi"/>
        </w:rPr>
      </w:pPr>
      <w:r w:rsidRPr="00F809E3">
        <w:rPr>
          <w:rFonts w:cstheme="minorHAnsi"/>
        </w:rPr>
        <w:t>Contributions are expensed when they become payable.</w:t>
      </w:r>
    </w:p>
    <w:p w:rsidR="0026376E" w:rsidRPr="00F809E3" w:rsidRDefault="0026376E" w:rsidP="0026376E">
      <w:pPr>
        <w:pStyle w:val="NoSpacing"/>
        <w:rPr>
          <w:rFonts w:cstheme="minorHAnsi"/>
        </w:rPr>
      </w:pPr>
      <w:r w:rsidRPr="00F809E3">
        <w:rPr>
          <w:rFonts w:cstheme="minorHAnsi"/>
        </w:rPr>
        <w:t>There have been no loans made from the funds. The bases for contributions are determined by the various schemes.</w:t>
      </w:r>
    </w:p>
    <w:p w:rsidR="0026376E" w:rsidRDefault="0026376E" w:rsidP="0026376E">
      <w:pPr>
        <w:pStyle w:val="NoSpacing"/>
        <w:rPr>
          <w:rFonts w:cstheme="minorHAnsi"/>
        </w:rPr>
      </w:pPr>
      <w:r w:rsidRPr="00F809E3">
        <w:rPr>
          <w:rFonts w:cstheme="minorHAnsi"/>
        </w:rPr>
        <w:t>The above amounts were measured as at 31 December of each year, or in the case of employ</w:t>
      </w:r>
      <w:r>
        <w:rPr>
          <w:rFonts w:cstheme="minorHAnsi"/>
        </w:rPr>
        <w:t xml:space="preserve">er contributions they relate to </w:t>
      </w:r>
      <w:r w:rsidRPr="00F809E3">
        <w:rPr>
          <w:rFonts w:cstheme="minorHAnsi"/>
        </w:rPr>
        <w:t>the years ended 31 December.</w:t>
      </w:r>
    </w:p>
    <w:p w:rsidR="0026376E" w:rsidRDefault="0026376E" w:rsidP="00524DBE">
      <w:pPr>
        <w:pStyle w:val="NoSpacing"/>
      </w:pPr>
    </w:p>
    <w:p w:rsidR="0026376E" w:rsidRDefault="0026376E" w:rsidP="0026376E">
      <w:pPr>
        <w:pStyle w:val="NoSpacing"/>
        <w:rPr>
          <w:rFonts w:cstheme="minorHAnsi"/>
        </w:rPr>
      </w:pPr>
      <w:r>
        <w:rPr>
          <w:rFonts w:cstheme="minorHAnsi"/>
        </w:rPr>
        <w:t>&lt;pp&gt;53</w:t>
      </w:r>
    </w:p>
    <w:p w:rsidR="0026376E" w:rsidRDefault="0026376E" w:rsidP="0026376E">
      <w:pPr>
        <w:pStyle w:val="NoSpacing"/>
        <w:rPr>
          <w:rFonts w:cstheme="minorHAnsi"/>
        </w:rPr>
      </w:pPr>
    </w:p>
    <w:p w:rsidR="0026376E" w:rsidRDefault="0026376E" w:rsidP="00D36BB2">
      <w:pPr>
        <w:pStyle w:val="Heading3"/>
      </w:pPr>
      <w:r>
        <w:t>3. HOW WE EXPENDED OUR FUNDS (CONTINUED)</w:t>
      </w:r>
    </w:p>
    <w:p w:rsidR="0026376E" w:rsidRDefault="0026376E" w:rsidP="0026376E">
      <w:pPr>
        <w:pStyle w:val="NoSpacing"/>
      </w:pPr>
    </w:p>
    <w:p w:rsidR="0026376E" w:rsidRDefault="0026376E" w:rsidP="00D36BB2">
      <w:pPr>
        <w:pStyle w:val="Heading4"/>
      </w:pPr>
      <w:r>
        <w:t xml:space="preserve">3.3 </w:t>
      </w:r>
      <w:r w:rsidRPr="0026376E">
        <w:t xml:space="preserve">Supplies and services </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0F2612" w:rsidRPr="00AE2D8D" w:rsidTr="00DE1A91">
        <w:tc>
          <w:tcPr>
            <w:tcW w:w="2693" w:type="dxa"/>
            <w:gridSpan w:val="2"/>
          </w:tcPr>
          <w:p w:rsidR="000F2612" w:rsidRPr="00AE2D8D" w:rsidRDefault="000F2612"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0F2612" w:rsidRPr="00AE2D8D" w:rsidRDefault="000F2612" w:rsidP="00DE1A91">
            <w:pPr>
              <w:pStyle w:val="NoSpacing"/>
              <w:jc w:val="center"/>
              <w:rPr>
                <w:rFonts w:cstheme="minorHAnsi"/>
                <w:bCs/>
                <w:w w:val="105"/>
              </w:rPr>
            </w:pPr>
            <w:r w:rsidRPr="00AE2D8D">
              <w:rPr>
                <w:rFonts w:cstheme="minorHAnsi"/>
                <w:bCs/>
                <w:w w:val="105"/>
              </w:rPr>
              <w:t>Chisholm</w:t>
            </w:r>
          </w:p>
        </w:tc>
      </w:tr>
      <w:tr w:rsidR="000F2612" w:rsidRPr="00AE2D8D" w:rsidTr="000F2612">
        <w:tc>
          <w:tcPr>
            <w:tcW w:w="1417" w:type="dxa"/>
          </w:tcPr>
          <w:p w:rsidR="000F2612" w:rsidRPr="00AE2D8D" w:rsidRDefault="000F2612" w:rsidP="00DE1A91">
            <w:pPr>
              <w:pStyle w:val="NoSpacing"/>
              <w:jc w:val="right"/>
              <w:rPr>
                <w:rFonts w:cstheme="minorHAnsi"/>
                <w:bCs/>
                <w:w w:val="105"/>
              </w:rPr>
            </w:pPr>
            <w:r w:rsidRPr="00AE2D8D">
              <w:rPr>
                <w:rFonts w:cstheme="minorHAnsi"/>
                <w:bCs/>
                <w:w w:val="105"/>
              </w:rPr>
              <w:t>2017</w:t>
            </w:r>
          </w:p>
        </w:tc>
        <w:tc>
          <w:tcPr>
            <w:tcW w:w="1276" w:type="dxa"/>
          </w:tcPr>
          <w:p w:rsidR="000F2612" w:rsidRPr="00AE2D8D" w:rsidRDefault="000F2612" w:rsidP="00DE1A91">
            <w:pPr>
              <w:pStyle w:val="NoSpacing"/>
              <w:jc w:val="right"/>
              <w:rPr>
                <w:rFonts w:cstheme="minorHAnsi"/>
                <w:bCs/>
                <w:w w:val="105"/>
              </w:rPr>
            </w:pPr>
            <w:r w:rsidRPr="00AE2D8D">
              <w:rPr>
                <w:rFonts w:cstheme="minorHAnsi"/>
                <w:bCs/>
                <w:w w:val="105"/>
              </w:rPr>
              <w:t>2016</w:t>
            </w:r>
          </w:p>
        </w:tc>
        <w:tc>
          <w:tcPr>
            <w:tcW w:w="1276" w:type="dxa"/>
          </w:tcPr>
          <w:p w:rsidR="000F2612" w:rsidRPr="00AE2D8D" w:rsidRDefault="000F2612" w:rsidP="00DE1A91">
            <w:pPr>
              <w:pStyle w:val="NoSpacing"/>
              <w:jc w:val="right"/>
              <w:rPr>
                <w:rFonts w:cstheme="minorHAnsi"/>
                <w:bCs/>
                <w:w w:val="105"/>
              </w:rPr>
            </w:pPr>
            <w:r w:rsidRPr="00AE2D8D">
              <w:rPr>
                <w:rFonts w:cstheme="minorHAnsi"/>
                <w:bCs/>
                <w:w w:val="105"/>
              </w:rPr>
              <w:t>2017</w:t>
            </w:r>
          </w:p>
        </w:tc>
        <w:tc>
          <w:tcPr>
            <w:tcW w:w="1134" w:type="dxa"/>
          </w:tcPr>
          <w:p w:rsidR="000F2612" w:rsidRPr="00AE2D8D" w:rsidRDefault="000F2612" w:rsidP="00DE1A91">
            <w:pPr>
              <w:pStyle w:val="NoSpacing"/>
              <w:jc w:val="right"/>
              <w:rPr>
                <w:rFonts w:cstheme="minorHAnsi"/>
                <w:bCs/>
                <w:w w:val="105"/>
              </w:rPr>
            </w:pPr>
            <w:r w:rsidRPr="00AE2D8D">
              <w:rPr>
                <w:rFonts w:cstheme="minorHAnsi"/>
                <w:bCs/>
                <w:w w:val="105"/>
              </w:rPr>
              <w:t>2016</w:t>
            </w:r>
          </w:p>
        </w:tc>
      </w:tr>
      <w:tr w:rsidR="000F2612" w:rsidRPr="00AE2D8D" w:rsidTr="000F2612">
        <w:tc>
          <w:tcPr>
            <w:tcW w:w="1417" w:type="dxa"/>
          </w:tcPr>
          <w:p w:rsidR="000F2612" w:rsidRPr="00AE2D8D" w:rsidRDefault="000F2612" w:rsidP="00DE1A91">
            <w:pPr>
              <w:jc w:val="right"/>
              <w:rPr>
                <w:rFonts w:cstheme="minorHAnsi"/>
              </w:rPr>
            </w:pPr>
            <w:r w:rsidRPr="00AE2D8D">
              <w:rPr>
                <w:rFonts w:cstheme="minorHAnsi"/>
                <w:bCs/>
                <w:w w:val="105"/>
              </w:rPr>
              <w:t>$’000</w:t>
            </w:r>
          </w:p>
        </w:tc>
        <w:tc>
          <w:tcPr>
            <w:tcW w:w="1276" w:type="dxa"/>
          </w:tcPr>
          <w:p w:rsidR="000F2612" w:rsidRPr="00AE2D8D" w:rsidRDefault="000F2612" w:rsidP="00DE1A91">
            <w:pPr>
              <w:jc w:val="right"/>
              <w:rPr>
                <w:rFonts w:cstheme="minorHAnsi"/>
              </w:rPr>
            </w:pPr>
            <w:r w:rsidRPr="00AE2D8D">
              <w:rPr>
                <w:rFonts w:cstheme="minorHAnsi"/>
                <w:bCs/>
                <w:w w:val="105"/>
              </w:rPr>
              <w:t>$’000</w:t>
            </w:r>
          </w:p>
        </w:tc>
        <w:tc>
          <w:tcPr>
            <w:tcW w:w="1276" w:type="dxa"/>
          </w:tcPr>
          <w:p w:rsidR="000F2612" w:rsidRPr="00AE2D8D" w:rsidRDefault="000F2612" w:rsidP="00DE1A91">
            <w:pPr>
              <w:jc w:val="right"/>
              <w:rPr>
                <w:rFonts w:cstheme="minorHAnsi"/>
              </w:rPr>
            </w:pPr>
            <w:r w:rsidRPr="00AE2D8D">
              <w:rPr>
                <w:rFonts w:cstheme="minorHAnsi"/>
                <w:bCs/>
                <w:w w:val="105"/>
              </w:rPr>
              <w:t>$’000</w:t>
            </w:r>
          </w:p>
        </w:tc>
        <w:tc>
          <w:tcPr>
            <w:tcW w:w="1134" w:type="dxa"/>
          </w:tcPr>
          <w:p w:rsidR="000F2612" w:rsidRPr="00AE2D8D" w:rsidRDefault="000F2612" w:rsidP="00DE1A91">
            <w:pPr>
              <w:pStyle w:val="NoSpacing"/>
              <w:jc w:val="right"/>
              <w:rPr>
                <w:rFonts w:cstheme="minorHAnsi"/>
                <w:bCs/>
                <w:w w:val="105"/>
              </w:rPr>
            </w:pPr>
            <w:r w:rsidRPr="00AE2D8D">
              <w:rPr>
                <w:rFonts w:cstheme="minorHAnsi"/>
                <w:bCs/>
                <w:w w:val="105"/>
              </w:rPr>
              <w:t>$’000</w:t>
            </w:r>
          </w:p>
        </w:tc>
      </w:tr>
    </w:tbl>
    <w:p w:rsidR="0026376E" w:rsidRDefault="0026376E" w:rsidP="0026376E">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0F2612" w:rsidTr="000F2612">
        <w:tc>
          <w:tcPr>
            <w:tcW w:w="8784" w:type="dxa"/>
          </w:tcPr>
          <w:p w:rsidR="000F2612" w:rsidRDefault="000F2612" w:rsidP="00DE1A91">
            <w:pPr>
              <w:pStyle w:val="NoSpacing"/>
            </w:pPr>
            <w:r>
              <w:t>Building repairs and maintenance</w:t>
            </w:r>
          </w:p>
        </w:tc>
        <w:tc>
          <w:tcPr>
            <w:tcW w:w="1417" w:type="dxa"/>
          </w:tcPr>
          <w:p w:rsidR="000F2612" w:rsidRDefault="000F2612" w:rsidP="00DE1A91">
            <w:pPr>
              <w:pStyle w:val="NoSpacing"/>
              <w:jc w:val="right"/>
            </w:pPr>
            <w:r>
              <w:t>4,938</w:t>
            </w:r>
          </w:p>
        </w:tc>
        <w:tc>
          <w:tcPr>
            <w:tcW w:w="1276" w:type="dxa"/>
          </w:tcPr>
          <w:p w:rsidR="000F2612" w:rsidRDefault="000F2612" w:rsidP="00DE1A91">
            <w:pPr>
              <w:pStyle w:val="NoSpacing"/>
              <w:jc w:val="right"/>
            </w:pPr>
            <w:r>
              <w:t>2,878</w:t>
            </w:r>
          </w:p>
        </w:tc>
        <w:tc>
          <w:tcPr>
            <w:tcW w:w="1276" w:type="dxa"/>
          </w:tcPr>
          <w:p w:rsidR="000F2612" w:rsidRDefault="000F2612" w:rsidP="00DE1A91">
            <w:pPr>
              <w:pStyle w:val="NoSpacing"/>
              <w:jc w:val="right"/>
            </w:pPr>
            <w:r>
              <w:t>4,859</w:t>
            </w:r>
          </w:p>
        </w:tc>
        <w:tc>
          <w:tcPr>
            <w:tcW w:w="1134" w:type="dxa"/>
          </w:tcPr>
          <w:p w:rsidR="000F2612" w:rsidRDefault="000F2612" w:rsidP="00DE1A91">
            <w:pPr>
              <w:pStyle w:val="NoSpacing"/>
              <w:jc w:val="right"/>
            </w:pPr>
            <w:r>
              <w:t>2,748</w:t>
            </w:r>
          </w:p>
        </w:tc>
      </w:tr>
      <w:tr w:rsidR="000F2612" w:rsidTr="000F2612">
        <w:tc>
          <w:tcPr>
            <w:tcW w:w="8784" w:type="dxa"/>
          </w:tcPr>
          <w:p w:rsidR="000F2612" w:rsidRDefault="000F2612" w:rsidP="00DE1A91">
            <w:pPr>
              <w:pStyle w:val="NoSpacing"/>
            </w:pPr>
            <w:r>
              <w:t>Communication expenses</w:t>
            </w:r>
          </w:p>
        </w:tc>
        <w:tc>
          <w:tcPr>
            <w:tcW w:w="1417" w:type="dxa"/>
          </w:tcPr>
          <w:p w:rsidR="000F2612" w:rsidRDefault="000F2612" w:rsidP="00DE1A91">
            <w:pPr>
              <w:pStyle w:val="NoSpacing"/>
              <w:jc w:val="right"/>
            </w:pPr>
            <w:r>
              <w:t>1,670</w:t>
            </w:r>
          </w:p>
        </w:tc>
        <w:tc>
          <w:tcPr>
            <w:tcW w:w="1276" w:type="dxa"/>
          </w:tcPr>
          <w:p w:rsidR="000F2612" w:rsidRDefault="000F2612" w:rsidP="00DE1A91">
            <w:pPr>
              <w:pStyle w:val="NoSpacing"/>
              <w:jc w:val="right"/>
            </w:pPr>
            <w:r>
              <w:t>1,561</w:t>
            </w:r>
          </w:p>
        </w:tc>
        <w:tc>
          <w:tcPr>
            <w:tcW w:w="1276" w:type="dxa"/>
          </w:tcPr>
          <w:p w:rsidR="000F2612" w:rsidRDefault="000F2612" w:rsidP="00DE1A91">
            <w:pPr>
              <w:pStyle w:val="NoSpacing"/>
              <w:jc w:val="right"/>
            </w:pPr>
            <w:r>
              <w:t>1,620</w:t>
            </w:r>
          </w:p>
        </w:tc>
        <w:tc>
          <w:tcPr>
            <w:tcW w:w="1134" w:type="dxa"/>
          </w:tcPr>
          <w:p w:rsidR="000F2612" w:rsidRDefault="000F2612" w:rsidP="00DE1A91">
            <w:pPr>
              <w:pStyle w:val="NoSpacing"/>
              <w:jc w:val="right"/>
            </w:pPr>
            <w:r>
              <w:t>1,449</w:t>
            </w:r>
          </w:p>
        </w:tc>
      </w:tr>
      <w:tr w:rsidR="000F2612" w:rsidTr="000F2612">
        <w:tc>
          <w:tcPr>
            <w:tcW w:w="8784" w:type="dxa"/>
          </w:tcPr>
          <w:p w:rsidR="000F2612" w:rsidRDefault="000F2612" w:rsidP="00DE1A91">
            <w:pPr>
              <w:pStyle w:val="NoSpacing"/>
            </w:pPr>
            <w:r>
              <w:t>Contract and other services</w:t>
            </w:r>
          </w:p>
        </w:tc>
        <w:tc>
          <w:tcPr>
            <w:tcW w:w="1417" w:type="dxa"/>
          </w:tcPr>
          <w:p w:rsidR="000F2612" w:rsidRDefault="000F2612" w:rsidP="00DE1A91">
            <w:pPr>
              <w:pStyle w:val="NoSpacing"/>
              <w:jc w:val="right"/>
            </w:pPr>
            <w:r>
              <w:t>9,411</w:t>
            </w:r>
          </w:p>
        </w:tc>
        <w:tc>
          <w:tcPr>
            <w:tcW w:w="1276" w:type="dxa"/>
          </w:tcPr>
          <w:p w:rsidR="000F2612" w:rsidRDefault="000F2612" w:rsidP="00DE1A91">
            <w:pPr>
              <w:pStyle w:val="NoSpacing"/>
              <w:jc w:val="right"/>
            </w:pPr>
            <w:r>
              <w:t>8,983</w:t>
            </w:r>
          </w:p>
        </w:tc>
        <w:tc>
          <w:tcPr>
            <w:tcW w:w="1276" w:type="dxa"/>
          </w:tcPr>
          <w:p w:rsidR="000F2612" w:rsidRDefault="000F2612" w:rsidP="00DE1A91">
            <w:pPr>
              <w:pStyle w:val="NoSpacing"/>
              <w:jc w:val="right"/>
            </w:pPr>
            <w:r>
              <w:t>9,313</w:t>
            </w:r>
          </w:p>
        </w:tc>
        <w:tc>
          <w:tcPr>
            <w:tcW w:w="1134" w:type="dxa"/>
          </w:tcPr>
          <w:p w:rsidR="000F2612" w:rsidRDefault="000F2612" w:rsidP="00DE1A91">
            <w:pPr>
              <w:pStyle w:val="NoSpacing"/>
              <w:jc w:val="right"/>
            </w:pPr>
            <w:r>
              <w:t>8,877</w:t>
            </w:r>
          </w:p>
        </w:tc>
      </w:tr>
      <w:tr w:rsidR="000F2612" w:rsidTr="000F2612">
        <w:tc>
          <w:tcPr>
            <w:tcW w:w="8784" w:type="dxa"/>
          </w:tcPr>
          <w:p w:rsidR="000F2612" w:rsidRDefault="000F2612" w:rsidP="00DE1A91">
            <w:pPr>
              <w:pStyle w:val="NoSpacing"/>
            </w:pPr>
            <w:r>
              <w:t>Cost of goods sold/distributed (ancillary trading)</w:t>
            </w:r>
          </w:p>
        </w:tc>
        <w:tc>
          <w:tcPr>
            <w:tcW w:w="1417" w:type="dxa"/>
          </w:tcPr>
          <w:p w:rsidR="000F2612" w:rsidRDefault="000F2612" w:rsidP="00DE1A91">
            <w:pPr>
              <w:pStyle w:val="NoSpacing"/>
              <w:jc w:val="right"/>
            </w:pPr>
            <w:r>
              <w:t>118</w:t>
            </w:r>
          </w:p>
        </w:tc>
        <w:tc>
          <w:tcPr>
            <w:tcW w:w="1276" w:type="dxa"/>
          </w:tcPr>
          <w:p w:rsidR="000F2612" w:rsidRDefault="000F2612" w:rsidP="00DE1A91">
            <w:pPr>
              <w:pStyle w:val="NoSpacing"/>
              <w:jc w:val="right"/>
            </w:pPr>
            <w:r>
              <w:t>55</w:t>
            </w:r>
          </w:p>
        </w:tc>
        <w:tc>
          <w:tcPr>
            <w:tcW w:w="1276" w:type="dxa"/>
          </w:tcPr>
          <w:p w:rsidR="000F2612" w:rsidRDefault="000F2612" w:rsidP="00DE1A91">
            <w:pPr>
              <w:pStyle w:val="NoSpacing"/>
              <w:jc w:val="right"/>
            </w:pPr>
            <w:r>
              <w:t>50</w:t>
            </w:r>
          </w:p>
        </w:tc>
        <w:tc>
          <w:tcPr>
            <w:tcW w:w="1134" w:type="dxa"/>
          </w:tcPr>
          <w:p w:rsidR="000F2612" w:rsidRDefault="000F2612" w:rsidP="00DE1A91">
            <w:pPr>
              <w:pStyle w:val="NoSpacing"/>
              <w:jc w:val="right"/>
            </w:pPr>
            <w:r>
              <w:t>44</w:t>
            </w:r>
          </w:p>
        </w:tc>
      </w:tr>
      <w:tr w:rsidR="000F2612" w:rsidTr="000F2612">
        <w:tc>
          <w:tcPr>
            <w:tcW w:w="8784" w:type="dxa"/>
          </w:tcPr>
          <w:p w:rsidR="000F2612" w:rsidRDefault="000F2612" w:rsidP="00DE1A91">
            <w:pPr>
              <w:pStyle w:val="NoSpacing"/>
            </w:pPr>
            <w:r>
              <w:t>Fees and charges</w:t>
            </w:r>
          </w:p>
        </w:tc>
        <w:tc>
          <w:tcPr>
            <w:tcW w:w="1417" w:type="dxa"/>
          </w:tcPr>
          <w:p w:rsidR="000F2612" w:rsidRDefault="000F2612" w:rsidP="00DE1A91">
            <w:pPr>
              <w:pStyle w:val="NoSpacing"/>
              <w:jc w:val="right"/>
            </w:pPr>
            <w:r>
              <w:t>9,449</w:t>
            </w:r>
          </w:p>
        </w:tc>
        <w:tc>
          <w:tcPr>
            <w:tcW w:w="1276" w:type="dxa"/>
          </w:tcPr>
          <w:p w:rsidR="000F2612" w:rsidRDefault="000F2612" w:rsidP="00DE1A91">
            <w:pPr>
              <w:pStyle w:val="NoSpacing"/>
              <w:jc w:val="right"/>
            </w:pPr>
            <w:r>
              <w:t>7,575</w:t>
            </w:r>
          </w:p>
        </w:tc>
        <w:tc>
          <w:tcPr>
            <w:tcW w:w="1276" w:type="dxa"/>
          </w:tcPr>
          <w:p w:rsidR="000F2612" w:rsidRDefault="000F2612" w:rsidP="00DE1A91">
            <w:pPr>
              <w:pStyle w:val="NoSpacing"/>
              <w:jc w:val="right"/>
            </w:pPr>
            <w:r>
              <w:t>9,338</w:t>
            </w:r>
          </w:p>
        </w:tc>
        <w:tc>
          <w:tcPr>
            <w:tcW w:w="1134" w:type="dxa"/>
          </w:tcPr>
          <w:p w:rsidR="000F2612" w:rsidRDefault="000F2612" w:rsidP="00DE1A91">
            <w:pPr>
              <w:pStyle w:val="NoSpacing"/>
              <w:jc w:val="right"/>
            </w:pPr>
            <w:r>
              <w:t>7,178</w:t>
            </w:r>
          </w:p>
        </w:tc>
      </w:tr>
      <w:tr w:rsidR="000F2612" w:rsidTr="000F2612">
        <w:tc>
          <w:tcPr>
            <w:tcW w:w="8784" w:type="dxa"/>
          </w:tcPr>
          <w:p w:rsidR="000F2612" w:rsidRDefault="000F2612" w:rsidP="00DE1A91">
            <w:pPr>
              <w:pStyle w:val="NoSpacing"/>
            </w:pPr>
            <w:r>
              <w:t>Other borrowing costs (other than interests)</w:t>
            </w:r>
          </w:p>
        </w:tc>
        <w:tc>
          <w:tcPr>
            <w:tcW w:w="1417" w:type="dxa"/>
          </w:tcPr>
          <w:p w:rsidR="000F2612" w:rsidRDefault="000F2612" w:rsidP="00DE1A91">
            <w:pPr>
              <w:pStyle w:val="NoSpacing"/>
              <w:jc w:val="right"/>
            </w:pPr>
            <w:r>
              <w:t>129</w:t>
            </w:r>
          </w:p>
        </w:tc>
        <w:tc>
          <w:tcPr>
            <w:tcW w:w="1276" w:type="dxa"/>
          </w:tcPr>
          <w:p w:rsidR="000F2612" w:rsidRDefault="000F2612" w:rsidP="00DE1A91">
            <w:pPr>
              <w:pStyle w:val="NoSpacing"/>
              <w:jc w:val="right"/>
            </w:pPr>
            <w:r>
              <w:t>127</w:t>
            </w:r>
          </w:p>
        </w:tc>
        <w:tc>
          <w:tcPr>
            <w:tcW w:w="1276" w:type="dxa"/>
          </w:tcPr>
          <w:p w:rsidR="000F2612" w:rsidRDefault="000F2612" w:rsidP="00DE1A91">
            <w:pPr>
              <w:pStyle w:val="NoSpacing"/>
              <w:jc w:val="right"/>
            </w:pPr>
            <w:r>
              <w:t>114</w:t>
            </w:r>
          </w:p>
        </w:tc>
        <w:tc>
          <w:tcPr>
            <w:tcW w:w="1134" w:type="dxa"/>
          </w:tcPr>
          <w:p w:rsidR="000F2612" w:rsidRDefault="000F2612" w:rsidP="00DE1A91">
            <w:pPr>
              <w:pStyle w:val="NoSpacing"/>
              <w:jc w:val="right"/>
            </w:pPr>
            <w:r>
              <w:t>110</w:t>
            </w:r>
          </w:p>
        </w:tc>
      </w:tr>
      <w:tr w:rsidR="000F2612" w:rsidTr="000F2612">
        <w:tc>
          <w:tcPr>
            <w:tcW w:w="8784" w:type="dxa"/>
          </w:tcPr>
          <w:p w:rsidR="000F2612" w:rsidRDefault="000F2612" w:rsidP="00DE1A91">
            <w:pPr>
              <w:pStyle w:val="NoSpacing"/>
            </w:pPr>
            <w:r>
              <w:t>Purchase of supplies and consumables</w:t>
            </w:r>
          </w:p>
        </w:tc>
        <w:tc>
          <w:tcPr>
            <w:tcW w:w="1417" w:type="dxa"/>
          </w:tcPr>
          <w:p w:rsidR="000F2612" w:rsidRDefault="000F2612" w:rsidP="00DE1A91">
            <w:pPr>
              <w:pStyle w:val="NoSpacing"/>
              <w:jc w:val="right"/>
            </w:pPr>
            <w:r>
              <w:t>4,811</w:t>
            </w:r>
          </w:p>
        </w:tc>
        <w:tc>
          <w:tcPr>
            <w:tcW w:w="1276" w:type="dxa"/>
          </w:tcPr>
          <w:p w:rsidR="000F2612" w:rsidRDefault="000F2612" w:rsidP="00DE1A91">
            <w:pPr>
              <w:pStyle w:val="NoSpacing"/>
              <w:jc w:val="right"/>
            </w:pPr>
            <w:r>
              <w:t>4,119</w:t>
            </w:r>
          </w:p>
        </w:tc>
        <w:tc>
          <w:tcPr>
            <w:tcW w:w="1276" w:type="dxa"/>
          </w:tcPr>
          <w:p w:rsidR="000F2612" w:rsidRDefault="000F2612" w:rsidP="00DE1A91">
            <w:pPr>
              <w:pStyle w:val="NoSpacing"/>
              <w:jc w:val="right"/>
            </w:pPr>
            <w:r>
              <w:t>4,655</w:t>
            </w:r>
          </w:p>
        </w:tc>
        <w:tc>
          <w:tcPr>
            <w:tcW w:w="1134" w:type="dxa"/>
          </w:tcPr>
          <w:p w:rsidR="000F2612" w:rsidRDefault="000F2612" w:rsidP="00DE1A91">
            <w:pPr>
              <w:pStyle w:val="NoSpacing"/>
              <w:jc w:val="right"/>
            </w:pPr>
            <w:r>
              <w:t>3,944</w:t>
            </w:r>
          </w:p>
        </w:tc>
      </w:tr>
      <w:tr w:rsidR="000F2612" w:rsidTr="000F2612">
        <w:tc>
          <w:tcPr>
            <w:tcW w:w="8784" w:type="dxa"/>
          </w:tcPr>
          <w:p w:rsidR="000F2612" w:rsidRDefault="000F2612" w:rsidP="00DE1A91">
            <w:pPr>
              <w:pStyle w:val="NoSpacing"/>
            </w:pPr>
            <w:r>
              <w:t xml:space="preserve">Total supplies and services </w:t>
            </w:r>
          </w:p>
        </w:tc>
        <w:tc>
          <w:tcPr>
            <w:tcW w:w="1417" w:type="dxa"/>
          </w:tcPr>
          <w:p w:rsidR="000F2612" w:rsidRDefault="000F2612" w:rsidP="00DE1A91">
            <w:pPr>
              <w:pStyle w:val="NoSpacing"/>
              <w:jc w:val="right"/>
            </w:pPr>
            <w:r>
              <w:t>30,526</w:t>
            </w:r>
          </w:p>
        </w:tc>
        <w:tc>
          <w:tcPr>
            <w:tcW w:w="1276" w:type="dxa"/>
          </w:tcPr>
          <w:p w:rsidR="000F2612" w:rsidRDefault="000F2612" w:rsidP="00DE1A91">
            <w:pPr>
              <w:pStyle w:val="NoSpacing"/>
              <w:jc w:val="right"/>
            </w:pPr>
            <w:r>
              <w:t>25,298</w:t>
            </w:r>
          </w:p>
        </w:tc>
        <w:tc>
          <w:tcPr>
            <w:tcW w:w="1276" w:type="dxa"/>
          </w:tcPr>
          <w:p w:rsidR="000F2612" w:rsidRDefault="000F2612" w:rsidP="00DE1A91">
            <w:pPr>
              <w:pStyle w:val="NoSpacing"/>
              <w:jc w:val="right"/>
            </w:pPr>
            <w:r>
              <w:t>29,949</w:t>
            </w:r>
          </w:p>
        </w:tc>
        <w:tc>
          <w:tcPr>
            <w:tcW w:w="1134" w:type="dxa"/>
          </w:tcPr>
          <w:p w:rsidR="000F2612" w:rsidRDefault="000F2612" w:rsidP="00DE1A91">
            <w:pPr>
              <w:pStyle w:val="NoSpacing"/>
              <w:jc w:val="right"/>
            </w:pPr>
            <w:r>
              <w:t>24,350</w:t>
            </w:r>
          </w:p>
        </w:tc>
      </w:tr>
    </w:tbl>
    <w:p w:rsidR="008D4A3E" w:rsidRDefault="008D4A3E" w:rsidP="0026376E">
      <w:pPr>
        <w:pStyle w:val="NoSpacing"/>
      </w:pPr>
    </w:p>
    <w:p w:rsidR="0026376E" w:rsidRPr="00F809E3" w:rsidRDefault="0026376E" w:rsidP="0026376E">
      <w:pPr>
        <w:pStyle w:val="NoSpacing"/>
        <w:rPr>
          <w:rFonts w:cstheme="minorHAnsi"/>
        </w:rPr>
      </w:pPr>
      <w:r w:rsidRPr="00F809E3">
        <w:rPr>
          <w:rFonts w:cstheme="minorHAnsi"/>
        </w:rPr>
        <w:t>Supplies and services are recognised as an expense in the reporting period in which they are incurred. The carrying amounts</w:t>
      </w:r>
      <w:r>
        <w:rPr>
          <w:rFonts w:cstheme="minorHAnsi"/>
        </w:rPr>
        <w:t xml:space="preserve"> </w:t>
      </w:r>
      <w:r w:rsidRPr="00F809E3">
        <w:rPr>
          <w:rFonts w:cstheme="minorHAnsi"/>
        </w:rPr>
        <w:t>of any inventories held for distribution are expensed when the inventories are distributed.</w:t>
      </w:r>
    </w:p>
    <w:p w:rsidR="0026376E" w:rsidRDefault="0026376E" w:rsidP="0026376E">
      <w:pPr>
        <w:pStyle w:val="NoSpacing"/>
        <w:rPr>
          <w:rFonts w:cstheme="minorHAnsi"/>
        </w:rPr>
      </w:pPr>
    </w:p>
    <w:p w:rsidR="008D4A3E" w:rsidRPr="00F809E3" w:rsidRDefault="008D4A3E" w:rsidP="00D36BB2">
      <w:pPr>
        <w:pStyle w:val="Heading4"/>
      </w:pPr>
      <w:r w:rsidRPr="00F809E3">
        <w:t xml:space="preserve">Other expenditure commitments </w:t>
      </w:r>
    </w:p>
    <w:p w:rsidR="008D4A3E" w:rsidRDefault="008D4A3E" w:rsidP="008D4A3E">
      <w:pPr>
        <w:pStyle w:val="NoSpacing"/>
        <w:rPr>
          <w:rFonts w:cstheme="minorHAnsi"/>
        </w:rPr>
      </w:pPr>
    </w:p>
    <w:p w:rsidR="0026376E" w:rsidRDefault="008D4A3E" w:rsidP="008D4A3E">
      <w:pPr>
        <w:pStyle w:val="NoSpacing"/>
        <w:rPr>
          <w:rFonts w:cstheme="minorHAnsi"/>
        </w:rPr>
      </w:pPr>
      <w:r w:rsidRPr="00F809E3">
        <w:rPr>
          <w:rFonts w:cstheme="minorHAnsi"/>
        </w:rPr>
        <w:t>Commitments for future maintenance services in existence at reporting date but not recognised as liabilities:</w:t>
      </w:r>
    </w:p>
    <w:p w:rsidR="008D4A3E" w:rsidRDefault="008D4A3E" w:rsidP="008D4A3E">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8D4A3E" w:rsidRPr="00AE2D8D" w:rsidTr="00DE1A91">
        <w:tc>
          <w:tcPr>
            <w:tcW w:w="2693" w:type="dxa"/>
            <w:gridSpan w:val="2"/>
          </w:tcPr>
          <w:p w:rsidR="008D4A3E" w:rsidRPr="00AE2D8D" w:rsidRDefault="008D4A3E"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8D4A3E" w:rsidRPr="00AE2D8D" w:rsidRDefault="008D4A3E" w:rsidP="00DE1A91">
            <w:pPr>
              <w:pStyle w:val="NoSpacing"/>
              <w:jc w:val="center"/>
              <w:rPr>
                <w:rFonts w:cstheme="minorHAnsi"/>
                <w:bCs/>
                <w:w w:val="105"/>
              </w:rPr>
            </w:pPr>
            <w:r w:rsidRPr="00AE2D8D">
              <w:rPr>
                <w:rFonts w:cstheme="minorHAnsi"/>
                <w:bCs/>
                <w:w w:val="105"/>
              </w:rPr>
              <w:t>Chisholm</w:t>
            </w:r>
          </w:p>
        </w:tc>
      </w:tr>
      <w:tr w:rsidR="008D4A3E" w:rsidRPr="00AE2D8D" w:rsidTr="00DE1A91">
        <w:tc>
          <w:tcPr>
            <w:tcW w:w="1417" w:type="dxa"/>
          </w:tcPr>
          <w:p w:rsidR="008D4A3E" w:rsidRPr="00AE2D8D" w:rsidRDefault="008D4A3E" w:rsidP="00DE1A91">
            <w:pPr>
              <w:pStyle w:val="NoSpacing"/>
              <w:jc w:val="right"/>
              <w:rPr>
                <w:rFonts w:cstheme="minorHAnsi"/>
                <w:bCs/>
                <w:w w:val="105"/>
              </w:rPr>
            </w:pPr>
            <w:r w:rsidRPr="00AE2D8D">
              <w:rPr>
                <w:rFonts w:cstheme="minorHAnsi"/>
                <w:bCs/>
                <w:w w:val="105"/>
              </w:rPr>
              <w:t>2017</w:t>
            </w:r>
          </w:p>
        </w:tc>
        <w:tc>
          <w:tcPr>
            <w:tcW w:w="1276" w:type="dxa"/>
          </w:tcPr>
          <w:p w:rsidR="008D4A3E" w:rsidRPr="00AE2D8D" w:rsidRDefault="008D4A3E" w:rsidP="00DE1A91">
            <w:pPr>
              <w:pStyle w:val="NoSpacing"/>
              <w:jc w:val="right"/>
              <w:rPr>
                <w:rFonts w:cstheme="minorHAnsi"/>
                <w:bCs/>
                <w:w w:val="105"/>
              </w:rPr>
            </w:pPr>
            <w:r w:rsidRPr="00AE2D8D">
              <w:rPr>
                <w:rFonts w:cstheme="minorHAnsi"/>
                <w:bCs/>
                <w:w w:val="105"/>
              </w:rPr>
              <w:t>2016</w:t>
            </w:r>
          </w:p>
        </w:tc>
        <w:tc>
          <w:tcPr>
            <w:tcW w:w="1276" w:type="dxa"/>
          </w:tcPr>
          <w:p w:rsidR="008D4A3E" w:rsidRPr="00AE2D8D" w:rsidRDefault="008D4A3E" w:rsidP="00DE1A91">
            <w:pPr>
              <w:pStyle w:val="NoSpacing"/>
              <w:jc w:val="right"/>
              <w:rPr>
                <w:rFonts w:cstheme="minorHAnsi"/>
                <w:bCs/>
                <w:w w:val="105"/>
              </w:rPr>
            </w:pPr>
            <w:r w:rsidRPr="00AE2D8D">
              <w:rPr>
                <w:rFonts w:cstheme="minorHAnsi"/>
                <w:bCs/>
                <w:w w:val="105"/>
              </w:rPr>
              <w:t>2017</w:t>
            </w:r>
          </w:p>
        </w:tc>
        <w:tc>
          <w:tcPr>
            <w:tcW w:w="1134" w:type="dxa"/>
          </w:tcPr>
          <w:p w:rsidR="008D4A3E" w:rsidRPr="00AE2D8D" w:rsidRDefault="008D4A3E" w:rsidP="00DE1A91">
            <w:pPr>
              <w:pStyle w:val="NoSpacing"/>
              <w:jc w:val="right"/>
              <w:rPr>
                <w:rFonts w:cstheme="minorHAnsi"/>
                <w:bCs/>
                <w:w w:val="105"/>
              </w:rPr>
            </w:pPr>
            <w:r w:rsidRPr="00AE2D8D">
              <w:rPr>
                <w:rFonts w:cstheme="minorHAnsi"/>
                <w:bCs/>
                <w:w w:val="105"/>
              </w:rPr>
              <w:t>2016</w:t>
            </w:r>
          </w:p>
        </w:tc>
      </w:tr>
      <w:tr w:rsidR="008D4A3E" w:rsidRPr="00AE2D8D" w:rsidTr="00DE1A91">
        <w:tc>
          <w:tcPr>
            <w:tcW w:w="1417" w:type="dxa"/>
          </w:tcPr>
          <w:p w:rsidR="008D4A3E" w:rsidRPr="00AE2D8D" w:rsidRDefault="008D4A3E" w:rsidP="00DE1A91">
            <w:pPr>
              <w:jc w:val="right"/>
              <w:rPr>
                <w:rFonts w:cstheme="minorHAnsi"/>
              </w:rPr>
            </w:pPr>
            <w:r w:rsidRPr="00AE2D8D">
              <w:rPr>
                <w:rFonts w:cstheme="minorHAnsi"/>
                <w:bCs/>
                <w:w w:val="105"/>
              </w:rPr>
              <w:t>$’000</w:t>
            </w:r>
          </w:p>
        </w:tc>
        <w:tc>
          <w:tcPr>
            <w:tcW w:w="1276" w:type="dxa"/>
          </w:tcPr>
          <w:p w:rsidR="008D4A3E" w:rsidRPr="00AE2D8D" w:rsidRDefault="008D4A3E" w:rsidP="00DE1A91">
            <w:pPr>
              <w:jc w:val="right"/>
              <w:rPr>
                <w:rFonts w:cstheme="minorHAnsi"/>
              </w:rPr>
            </w:pPr>
            <w:r w:rsidRPr="00AE2D8D">
              <w:rPr>
                <w:rFonts w:cstheme="minorHAnsi"/>
                <w:bCs/>
                <w:w w:val="105"/>
              </w:rPr>
              <w:t>$’000</w:t>
            </w:r>
          </w:p>
        </w:tc>
        <w:tc>
          <w:tcPr>
            <w:tcW w:w="1276" w:type="dxa"/>
          </w:tcPr>
          <w:p w:rsidR="008D4A3E" w:rsidRPr="00AE2D8D" w:rsidRDefault="008D4A3E" w:rsidP="00DE1A91">
            <w:pPr>
              <w:jc w:val="right"/>
              <w:rPr>
                <w:rFonts w:cstheme="minorHAnsi"/>
              </w:rPr>
            </w:pPr>
            <w:r w:rsidRPr="00AE2D8D">
              <w:rPr>
                <w:rFonts w:cstheme="minorHAnsi"/>
                <w:bCs/>
                <w:w w:val="105"/>
              </w:rPr>
              <w:t>$’000</w:t>
            </w:r>
          </w:p>
        </w:tc>
        <w:tc>
          <w:tcPr>
            <w:tcW w:w="1134" w:type="dxa"/>
          </w:tcPr>
          <w:p w:rsidR="008D4A3E" w:rsidRPr="00AE2D8D" w:rsidRDefault="008D4A3E" w:rsidP="00DE1A91">
            <w:pPr>
              <w:pStyle w:val="NoSpacing"/>
              <w:jc w:val="right"/>
              <w:rPr>
                <w:rFonts w:cstheme="minorHAnsi"/>
                <w:bCs/>
                <w:w w:val="105"/>
              </w:rPr>
            </w:pPr>
            <w:r w:rsidRPr="00AE2D8D">
              <w:rPr>
                <w:rFonts w:cstheme="minorHAnsi"/>
                <w:bCs/>
                <w:w w:val="105"/>
              </w:rPr>
              <w:t>$’000</w:t>
            </w:r>
          </w:p>
        </w:tc>
      </w:tr>
    </w:tbl>
    <w:p w:rsidR="008D4A3E" w:rsidRDefault="00C24A4B" w:rsidP="008D4A3E">
      <w:pPr>
        <w:pStyle w:val="NoSpacing"/>
        <w:rPr>
          <w:rFonts w:cstheme="minorHAnsi"/>
        </w:rPr>
      </w:pPr>
      <w:r>
        <w:rPr>
          <w:rFonts w:cstheme="minorHAnsi"/>
        </w:rPr>
        <w:t>Payable:</w:t>
      </w:r>
    </w:p>
    <w:tbl>
      <w:tblPr>
        <w:tblStyle w:val="TableGrid"/>
        <w:tblW w:w="0" w:type="auto"/>
        <w:tblLook w:val="04A0" w:firstRow="1" w:lastRow="0" w:firstColumn="1" w:lastColumn="0" w:noHBand="0" w:noVBand="1"/>
      </w:tblPr>
      <w:tblGrid>
        <w:gridCol w:w="8784"/>
        <w:gridCol w:w="1417"/>
        <w:gridCol w:w="1276"/>
        <w:gridCol w:w="1276"/>
        <w:gridCol w:w="1134"/>
      </w:tblGrid>
      <w:tr w:rsidR="008D4A3E" w:rsidTr="00DE1A91">
        <w:tc>
          <w:tcPr>
            <w:tcW w:w="8784" w:type="dxa"/>
          </w:tcPr>
          <w:p w:rsidR="008D4A3E" w:rsidRDefault="00C24A4B" w:rsidP="00DE1A91">
            <w:pPr>
              <w:pStyle w:val="NoSpacing"/>
            </w:pPr>
            <w:r>
              <w:t>Within one year</w:t>
            </w:r>
          </w:p>
        </w:tc>
        <w:tc>
          <w:tcPr>
            <w:tcW w:w="1417" w:type="dxa"/>
          </w:tcPr>
          <w:p w:rsidR="008D4A3E" w:rsidRDefault="00C24A4B" w:rsidP="00DE1A91">
            <w:pPr>
              <w:pStyle w:val="NoSpacing"/>
              <w:jc w:val="right"/>
            </w:pPr>
            <w:r>
              <w:t>4,465</w:t>
            </w:r>
          </w:p>
        </w:tc>
        <w:tc>
          <w:tcPr>
            <w:tcW w:w="1276" w:type="dxa"/>
          </w:tcPr>
          <w:p w:rsidR="008D4A3E" w:rsidRDefault="00C24A4B" w:rsidP="00DE1A91">
            <w:pPr>
              <w:pStyle w:val="NoSpacing"/>
              <w:jc w:val="right"/>
            </w:pPr>
            <w:r>
              <w:t>2,403</w:t>
            </w:r>
          </w:p>
        </w:tc>
        <w:tc>
          <w:tcPr>
            <w:tcW w:w="1276" w:type="dxa"/>
          </w:tcPr>
          <w:p w:rsidR="008D4A3E" w:rsidRDefault="00C24A4B" w:rsidP="00DE1A91">
            <w:pPr>
              <w:pStyle w:val="NoSpacing"/>
              <w:jc w:val="right"/>
            </w:pPr>
            <w:r>
              <w:t>4,465</w:t>
            </w:r>
          </w:p>
        </w:tc>
        <w:tc>
          <w:tcPr>
            <w:tcW w:w="1134" w:type="dxa"/>
          </w:tcPr>
          <w:p w:rsidR="008D4A3E" w:rsidRDefault="00C24A4B" w:rsidP="00DE1A91">
            <w:pPr>
              <w:pStyle w:val="NoSpacing"/>
              <w:jc w:val="right"/>
            </w:pPr>
            <w:r>
              <w:t>2,395</w:t>
            </w:r>
          </w:p>
        </w:tc>
      </w:tr>
      <w:tr w:rsidR="008D4A3E" w:rsidTr="00DE1A91">
        <w:tc>
          <w:tcPr>
            <w:tcW w:w="8784" w:type="dxa"/>
          </w:tcPr>
          <w:p w:rsidR="008D4A3E" w:rsidRDefault="00C24A4B" w:rsidP="00DE1A91">
            <w:pPr>
              <w:pStyle w:val="NoSpacing"/>
            </w:pPr>
            <w:r>
              <w:t>Later than one year but not later than five years</w:t>
            </w:r>
          </w:p>
        </w:tc>
        <w:tc>
          <w:tcPr>
            <w:tcW w:w="1417" w:type="dxa"/>
          </w:tcPr>
          <w:p w:rsidR="008D4A3E" w:rsidRDefault="00C24A4B" w:rsidP="00DE1A91">
            <w:pPr>
              <w:pStyle w:val="NoSpacing"/>
              <w:jc w:val="right"/>
            </w:pPr>
            <w:r>
              <w:t>7,116</w:t>
            </w:r>
          </w:p>
        </w:tc>
        <w:tc>
          <w:tcPr>
            <w:tcW w:w="1276" w:type="dxa"/>
          </w:tcPr>
          <w:p w:rsidR="008D4A3E" w:rsidRDefault="00C24A4B" w:rsidP="00DE1A91">
            <w:pPr>
              <w:pStyle w:val="NoSpacing"/>
              <w:jc w:val="right"/>
            </w:pPr>
            <w:r>
              <w:t>-</w:t>
            </w:r>
          </w:p>
        </w:tc>
        <w:tc>
          <w:tcPr>
            <w:tcW w:w="1276" w:type="dxa"/>
          </w:tcPr>
          <w:p w:rsidR="008D4A3E" w:rsidRDefault="00C24A4B" w:rsidP="00DE1A91">
            <w:pPr>
              <w:pStyle w:val="NoSpacing"/>
              <w:jc w:val="right"/>
            </w:pPr>
            <w:r>
              <w:t>7,116</w:t>
            </w:r>
          </w:p>
        </w:tc>
        <w:tc>
          <w:tcPr>
            <w:tcW w:w="1134" w:type="dxa"/>
          </w:tcPr>
          <w:p w:rsidR="008D4A3E" w:rsidRDefault="00C24A4B" w:rsidP="00DE1A91">
            <w:pPr>
              <w:pStyle w:val="NoSpacing"/>
              <w:jc w:val="right"/>
            </w:pPr>
            <w:r>
              <w:t>-</w:t>
            </w:r>
          </w:p>
        </w:tc>
      </w:tr>
      <w:tr w:rsidR="008D4A3E" w:rsidTr="00DE1A91">
        <w:tc>
          <w:tcPr>
            <w:tcW w:w="8784" w:type="dxa"/>
          </w:tcPr>
          <w:p w:rsidR="008D4A3E" w:rsidRDefault="00C24A4B" w:rsidP="00DE1A91">
            <w:pPr>
              <w:pStyle w:val="NoSpacing"/>
            </w:pPr>
            <w:r>
              <w:t>Total other expenditure commitments</w:t>
            </w:r>
          </w:p>
        </w:tc>
        <w:tc>
          <w:tcPr>
            <w:tcW w:w="1417" w:type="dxa"/>
          </w:tcPr>
          <w:p w:rsidR="008D4A3E" w:rsidRDefault="00C24A4B" w:rsidP="00DE1A91">
            <w:pPr>
              <w:pStyle w:val="NoSpacing"/>
              <w:jc w:val="right"/>
            </w:pPr>
            <w:r>
              <w:t>11,581</w:t>
            </w:r>
          </w:p>
        </w:tc>
        <w:tc>
          <w:tcPr>
            <w:tcW w:w="1276" w:type="dxa"/>
          </w:tcPr>
          <w:p w:rsidR="008D4A3E" w:rsidRDefault="00C24A4B" w:rsidP="00DE1A91">
            <w:pPr>
              <w:pStyle w:val="NoSpacing"/>
              <w:jc w:val="right"/>
            </w:pPr>
            <w:r>
              <w:t>2,403</w:t>
            </w:r>
          </w:p>
        </w:tc>
        <w:tc>
          <w:tcPr>
            <w:tcW w:w="1276" w:type="dxa"/>
          </w:tcPr>
          <w:p w:rsidR="008D4A3E" w:rsidRDefault="00C24A4B" w:rsidP="00DE1A91">
            <w:pPr>
              <w:pStyle w:val="NoSpacing"/>
              <w:jc w:val="right"/>
            </w:pPr>
            <w:r>
              <w:t>11,581</w:t>
            </w:r>
          </w:p>
        </w:tc>
        <w:tc>
          <w:tcPr>
            <w:tcW w:w="1134" w:type="dxa"/>
          </w:tcPr>
          <w:p w:rsidR="008D4A3E" w:rsidRDefault="00C24A4B" w:rsidP="00DE1A91">
            <w:pPr>
              <w:pStyle w:val="NoSpacing"/>
              <w:jc w:val="right"/>
            </w:pPr>
            <w:r>
              <w:t>2,395</w:t>
            </w:r>
          </w:p>
        </w:tc>
      </w:tr>
    </w:tbl>
    <w:p w:rsidR="008D4A3E" w:rsidRDefault="008D4A3E" w:rsidP="008D4A3E">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276"/>
        <w:gridCol w:w="1134"/>
      </w:tblGrid>
      <w:tr w:rsidR="008D4A3E" w:rsidTr="00DE1A91">
        <w:tc>
          <w:tcPr>
            <w:tcW w:w="8784" w:type="dxa"/>
          </w:tcPr>
          <w:p w:rsidR="008D4A3E" w:rsidRDefault="00C24A4B" w:rsidP="00DE1A91">
            <w:pPr>
              <w:pStyle w:val="NoSpacing"/>
            </w:pPr>
            <w:r>
              <w:lastRenderedPageBreak/>
              <w:t xml:space="preserve">GST reclaimable on the above </w:t>
            </w:r>
          </w:p>
        </w:tc>
        <w:tc>
          <w:tcPr>
            <w:tcW w:w="1417" w:type="dxa"/>
          </w:tcPr>
          <w:p w:rsidR="008D4A3E" w:rsidRDefault="00C24A4B" w:rsidP="00DE1A91">
            <w:pPr>
              <w:pStyle w:val="NoSpacing"/>
              <w:jc w:val="right"/>
            </w:pPr>
            <w:r>
              <w:t>1,053</w:t>
            </w:r>
          </w:p>
        </w:tc>
        <w:tc>
          <w:tcPr>
            <w:tcW w:w="1276" w:type="dxa"/>
          </w:tcPr>
          <w:p w:rsidR="008D4A3E" w:rsidRDefault="00C24A4B" w:rsidP="00DE1A91">
            <w:pPr>
              <w:pStyle w:val="NoSpacing"/>
              <w:jc w:val="right"/>
            </w:pPr>
            <w:r>
              <w:t>218</w:t>
            </w:r>
          </w:p>
        </w:tc>
        <w:tc>
          <w:tcPr>
            <w:tcW w:w="1276" w:type="dxa"/>
          </w:tcPr>
          <w:p w:rsidR="008D4A3E" w:rsidRDefault="00C24A4B" w:rsidP="00DE1A91">
            <w:pPr>
              <w:pStyle w:val="NoSpacing"/>
              <w:jc w:val="right"/>
            </w:pPr>
            <w:r>
              <w:t>1,053</w:t>
            </w:r>
          </w:p>
        </w:tc>
        <w:tc>
          <w:tcPr>
            <w:tcW w:w="1134" w:type="dxa"/>
          </w:tcPr>
          <w:p w:rsidR="008D4A3E" w:rsidRDefault="00C24A4B" w:rsidP="00DE1A91">
            <w:pPr>
              <w:pStyle w:val="NoSpacing"/>
              <w:jc w:val="right"/>
            </w:pPr>
            <w:r>
              <w:t>218</w:t>
            </w:r>
          </w:p>
        </w:tc>
      </w:tr>
      <w:tr w:rsidR="008D4A3E" w:rsidTr="00DE1A91">
        <w:tc>
          <w:tcPr>
            <w:tcW w:w="8784" w:type="dxa"/>
          </w:tcPr>
          <w:p w:rsidR="008D4A3E" w:rsidRDefault="00C24A4B" w:rsidP="00DE1A91">
            <w:pPr>
              <w:pStyle w:val="NoSpacing"/>
            </w:pPr>
            <w:r>
              <w:t xml:space="preserve">Net other expenditure commitments </w:t>
            </w:r>
          </w:p>
        </w:tc>
        <w:tc>
          <w:tcPr>
            <w:tcW w:w="1417" w:type="dxa"/>
          </w:tcPr>
          <w:p w:rsidR="008D4A3E" w:rsidRDefault="00C24A4B" w:rsidP="00DE1A91">
            <w:pPr>
              <w:pStyle w:val="NoSpacing"/>
              <w:jc w:val="right"/>
            </w:pPr>
            <w:r>
              <w:t>10,528</w:t>
            </w:r>
          </w:p>
        </w:tc>
        <w:tc>
          <w:tcPr>
            <w:tcW w:w="1276" w:type="dxa"/>
          </w:tcPr>
          <w:p w:rsidR="008D4A3E" w:rsidRDefault="00C24A4B" w:rsidP="00DE1A91">
            <w:pPr>
              <w:pStyle w:val="NoSpacing"/>
              <w:jc w:val="right"/>
            </w:pPr>
            <w:r>
              <w:t>2,185</w:t>
            </w:r>
          </w:p>
        </w:tc>
        <w:tc>
          <w:tcPr>
            <w:tcW w:w="1276" w:type="dxa"/>
          </w:tcPr>
          <w:p w:rsidR="008D4A3E" w:rsidRDefault="00C24A4B" w:rsidP="00DE1A91">
            <w:pPr>
              <w:pStyle w:val="NoSpacing"/>
              <w:jc w:val="right"/>
            </w:pPr>
            <w:r>
              <w:t>10,528</w:t>
            </w:r>
          </w:p>
        </w:tc>
        <w:tc>
          <w:tcPr>
            <w:tcW w:w="1134" w:type="dxa"/>
          </w:tcPr>
          <w:p w:rsidR="008D4A3E" w:rsidRDefault="00C24A4B" w:rsidP="00DE1A91">
            <w:pPr>
              <w:pStyle w:val="NoSpacing"/>
              <w:jc w:val="right"/>
            </w:pPr>
            <w:r>
              <w:t>2,177</w:t>
            </w:r>
          </w:p>
        </w:tc>
      </w:tr>
    </w:tbl>
    <w:p w:rsidR="008D4A3E" w:rsidRDefault="008D4A3E" w:rsidP="008D4A3E">
      <w:pPr>
        <w:pStyle w:val="NoSpacing"/>
        <w:rPr>
          <w:rFonts w:cstheme="minorHAnsi"/>
        </w:rPr>
      </w:pPr>
    </w:p>
    <w:p w:rsidR="00C24A4B" w:rsidRDefault="00C24A4B" w:rsidP="00D36BB2">
      <w:pPr>
        <w:pStyle w:val="Heading4"/>
      </w:pPr>
      <w:r>
        <w:t xml:space="preserve">3.4 Operating lease payments </w:t>
      </w:r>
    </w:p>
    <w:p w:rsidR="0026376E" w:rsidRDefault="0026376E" w:rsidP="0026376E">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C24A4B" w:rsidRPr="00AE2D8D" w:rsidTr="00DE1A91">
        <w:tc>
          <w:tcPr>
            <w:tcW w:w="2693" w:type="dxa"/>
            <w:gridSpan w:val="2"/>
          </w:tcPr>
          <w:p w:rsidR="00C24A4B" w:rsidRPr="00AE2D8D" w:rsidRDefault="00C24A4B"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C24A4B" w:rsidRPr="00AE2D8D" w:rsidRDefault="00C24A4B" w:rsidP="00DE1A91">
            <w:pPr>
              <w:pStyle w:val="NoSpacing"/>
              <w:jc w:val="center"/>
              <w:rPr>
                <w:rFonts w:cstheme="minorHAnsi"/>
                <w:bCs/>
                <w:w w:val="105"/>
              </w:rPr>
            </w:pPr>
            <w:r w:rsidRPr="00AE2D8D">
              <w:rPr>
                <w:rFonts w:cstheme="minorHAnsi"/>
                <w:bCs/>
                <w:w w:val="105"/>
              </w:rPr>
              <w:t>Chisholm</w:t>
            </w:r>
          </w:p>
        </w:tc>
      </w:tr>
      <w:tr w:rsidR="00C24A4B" w:rsidRPr="00AE2D8D" w:rsidTr="00DE1A91">
        <w:tc>
          <w:tcPr>
            <w:tcW w:w="1417" w:type="dxa"/>
          </w:tcPr>
          <w:p w:rsidR="00C24A4B" w:rsidRPr="00AE2D8D" w:rsidRDefault="00C24A4B" w:rsidP="00DE1A91">
            <w:pPr>
              <w:pStyle w:val="NoSpacing"/>
              <w:jc w:val="right"/>
              <w:rPr>
                <w:rFonts w:cstheme="minorHAnsi"/>
                <w:bCs/>
                <w:w w:val="105"/>
              </w:rPr>
            </w:pPr>
            <w:r w:rsidRPr="00AE2D8D">
              <w:rPr>
                <w:rFonts w:cstheme="minorHAnsi"/>
                <w:bCs/>
                <w:w w:val="105"/>
              </w:rPr>
              <w:t>2017</w:t>
            </w:r>
          </w:p>
        </w:tc>
        <w:tc>
          <w:tcPr>
            <w:tcW w:w="1276" w:type="dxa"/>
          </w:tcPr>
          <w:p w:rsidR="00C24A4B" w:rsidRPr="00AE2D8D" w:rsidRDefault="00C24A4B" w:rsidP="00DE1A91">
            <w:pPr>
              <w:pStyle w:val="NoSpacing"/>
              <w:jc w:val="right"/>
              <w:rPr>
                <w:rFonts w:cstheme="minorHAnsi"/>
                <w:bCs/>
                <w:w w:val="105"/>
              </w:rPr>
            </w:pPr>
            <w:r w:rsidRPr="00AE2D8D">
              <w:rPr>
                <w:rFonts w:cstheme="minorHAnsi"/>
                <w:bCs/>
                <w:w w:val="105"/>
              </w:rPr>
              <w:t>2016</w:t>
            </w:r>
          </w:p>
        </w:tc>
        <w:tc>
          <w:tcPr>
            <w:tcW w:w="1276" w:type="dxa"/>
          </w:tcPr>
          <w:p w:rsidR="00C24A4B" w:rsidRPr="00AE2D8D" w:rsidRDefault="00C24A4B" w:rsidP="00DE1A91">
            <w:pPr>
              <w:pStyle w:val="NoSpacing"/>
              <w:jc w:val="right"/>
              <w:rPr>
                <w:rFonts w:cstheme="minorHAnsi"/>
                <w:bCs/>
                <w:w w:val="105"/>
              </w:rPr>
            </w:pPr>
            <w:r w:rsidRPr="00AE2D8D">
              <w:rPr>
                <w:rFonts w:cstheme="minorHAnsi"/>
                <w:bCs/>
                <w:w w:val="105"/>
              </w:rPr>
              <w:t>2017</w:t>
            </w:r>
          </w:p>
        </w:tc>
        <w:tc>
          <w:tcPr>
            <w:tcW w:w="1134" w:type="dxa"/>
          </w:tcPr>
          <w:p w:rsidR="00C24A4B" w:rsidRPr="00AE2D8D" w:rsidRDefault="00C24A4B" w:rsidP="00DE1A91">
            <w:pPr>
              <w:pStyle w:val="NoSpacing"/>
              <w:jc w:val="right"/>
              <w:rPr>
                <w:rFonts w:cstheme="minorHAnsi"/>
                <w:bCs/>
                <w:w w:val="105"/>
              </w:rPr>
            </w:pPr>
            <w:r w:rsidRPr="00AE2D8D">
              <w:rPr>
                <w:rFonts w:cstheme="minorHAnsi"/>
                <w:bCs/>
                <w:w w:val="105"/>
              </w:rPr>
              <w:t>2016</w:t>
            </w:r>
          </w:p>
        </w:tc>
      </w:tr>
      <w:tr w:rsidR="00C24A4B" w:rsidRPr="00AE2D8D" w:rsidTr="00DE1A91">
        <w:tc>
          <w:tcPr>
            <w:tcW w:w="1417" w:type="dxa"/>
          </w:tcPr>
          <w:p w:rsidR="00C24A4B" w:rsidRPr="00AE2D8D" w:rsidRDefault="00C24A4B" w:rsidP="00DE1A91">
            <w:pPr>
              <w:jc w:val="right"/>
              <w:rPr>
                <w:rFonts w:cstheme="minorHAnsi"/>
              </w:rPr>
            </w:pPr>
            <w:r w:rsidRPr="00AE2D8D">
              <w:rPr>
                <w:rFonts w:cstheme="minorHAnsi"/>
                <w:bCs/>
                <w:w w:val="105"/>
              </w:rPr>
              <w:t>$’000</w:t>
            </w:r>
          </w:p>
        </w:tc>
        <w:tc>
          <w:tcPr>
            <w:tcW w:w="1276" w:type="dxa"/>
          </w:tcPr>
          <w:p w:rsidR="00C24A4B" w:rsidRPr="00AE2D8D" w:rsidRDefault="00C24A4B" w:rsidP="00DE1A91">
            <w:pPr>
              <w:jc w:val="right"/>
              <w:rPr>
                <w:rFonts w:cstheme="minorHAnsi"/>
              </w:rPr>
            </w:pPr>
            <w:r w:rsidRPr="00AE2D8D">
              <w:rPr>
                <w:rFonts w:cstheme="minorHAnsi"/>
                <w:bCs/>
                <w:w w:val="105"/>
              </w:rPr>
              <w:t>$’000</w:t>
            </w:r>
          </w:p>
        </w:tc>
        <w:tc>
          <w:tcPr>
            <w:tcW w:w="1276" w:type="dxa"/>
          </w:tcPr>
          <w:p w:rsidR="00C24A4B" w:rsidRPr="00AE2D8D" w:rsidRDefault="00C24A4B" w:rsidP="00DE1A91">
            <w:pPr>
              <w:jc w:val="right"/>
              <w:rPr>
                <w:rFonts w:cstheme="minorHAnsi"/>
              </w:rPr>
            </w:pPr>
            <w:r w:rsidRPr="00AE2D8D">
              <w:rPr>
                <w:rFonts w:cstheme="minorHAnsi"/>
                <w:bCs/>
                <w:w w:val="105"/>
              </w:rPr>
              <w:t>$’000</w:t>
            </w:r>
          </w:p>
        </w:tc>
        <w:tc>
          <w:tcPr>
            <w:tcW w:w="1134" w:type="dxa"/>
          </w:tcPr>
          <w:p w:rsidR="00C24A4B" w:rsidRPr="00AE2D8D" w:rsidRDefault="00C24A4B" w:rsidP="00DE1A91">
            <w:pPr>
              <w:pStyle w:val="NoSpacing"/>
              <w:jc w:val="right"/>
              <w:rPr>
                <w:rFonts w:cstheme="minorHAnsi"/>
                <w:bCs/>
                <w:w w:val="105"/>
              </w:rPr>
            </w:pPr>
            <w:r w:rsidRPr="00AE2D8D">
              <w:rPr>
                <w:rFonts w:cstheme="minorHAnsi"/>
                <w:bCs/>
                <w:w w:val="105"/>
              </w:rPr>
              <w:t>$’000</w:t>
            </w:r>
          </w:p>
        </w:tc>
      </w:tr>
    </w:tbl>
    <w:p w:rsidR="00C24A4B" w:rsidRDefault="00C24A4B" w:rsidP="0026376E">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276"/>
        <w:gridCol w:w="1134"/>
      </w:tblGrid>
      <w:tr w:rsidR="00C24A4B" w:rsidTr="00DE1A91">
        <w:tc>
          <w:tcPr>
            <w:tcW w:w="8784" w:type="dxa"/>
          </w:tcPr>
          <w:p w:rsidR="00C24A4B" w:rsidRDefault="00C24A4B" w:rsidP="00DE1A91">
            <w:pPr>
              <w:pStyle w:val="NoSpacing"/>
            </w:pPr>
            <w:r>
              <w:t>Operating lease rental expenses</w:t>
            </w:r>
          </w:p>
        </w:tc>
        <w:tc>
          <w:tcPr>
            <w:tcW w:w="1417" w:type="dxa"/>
          </w:tcPr>
          <w:p w:rsidR="00C24A4B" w:rsidRDefault="00C24A4B" w:rsidP="00DE1A91">
            <w:pPr>
              <w:pStyle w:val="NoSpacing"/>
              <w:jc w:val="right"/>
            </w:pPr>
            <w:r>
              <w:t>3,495</w:t>
            </w:r>
          </w:p>
        </w:tc>
        <w:tc>
          <w:tcPr>
            <w:tcW w:w="1276" w:type="dxa"/>
          </w:tcPr>
          <w:p w:rsidR="00C24A4B" w:rsidRDefault="00C24A4B" w:rsidP="00DE1A91">
            <w:pPr>
              <w:pStyle w:val="NoSpacing"/>
              <w:jc w:val="right"/>
            </w:pPr>
            <w:r>
              <w:t>3,396</w:t>
            </w:r>
          </w:p>
        </w:tc>
        <w:tc>
          <w:tcPr>
            <w:tcW w:w="1276" w:type="dxa"/>
          </w:tcPr>
          <w:p w:rsidR="00C24A4B" w:rsidRDefault="00C24A4B" w:rsidP="00DE1A91">
            <w:pPr>
              <w:pStyle w:val="NoSpacing"/>
              <w:jc w:val="right"/>
            </w:pPr>
            <w:r>
              <w:t>2,754</w:t>
            </w:r>
          </w:p>
        </w:tc>
        <w:tc>
          <w:tcPr>
            <w:tcW w:w="1134" w:type="dxa"/>
          </w:tcPr>
          <w:p w:rsidR="00C24A4B" w:rsidRDefault="00C24A4B" w:rsidP="00DE1A91">
            <w:pPr>
              <w:pStyle w:val="NoSpacing"/>
              <w:jc w:val="right"/>
            </w:pPr>
            <w:r>
              <w:t>2,735</w:t>
            </w:r>
          </w:p>
        </w:tc>
      </w:tr>
      <w:tr w:rsidR="00C24A4B" w:rsidTr="00DE1A91">
        <w:tc>
          <w:tcPr>
            <w:tcW w:w="8784" w:type="dxa"/>
          </w:tcPr>
          <w:p w:rsidR="00C24A4B" w:rsidRDefault="00C24A4B" w:rsidP="00C24A4B">
            <w:pPr>
              <w:pStyle w:val="NoSpacing"/>
            </w:pPr>
            <w:r>
              <w:t>Total operating lease rental expenses</w:t>
            </w:r>
          </w:p>
        </w:tc>
        <w:tc>
          <w:tcPr>
            <w:tcW w:w="1417" w:type="dxa"/>
          </w:tcPr>
          <w:p w:rsidR="00C24A4B" w:rsidRDefault="00C24A4B" w:rsidP="00C24A4B">
            <w:pPr>
              <w:pStyle w:val="NoSpacing"/>
              <w:jc w:val="right"/>
            </w:pPr>
            <w:r>
              <w:t>3,495</w:t>
            </w:r>
          </w:p>
        </w:tc>
        <w:tc>
          <w:tcPr>
            <w:tcW w:w="1276" w:type="dxa"/>
          </w:tcPr>
          <w:p w:rsidR="00C24A4B" w:rsidRDefault="00C24A4B" w:rsidP="00C24A4B">
            <w:pPr>
              <w:pStyle w:val="NoSpacing"/>
              <w:jc w:val="right"/>
            </w:pPr>
            <w:r>
              <w:t>3,396</w:t>
            </w:r>
          </w:p>
        </w:tc>
        <w:tc>
          <w:tcPr>
            <w:tcW w:w="1276" w:type="dxa"/>
          </w:tcPr>
          <w:p w:rsidR="00C24A4B" w:rsidRDefault="00C24A4B" w:rsidP="00C24A4B">
            <w:pPr>
              <w:pStyle w:val="NoSpacing"/>
              <w:jc w:val="right"/>
            </w:pPr>
            <w:r>
              <w:t>2,754</w:t>
            </w:r>
          </w:p>
        </w:tc>
        <w:tc>
          <w:tcPr>
            <w:tcW w:w="1134" w:type="dxa"/>
          </w:tcPr>
          <w:p w:rsidR="00C24A4B" w:rsidRDefault="00C24A4B" w:rsidP="00C24A4B">
            <w:pPr>
              <w:pStyle w:val="NoSpacing"/>
              <w:jc w:val="right"/>
            </w:pPr>
            <w:r>
              <w:t>2,735</w:t>
            </w:r>
          </w:p>
        </w:tc>
      </w:tr>
    </w:tbl>
    <w:p w:rsidR="00C24A4B" w:rsidRDefault="00C24A4B" w:rsidP="0026376E">
      <w:pPr>
        <w:pStyle w:val="NoSpacing"/>
        <w:rPr>
          <w:rFonts w:cstheme="minorHAnsi"/>
        </w:rPr>
      </w:pPr>
    </w:p>
    <w:p w:rsidR="00C24A4B" w:rsidRDefault="00C24A4B" w:rsidP="00C24A4B">
      <w:pPr>
        <w:pStyle w:val="NoSpacing"/>
        <w:rPr>
          <w:rFonts w:cstheme="minorHAnsi"/>
        </w:rPr>
      </w:pPr>
      <w:r>
        <w:rPr>
          <w:rFonts w:cstheme="minorHAnsi"/>
        </w:rPr>
        <w:t>&lt;pp&gt;54</w:t>
      </w:r>
    </w:p>
    <w:p w:rsidR="00C24A4B" w:rsidRDefault="00C24A4B" w:rsidP="0026376E">
      <w:pPr>
        <w:pStyle w:val="NoSpacing"/>
        <w:rPr>
          <w:rFonts w:cstheme="minorHAnsi"/>
        </w:rPr>
      </w:pPr>
    </w:p>
    <w:p w:rsidR="00C24A4B" w:rsidRDefault="00C24A4B" w:rsidP="00D36BB2">
      <w:pPr>
        <w:pStyle w:val="Heading3"/>
      </w:pPr>
      <w:r>
        <w:t>3. HOW WE EXPENDED OUR FUNDS (CONTINUED)</w:t>
      </w:r>
    </w:p>
    <w:p w:rsidR="00C24A4B" w:rsidRDefault="00C24A4B" w:rsidP="00C24A4B">
      <w:pPr>
        <w:pStyle w:val="NoSpacing"/>
        <w:rPr>
          <w:rFonts w:cstheme="minorHAnsi"/>
        </w:rPr>
      </w:pPr>
    </w:p>
    <w:p w:rsidR="00C24A4B" w:rsidRDefault="00C24A4B" w:rsidP="00D36BB2">
      <w:pPr>
        <w:pStyle w:val="Heading4"/>
      </w:pPr>
      <w:r>
        <w:t>3.4 Operating lease payments (continued)</w:t>
      </w:r>
    </w:p>
    <w:p w:rsidR="00C24A4B" w:rsidRDefault="00C24A4B" w:rsidP="00D36BB2">
      <w:pPr>
        <w:pStyle w:val="Heading4"/>
      </w:pPr>
    </w:p>
    <w:p w:rsidR="00C24A4B" w:rsidRDefault="00C24A4B" w:rsidP="00D36BB2">
      <w:pPr>
        <w:pStyle w:val="Heading4"/>
        <w:rPr>
          <w:caps/>
        </w:rPr>
      </w:pPr>
      <w:r w:rsidRPr="00A142C7">
        <w:rPr>
          <w:caps/>
        </w:rPr>
        <w:t>Non-cancellable operating lease commitments payable</w:t>
      </w:r>
    </w:p>
    <w:p w:rsidR="00C24A4B" w:rsidRDefault="00C24A4B" w:rsidP="00C24A4B">
      <w:pPr>
        <w:pStyle w:val="NoSpacing"/>
        <w:rPr>
          <w:rFonts w:cstheme="minorHAnsi"/>
          <w:caps/>
        </w:rPr>
      </w:pPr>
    </w:p>
    <w:p w:rsidR="00C24A4B" w:rsidRDefault="00C24A4B" w:rsidP="00C24A4B">
      <w:pPr>
        <w:pStyle w:val="NoSpacing"/>
        <w:rPr>
          <w:rFonts w:cstheme="minorHAnsi"/>
        </w:rPr>
      </w:pPr>
      <w:r>
        <w:rPr>
          <w:rFonts w:cstheme="minorHAnsi"/>
        </w:rPr>
        <w:t>Commitments for minimum lease payments in relation to non-cancellable operating leases are payable as follows:</w:t>
      </w:r>
    </w:p>
    <w:p w:rsidR="00C24A4B" w:rsidRDefault="00C24A4B" w:rsidP="00C24A4B">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C24A4B" w:rsidRPr="00AE2D8D" w:rsidTr="00DE1A91">
        <w:tc>
          <w:tcPr>
            <w:tcW w:w="2693" w:type="dxa"/>
            <w:gridSpan w:val="2"/>
          </w:tcPr>
          <w:p w:rsidR="00C24A4B" w:rsidRPr="00AE2D8D" w:rsidRDefault="00C24A4B"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C24A4B" w:rsidRPr="00AE2D8D" w:rsidRDefault="00C24A4B" w:rsidP="00DE1A91">
            <w:pPr>
              <w:pStyle w:val="NoSpacing"/>
              <w:jc w:val="center"/>
              <w:rPr>
                <w:rFonts w:cstheme="minorHAnsi"/>
                <w:bCs/>
                <w:w w:val="105"/>
              </w:rPr>
            </w:pPr>
            <w:r w:rsidRPr="00AE2D8D">
              <w:rPr>
                <w:rFonts w:cstheme="minorHAnsi"/>
                <w:bCs/>
                <w:w w:val="105"/>
              </w:rPr>
              <w:t>Chisholm</w:t>
            </w:r>
          </w:p>
        </w:tc>
      </w:tr>
      <w:tr w:rsidR="00C24A4B" w:rsidRPr="00AE2D8D" w:rsidTr="00DE1A91">
        <w:tc>
          <w:tcPr>
            <w:tcW w:w="1417" w:type="dxa"/>
          </w:tcPr>
          <w:p w:rsidR="00C24A4B" w:rsidRPr="00AE2D8D" w:rsidRDefault="00C24A4B" w:rsidP="00DE1A91">
            <w:pPr>
              <w:pStyle w:val="NoSpacing"/>
              <w:jc w:val="right"/>
              <w:rPr>
                <w:rFonts w:cstheme="minorHAnsi"/>
                <w:bCs/>
                <w:w w:val="105"/>
              </w:rPr>
            </w:pPr>
            <w:r w:rsidRPr="00AE2D8D">
              <w:rPr>
                <w:rFonts w:cstheme="minorHAnsi"/>
                <w:bCs/>
                <w:w w:val="105"/>
              </w:rPr>
              <w:t>2017</w:t>
            </w:r>
          </w:p>
        </w:tc>
        <w:tc>
          <w:tcPr>
            <w:tcW w:w="1276" w:type="dxa"/>
          </w:tcPr>
          <w:p w:rsidR="00C24A4B" w:rsidRPr="00AE2D8D" w:rsidRDefault="00C24A4B" w:rsidP="00DE1A91">
            <w:pPr>
              <w:pStyle w:val="NoSpacing"/>
              <w:jc w:val="right"/>
              <w:rPr>
                <w:rFonts w:cstheme="minorHAnsi"/>
                <w:bCs/>
                <w:w w:val="105"/>
              </w:rPr>
            </w:pPr>
            <w:r w:rsidRPr="00AE2D8D">
              <w:rPr>
                <w:rFonts w:cstheme="minorHAnsi"/>
                <w:bCs/>
                <w:w w:val="105"/>
              </w:rPr>
              <w:t>2016</w:t>
            </w:r>
          </w:p>
        </w:tc>
        <w:tc>
          <w:tcPr>
            <w:tcW w:w="1276" w:type="dxa"/>
          </w:tcPr>
          <w:p w:rsidR="00C24A4B" w:rsidRPr="00AE2D8D" w:rsidRDefault="00C24A4B" w:rsidP="00DE1A91">
            <w:pPr>
              <w:pStyle w:val="NoSpacing"/>
              <w:jc w:val="right"/>
              <w:rPr>
                <w:rFonts w:cstheme="minorHAnsi"/>
                <w:bCs/>
                <w:w w:val="105"/>
              </w:rPr>
            </w:pPr>
            <w:r w:rsidRPr="00AE2D8D">
              <w:rPr>
                <w:rFonts w:cstheme="minorHAnsi"/>
                <w:bCs/>
                <w:w w:val="105"/>
              </w:rPr>
              <w:t>2017</w:t>
            </w:r>
          </w:p>
        </w:tc>
        <w:tc>
          <w:tcPr>
            <w:tcW w:w="1134" w:type="dxa"/>
          </w:tcPr>
          <w:p w:rsidR="00C24A4B" w:rsidRPr="00AE2D8D" w:rsidRDefault="00C24A4B" w:rsidP="00DE1A91">
            <w:pPr>
              <w:pStyle w:val="NoSpacing"/>
              <w:jc w:val="right"/>
              <w:rPr>
                <w:rFonts w:cstheme="minorHAnsi"/>
                <w:bCs/>
                <w:w w:val="105"/>
              </w:rPr>
            </w:pPr>
            <w:r w:rsidRPr="00AE2D8D">
              <w:rPr>
                <w:rFonts w:cstheme="minorHAnsi"/>
                <w:bCs/>
                <w:w w:val="105"/>
              </w:rPr>
              <w:t>2016</w:t>
            </w:r>
          </w:p>
        </w:tc>
      </w:tr>
      <w:tr w:rsidR="00C24A4B" w:rsidRPr="00AE2D8D" w:rsidTr="00DE1A91">
        <w:tc>
          <w:tcPr>
            <w:tcW w:w="1417" w:type="dxa"/>
          </w:tcPr>
          <w:p w:rsidR="00C24A4B" w:rsidRPr="00AE2D8D" w:rsidRDefault="00C24A4B" w:rsidP="00DE1A91">
            <w:pPr>
              <w:jc w:val="right"/>
              <w:rPr>
                <w:rFonts w:cstheme="minorHAnsi"/>
              </w:rPr>
            </w:pPr>
            <w:r w:rsidRPr="00AE2D8D">
              <w:rPr>
                <w:rFonts w:cstheme="minorHAnsi"/>
                <w:bCs/>
                <w:w w:val="105"/>
              </w:rPr>
              <w:t>$’000</w:t>
            </w:r>
          </w:p>
        </w:tc>
        <w:tc>
          <w:tcPr>
            <w:tcW w:w="1276" w:type="dxa"/>
          </w:tcPr>
          <w:p w:rsidR="00C24A4B" w:rsidRPr="00AE2D8D" w:rsidRDefault="00C24A4B" w:rsidP="00DE1A91">
            <w:pPr>
              <w:jc w:val="right"/>
              <w:rPr>
                <w:rFonts w:cstheme="minorHAnsi"/>
              </w:rPr>
            </w:pPr>
            <w:r w:rsidRPr="00AE2D8D">
              <w:rPr>
                <w:rFonts w:cstheme="minorHAnsi"/>
                <w:bCs/>
                <w:w w:val="105"/>
              </w:rPr>
              <w:t>$’000</w:t>
            </w:r>
          </w:p>
        </w:tc>
        <w:tc>
          <w:tcPr>
            <w:tcW w:w="1276" w:type="dxa"/>
          </w:tcPr>
          <w:p w:rsidR="00C24A4B" w:rsidRPr="00AE2D8D" w:rsidRDefault="00C24A4B" w:rsidP="00DE1A91">
            <w:pPr>
              <w:jc w:val="right"/>
              <w:rPr>
                <w:rFonts w:cstheme="minorHAnsi"/>
              </w:rPr>
            </w:pPr>
            <w:r w:rsidRPr="00AE2D8D">
              <w:rPr>
                <w:rFonts w:cstheme="minorHAnsi"/>
                <w:bCs/>
                <w:w w:val="105"/>
              </w:rPr>
              <w:t>$’000</w:t>
            </w:r>
          </w:p>
        </w:tc>
        <w:tc>
          <w:tcPr>
            <w:tcW w:w="1134" w:type="dxa"/>
          </w:tcPr>
          <w:p w:rsidR="00C24A4B" w:rsidRPr="00AE2D8D" w:rsidRDefault="00C24A4B" w:rsidP="00DE1A91">
            <w:pPr>
              <w:pStyle w:val="NoSpacing"/>
              <w:jc w:val="right"/>
              <w:rPr>
                <w:rFonts w:cstheme="minorHAnsi"/>
                <w:bCs/>
                <w:w w:val="105"/>
              </w:rPr>
            </w:pPr>
            <w:r w:rsidRPr="00AE2D8D">
              <w:rPr>
                <w:rFonts w:cstheme="minorHAnsi"/>
                <w:bCs/>
                <w:w w:val="105"/>
              </w:rPr>
              <w:t>$’000</w:t>
            </w:r>
          </w:p>
        </w:tc>
      </w:tr>
    </w:tbl>
    <w:p w:rsidR="00C24A4B" w:rsidRDefault="00C24A4B" w:rsidP="00C24A4B">
      <w:pPr>
        <w:pStyle w:val="NoSpacing"/>
        <w:rPr>
          <w:rFonts w:cstheme="minorHAnsi"/>
        </w:rPr>
      </w:pPr>
      <w:r>
        <w:rPr>
          <w:rFonts w:cstheme="minorHAnsi"/>
        </w:rPr>
        <w:t>Payable:</w:t>
      </w:r>
    </w:p>
    <w:tbl>
      <w:tblPr>
        <w:tblStyle w:val="TableGrid"/>
        <w:tblW w:w="0" w:type="auto"/>
        <w:tblLook w:val="04A0" w:firstRow="1" w:lastRow="0" w:firstColumn="1" w:lastColumn="0" w:noHBand="0" w:noVBand="1"/>
      </w:tblPr>
      <w:tblGrid>
        <w:gridCol w:w="8784"/>
        <w:gridCol w:w="1417"/>
        <w:gridCol w:w="1276"/>
        <w:gridCol w:w="1276"/>
        <w:gridCol w:w="1134"/>
      </w:tblGrid>
      <w:tr w:rsidR="00C24A4B" w:rsidTr="00DE1A91">
        <w:tc>
          <w:tcPr>
            <w:tcW w:w="8784" w:type="dxa"/>
          </w:tcPr>
          <w:p w:rsidR="00C24A4B" w:rsidRDefault="00C24A4B" w:rsidP="00DE1A91">
            <w:pPr>
              <w:pStyle w:val="NoSpacing"/>
            </w:pPr>
            <w:r>
              <w:t>Within one year</w:t>
            </w:r>
          </w:p>
        </w:tc>
        <w:tc>
          <w:tcPr>
            <w:tcW w:w="1417" w:type="dxa"/>
          </w:tcPr>
          <w:p w:rsidR="00C24A4B" w:rsidRDefault="00C24A4B" w:rsidP="00DE1A91">
            <w:pPr>
              <w:pStyle w:val="NoSpacing"/>
              <w:jc w:val="right"/>
            </w:pPr>
            <w:r>
              <w:t>572</w:t>
            </w:r>
          </w:p>
        </w:tc>
        <w:tc>
          <w:tcPr>
            <w:tcW w:w="1276" w:type="dxa"/>
          </w:tcPr>
          <w:p w:rsidR="00C24A4B" w:rsidRDefault="00C24A4B" w:rsidP="00DE1A91">
            <w:pPr>
              <w:pStyle w:val="NoSpacing"/>
              <w:jc w:val="right"/>
            </w:pPr>
            <w:r>
              <w:t>3,256</w:t>
            </w:r>
          </w:p>
        </w:tc>
        <w:tc>
          <w:tcPr>
            <w:tcW w:w="1276" w:type="dxa"/>
          </w:tcPr>
          <w:p w:rsidR="00C24A4B" w:rsidRDefault="00C24A4B" w:rsidP="00DE1A91">
            <w:pPr>
              <w:pStyle w:val="NoSpacing"/>
              <w:jc w:val="right"/>
            </w:pPr>
            <w:r>
              <w:t>572</w:t>
            </w:r>
          </w:p>
        </w:tc>
        <w:tc>
          <w:tcPr>
            <w:tcW w:w="1134" w:type="dxa"/>
          </w:tcPr>
          <w:p w:rsidR="00C24A4B" w:rsidRDefault="00C24A4B" w:rsidP="00DE1A91">
            <w:pPr>
              <w:pStyle w:val="NoSpacing"/>
              <w:jc w:val="right"/>
            </w:pPr>
            <w:r>
              <w:t>2,845</w:t>
            </w:r>
          </w:p>
        </w:tc>
      </w:tr>
      <w:tr w:rsidR="00C24A4B" w:rsidTr="00DE1A91">
        <w:tc>
          <w:tcPr>
            <w:tcW w:w="8784" w:type="dxa"/>
          </w:tcPr>
          <w:p w:rsidR="00C24A4B" w:rsidRDefault="00C24A4B" w:rsidP="00DE1A91">
            <w:pPr>
              <w:pStyle w:val="NoSpacing"/>
            </w:pPr>
            <w:r>
              <w:t>Later than one year but not later than five years</w:t>
            </w:r>
          </w:p>
        </w:tc>
        <w:tc>
          <w:tcPr>
            <w:tcW w:w="1417" w:type="dxa"/>
          </w:tcPr>
          <w:p w:rsidR="00C24A4B" w:rsidRDefault="00C24A4B" w:rsidP="00DE1A91">
            <w:pPr>
              <w:pStyle w:val="NoSpacing"/>
              <w:jc w:val="right"/>
            </w:pPr>
            <w:r>
              <w:t>1,120</w:t>
            </w:r>
          </w:p>
        </w:tc>
        <w:tc>
          <w:tcPr>
            <w:tcW w:w="1276" w:type="dxa"/>
          </w:tcPr>
          <w:p w:rsidR="00C24A4B" w:rsidRDefault="00C24A4B" w:rsidP="00DE1A91">
            <w:pPr>
              <w:pStyle w:val="NoSpacing"/>
              <w:jc w:val="right"/>
            </w:pPr>
            <w:r>
              <w:t>4,882</w:t>
            </w:r>
          </w:p>
        </w:tc>
        <w:tc>
          <w:tcPr>
            <w:tcW w:w="1276" w:type="dxa"/>
          </w:tcPr>
          <w:p w:rsidR="00C24A4B" w:rsidRDefault="00C24A4B" w:rsidP="00DE1A91">
            <w:pPr>
              <w:pStyle w:val="NoSpacing"/>
              <w:jc w:val="right"/>
            </w:pPr>
            <w:r>
              <w:t>1,120</w:t>
            </w:r>
          </w:p>
        </w:tc>
        <w:tc>
          <w:tcPr>
            <w:tcW w:w="1134" w:type="dxa"/>
          </w:tcPr>
          <w:p w:rsidR="00C24A4B" w:rsidRDefault="00C24A4B" w:rsidP="00DE1A91">
            <w:pPr>
              <w:pStyle w:val="NoSpacing"/>
              <w:jc w:val="right"/>
            </w:pPr>
            <w:r>
              <w:t>4,240</w:t>
            </w:r>
          </w:p>
        </w:tc>
      </w:tr>
      <w:tr w:rsidR="00C24A4B" w:rsidTr="00DE1A91">
        <w:tc>
          <w:tcPr>
            <w:tcW w:w="8784" w:type="dxa"/>
          </w:tcPr>
          <w:p w:rsidR="00C24A4B" w:rsidRDefault="00C24A4B" w:rsidP="00C24A4B">
            <w:pPr>
              <w:pStyle w:val="NoSpacing"/>
            </w:pPr>
            <w:r>
              <w:t>Total operating lease commitments</w:t>
            </w:r>
          </w:p>
        </w:tc>
        <w:tc>
          <w:tcPr>
            <w:tcW w:w="1417" w:type="dxa"/>
          </w:tcPr>
          <w:p w:rsidR="00C24A4B" w:rsidRDefault="00C24A4B" w:rsidP="00DE1A91">
            <w:pPr>
              <w:pStyle w:val="NoSpacing"/>
              <w:jc w:val="right"/>
            </w:pPr>
            <w:r>
              <w:t>1,692</w:t>
            </w:r>
          </w:p>
        </w:tc>
        <w:tc>
          <w:tcPr>
            <w:tcW w:w="1276" w:type="dxa"/>
          </w:tcPr>
          <w:p w:rsidR="00C24A4B" w:rsidRDefault="00C24A4B" w:rsidP="00DE1A91">
            <w:pPr>
              <w:pStyle w:val="NoSpacing"/>
              <w:jc w:val="right"/>
            </w:pPr>
            <w:r>
              <w:t>8,138</w:t>
            </w:r>
          </w:p>
        </w:tc>
        <w:tc>
          <w:tcPr>
            <w:tcW w:w="1276" w:type="dxa"/>
          </w:tcPr>
          <w:p w:rsidR="00C24A4B" w:rsidRDefault="00C24A4B" w:rsidP="00DE1A91">
            <w:pPr>
              <w:pStyle w:val="NoSpacing"/>
              <w:jc w:val="right"/>
            </w:pPr>
            <w:r>
              <w:t>1,692</w:t>
            </w:r>
          </w:p>
        </w:tc>
        <w:tc>
          <w:tcPr>
            <w:tcW w:w="1134" w:type="dxa"/>
          </w:tcPr>
          <w:p w:rsidR="00C24A4B" w:rsidRDefault="00C24A4B" w:rsidP="00DE1A91">
            <w:pPr>
              <w:pStyle w:val="NoSpacing"/>
              <w:jc w:val="right"/>
            </w:pPr>
            <w:r>
              <w:t>7,085</w:t>
            </w:r>
          </w:p>
        </w:tc>
      </w:tr>
    </w:tbl>
    <w:p w:rsidR="00C24A4B" w:rsidRDefault="00C24A4B" w:rsidP="00C24A4B">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276"/>
        <w:gridCol w:w="1134"/>
      </w:tblGrid>
      <w:tr w:rsidR="00C24A4B" w:rsidTr="00DE1A91">
        <w:tc>
          <w:tcPr>
            <w:tcW w:w="8784" w:type="dxa"/>
          </w:tcPr>
          <w:p w:rsidR="00C24A4B" w:rsidRDefault="00C24A4B" w:rsidP="00DE1A91">
            <w:pPr>
              <w:pStyle w:val="NoSpacing"/>
            </w:pPr>
            <w:r>
              <w:t xml:space="preserve">GST reclaimable of the above </w:t>
            </w:r>
          </w:p>
        </w:tc>
        <w:tc>
          <w:tcPr>
            <w:tcW w:w="1417" w:type="dxa"/>
          </w:tcPr>
          <w:p w:rsidR="00C24A4B" w:rsidRDefault="00C24A4B" w:rsidP="00DE1A91">
            <w:pPr>
              <w:pStyle w:val="NoSpacing"/>
              <w:jc w:val="right"/>
            </w:pPr>
            <w:r>
              <w:t>154</w:t>
            </w:r>
          </w:p>
        </w:tc>
        <w:tc>
          <w:tcPr>
            <w:tcW w:w="1276" w:type="dxa"/>
          </w:tcPr>
          <w:p w:rsidR="00C24A4B" w:rsidRDefault="00C24A4B" w:rsidP="00DE1A91">
            <w:pPr>
              <w:pStyle w:val="NoSpacing"/>
              <w:jc w:val="right"/>
            </w:pPr>
            <w:r>
              <w:t>740</w:t>
            </w:r>
          </w:p>
        </w:tc>
        <w:tc>
          <w:tcPr>
            <w:tcW w:w="1276" w:type="dxa"/>
          </w:tcPr>
          <w:p w:rsidR="00C24A4B" w:rsidRDefault="00C24A4B" w:rsidP="00DE1A91">
            <w:pPr>
              <w:pStyle w:val="NoSpacing"/>
              <w:jc w:val="right"/>
            </w:pPr>
            <w:r>
              <w:t>154</w:t>
            </w:r>
          </w:p>
        </w:tc>
        <w:tc>
          <w:tcPr>
            <w:tcW w:w="1134" w:type="dxa"/>
          </w:tcPr>
          <w:p w:rsidR="00C24A4B" w:rsidRDefault="00C24A4B" w:rsidP="00DE1A91">
            <w:pPr>
              <w:pStyle w:val="NoSpacing"/>
              <w:jc w:val="right"/>
            </w:pPr>
            <w:r>
              <w:t>644</w:t>
            </w:r>
          </w:p>
        </w:tc>
      </w:tr>
      <w:tr w:rsidR="00C24A4B" w:rsidTr="00DE1A91">
        <w:tc>
          <w:tcPr>
            <w:tcW w:w="8784" w:type="dxa"/>
          </w:tcPr>
          <w:p w:rsidR="00C24A4B" w:rsidRDefault="00C24A4B" w:rsidP="00DE1A91">
            <w:pPr>
              <w:pStyle w:val="NoSpacing"/>
            </w:pPr>
            <w:r>
              <w:lastRenderedPageBreak/>
              <w:t xml:space="preserve">Net operating lease commitments </w:t>
            </w:r>
          </w:p>
        </w:tc>
        <w:tc>
          <w:tcPr>
            <w:tcW w:w="1417" w:type="dxa"/>
          </w:tcPr>
          <w:p w:rsidR="00C24A4B" w:rsidRDefault="00C24A4B" w:rsidP="00DE1A91">
            <w:pPr>
              <w:pStyle w:val="NoSpacing"/>
              <w:jc w:val="right"/>
            </w:pPr>
            <w:r>
              <w:t>1,538</w:t>
            </w:r>
          </w:p>
        </w:tc>
        <w:tc>
          <w:tcPr>
            <w:tcW w:w="1276" w:type="dxa"/>
          </w:tcPr>
          <w:p w:rsidR="00C24A4B" w:rsidRDefault="00C24A4B" w:rsidP="00DE1A91">
            <w:pPr>
              <w:pStyle w:val="NoSpacing"/>
              <w:jc w:val="right"/>
            </w:pPr>
            <w:r>
              <w:t>7,398</w:t>
            </w:r>
          </w:p>
        </w:tc>
        <w:tc>
          <w:tcPr>
            <w:tcW w:w="1276" w:type="dxa"/>
          </w:tcPr>
          <w:p w:rsidR="00C24A4B" w:rsidRDefault="00C24A4B" w:rsidP="00DE1A91">
            <w:pPr>
              <w:pStyle w:val="NoSpacing"/>
              <w:jc w:val="right"/>
            </w:pPr>
            <w:r>
              <w:t>1,538</w:t>
            </w:r>
          </w:p>
        </w:tc>
        <w:tc>
          <w:tcPr>
            <w:tcW w:w="1134" w:type="dxa"/>
          </w:tcPr>
          <w:p w:rsidR="00C24A4B" w:rsidRDefault="00C24A4B" w:rsidP="00DE1A91">
            <w:pPr>
              <w:pStyle w:val="NoSpacing"/>
              <w:jc w:val="right"/>
            </w:pPr>
            <w:r>
              <w:t>6,441</w:t>
            </w:r>
          </w:p>
        </w:tc>
      </w:tr>
    </w:tbl>
    <w:p w:rsidR="00C24A4B" w:rsidRDefault="00C24A4B" w:rsidP="00C24A4B">
      <w:pPr>
        <w:pStyle w:val="NoSpacing"/>
        <w:rPr>
          <w:rFonts w:cstheme="minorHAnsi"/>
        </w:rPr>
      </w:pPr>
    </w:p>
    <w:p w:rsidR="00C24A4B" w:rsidRDefault="00C24A4B" w:rsidP="00C24A4B">
      <w:pPr>
        <w:pStyle w:val="NoSpacing"/>
      </w:pPr>
      <w:r>
        <w:t>Operating lease payments, including any contingent rentals, are recognised as an expense in the comprehensive operating statement on a straight-line basis over the lease term, except where another systematic basis is more representative of the time pattern of the benefits derived from the use of the leased asset. The leased asset is not recognised in the balance sheet.</w:t>
      </w:r>
    </w:p>
    <w:p w:rsidR="00C24A4B" w:rsidRDefault="00C24A4B" w:rsidP="00C24A4B">
      <w:pPr>
        <w:pStyle w:val="NoSpacing"/>
      </w:pPr>
      <w:r>
        <w:t>All incentives for the agreement of a new or renewed operating lease are recognised as an integral part of the net consideration agreed for the use of the leased asset.</w:t>
      </w:r>
    </w:p>
    <w:p w:rsidR="00C24A4B" w:rsidRDefault="00C24A4B" w:rsidP="00C24A4B">
      <w:pPr>
        <w:pStyle w:val="NoSpacing"/>
        <w:rPr>
          <w:rFonts w:cstheme="minorHAnsi"/>
        </w:rPr>
      </w:pPr>
    </w:p>
    <w:p w:rsidR="00C24A4B" w:rsidRDefault="00C24A4B" w:rsidP="00D36BB2">
      <w:pPr>
        <w:pStyle w:val="Heading4"/>
      </w:pPr>
      <w:r>
        <w:t>3.5 Other operating expenses</w:t>
      </w:r>
    </w:p>
    <w:p w:rsidR="00C24A4B" w:rsidRDefault="00C24A4B" w:rsidP="00C24A4B">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C24A4B" w:rsidRPr="00AE2D8D" w:rsidTr="00DE1A91">
        <w:tc>
          <w:tcPr>
            <w:tcW w:w="2693" w:type="dxa"/>
            <w:gridSpan w:val="2"/>
          </w:tcPr>
          <w:p w:rsidR="00C24A4B" w:rsidRPr="00AE2D8D" w:rsidRDefault="00C24A4B"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C24A4B" w:rsidRPr="00AE2D8D" w:rsidRDefault="00C24A4B" w:rsidP="00DE1A91">
            <w:pPr>
              <w:pStyle w:val="NoSpacing"/>
              <w:jc w:val="center"/>
              <w:rPr>
                <w:rFonts w:cstheme="minorHAnsi"/>
                <w:bCs/>
                <w:w w:val="105"/>
              </w:rPr>
            </w:pPr>
            <w:r w:rsidRPr="00AE2D8D">
              <w:rPr>
                <w:rFonts w:cstheme="minorHAnsi"/>
                <w:bCs/>
                <w:w w:val="105"/>
              </w:rPr>
              <w:t>Chisholm</w:t>
            </w:r>
          </w:p>
        </w:tc>
      </w:tr>
      <w:tr w:rsidR="00C24A4B" w:rsidRPr="00AE2D8D" w:rsidTr="00DE1A91">
        <w:tc>
          <w:tcPr>
            <w:tcW w:w="1417" w:type="dxa"/>
          </w:tcPr>
          <w:p w:rsidR="00C24A4B" w:rsidRPr="00AE2D8D" w:rsidRDefault="00C24A4B" w:rsidP="00DE1A91">
            <w:pPr>
              <w:pStyle w:val="NoSpacing"/>
              <w:jc w:val="right"/>
              <w:rPr>
                <w:rFonts w:cstheme="minorHAnsi"/>
                <w:bCs/>
                <w:w w:val="105"/>
              </w:rPr>
            </w:pPr>
            <w:r w:rsidRPr="00AE2D8D">
              <w:rPr>
                <w:rFonts w:cstheme="minorHAnsi"/>
                <w:bCs/>
                <w:w w:val="105"/>
              </w:rPr>
              <w:t>2017</w:t>
            </w:r>
          </w:p>
        </w:tc>
        <w:tc>
          <w:tcPr>
            <w:tcW w:w="1276" w:type="dxa"/>
          </w:tcPr>
          <w:p w:rsidR="00C24A4B" w:rsidRPr="00AE2D8D" w:rsidRDefault="00C24A4B" w:rsidP="00DE1A91">
            <w:pPr>
              <w:pStyle w:val="NoSpacing"/>
              <w:jc w:val="right"/>
              <w:rPr>
                <w:rFonts w:cstheme="minorHAnsi"/>
                <w:bCs/>
                <w:w w:val="105"/>
              </w:rPr>
            </w:pPr>
            <w:r w:rsidRPr="00AE2D8D">
              <w:rPr>
                <w:rFonts w:cstheme="minorHAnsi"/>
                <w:bCs/>
                <w:w w:val="105"/>
              </w:rPr>
              <w:t>2016</w:t>
            </w:r>
          </w:p>
        </w:tc>
        <w:tc>
          <w:tcPr>
            <w:tcW w:w="1276" w:type="dxa"/>
          </w:tcPr>
          <w:p w:rsidR="00C24A4B" w:rsidRPr="00AE2D8D" w:rsidRDefault="00C24A4B" w:rsidP="00DE1A91">
            <w:pPr>
              <w:pStyle w:val="NoSpacing"/>
              <w:jc w:val="right"/>
              <w:rPr>
                <w:rFonts w:cstheme="minorHAnsi"/>
                <w:bCs/>
                <w:w w:val="105"/>
              </w:rPr>
            </w:pPr>
            <w:r w:rsidRPr="00AE2D8D">
              <w:rPr>
                <w:rFonts w:cstheme="minorHAnsi"/>
                <w:bCs/>
                <w:w w:val="105"/>
              </w:rPr>
              <w:t>2017</w:t>
            </w:r>
          </w:p>
        </w:tc>
        <w:tc>
          <w:tcPr>
            <w:tcW w:w="1134" w:type="dxa"/>
          </w:tcPr>
          <w:p w:rsidR="00C24A4B" w:rsidRPr="00AE2D8D" w:rsidRDefault="00C24A4B" w:rsidP="00DE1A91">
            <w:pPr>
              <w:pStyle w:val="NoSpacing"/>
              <w:jc w:val="right"/>
              <w:rPr>
                <w:rFonts w:cstheme="minorHAnsi"/>
                <w:bCs/>
                <w:w w:val="105"/>
              </w:rPr>
            </w:pPr>
            <w:r w:rsidRPr="00AE2D8D">
              <w:rPr>
                <w:rFonts w:cstheme="minorHAnsi"/>
                <w:bCs/>
                <w:w w:val="105"/>
              </w:rPr>
              <w:t>2016</w:t>
            </w:r>
          </w:p>
        </w:tc>
      </w:tr>
      <w:tr w:rsidR="00C24A4B" w:rsidRPr="00AE2D8D" w:rsidTr="00DE1A91">
        <w:tc>
          <w:tcPr>
            <w:tcW w:w="1417" w:type="dxa"/>
          </w:tcPr>
          <w:p w:rsidR="00C24A4B" w:rsidRPr="00AE2D8D" w:rsidRDefault="00C24A4B" w:rsidP="00DE1A91">
            <w:pPr>
              <w:jc w:val="right"/>
              <w:rPr>
                <w:rFonts w:cstheme="minorHAnsi"/>
              </w:rPr>
            </w:pPr>
            <w:r w:rsidRPr="00AE2D8D">
              <w:rPr>
                <w:rFonts w:cstheme="minorHAnsi"/>
                <w:bCs/>
                <w:w w:val="105"/>
              </w:rPr>
              <w:t>$’000</w:t>
            </w:r>
          </w:p>
        </w:tc>
        <w:tc>
          <w:tcPr>
            <w:tcW w:w="1276" w:type="dxa"/>
          </w:tcPr>
          <w:p w:rsidR="00C24A4B" w:rsidRPr="00AE2D8D" w:rsidRDefault="00C24A4B" w:rsidP="00DE1A91">
            <w:pPr>
              <w:jc w:val="right"/>
              <w:rPr>
                <w:rFonts w:cstheme="minorHAnsi"/>
              </w:rPr>
            </w:pPr>
            <w:r w:rsidRPr="00AE2D8D">
              <w:rPr>
                <w:rFonts w:cstheme="minorHAnsi"/>
                <w:bCs/>
                <w:w w:val="105"/>
              </w:rPr>
              <w:t>$’000</w:t>
            </w:r>
          </w:p>
        </w:tc>
        <w:tc>
          <w:tcPr>
            <w:tcW w:w="1276" w:type="dxa"/>
          </w:tcPr>
          <w:p w:rsidR="00C24A4B" w:rsidRPr="00AE2D8D" w:rsidRDefault="00C24A4B" w:rsidP="00DE1A91">
            <w:pPr>
              <w:jc w:val="right"/>
              <w:rPr>
                <w:rFonts w:cstheme="minorHAnsi"/>
              </w:rPr>
            </w:pPr>
            <w:r w:rsidRPr="00AE2D8D">
              <w:rPr>
                <w:rFonts w:cstheme="minorHAnsi"/>
                <w:bCs/>
                <w:w w:val="105"/>
              </w:rPr>
              <w:t>$’000</w:t>
            </w:r>
          </w:p>
        </w:tc>
        <w:tc>
          <w:tcPr>
            <w:tcW w:w="1134" w:type="dxa"/>
          </w:tcPr>
          <w:p w:rsidR="00C24A4B" w:rsidRPr="00AE2D8D" w:rsidRDefault="00C24A4B" w:rsidP="00DE1A91">
            <w:pPr>
              <w:pStyle w:val="NoSpacing"/>
              <w:jc w:val="right"/>
              <w:rPr>
                <w:rFonts w:cstheme="minorHAnsi"/>
                <w:bCs/>
                <w:w w:val="105"/>
              </w:rPr>
            </w:pPr>
            <w:r w:rsidRPr="00AE2D8D">
              <w:rPr>
                <w:rFonts w:cstheme="minorHAnsi"/>
                <w:bCs/>
                <w:w w:val="105"/>
              </w:rPr>
              <w:t>$’000</w:t>
            </w:r>
          </w:p>
        </w:tc>
      </w:tr>
    </w:tbl>
    <w:p w:rsidR="00C24A4B" w:rsidRDefault="00C24A4B" w:rsidP="00C24A4B">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C24A4B" w:rsidTr="00DE1A91">
        <w:tc>
          <w:tcPr>
            <w:tcW w:w="8784" w:type="dxa"/>
          </w:tcPr>
          <w:p w:rsidR="00C24A4B" w:rsidRDefault="00C24A4B" w:rsidP="00DE1A91">
            <w:pPr>
              <w:pStyle w:val="NoSpacing"/>
            </w:pPr>
            <w:r>
              <w:t>Audit fees and services</w:t>
            </w:r>
          </w:p>
        </w:tc>
        <w:tc>
          <w:tcPr>
            <w:tcW w:w="1417" w:type="dxa"/>
          </w:tcPr>
          <w:p w:rsidR="00C24A4B" w:rsidRDefault="00C24A4B" w:rsidP="00DE1A91">
            <w:pPr>
              <w:pStyle w:val="NoSpacing"/>
              <w:jc w:val="right"/>
            </w:pPr>
            <w:r>
              <w:t>254</w:t>
            </w:r>
          </w:p>
        </w:tc>
        <w:tc>
          <w:tcPr>
            <w:tcW w:w="1276" w:type="dxa"/>
          </w:tcPr>
          <w:p w:rsidR="00C24A4B" w:rsidRDefault="00C24A4B" w:rsidP="00DE1A91">
            <w:pPr>
              <w:pStyle w:val="NoSpacing"/>
              <w:jc w:val="right"/>
            </w:pPr>
            <w:r>
              <w:t>235</w:t>
            </w:r>
          </w:p>
        </w:tc>
        <w:tc>
          <w:tcPr>
            <w:tcW w:w="1276" w:type="dxa"/>
          </w:tcPr>
          <w:p w:rsidR="00C24A4B" w:rsidRDefault="00C24A4B" w:rsidP="00DE1A91">
            <w:pPr>
              <w:pStyle w:val="NoSpacing"/>
              <w:jc w:val="right"/>
            </w:pPr>
            <w:r>
              <w:t>237</w:t>
            </w:r>
          </w:p>
        </w:tc>
        <w:tc>
          <w:tcPr>
            <w:tcW w:w="1134" w:type="dxa"/>
          </w:tcPr>
          <w:p w:rsidR="00C24A4B" w:rsidRDefault="00C24A4B" w:rsidP="00DE1A91">
            <w:pPr>
              <w:pStyle w:val="NoSpacing"/>
              <w:jc w:val="right"/>
            </w:pPr>
            <w:r>
              <w:t>221</w:t>
            </w:r>
          </w:p>
        </w:tc>
      </w:tr>
      <w:tr w:rsidR="00C24A4B" w:rsidTr="00DE1A91">
        <w:tc>
          <w:tcPr>
            <w:tcW w:w="8784" w:type="dxa"/>
          </w:tcPr>
          <w:p w:rsidR="00C24A4B" w:rsidRDefault="00C24A4B" w:rsidP="00DE1A91">
            <w:pPr>
              <w:pStyle w:val="NoSpacing"/>
            </w:pPr>
            <w:r>
              <w:t>Bad debts from transactions</w:t>
            </w:r>
          </w:p>
        </w:tc>
        <w:tc>
          <w:tcPr>
            <w:tcW w:w="1417" w:type="dxa"/>
          </w:tcPr>
          <w:p w:rsidR="00C24A4B" w:rsidRDefault="00C24A4B" w:rsidP="00DE1A91">
            <w:pPr>
              <w:pStyle w:val="NoSpacing"/>
              <w:jc w:val="right"/>
            </w:pPr>
            <w:r>
              <w:t>85</w:t>
            </w:r>
          </w:p>
        </w:tc>
        <w:tc>
          <w:tcPr>
            <w:tcW w:w="1276" w:type="dxa"/>
          </w:tcPr>
          <w:p w:rsidR="00C24A4B" w:rsidRDefault="00C24A4B" w:rsidP="00DE1A91">
            <w:pPr>
              <w:pStyle w:val="NoSpacing"/>
              <w:jc w:val="right"/>
            </w:pPr>
            <w:r>
              <w:t>993</w:t>
            </w:r>
          </w:p>
        </w:tc>
        <w:tc>
          <w:tcPr>
            <w:tcW w:w="1276" w:type="dxa"/>
          </w:tcPr>
          <w:p w:rsidR="00C24A4B" w:rsidRDefault="00C24A4B" w:rsidP="00DE1A91">
            <w:pPr>
              <w:pStyle w:val="NoSpacing"/>
              <w:jc w:val="right"/>
            </w:pPr>
            <w:r>
              <w:t>85</w:t>
            </w:r>
          </w:p>
        </w:tc>
        <w:tc>
          <w:tcPr>
            <w:tcW w:w="1134" w:type="dxa"/>
          </w:tcPr>
          <w:p w:rsidR="00C24A4B" w:rsidRDefault="00C24A4B" w:rsidP="00DE1A91">
            <w:pPr>
              <w:pStyle w:val="NoSpacing"/>
              <w:jc w:val="right"/>
            </w:pPr>
            <w:r>
              <w:t>993</w:t>
            </w:r>
          </w:p>
        </w:tc>
      </w:tr>
      <w:tr w:rsidR="00C24A4B" w:rsidTr="00DE1A91">
        <w:tc>
          <w:tcPr>
            <w:tcW w:w="8784" w:type="dxa"/>
          </w:tcPr>
          <w:p w:rsidR="00C24A4B" w:rsidRDefault="00C24A4B" w:rsidP="00DE1A91">
            <w:pPr>
              <w:pStyle w:val="NoSpacing"/>
            </w:pPr>
            <w:r>
              <w:t>Debt forgiveness</w:t>
            </w:r>
          </w:p>
        </w:tc>
        <w:tc>
          <w:tcPr>
            <w:tcW w:w="1417" w:type="dxa"/>
          </w:tcPr>
          <w:p w:rsidR="00C24A4B" w:rsidRDefault="00C24A4B" w:rsidP="00DE1A91">
            <w:pPr>
              <w:pStyle w:val="NoSpacing"/>
              <w:jc w:val="right"/>
            </w:pPr>
            <w:r>
              <w:t>-</w:t>
            </w:r>
          </w:p>
        </w:tc>
        <w:tc>
          <w:tcPr>
            <w:tcW w:w="1276" w:type="dxa"/>
          </w:tcPr>
          <w:p w:rsidR="00C24A4B" w:rsidRDefault="00C24A4B" w:rsidP="00DE1A91">
            <w:pPr>
              <w:pStyle w:val="NoSpacing"/>
              <w:jc w:val="right"/>
            </w:pPr>
            <w:r>
              <w:t>-</w:t>
            </w:r>
          </w:p>
        </w:tc>
        <w:tc>
          <w:tcPr>
            <w:tcW w:w="1276" w:type="dxa"/>
          </w:tcPr>
          <w:p w:rsidR="00C24A4B" w:rsidRDefault="00C24A4B" w:rsidP="00DE1A91">
            <w:pPr>
              <w:pStyle w:val="NoSpacing"/>
              <w:jc w:val="right"/>
            </w:pPr>
            <w:r>
              <w:t>3,893</w:t>
            </w:r>
          </w:p>
        </w:tc>
        <w:tc>
          <w:tcPr>
            <w:tcW w:w="1134" w:type="dxa"/>
          </w:tcPr>
          <w:p w:rsidR="00C24A4B" w:rsidRDefault="00C24A4B" w:rsidP="00DE1A91">
            <w:pPr>
              <w:pStyle w:val="NoSpacing"/>
              <w:jc w:val="right"/>
            </w:pPr>
            <w:r>
              <w:t>-</w:t>
            </w:r>
          </w:p>
        </w:tc>
      </w:tr>
      <w:tr w:rsidR="00C24A4B" w:rsidTr="00DE1A91">
        <w:tc>
          <w:tcPr>
            <w:tcW w:w="8784" w:type="dxa"/>
          </w:tcPr>
          <w:p w:rsidR="00C24A4B" w:rsidRDefault="00C24A4B" w:rsidP="00DE1A91">
            <w:pPr>
              <w:pStyle w:val="NoSpacing"/>
            </w:pPr>
            <w:r>
              <w:t>Equipment below capitalisation threshold</w:t>
            </w:r>
          </w:p>
        </w:tc>
        <w:tc>
          <w:tcPr>
            <w:tcW w:w="1417" w:type="dxa"/>
          </w:tcPr>
          <w:p w:rsidR="00C24A4B" w:rsidRDefault="00C24A4B" w:rsidP="00DE1A91">
            <w:pPr>
              <w:pStyle w:val="NoSpacing"/>
              <w:jc w:val="right"/>
            </w:pPr>
            <w:r>
              <w:t>1,250</w:t>
            </w:r>
          </w:p>
        </w:tc>
        <w:tc>
          <w:tcPr>
            <w:tcW w:w="1276" w:type="dxa"/>
          </w:tcPr>
          <w:p w:rsidR="00C24A4B" w:rsidRDefault="00C24A4B" w:rsidP="00DE1A91">
            <w:pPr>
              <w:pStyle w:val="NoSpacing"/>
              <w:jc w:val="right"/>
            </w:pPr>
            <w:r>
              <w:t>1,280</w:t>
            </w:r>
          </w:p>
        </w:tc>
        <w:tc>
          <w:tcPr>
            <w:tcW w:w="1276" w:type="dxa"/>
          </w:tcPr>
          <w:p w:rsidR="00C24A4B" w:rsidRDefault="00C24A4B" w:rsidP="00DE1A91">
            <w:pPr>
              <w:pStyle w:val="NoSpacing"/>
              <w:jc w:val="right"/>
            </w:pPr>
            <w:r>
              <w:t>1,203</w:t>
            </w:r>
          </w:p>
        </w:tc>
        <w:tc>
          <w:tcPr>
            <w:tcW w:w="1134" w:type="dxa"/>
          </w:tcPr>
          <w:p w:rsidR="00C24A4B" w:rsidRDefault="00CC640E" w:rsidP="00DE1A91">
            <w:pPr>
              <w:pStyle w:val="NoSpacing"/>
              <w:jc w:val="right"/>
            </w:pPr>
            <w:r>
              <w:t>1,121</w:t>
            </w:r>
          </w:p>
        </w:tc>
      </w:tr>
      <w:tr w:rsidR="00C24A4B" w:rsidTr="00DE1A91">
        <w:tc>
          <w:tcPr>
            <w:tcW w:w="8784" w:type="dxa"/>
          </w:tcPr>
          <w:p w:rsidR="00C24A4B" w:rsidRDefault="00C24A4B" w:rsidP="00DE1A91">
            <w:pPr>
              <w:pStyle w:val="NoSpacing"/>
            </w:pPr>
            <w:r>
              <w:t>Marketing and promotional expenses</w:t>
            </w:r>
          </w:p>
        </w:tc>
        <w:tc>
          <w:tcPr>
            <w:tcW w:w="1417" w:type="dxa"/>
          </w:tcPr>
          <w:p w:rsidR="00C24A4B" w:rsidRDefault="00C24A4B" w:rsidP="00DE1A91">
            <w:pPr>
              <w:pStyle w:val="NoSpacing"/>
              <w:jc w:val="right"/>
            </w:pPr>
            <w:r>
              <w:t>4,009</w:t>
            </w:r>
          </w:p>
        </w:tc>
        <w:tc>
          <w:tcPr>
            <w:tcW w:w="1276" w:type="dxa"/>
          </w:tcPr>
          <w:p w:rsidR="00C24A4B" w:rsidRDefault="00C24A4B" w:rsidP="00DE1A91">
            <w:pPr>
              <w:pStyle w:val="NoSpacing"/>
              <w:jc w:val="right"/>
            </w:pPr>
            <w:r>
              <w:t>2,294</w:t>
            </w:r>
          </w:p>
        </w:tc>
        <w:tc>
          <w:tcPr>
            <w:tcW w:w="1276" w:type="dxa"/>
          </w:tcPr>
          <w:p w:rsidR="00C24A4B" w:rsidRDefault="00C24A4B" w:rsidP="00DE1A91">
            <w:pPr>
              <w:pStyle w:val="NoSpacing"/>
              <w:jc w:val="right"/>
            </w:pPr>
            <w:r>
              <w:t>3,908</w:t>
            </w:r>
          </w:p>
        </w:tc>
        <w:tc>
          <w:tcPr>
            <w:tcW w:w="1134" w:type="dxa"/>
          </w:tcPr>
          <w:p w:rsidR="00C24A4B" w:rsidRDefault="00CC640E" w:rsidP="00DE1A91">
            <w:pPr>
              <w:pStyle w:val="NoSpacing"/>
              <w:jc w:val="right"/>
            </w:pPr>
            <w:r>
              <w:t>1,746</w:t>
            </w:r>
          </w:p>
        </w:tc>
      </w:tr>
      <w:tr w:rsidR="00C24A4B" w:rsidTr="00DE1A91">
        <w:tc>
          <w:tcPr>
            <w:tcW w:w="8784" w:type="dxa"/>
          </w:tcPr>
          <w:p w:rsidR="00C24A4B" w:rsidRDefault="00C24A4B" w:rsidP="00DE1A91">
            <w:pPr>
              <w:pStyle w:val="NoSpacing"/>
            </w:pPr>
            <w:r>
              <w:t>Staff development</w:t>
            </w:r>
          </w:p>
        </w:tc>
        <w:tc>
          <w:tcPr>
            <w:tcW w:w="1417" w:type="dxa"/>
          </w:tcPr>
          <w:p w:rsidR="00C24A4B" w:rsidRDefault="00C24A4B" w:rsidP="00DE1A91">
            <w:pPr>
              <w:pStyle w:val="NoSpacing"/>
              <w:jc w:val="right"/>
            </w:pPr>
            <w:r>
              <w:t>529</w:t>
            </w:r>
          </w:p>
        </w:tc>
        <w:tc>
          <w:tcPr>
            <w:tcW w:w="1276" w:type="dxa"/>
          </w:tcPr>
          <w:p w:rsidR="00C24A4B" w:rsidRDefault="00C24A4B" w:rsidP="00DE1A91">
            <w:pPr>
              <w:pStyle w:val="NoSpacing"/>
              <w:jc w:val="right"/>
            </w:pPr>
            <w:r>
              <w:t>394</w:t>
            </w:r>
          </w:p>
        </w:tc>
        <w:tc>
          <w:tcPr>
            <w:tcW w:w="1276" w:type="dxa"/>
          </w:tcPr>
          <w:p w:rsidR="00C24A4B" w:rsidRDefault="00C24A4B" w:rsidP="00DE1A91">
            <w:pPr>
              <w:pStyle w:val="NoSpacing"/>
              <w:jc w:val="right"/>
            </w:pPr>
            <w:r>
              <w:t>519</w:t>
            </w:r>
          </w:p>
        </w:tc>
        <w:tc>
          <w:tcPr>
            <w:tcW w:w="1134" w:type="dxa"/>
          </w:tcPr>
          <w:p w:rsidR="00C24A4B" w:rsidRDefault="00CC640E" w:rsidP="00DE1A91">
            <w:pPr>
              <w:pStyle w:val="NoSpacing"/>
              <w:jc w:val="right"/>
            </w:pPr>
            <w:r>
              <w:t>389</w:t>
            </w:r>
          </w:p>
        </w:tc>
      </w:tr>
      <w:tr w:rsidR="00C24A4B" w:rsidTr="00DE1A91">
        <w:tc>
          <w:tcPr>
            <w:tcW w:w="8784" w:type="dxa"/>
          </w:tcPr>
          <w:p w:rsidR="00C24A4B" w:rsidRDefault="00C24A4B" w:rsidP="00DE1A91">
            <w:pPr>
              <w:pStyle w:val="NoSpacing"/>
            </w:pPr>
            <w:r>
              <w:t>Travel and motor vehicle expenses</w:t>
            </w:r>
          </w:p>
        </w:tc>
        <w:tc>
          <w:tcPr>
            <w:tcW w:w="1417" w:type="dxa"/>
          </w:tcPr>
          <w:p w:rsidR="00C24A4B" w:rsidRDefault="00C24A4B" w:rsidP="00DE1A91">
            <w:pPr>
              <w:pStyle w:val="NoSpacing"/>
              <w:jc w:val="right"/>
            </w:pPr>
            <w:r>
              <w:t>1,674</w:t>
            </w:r>
          </w:p>
        </w:tc>
        <w:tc>
          <w:tcPr>
            <w:tcW w:w="1276" w:type="dxa"/>
          </w:tcPr>
          <w:p w:rsidR="00C24A4B" w:rsidRDefault="00C24A4B" w:rsidP="00DE1A91">
            <w:pPr>
              <w:pStyle w:val="NoSpacing"/>
              <w:jc w:val="right"/>
            </w:pPr>
            <w:r>
              <w:t>1,815</w:t>
            </w:r>
          </w:p>
        </w:tc>
        <w:tc>
          <w:tcPr>
            <w:tcW w:w="1276" w:type="dxa"/>
          </w:tcPr>
          <w:p w:rsidR="00C24A4B" w:rsidRDefault="00C24A4B" w:rsidP="00DE1A91">
            <w:pPr>
              <w:pStyle w:val="NoSpacing"/>
              <w:jc w:val="right"/>
            </w:pPr>
            <w:r>
              <w:t>1,669</w:t>
            </w:r>
          </w:p>
        </w:tc>
        <w:tc>
          <w:tcPr>
            <w:tcW w:w="1134" w:type="dxa"/>
          </w:tcPr>
          <w:p w:rsidR="00C24A4B" w:rsidRDefault="00CC640E" w:rsidP="00DE1A91">
            <w:pPr>
              <w:pStyle w:val="NoSpacing"/>
              <w:jc w:val="right"/>
            </w:pPr>
            <w:r>
              <w:t>1,805</w:t>
            </w:r>
          </w:p>
        </w:tc>
      </w:tr>
      <w:tr w:rsidR="00C24A4B" w:rsidTr="00DE1A91">
        <w:tc>
          <w:tcPr>
            <w:tcW w:w="8784" w:type="dxa"/>
          </w:tcPr>
          <w:p w:rsidR="00C24A4B" w:rsidRDefault="00C24A4B" w:rsidP="00DE1A91">
            <w:pPr>
              <w:pStyle w:val="NoSpacing"/>
            </w:pPr>
            <w:r>
              <w:t>Utilities</w:t>
            </w:r>
          </w:p>
        </w:tc>
        <w:tc>
          <w:tcPr>
            <w:tcW w:w="1417" w:type="dxa"/>
          </w:tcPr>
          <w:p w:rsidR="00C24A4B" w:rsidRDefault="00C24A4B" w:rsidP="00DE1A91">
            <w:pPr>
              <w:pStyle w:val="NoSpacing"/>
              <w:jc w:val="right"/>
            </w:pPr>
            <w:r>
              <w:t>1,370</w:t>
            </w:r>
          </w:p>
        </w:tc>
        <w:tc>
          <w:tcPr>
            <w:tcW w:w="1276" w:type="dxa"/>
          </w:tcPr>
          <w:p w:rsidR="00C24A4B" w:rsidRDefault="00C24A4B" w:rsidP="00DE1A91">
            <w:pPr>
              <w:pStyle w:val="NoSpacing"/>
              <w:jc w:val="right"/>
            </w:pPr>
            <w:r>
              <w:t>1,267</w:t>
            </w:r>
          </w:p>
        </w:tc>
        <w:tc>
          <w:tcPr>
            <w:tcW w:w="1276" w:type="dxa"/>
          </w:tcPr>
          <w:p w:rsidR="00C24A4B" w:rsidRDefault="00C24A4B" w:rsidP="00DE1A91">
            <w:pPr>
              <w:pStyle w:val="NoSpacing"/>
              <w:jc w:val="right"/>
            </w:pPr>
            <w:r>
              <w:t>1,365</w:t>
            </w:r>
          </w:p>
        </w:tc>
        <w:tc>
          <w:tcPr>
            <w:tcW w:w="1134" w:type="dxa"/>
          </w:tcPr>
          <w:p w:rsidR="00C24A4B" w:rsidRDefault="00CC640E" w:rsidP="00DE1A91">
            <w:pPr>
              <w:pStyle w:val="NoSpacing"/>
              <w:jc w:val="right"/>
            </w:pPr>
            <w:r>
              <w:t>1,214</w:t>
            </w:r>
          </w:p>
        </w:tc>
      </w:tr>
      <w:tr w:rsidR="00C24A4B" w:rsidTr="00DE1A91">
        <w:tc>
          <w:tcPr>
            <w:tcW w:w="8784" w:type="dxa"/>
          </w:tcPr>
          <w:p w:rsidR="00C24A4B" w:rsidRDefault="00C24A4B" w:rsidP="00DE1A91">
            <w:pPr>
              <w:pStyle w:val="NoSpacing"/>
            </w:pPr>
            <w:r>
              <w:t>Other</w:t>
            </w:r>
          </w:p>
        </w:tc>
        <w:tc>
          <w:tcPr>
            <w:tcW w:w="1417" w:type="dxa"/>
          </w:tcPr>
          <w:p w:rsidR="00C24A4B" w:rsidRDefault="00C24A4B" w:rsidP="00DE1A91">
            <w:pPr>
              <w:pStyle w:val="NoSpacing"/>
              <w:jc w:val="right"/>
            </w:pPr>
            <w:r>
              <w:t>1,356</w:t>
            </w:r>
          </w:p>
        </w:tc>
        <w:tc>
          <w:tcPr>
            <w:tcW w:w="1276" w:type="dxa"/>
          </w:tcPr>
          <w:p w:rsidR="00C24A4B" w:rsidRDefault="00C24A4B" w:rsidP="00DE1A91">
            <w:pPr>
              <w:pStyle w:val="NoSpacing"/>
              <w:jc w:val="right"/>
            </w:pPr>
            <w:r>
              <w:t>1,253</w:t>
            </w:r>
          </w:p>
        </w:tc>
        <w:tc>
          <w:tcPr>
            <w:tcW w:w="1276" w:type="dxa"/>
          </w:tcPr>
          <w:p w:rsidR="00C24A4B" w:rsidRDefault="00C24A4B" w:rsidP="00DE1A91">
            <w:pPr>
              <w:pStyle w:val="NoSpacing"/>
              <w:jc w:val="right"/>
            </w:pPr>
            <w:r>
              <w:t>1,334</w:t>
            </w:r>
          </w:p>
        </w:tc>
        <w:tc>
          <w:tcPr>
            <w:tcW w:w="1134" w:type="dxa"/>
          </w:tcPr>
          <w:p w:rsidR="00C24A4B" w:rsidRDefault="00CC640E" w:rsidP="00CC640E">
            <w:pPr>
              <w:pStyle w:val="NoSpacing"/>
              <w:jc w:val="right"/>
            </w:pPr>
            <w:r>
              <w:t>1,334</w:t>
            </w:r>
          </w:p>
        </w:tc>
      </w:tr>
      <w:tr w:rsidR="00C24A4B" w:rsidTr="00DE1A91">
        <w:tc>
          <w:tcPr>
            <w:tcW w:w="8784" w:type="dxa"/>
          </w:tcPr>
          <w:p w:rsidR="00C24A4B" w:rsidRDefault="00C24A4B" w:rsidP="00DE1A91">
            <w:pPr>
              <w:pStyle w:val="NoSpacing"/>
            </w:pPr>
            <w:r>
              <w:t>Total other operating expenses</w:t>
            </w:r>
          </w:p>
        </w:tc>
        <w:tc>
          <w:tcPr>
            <w:tcW w:w="1417" w:type="dxa"/>
          </w:tcPr>
          <w:p w:rsidR="00C24A4B" w:rsidRDefault="00C24A4B" w:rsidP="00DE1A91">
            <w:pPr>
              <w:pStyle w:val="NoSpacing"/>
              <w:jc w:val="right"/>
            </w:pPr>
            <w:r>
              <w:t>10,527</w:t>
            </w:r>
          </w:p>
        </w:tc>
        <w:tc>
          <w:tcPr>
            <w:tcW w:w="1276" w:type="dxa"/>
          </w:tcPr>
          <w:p w:rsidR="00C24A4B" w:rsidRDefault="00C24A4B" w:rsidP="00DE1A91">
            <w:pPr>
              <w:pStyle w:val="NoSpacing"/>
              <w:jc w:val="right"/>
            </w:pPr>
            <w:r>
              <w:t>9,531</w:t>
            </w:r>
          </w:p>
        </w:tc>
        <w:tc>
          <w:tcPr>
            <w:tcW w:w="1276" w:type="dxa"/>
          </w:tcPr>
          <w:p w:rsidR="00C24A4B" w:rsidRDefault="00C24A4B" w:rsidP="00DE1A91">
            <w:pPr>
              <w:pStyle w:val="NoSpacing"/>
              <w:jc w:val="right"/>
            </w:pPr>
            <w:r>
              <w:t>14,213</w:t>
            </w:r>
          </w:p>
        </w:tc>
        <w:tc>
          <w:tcPr>
            <w:tcW w:w="1134" w:type="dxa"/>
          </w:tcPr>
          <w:p w:rsidR="00C24A4B" w:rsidRDefault="00CC640E" w:rsidP="00CC640E">
            <w:pPr>
              <w:pStyle w:val="NoSpacing"/>
              <w:jc w:val="right"/>
            </w:pPr>
            <w:r>
              <w:t>8,823</w:t>
            </w:r>
          </w:p>
        </w:tc>
      </w:tr>
    </w:tbl>
    <w:p w:rsidR="00C24A4B" w:rsidRDefault="00C24A4B" w:rsidP="00C24A4B">
      <w:pPr>
        <w:pStyle w:val="NoSpacing"/>
      </w:pPr>
    </w:p>
    <w:p w:rsidR="00CC640E" w:rsidRDefault="00CC640E" w:rsidP="00CC640E">
      <w:pPr>
        <w:pStyle w:val="NoSpacing"/>
      </w:pPr>
      <w:r>
        <w:t>Other operating expenses generally represent the day-to-day running costs incurred in normal operations and are recognised when they are incurred and reported in the financial year to which they relate.</w:t>
      </w:r>
    </w:p>
    <w:p w:rsidR="00CC640E" w:rsidRDefault="00CC640E" w:rsidP="00CC640E">
      <w:pPr>
        <w:pStyle w:val="NoSpacing"/>
      </w:pPr>
      <w:r>
        <w:t>In 2017, the Board approved for Chisholm Academy Pty Ltd to be voluntary deregistered and its operations to be integrated into Chisholm Institute. In December 2017 the Chisholm Institute Board approved for Chisholm Hair Academy’s assets, liabilities and operations to be transferred to Chisholm Institute and forgave the related party debt owed to Chisholm Institute.</w:t>
      </w:r>
    </w:p>
    <w:p w:rsidR="00C24A4B" w:rsidRDefault="00C24A4B" w:rsidP="00C24A4B">
      <w:pPr>
        <w:pStyle w:val="NoSpacing"/>
      </w:pPr>
    </w:p>
    <w:p w:rsidR="00CC640E" w:rsidRDefault="00CC640E" w:rsidP="00CC640E">
      <w:pPr>
        <w:pStyle w:val="NoSpacing"/>
      </w:pPr>
      <w:r>
        <w:t>&lt;pp&gt;55</w:t>
      </w:r>
    </w:p>
    <w:p w:rsidR="00C24A4B" w:rsidRDefault="00C24A4B" w:rsidP="00C24A4B">
      <w:pPr>
        <w:pStyle w:val="NoSpacing"/>
      </w:pPr>
    </w:p>
    <w:p w:rsidR="00CC640E" w:rsidRPr="00973A24" w:rsidRDefault="00CC640E" w:rsidP="00D36BB2">
      <w:pPr>
        <w:pStyle w:val="Heading3"/>
      </w:pPr>
      <w:r w:rsidRPr="00973A24">
        <w:t xml:space="preserve">4. The assets we invested in </w:t>
      </w:r>
    </w:p>
    <w:p w:rsidR="00CC640E" w:rsidRDefault="00CC640E" w:rsidP="00CC640E">
      <w:pPr>
        <w:pStyle w:val="NoSpacing"/>
      </w:pPr>
    </w:p>
    <w:p w:rsidR="00CC640E" w:rsidRPr="00973A24" w:rsidRDefault="00CC640E" w:rsidP="00D36BB2">
      <w:pPr>
        <w:pStyle w:val="Heading4"/>
      </w:pPr>
      <w:r w:rsidRPr="00973A24">
        <w:t>Fair value measurement</w:t>
      </w:r>
    </w:p>
    <w:p w:rsidR="00CC640E" w:rsidRDefault="00CC640E" w:rsidP="00CC640E">
      <w:pPr>
        <w:pStyle w:val="NoSpacing"/>
      </w:pPr>
    </w:p>
    <w:p w:rsidR="00CC640E" w:rsidRDefault="00CC640E" w:rsidP="00CC640E">
      <w:pPr>
        <w:pStyle w:val="NoSpacing"/>
      </w:pPr>
      <w:r>
        <w:t>Where the assets included in this section are carried at fair value, additional information is disclosed in Note 7.3 in connection with how those fair values were determined.</w:t>
      </w:r>
    </w:p>
    <w:p w:rsidR="00CC640E" w:rsidRDefault="00CC640E" w:rsidP="00CC640E">
      <w:pPr>
        <w:pStyle w:val="NoSpacing"/>
      </w:pPr>
    </w:p>
    <w:p w:rsidR="00CC640E" w:rsidRPr="00973A24" w:rsidRDefault="00CC640E" w:rsidP="00D36BB2">
      <w:pPr>
        <w:pStyle w:val="Heading4"/>
      </w:pPr>
      <w:r w:rsidRPr="00973A24">
        <w:t xml:space="preserve">4.1 </w:t>
      </w:r>
      <w:r>
        <w:t xml:space="preserve">Property, plant and equipment </w:t>
      </w:r>
    </w:p>
    <w:p w:rsidR="00CC640E" w:rsidRDefault="00CC640E" w:rsidP="00CC640E">
      <w:pPr>
        <w:pStyle w:val="NoSpacing"/>
      </w:pPr>
    </w:p>
    <w:p w:rsidR="00CC640E" w:rsidRDefault="00CC640E" w:rsidP="00CC640E">
      <w:pPr>
        <w:pStyle w:val="NoSpacing"/>
      </w:pPr>
      <w:r>
        <w:t>In accordance with government purpose classification, Chisholm’s property, plant and equipment are assets used for the purpose of education. Property, plant and equipment includes all operational assets.</w:t>
      </w:r>
    </w:p>
    <w:p w:rsidR="00C24A4B" w:rsidRDefault="00C24A4B" w:rsidP="00C24A4B">
      <w:pPr>
        <w:pStyle w:val="NoSpacing"/>
        <w:rPr>
          <w:rFonts w:cstheme="minorHAnsi"/>
          <w:caps/>
        </w:rPr>
      </w:pPr>
    </w:p>
    <w:tbl>
      <w:tblPr>
        <w:tblStyle w:val="TableGrid"/>
        <w:tblW w:w="9072" w:type="dxa"/>
        <w:tblInd w:w="4957" w:type="dxa"/>
        <w:tblLayout w:type="fixed"/>
        <w:tblLook w:val="04A0" w:firstRow="1" w:lastRow="0" w:firstColumn="1" w:lastColumn="0" w:noHBand="0" w:noVBand="1"/>
      </w:tblPr>
      <w:tblGrid>
        <w:gridCol w:w="1559"/>
        <w:gridCol w:w="1559"/>
        <w:gridCol w:w="1559"/>
        <w:gridCol w:w="1560"/>
        <w:gridCol w:w="1417"/>
        <w:gridCol w:w="1418"/>
      </w:tblGrid>
      <w:tr w:rsidR="000E0D01" w:rsidRPr="00AE2D8D" w:rsidTr="001E7117">
        <w:tc>
          <w:tcPr>
            <w:tcW w:w="1559" w:type="dxa"/>
          </w:tcPr>
          <w:p w:rsidR="000E0D01" w:rsidRPr="00AE2D8D" w:rsidRDefault="001E7117" w:rsidP="00DE1A91">
            <w:pPr>
              <w:pStyle w:val="NoSpacing"/>
              <w:jc w:val="right"/>
              <w:rPr>
                <w:rFonts w:cstheme="minorHAnsi"/>
                <w:bCs/>
                <w:w w:val="105"/>
              </w:rPr>
            </w:pPr>
            <w:r>
              <w:rPr>
                <w:rFonts w:cstheme="minorHAnsi"/>
                <w:bCs/>
                <w:w w:val="105"/>
              </w:rPr>
              <w:t>Gross carrying amount</w:t>
            </w:r>
          </w:p>
        </w:tc>
        <w:tc>
          <w:tcPr>
            <w:tcW w:w="1559" w:type="dxa"/>
          </w:tcPr>
          <w:p w:rsidR="000E0D01" w:rsidRPr="00AE2D8D" w:rsidRDefault="001E7117" w:rsidP="00DE1A91">
            <w:pPr>
              <w:pStyle w:val="NoSpacing"/>
              <w:jc w:val="right"/>
              <w:rPr>
                <w:rFonts w:cstheme="minorHAnsi"/>
                <w:bCs/>
                <w:w w:val="105"/>
              </w:rPr>
            </w:pPr>
            <w:r>
              <w:rPr>
                <w:rFonts w:cstheme="minorHAnsi"/>
                <w:bCs/>
                <w:w w:val="105"/>
              </w:rPr>
              <w:t xml:space="preserve">Gross carrying amount </w:t>
            </w:r>
          </w:p>
        </w:tc>
        <w:tc>
          <w:tcPr>
            <w:tcW w:w="1559" w:type="dxa"/>
          </w:tcPr>
          <w:p w:rsidR="000E0D01" w:rsidRPr="00AE2D8D" w:rsidRDefault="001E7117" w:rsidP="00DE1A91">
            <w:pPr>
              <w:pStyle w:val="NoSpacing"/>
              <w:jc w:val="right"/>
              <w:rPr>
                <w:rFonts w:cstheme="minorHAnsi"/>
                <w:bCs/>
                <w:w w:val="105"/>
              </w:rPr>
            </w:pPr>
            <w:r>
              <w:rPr>
                <w:rFonts w:cstheme="minorHAnsi"/>
                <w:bCs/>
                <w:w w:val="105"/>
              </w:rPr>
              <w:t>Accumulated depreciation</w:t>
            </w:r>
          </w:p>
        </w:tc>
        <w:tc>
          <w:tcPr>
            <w:tcW w:w="1560" w:type="dxa"/>
          </w:tcPr>
          <w:p w:rsidR="000E0D01" w:rsidRPr="00AE2D8D" w:rsidRDefault="001E7117" w:rsidP="001E7117">
            <w:pPr>
              <w:pStyle w:val="NoSpacing"/>
              <w:jc w:val="right"/>
              <w:rPr>
                <w:rFonts w:cstheme="minorHAnsi"/>
                <w:bCs/>
                <w:w w:val="105"/>
              </w:rPr>
            </w:pPr>
            <w:r>
              <w:rPr>
                <w:rFonts w:cstheme="minorHAnsi"/>
                <w:bCs/>
                <w:w w:val="105"/>
              </w:rPr>
              <w:t>Accumulated depreciation</w:t>
            </w:r>
          </w:p>
        </w:tc>
        <w:tc>
          <w:tcPr>
            <w:tcW w:w="1417" w:type="dxa"/>
          </w:tcPr>
          <w:p w:rsidR="000E0D01" w:rsidRPr="00AE2D8D" w:rsidRDefault="001E7117" w:rsidP="00DE1A91">
            <w:pPr>
              <w:pStyle w:val="NoSpacing"/>
              <w:jc w:val="right"/>
              <w:rPr>
                <w:rFonts w:cstheme="minorHAnsi"/>
                <w:bCs/>
                <w:w w:val="105"/>
              </w:rPr>
            </w:pPr>
            <w:r>
              <w:rPr>
                <w:rFonts w:cstheme="minorHAnsi"/>
                <w:bCs/>
                <w:w w:val="105"/>
              </w:rPr>
              <w:t>Net carrying amount</w:t>
            </w:r>
          </w:p>
        </w:tc>
        <w:tc>
          <w:tcPr>
            <w:tcW w:w="1418" w:type="dxa"/>
          </w:tcPr>
          <w:p w:rsidR="000E0D01" w:rsidRPr="00AE2D8D" w:rsidRDefault="001E7117" w:rsidP="00DE1A91">
            <w:pPr>
              <w:pStyle w:val="NoSpacing"/>
              <w:jc w:val="right"/>
              <w:rPr>
                <w:rFonts w:cstheme="minorHAnsi"/>
                <w:bCs/>
                <w:w w:val="105"/>
              </w:rPr>
            </w:pPr>
            <w:r>
              <w:rPr>
                <w:rFonts w:cstheme="minorHAnsi"/>
                <w:bCs/>
                <w:w w:val="105"/>
              </w:rPr>
              <w:t>Net carrying amount</w:t>
            </w:r>
          </w:p>
        </w:tc>
      </w:tr>
      <w:tr w:rsidR="000E0D01" w:rsidRPr="00AE2D8D" w:rsidTr="001E7117">
        <w:tc>
          <w:tcPr>
            <w:tcW w:w="1559" w:type="dxa"/>
          </w:tcPr>
          <w:p w:rsidR="000E0D01" w:rsidRPr="00AE2D8D" w:rsidRDefault="001E7117" w:rsidP="00DE1A91">
            <w:pPr>
              <w:pStyle w:val="NoSpacing"/>
              <w:jc w:val="right"/>
              <w:rPr>
                <w:rFonts w:cstheme="minorHAnsi"/>
                <w:bCs/>
                <w:w w:val="105"/>
              </w:rPr>
            </w:pPr>
            <w:r>
              <w:rPr>
                <w:rFonts w:cstheme="minorHAnsi"/>
                <w:bCs/>
                <w:w w:val="105"/>
              </w:rPr>
              <w:t>2017</w:t>
            </w:r>
          </w:p>
        </w:tc>
        <w:tc>
          <w:tcPr>
            <w:tcW w:w="1559" w:type="dxa"/>
          </w:tcPr>
          <w:p w:rsidR="000E0D01" w:rsidRPr="00AE2D8D" w:rsidRDefault="001E7117" w:rsidP="00DE1A91">
            <w:pPr>
              <w:pStyle w:val="NoSpacing"/>
              <w:jc w:val="right"/>
              <w:rPr>
                <w:rFonts w:cstheme="minorHAnsi"/>
                <w:bCs/>
                <w:w w:val="105"/>
              </w:rPr>
            </w:pPr>
            <w:r>
              <w:rPr>
                <w:rFonts w:cstheme="minorHAnsi"/>
                <w:bCs/>
                <w:w w:val="105"/>
              </w:rPr>
              <w:t>2016</w:t>
            </w:r>
          </w:p>
        </w:tc>
        <w:tc>
          <w:tcPr>
            <w:tcW w:w="1559" w:type="dxa"/>
          </w:tcPr>
          <w:p w:rsidR="000E0D01" w:rsidRPr="00AE2D8D" w:rsidRDefault="001E7117" w:rsidP="00DE1A91">
            <w:pPr>
              <w:pStyle w:val="NoSpacing"/>
              <w:jc w:val="right"/>
              <w:rPr>
                <w:rFonts w:cstheme="minorHAnsi"/>
                <w:bCs/>
                <w:w w:val="105"/>
              </w:rPr>
            </w:pPr>
            <w:r>
              <w:rPr>
                <w:rFonts w:cstheme="minorHAnsi"/>
                <w:bCs/>
                <w:w w:val="105"/>
              </w:rPr>
              <w:t>2017</w:t>
            </w:r>
          </w:p>
        </w:tc>
        <w:tc>
          <w:tcPr>
            <w:tcW w:w="1560" w:type="dxa"/>
          </w:tcPr>
          <w:p w:rsidR="000E0D01" w:rsidRPr="00AE2D8D" w:rsidRDefault="001E7117" w:rsidP="00DE1A91">
            <w:pPr>
              <w:pStyle w:val="NoSpacing"/>
              <w:jc w:val="right"/>
              <w:rPr>
                <w:rFonts w:cstheme="minorHAnsi"/>
                <w:bCs/>
                <w:w w:val="105"/>
              </w:rPr>
            </w:pPr>
            <w:r>
              <w:rPr>
                <w:rFonts w:cstheme="minorHAnsi"/>
                <w:bCs/>
                <w:w w:val="105"/>
              </w:rPr>
              <w:t>2016</w:t>
            </w:r>
          </w:p>
        </w:tc>
        <w:tc>
          <w:tcPr>
            <w:tcW w:w="1417" w:type="dxa"/>
          </w:tcPr>
          <w:p w:rsidR="000E0D01" w:rsidRPr="00AE2D8D" w:rsidRDefault="001E7117" w:rsidP="00DE1A91">
            <w:pPr>
              <w:pStyle w:val="NoSpacing"/>
              <w:jc w:val="right"/>
              <w:rPr>
                <w:rFonts w:cstheme="minorHAnsi"/>
                <w:bCs/>
                <w:w w:val="105"/>
              </w:rPr>
            </w:pPr>
            <w:r>
              <w:rPr>
                <w:rFonts w:cstheme="minorHAnsi"/>
                <w:bCs/>
                <w:w w:val="105"/>
              </w:rPr>
              <w:t>2017</w:t>
            </w:r>
          </w:p>
        </w:tc>
        <w:tc>
          <w:tcPr>
            <w:tcW w:w="1418" w:type="dxa"/>
          </w:tcPr>
          <w:p w:rsidR="000E0D01" w:rsidRPr="00AE2D8D" w:rsidRDefault="001E7117" w:rsidP="00DE1A91">
            <w:pPr>
              <w:pStyle w:val="NoSpacing"/>
              <w:jc w:val="right"/>
              <w:rPr>
                <w:rFonts w:cstheme="minorHAnsi"/>
                <w:bCs/>
                <w:w w:val="105"/>
              </w:rPr>
            </w:pPr>
            <w:r>
              <w:rPr>
                <w:rFonts w:cstheme="minorHAnsi"/>
                <w:bCs/>
                <w:w w:val="105"/>
              </w:rPr>
              <w:t>2016</w:t>
            </w:r>
          </w:p>
        </w:tc>
      </w:tr>
      <w:tr w:rsidR="000E0D01" w:rsidRPr="00AE2D8D" w:rsidTr="001E7117">
        <w:tc>
          <w:tcPr>
            <w:tcW w:w="1559" w:type="dxa"/>
          </w:tcPr>
          <w:p w:rsidR="000E0D01" w:rsidRPr="00AE2D8D" w:rsidRDefault="000E0D01" w:rsidP="00DE1A91">
            <w:pPr>
              <w:jc w:val="right"/>
              <w:rPr>
                <w:rFonts w:cstheme="minorHAnsi"/>
                <w:bCs/>
                <w:w w:val="105"/>
              </w:rPr>
            </w:pPr>
            <w:r w:rsidRPr="00AE2D8D">
              <w:rPr>
                <w:rFonts w:cstheme="minorHAnsi"/>
                <w:bCs/>
                <w:w w:val="105"/>
              </w:rPr>
              <w:t>$’000</w:t>
            </w:r>
          </w:p>
        </w:tc>
        <w:tc>
          <w:tcPr>
            <w:tcW w:w="1559" w:type="dxa"/>
          </w:tcPr>
          <w:p w:rsidR="000E0D01" w:rsidRPr="00AE2D8D" w:rsidRDefault="000E0D01" w:rsidP="00DE1A91">
            <w:pPr>
              <w:jc w:val="right"/>
              <w:rPr>
                <w:rFonts w:cstheme="minorHAnsi"/>
                <w:bCs/>
                <w:w w:val="105"/>
              </w:rPr>
            </w:pPr>
            <w:r w:rsidRPr="00AE2D8D">
              <w:rPr>
                <w:rFonts w:cstheme="minorHAnsi"/>
                <w:bCs/>
                <w:w w:val="105"/>
              </w:rPr>
              <w:t>$’000</w:t>
            </w:r>
          </w:p>
        </w:tc>
        <w:tc>
          <w:tcPr>
            <w:tcW w:w="1559" w:type="dxa"/>
          </w:tcPr>
          <w:p w:rsidR="000E0D01" w:rsidRPr="00AE2D8D" w:rsidRDefault="000E0D01" w:rsidP="00DE1A91">
            <w:pPr>
              <w:jc w:val="right"/>
              <w:rPr>
                <w:rFonts w:cstheme="minorHAnsi"/>
              </w:rPr>
            </w:pPr>
            <w:r w:rsidRPr="00AE2D8D">
              <w:rPr>
                <w:rFonts w:cstheme="minorHAnsi"/>
                <w:bCs/>
                <w:w w:val="105"/>
              </w:rPr>
              <w:t>$’000</w:t>
            </w:r>
          </w:p>
        </w:tc>
        <w:tc>
          <w:tcPr>
            <w:tcW w:w="1560" w:type="dxa"/>
          </w:tcPr>
          <w:p w:rsidR="000E0D01" w:rsidRPr="00AE2D8D" w:rsidRDefault="000E0D01" w:rsidP="00DE1A91">
            <w:pPr>
              <w:jc w:val="right"/>
              <w:rPr>
                <w:rFonts w:cstheme="minorHAnsi"/>
              </w:rPr>
            </w:pPr>
            <w:r w:rsidRPr="00AE2D8D">
              <w:rPr>
                <w:rFonts w:cstheme="minorHAnsi"/>
                <w:bCs/>
                <w:w w:val="105"/>
              </w:rPr>
              <w:t>$’000</w:t>
            </w:r>
          </w:p>
        </w:tc>
        <w:tc>
          <w:tcPr>
            <w:tcW w:w="1417" w:type="dxa"/>
          </w:tcPr>
          <w:p w:rsidR="000E0D01" w:rsidRPr="00AE2D8D" w:rsidRDefault="000E0D01" w:rsidP="00DE1A91">
            <w:pPr>
              <w:jc w:val="right"/>
              <w:rPr>
                <w:rFonts w:cstheme="minorHAnsi"/>
              </w:rPr>
            </w:pPr>
            <w:r w:rsidRPr="00AE2D8D">
              <w:rPr>
                <w:rFonts w:cstheme="minorHAnsi"/>
                <w:bCs/>
                <w:w w:val="105"/>
              </w:rPr>
              <w:t>$’000</w:t>
            </w:r>
          </w:p>
        </w:tc>
        <w:tc>
          <w:tcPr>
            <w:tcW w:w="1418" w:type="dxa"/>
          </w:tcPr>
          <w:p w:rsidR="000E0D01" w:rsidRPr="00AE2D8D" w:rsidRDefault="000E0D01" w:rsidP="00DE1A91">
            <w:pPr>
              <w:pStyle w:val="NoSpacing"/>
              <w:jc w:val="right"/>
              <w:rPr>
                <w:rFonts w:cstheme="minorHAnsi"/>
                <w:bCs/>
                <w:w w:val="105"/>
              </w:rPr>
            </w:pPr>
            <w:r w:rsidRPr="00AE2D8D">
              <w:rPr>
                <w:rFonts w:cstheme="minorHAnsi"/>
                <w:bCs/>
                <w:w w:val="105"/>
              </w:rPr>
              <w:t>$’000</w:t>
            </w:r>
          </w:p>
        </w:tc>
      </w:tr>
    </w:tbl>
    <w:p w:rsidR="000E0D01" w:rsidRPr="008B310D" w:rsidRDefault="008B310D" w:rsidP="00C24A4B">
      <w:pPr>
        <w:pStyle w:val="NoSpacing"/>
        <w:rPr>
          <w:rFonts w:cstheme="minorHAnsi"/>
        </w:rPr>
      </w:pPr>
      <w:r w:rsidRPr="008B310D">
        <w:rPr>
          <w:rFonts w:cstheme="minorHAnsi"/>
        </w:rPr>
        <w:t>Consolidated</w:t>
      </w:r>
    </w:p>
    <w:tbl>
      <w:tblPr>
        <w:tblStyle w:val="TableGrid"/>
        <w:tblW w:w="14029" w:type="dxa"/>
        <w:tblLook w:val="04A0" w:firstRow="1" w:lastRow="0" w:firstColumn="1" w:lastColumn="0" w:noHBand="0" w:noVBand="1"/>
      </w:tblPr>
      <w:tblGrid>
        <w:gridCol w:w="4957"/>
        <w:gridCol w:w="1559"/>
        <w:gridCol w:w="1559"/>
        <w:gridCol w:w="1559"/>
        <w:gridCol w:w="1560"/>
        <w:gridCol w:w="1417"/>
        <w:gridCol w:w="1418"/>
      </w:tblGrid>
      <w:tr w:rsidR="001E7117" w:rsidTr="001E7117">
        <w:tc>
          <w:tcPr>
            <w:tcW w:w="4957" w:type="dxa"/>
          </w:tcPr>
          <w:p w:rsidR="001E7117" w:rsidRDefault="008B310D" w:rsidP="00C24A4B">
            <w:pPr>
              <w:pStyle w:val="NoSpacing"/>
              <w:rPr>
                <w:rFonts w:cstheme="minorHAnsi"/>
                <w:caps/>
              </w:rPr>
            </w:pPr>
            <w:r>
              <w:rPr>
                <w:rFonts w:cstheme="minorHAnsi"/>
              </w:rPr>
              <w:t xml:space="preserve">Land </w:t>
            </w:r>
          </w:p>
        </w:tc>
        <w:tc>
          <w:tcPr>
            <w:tcW w:w="1559" w:type="dxa"/>
          </w:tcPr>
          <w:p w:rsidR="001E7117" w:rsidRDefault="008B310D" w:rsidP="008B310D">
            <w:pPr>
              <w:pStyle w:val="NoSpacing"/>
              <w:jc w:val="right"/>
              <w:rPr>
                <w:rFonts w:cstheme="minorHAnsi"/>
                <w:caps/>
              </w:rPr>
            </w:pPr>
            <w:r>
              <w:rPr>
                <w:rFonts w:cstheme="minorHAnsi"/>
                <w:caps/>
              </w:rPr>
              <w:t>58,196</w:t>
            </w:r>
          </w:p>
        </w:tc>
        <w:tc>
          <w:tcPr>
            <w:tcW w:w="1559" w:type="dxa"/>
          </w:tcPr>
          <w:p w:rsidR="001E7117" w:rsidRDefault="008B310D" w:rsidP="008B310D">
            <w:pPr>
              <w:pStyle w:val="NoSpacing"/>
              <w:jc w:val="right"/>
              <w:rPr>
                <w:rFonts w:cstheme="minorHAnsi"/>
                <w:caps/>
              </w:rPr>
            </w:pPr>
            <w:r>
              <w:rPr>
                <w:rFonts w:cstheme="minorHAnsi"/>
                <w:caps/>
              </w:rPr>
              <w:t>52,927</w:t>
            </w:r>
          </w:p>
        </w:tc>
        <w:tc>
          <w:tcPr>
            <w:tcW w:w="1559" w:type="dxa"/>
          </w:tcPr>
          <w:p w:rsidR="001E7117" w:rsidRDefault="008B310D" w:rsidP="008B310D">
            <w:pPr>
              <w:pStyle w:val="NoSpacing"/>
              <w:jc w:val="right"/>
              <w:rPr>
                <w:rFonts w:cstheme="minorHAnsi"/>
                <w:caps/>
              </w:rPr>
            </w:pPr>
            <w:r>
              <w:rPr>
                <w:rFonts w:cstheme="minorHAnsi"/>
                <w:caps/>
              </w:rPr>
              <w:t>-</w:t>
            </w:r>
          </w:p>
        </w:tc>
        <w:tc>
          <w:tcPr>
            <w:tcW w:w="1560" w:type="dxa"/>
          </w:tcPr>
          <w:p w:rsidR="001E7117" w:rsidRDefault="008B310D" w:rsidP="008B310D">
            <w:pPr>
              <w:pStyle w:val="NoSpacing"/>
              <w:jc w:val="right"/>
              <w:rPr>
                <w:rFonts w:cstheme="minorHAnsi"/>
                <w:caps/>
              </w:rPr>
            </w:pPr>
            <w:r>
              <w:rPr>
                <w:rFonts w:cstheme="minorHAnsi"/>
                <w:caps/>
              </w:rPr>
              <w:t>-</w:t>
            </w:r>
          </w:p>
        </w:tc>
        <w:tc>
          <w:tcPr>
            <w:tcW w:w="1417" w:type="dxa"/>
          </w:tcPr>
          <w:p w:rsidR="001E7117" w:rsidRDefault="008B310D" w:rsidP="008B310D">
            <w:pPr>
              <w:pStyle w:val="NoSpacing"/>
              <w:jc w:val="right"/>
              <w:rPr>
                <w:rFonts w:cstheme="minorHAnsi"/>
                <w:caps/>
              </w:rPr>
            </w:pPr>
            <w:r>
              <w:rPr>
                <w:rFonts w:cstheme="minorHAnsi"/>
                <w:caps/>
              </w:rPr>
              <w:t>58,196</w:t>
            </w:r>
          </w:p>
        </w:tc>
        <w:tc>
          <w:tcPr>
            <w:tcW w:w="1418" w:type="dxa"/>
          </w:tcPr>
          <w:p w:rsidR="001E7117" w:rsidRDefault="008B310D" w:rsidP="008B310D">
            <w:pPr>
              <w:pStyle w:val="NoSpacing"/>
              <w:jc w:val="right"/>
              <w:rPr>
                <w:rFonts w:cstheme="minorHAnsi"/>
                <w:caps/>
              </w:rPr>
            </w:pPr>
            <w:r>
              <w:rPr>
                <w:rFonts w:cstheme="minorHAnsi"/>
                <w:caps/>
              </w:rPr>
              <w:t>52,927</w:t>
            </w:r>
          </w:p>
        </w:tc>
      </w:tr>
      <w:tr w:rsidR="001E7117" w:rsidTr="001E7117">
        <w:tc>
          <w:tcPr>
            <w:tcW w:w="4957" w:type="dxa"/>
          </w:tcPr>
          <w:p w:rsidR="001E7117" w:rsidRDefault="008B310D" w:rsidP="00C24A4B">
            <w:pPr>
              <w:pStyle w:val="NoSpacing"/>
              <w:rPr>
                <w:rFonts w:cstheme="minorHAnsi"/>
                <w:caps/>
              </w:rPr>
            </w:pPr>
            <w:r>
              <w:rPr>
                <w:rFonts w:cstheme="minorHAnsi"/>
              </w:rPr>
              <w:t>Buildings</w:t>
            </w:r>
          </w:p>
        </w:tc>
        <w:tc>
          <w:tcPr>
            <w:tcW w:w="1559" w:type="dxa"/>
          </w:tcPr>
          <w:p w:rsidR="001E7117" w:rsidRDefault="008B310D" w:rsidP="008B310D">
            <w:pPr>
              <w:pStyle w:val="NoSpacing"/>
              <w:jc w:val="right"/>
              <w:rPr>
                <w:rFonts w:cstheme="minorHAnsi"/>
                <w:caps/>
              </w:rPr>
            </w:pPr>
            <w:r>
              <w:rPr>
                <w:rFonts w:cstheme="minorHAnsi"/>
                <w:caps/>
              </w:rPr>
              <w:t>196,789</w:t>
            </w:r>
          </w:p>
        </w:tc>
        <w:tc>
          <w:tcPr>
            <w:tcW w:w="1559" w:type="dxa"/>
          </w:tcPr>
          <w:p w:rsidR="001E7117" w:rsidRDefault="008B310D" w:rsidP="008B310D">
            <w:pPr>
              <w:pStyle w:val="NoSpacing"/>
              <w:jc w:val="right"/>
              <w:rPr>
                <w:rFonts w:cstheme="minorHAnsi"/>
                <w:caps/>
              </w:rPr>
            </w:pPr>
            <w:r>
              <w:rPr>
                <w:rFonts w:cstheme="minorHAnsi"/>
                <w:caps/>
              </w:rPr>
              <w:t>208,919</w:t>
            </w:r>
          </w:p>
        </w:tc>
        <w:tc>
          <w:tcPr>
            <w:tcW w:w="1559" w:type="dxa"/>
          </w:tcPr>
          <w:p w:rsidR="001E7117" w:rsidRDefault="008B310D" w:rsidP="008B310D">
            <w:pPr>
              <w:pStyle w:val="NoSpacing"/>
              <w:jc w:val="right"/>
              <w:rPr>
                <w:rFonts w:cstheme="minorHAnsi"/>
                <w:caps/>
              </w:rPr>
            </w:pPr>
            <w:r>
              <w:rPr>
                <w:rFonts w:cstheme="minorHAnsi"/>
                <w:caps/>
              </w:rPr>
              <w:t>-</w:t>
            </w:r>
          </w:p>
        </w:tc>
        <w:tc>
          <w:tcPr>
            <w:tcW w:w="1560" w:type="dxa"/>
          </w:tcPr>
          <w:p w:rsidR="001E7117" w:rsidRDefault="008B310D" w:rsidP="008B310D">
            <w:pPr>
              <w:pStyle w:val="NoSpacing"/>
              <w:jc w:val="right"/>
              <w:rPr>
                <w:rFonts w:cstheme="minorHAnsi"/>
                <w:caps/>
              </w:rPr>
            </w:pPr>
            <w:r>
              <w:rPr>
                <w:rFonts w:cstheme="minorHAnsi"/>
                <w:caps/>
              </w:rPr>
              <w:t>(18,933)</w:t>
            </w:r>
          </w:p>
        </w:tc>
        <w:tc>
          <w:tcPr>
            <w:tcW w:w="1417" w:type="dxa"/>
          </w:tcPr>
          <w:p w:rsidR="001E7117" w:rsidRDefault="008B310D" w:rsidP="008B310D">
            <w:pPr>
              <w:pStyle w:val="NoSpacing"/>
              <w:jc w:val="right"/>
              <w:rPr>
                <w:rFonts w:cstheme="minorHAnsi"/>
                <w:caps/>
              </w:rPr>
            </w:pPr>
            <w:r>
              <w:rPr>
                <w:rFonts w:cstheme="minorHAnsi"/>
                <w:caps/>
              </w:rPr>
              <w:t>196,789</w:t>
            </w:r>
          </w:p>
        </w:tc>
        <w:tc>
          <w:tcPr>
            <w:tcW w:w="1418" w:type="dxa"/>
          </w:tcPr>
          <w:p w:rsidR="001E7117" w:rsidRDefault="008B310D" w:rsidP="008B310D">
            <w:pPr>
              <w:pStyle w:val="NoSpacing"/>
              <w:jc w:val="right"/>
              <w:rPr>
                <w:rFonts w:cstheme="minorHAnsi"/>
                <w:caps/>
              </w:rPr>
            </w:pPr>
            <w:r>
              <w:rPr>
                <w:rFonts w:cstheme="minorHAnsi"/>
                <w:caps/>
              </w:rPr>
              <w:t>189,986</w:t>
            </w:r>
          </w:p>
        </w:tc>
      </w:tr>
      <w:tr w:rsidR="001E7117" w:rsidTr="001E7117">
        <w:tc>
          <w:tcPr>
            <w:tcW w:w="4957" w:type="dxa"/>
          </w:tcPr>
          <w:p w:rsidR="001E7117" w:rsidRDefault="008B310D" w:rsidP="00C24A4B">
            <w:pPr>
              <w:pStyle w:val="NoSpacing"/>
              <w:rPr>
                <w:rFonts w:cstheme="minorHAnsi"/>
                <w:caps/>
              </w:rPr>
            </w:pPr>
            <w:r>
              <w:rPr>
                <w:rFonts w:cstheme="minorHAnsi"/>
              </w:rPr>
              <w:t>Const</w:t>
            </w:r>
            <w:r w:rsidR="00F54F93">
              <w:rPr>
                <w:rFonts w:cstheme="minorHAnsi"/>
              </w:rPr>
              <w:t>r</w:t>
            </w:r>
            <w:r>
              <w:rPr>
                <w:rFonts w:cstheme="minorHAnsi"/>
              </w:rPr>
              <w:t>uction in progress</w:t>
            </w:r>
          </w:p>
        </w:tc>
        <w:tc>
          <w:tcPr>
            <w:tcW w:w="1559" w:type="dxa"/>
          </w:tcPr>
          <w:p w:rsidR="001E7117" w:rsidRDefault="008B310D" w:rsidP="008B310D">
            <w:pPr>
              <w:pStyle w:val="NoSpacing"/>
              <w:jc w:val="right"/>
              <w:rPr>
                <w:rFonts w:cstheme="minorHAnsi"/>
                <w:caps/>
              </w:rPr>
            </w:pPr>
            <w:r>
              <w:rPr>
                <w:rFonts w:cstheme="minorHAnsi"/>
                <w:caps/>
              </w:rPr>
              <w:t>16,000</w:t>
            </w:r>
          </w:p>
        </w:tc>
        <w:tc>
          <w:tcPr>
            <w:tcW w:w="1559" w:type="dxa"/>
          </w:tcPr>
          <w:p w:rsidR="001E7117" w:rsidRDefault="008B310D" w:rsidP="008B310D">
            <w:pPr>
              <w:pStyle w:val="NoSpacing"/>
              <w:jc w:val="right"/>
              <w:rPr>
                <w:rFonts w:cstheme="minorHAnsi"/>
                <w:caps/>
              </w:rPr>
            </w:pPr>
            <w:r>
              <w:rPr>
                <w:rFonts w:cstheme="minorHAnsi"/>
                <w:caps/>
              </w:rPr>
              <w:t>3,014</w:t>
            </w:r>
          </w:p>
        </w:tc>
        <w:tc>
          <w:tcPr>
            <w:tcW w:w="1559" w:type="dxa"/>
          </w:tcPr>
          <w:p w:rsidR="001E7117" w:rsidRDefault="008B310D" w:rsidP="008B310D">
            <w:pPr>
              <w:pStyle w:val="NoSpacing"/>
              <w:jc w:val="right"/>
              <w:rPr>
                <w:rFonts w:cstheme="minorHAnsi"/>
                <w:caps/>
              </w:rPr>
            </w:pPr>
            <w:r>
              <w:rPr>
                <w:rFonts w:cstheme="minorHAnsi"/>
                <w:caps/>
              </w:rPr>
              <w:t>-</w:t>
            </w:r>
          </w:p>
        </w:tc>
        <w:tc>
          <w:tcPr>
            <w:tcW w:w="1560" w:type="dxa"/>
          </w:tcPr>
          <w:p w:rsidR="001E7117" w:rsidRDefault="008B310D" w:rsidP="008B310D">
            <w:pPr>
              <w:pStyle w:val="NoSpacing"/>
              <w:jc w:val="right"/>
              <w:rPr>
                <w:rFonts w:cstheme="minorHAnsi"/>
                <w:caps/>
              </w:rPr>
            </w:pPr>
            <w:r>
              <w:rPr>
                <w:rFonts w:cstheme="minorHAnsi"/>
                <w:caps/>
              </w:rPr>
              <w:t>-</w:t>
            </w:r>
          </w:p>
        </w:tc>
        <w:tc>
          <w:tcPr>
            <w:tcW w:w="1417" w:type="dxa"/>
          </w:tcPr>
          <w:p w:rsidR="001E7117" w:rsidRDefault="008B310D" w:rsidP="008B310D">
            <w:pPr>
              <w:pStyle w:val="NoSpacing"/>
              <w:jc w:val="right"/>
              <w:rPr>
                <w:rFonts w:cstheme="minorHAnsi"/>
                <w:caps/>
              </w:rPr>
            </w:pPr>
            <w:r>
              <w:rPr>
                <w:rFonts w:cstheme="minorHAnsi"/>
                <w:caps/>
              </w:rPr>
              <w:t>16,000</w:t>
            </w:r>
          </w:p>
        </w:tc>
        <w:tc>
          <w:tcPr>
            <w:tcW w:w="1418" w:type="dxa"/>
          </w:tcPr>
          <w:p w:rsidR="001E7117" w:rsidRDefault="008B310D" w:rsidP="008B310D">
            <w:pPr>
              <w:pStyle w:val="NoSpacing"/>
              <w:jc w:val="right"/>
              <w:rPr>
                <w:rFonts w:cstheme="minorHAnsi"/>
                <w:caps/>
              </w:rPr>
            </w:pPr>
            <w:r>
              <w:rPr>
                <w:rFonts w:cstheme="minorHAnsi"/>
                <w:caps/>
              </w:rPr>
              <w:t>3,014</w:t>
            </w:r>
          </w:p>
        </w:tc>
      </w:tr>
      <w:tr w:rsidR="001E7117" w:rsidTr="001E7117">
        <w:tc>
          <w:tcPr>
            <w:tcW w:w="4957" w:type="dxa"/>
          </w:tcPr>
          <w:p w:rsidR="001E7117" w:rsidRDefault="008B310D" w:rsidP="00C24A4B">
            <w:pPr>
              <w:pStyle w:val="NoSpacing"/>
              <w:rPr>
                <w:rFonts w:cstheme="minorHAnsi"/>
                <w:caps/>
              </w:rPr>
            </w:pPr>
            <w:r>
              <w:rPr>
                <w:rFonts w:cstheme="minorHAnsi"/>
              </w:rPr>
              <w:t>Plant and equipment</w:t>
            </w:r>
          </w:p>
        </w:tc>
        <w:tc>
          <w:tcPr>
            <w:tcW w:w="1559" w:type="dxa"/>
          </w:tcPr>
          <w:p w:rsidR="001E7117" w:rsidRDefault="008B310D" w:rsidP="008B310D">
            <w:pPr>
              <w:pStyle w:val="NoSpacing"/>
              <w:jc w:val="right"/>
              <w:rPr>
                <w:rFonts w:cstheme="minorHAnsi"/>
                <w:caps/>
              </w:rPr>
            </w:pPr>
            <w:r>
              <w:rPr>
                <w:rFonts w:cstheme="minorHAnsi"/>
                <w:caps/>
              </w:rPr>
              <w:t>24,091</w:t>
            </w:r>
          </w:p>
        </w:tc>
        <w:tc>
          <w:tcPr>
            <w:tcW w:w="1559" w:type="dxa"/>
          </w:tcPr>
          <w:p w:rsidR="001E7117" w:rsidRDefault="008B310D" w:rsidP="008B310D">
            <w:pPr>
              <w:pStyle w:val="NoSpacing"/>
              <w:jc w:val="right"/>
              <w:rPr>
                <w:rFonts w:cstheme="minorHAnsi"/>
                <w:caps/>
              </w:rPr>
            </w:pPr>
            <w:r>
              <w:rPr>
                <w:rFonts w:cstheme="minorHAnsi"/>
                <w:caps/>
              </w:rPr>
              <w:t>22,836</w:t>
            </w:r>
          </w:p>
        </w:tc>
        <w:tc>
          <w:tcPr>
            <w:tcW w:w="1559" w:type="dxa"/>
          </w:tcPr>
          <w:p w:rsidR="001E7117" w:rsidRDefault="008B310D" w:rsidP="008B310D">
            <w:pPr>
              <w:pStyle w:val="NoSpacing"/>
              <w:jc w:val="right"/>
              <w:rPr>
                <w:rFonts w:cstheme="minorHAnsi"/>
                <w:caps/>
              </w:rPr>
            </w:pPr>
            <w:r>
              <w:rPr>
                <w:rFonts w:cstheme="minorHAnsi"/>
                <w:caps/>
              </w:rPr>
              <w:t>(19,237)</w:t>
            </w:r>
          </w:p>
        </w:tc>
        <w:tc>
          <w:tcPr>
            <w:tcW w:w="1560" w:type="dxa"/>
          </w:tcPr>
          <w:p w:rsidR="001E7117" w:rsidRDefault="008B310D" w:rsidP="008B310D">
            <w:pPr>
              <w:pStyle w:val="NoSpacing"/>
              <w:jc w:val="right"/>
              <w:rPr>
                <w:rFonts w:cstheme="minorHAnsi"/>
                <w:caps/>
              </w:rPr>
            </w:pPr>
            <w:r>
              <w:rPr>
                <w:rFonts w:cstheme="minorHAnsi"/>
                <w:caps/>
              </w:rPr>
              <w:t>(17,896)</w:t>
            </w:r>
          </w:p>
        </w:tc>
        <w:tc>
          <w:tcPr>
            <w:tcW w:w="1417" w:type="dxa"/>
          </w:tcPr>
          <w:p w:rsidR="001E7117" w:rsidRDefault="008B310D" w:rsidP="008B310D">
            <w:pPr>
              <w:pStyle w:val="NoSpacing"/>
              <w:jc w:val="right"/>
              <w:rPr>
                <w:rFonts w:cstheme="minorHAnsi"/>
                <w:caps/>
              </w:rPr>
            </w:pPr>
            <w:r>
              <w:rPr>
                <w:rFonts w:cstheme="minorHAnsi"/>
                <w:caps/>
              </w:rPr>
              <w:t>4,854</w:t>
            </w:r>
          </w:p>
        </w:tc>
        <w:tc>
          <w:tcPr>
            <w:tcW w:w="1418" w:type="dxa"/>
          </w:tcPr>
          <w:p w:rsidR="001E7117" w:rsidRDefault="008B310D" w:rsidP="008B310D">
            <w:pPr>
              <w:pStyle w:val="NoSpacing"/>
              <w:jc w:val="center"/>
              <w:rPr>
                <w:rFonts w:cstheme="minorHAnsi"/>
                <w:caps/>
              </w:rPr>
            </w:pPr>
            <w:r>
              <w:rPr>
                <w:rFonts w:cstheme="minorHAnsi"/>
                <w:caps/>
              </w:rPr>
              <w:t>4,940</w:t>
            </w:r>
          </w:p>
        </w:tc>
      </w:tr>
      <w:tr w:rsidR="001E7117" w:rsidTr="001E7117">
        <w:tc>
          <w:tcPr>
            <w:tcW w:w="4957" w:type="dxa"/>
          </w:tcPr>
          <w:p w:rsidR="001E7117" w:rsidRDefault="008B310D" w:rsidP="00C24A4B">
            <w:pPr>
              <w:pStyle w:val="NoSpacing"/>
              <w:rPr>
                <w:rFonts w:cstheme="minorHAnsi"/>
                <w:caps/>
              </w:rPr>
            </w:pPr>
            <w:r>
              <w:rPr>
                <w:rFonts w:cstheme="minorHAnsi"/>
              </w:rPr>
              <w:t>Motor vehicles</w:t>
            </w:r>
          </w:p>
        </w:tc>
        <w:tc>
          <w:tcPr>
            <w:tcW w:w="1559" w:type="dxa"/>
          </w:tcPr>
          <w:p w:rsidR="001E7117" w:rsidRDefault="008B310D" w:rsidP="008B310D">
            <w:pPr>
              <w:pStyle w:val="NoSpacing"/>
              <w:jc w:val="right"/>
              <w:rPr>
                <w:rFonts w:cstheme="minorHAnsi"/>
                <w:caps/>
              </w:rPr>
            </w:pPr>
            <w:r>
              <w:rPr>
                <w:rFonts w:cstheme="minorHAnsi"/>
                <w:caps/>
              </w:rPr>
              <w:t>990</w:t>
            </w:r>
          </w:p>
        </w:tc>
        <w:tc>
          <w:tcPr>
            <w:tcW w:w="1559" w:type="dxa"/>
          </w:tcPr>
          <w:p w:rsidR="001E7117" w:rsidRDefault="008B310D" w:rsidP="008B310D">
            <w:pPr>
              <w:pStyle w:val="NoSpacing"/>
              <w:jc w:val="right"/>
              <w:rPr>
                <w:rFonts w:cstheme="minorHAnsi"/>
                <w:caps/>
              </w:rPr>
            </w:pPr>
            <w:r>
              <w:rPr>
                <w:rFonts w:cstheme="minorHAnsi"/>
                <w:caps/>
              </w:rPr>
              <w:t>1,056</w:t>
            </w:r>
          </w:p>
        </w:tc>
        <w:tc>
          <w:tcPr>
            <w:tcW w:w="1559" w:type="dxa"/>
          </w:tcPr>
          <w:p w:rsidR="001E7117" w:rsidRDefault="008B310D" w:rsidP="008B310D">
            <w:pPr>
              <w:pStyle w:val="NoSpacing"/>
              <w:jc w:val="right"/>
              <w:rPr>
                <w:rFonts w:cstheme="minorHAnsi"/>
                <w:caps/>
              </w:rPr>
            </w:pPr>
            <w:r>
              <w:rPr>
                <w:rFonts w:cstheme="minorHAnsi"/>
                <w:caps/>
              </w:rPr>
              <w:t>(710)</w:t>
            </w:r>
          </w:p>
        </w:tc>
        <w:tc>
          <w:tcPr>
            <w:tcW w:w="1560" w:type="dxa"/>
          </w:tcPr>
          <w:p w:rsidR="001E7117" w:rsidRDefault="008B310D" w:rsidP="008B310D">
            <w:pPr>
              <w:pStyle w:val="NoSpacing"/>
              <w:jc w:val="right"/>
              <w:rPr>
                <w:rFonts w:cstheme="minorHAnsi"/>
                <w:caps/>
              </w:rPr>
            </w:pPr>
            <w:r>
              <w:rPr>
                <w:rFonts w:cstheme="minorHAnsi"/>
                <w:caps/>
              </w:rPr>
              <w:t>(712)</w:t>
            </w:r>
          </w:p>
        </w:tc>
        <w:tc>
          <w:tcPr>
            <w:tcW w:w="1417" w:type="dxa"/>
          </w:tcPr>
          <w:p w:rsidR="001E7117" w:rsidRDefault="008B310D" w:rsidP="008B310D">
            <w:pPr>
              <w:pStyle w:val="NoSpacing"/>
              <w:jc w:val="right"/>
              <w:rPr>
                <w:rFonts w:cstheme="minorHAnsi"/>
                <w:caps/>
              </w:rPr>
            </w:pPr>
            <w:r>
              <w:rPr>
                <w:rFonts w:cstheme="minorHAnsi"/>
                <w:caps/>
              </w:rPr>
              <w:t>280</w:t>
            </w:r>
          </w:p>
        </w:tc>
        <w:tc>
          <w:tcPr>
            <w:tcW w:w="1418" w:type="dxa"/>
          </w:tcPr>
          <w:p w:rsidR="001E7117" w:rsidRDefault="008B310D" w:rsidP="008B310D">
            <w:pPr>
              <w:pStyle w:val="NoSpacing"/>
              <w:jc w:val="right"/>
              <w:rPr>
                <w:rFonts w:cstheme="minorHAnsi"/>
                <w:caps/>
              </w:rPr>
            </w:pPr>
            <w:r>
              <w:rPr>
                <w:rFonts w:cstheme="minorHAnsi"/>
                <w:caps/>
              </w:rPr>
              <w:t>344</w:t>
            </w:r>
          </w:p>
        </w:tc>
      </w:tr>
      <w:tr w:rsidR="001E7117" w:rsidTr="001E7117">
        <w:tc>
          <w:tcPr>
            <w:tcW w:w="4957" w:type="dxa"/>
          </w:tcPr>
          <w:p w:rsidR="001E7117" w:rsidRDefault="008B310D" w:rsidP="00C24A4B">
            <w:pPr>
              <w:pStyle w:val="NoSpacing"/>
              <w:rPr>
                <w:rFonts w:cstheme="minorHAnsi"/>
                <w:caps/>
              </w:rPr>
            </w:pPr>
            <w:r>
              <w:rPr>
                <w:rFonts w:cstheme="minorHAnsi"/>
              </w:rPr>
              <w:t>Leasehold improvements</w:t>
            </w:r>
          </w:p>
        </w:tc>
        <w:tc>
          <w:tcPr>
            <w:tcW w:w="1559" w:type="dxa"/>
          </w:tcPr>
          <w:p w:rsidR="001E7117" w:rsidRDefault="008B310D" w:rsidP="008B310D">
            <w:pPr>
              <w:pStyle w:val="NoSpacing"/>
              <w:jc w:val="right"/>
              <w:rPr>
                <w:rFonts w:cstheme="minorHAnsi"/>
                <w:caps/>
              </w:rPr>
            </w:pPr>
            <w:r>
              <w:rPr>
                <w:rFonts w:cstheme="minorHAnsi"/>
                <w:caps/>
              </w:rPr>
              <w:t>3,044</w:t>
            </w:r>
          </w:p>
        </w:tc>
        <w:tc>
          <w:tcPr>
            <w:tcW w:w="1559" w:type="dxa"/>
          </w:tcPr>
          <w:p w:rsidR="001E7117" w:rsidRDefault="008B310D" w:rsidP="008B310D">
            <w:pPr>
              <w:pStyle w:val="NoSpacing"/>
              <w:jc w:val="right"/>
              <w:rPr>
                <w:rFonts w:cstheme="minorHAnsi"/>
                <w:caps/>
              </w:rPr>
            </w:pPr>
            <w:r>
              <w:rPr>
                <w:rFonts w:cstheme="minorHAnsi"/>
                <w:caps/>
              </w:rPr>
              <w:t>3,024</w:t>
            </w:r>
          </w:p>
        </w:tc>
        <w:tc>
          <w:tcPr>
            <w:tcW w:w="1559" w:type="dxa"/>
          </w:tcPr>
          <w:p w:rsidR="001E7117" w:rsidRDefault="008B310D" w:rsidP="008B310D">
            <w:pPr>
              <w:pStyle w:val="NoSpacing"/>
              <w:jc w:val="right"/>
              <w:rPr>
                <w:rFonts w:cstheme="minorHAnsi"/>
                <w:caps/>
              </w:rPr>
            </w:pPr>
            <w:r>
              <w:rPr>
                <w:rFonts w:cstheme="minorHAnsi"/>
                <w:caps/>
              </w:rPr>
              <w:t>(2,394)</w:t>
            </w:r>
          </w:p>
        </w:tc>
        <w:tc>
          <w:tcPr>
            <w:tcW w:w="1560" w:type="dxa"/>
          </w:tcPr>
          <w:p w:rsidR="001E7117" w:rsidRDefault="008B310D" w:rsidP="008B310D">
            <w:pPr>
              <w:pStyle w:val="NoSpacing"/>
              <w:jc w:val="right"/>
              <w:rPr>
                <w:rFonts w:cstheme="minorHAnsi"/>
                <w:caps/>
              </w:rPr>
            </w:pPr>
            <w:r>
              <w:rPr>
                <w:rFonts w:cstheme="minorHAnsi"/>
                <w:caps/>
              </w:rPr>
              <w:t>(1,937)</w:t>
            </w:r>
          </w:p>
        </w:tc>
        <w:tc>
          <w:tcPr>
            <w:tcW w:w="1417" w:type="dxa"/>
          </w:tcPr>
          <w:p w:rsidR="001E7117" w:rsidRDefault="008B310D" w:rsidP="008B310D">
            <w:pPr>
              <w:pStyle w:val="NoSpacing"/>
              <w:jc w:val="right"/>
              <w:rPr>
                <w:rFonts w:cstheme="minorHAnsi"/>
                <w:caps/>
              </w:rPr>
            </w:pPr>
            <w:r>
              <w:rPr>
                <w:rFonts w:cstheme="minorHAnsi"/>
                <w:caps/>
              </w:rPr>
              <w:t>650</w:t>
            </w:r>
          </w:p>
        </w:tc>
        <w:tc>
          <w:tcPr>
            <w:tcW w:w="1418" w:type="dxa"/>
          </w:tcPr>
          <w:p w:rsidR="001E7117" w:rsidRDefault="008B310D" w:rsidP="008B310D">
            <w:pPr>
              <w:pStyle w:val="NoSpacing"/>
              <w:jc w:val="right"/>
              <w:rPr>
                <w:rFonts w:cstheme="minorHAnsi"/>
                <w:caps/>
              </w:rPr>
            </w:pPr>
            <w:r>
              <w:rPr>
                <w:rFonts w:cstheme="minorHAnsi"/>
                <w:caps/>
              </w:rPr>
              <w:t>1,087</w:t>
            </w:r>
          </w:p>
        </w:tc>
      </w:tr>
      <w:tr w:rsidR="001E7117" w:rsidTr="001E7117">
        <w:tc>
          <w:tcPr>
            <w:tcW w:w="4957" w:type="dxa"/>
          </w:tcPr>
          <w:p w:rsidR="001E7117" w:rsidRDefault="008B310D" w:rsidP="00C24A4B">
            <w:pPr>
              <w:pStyle w:val="NoSpacing"/>
              <w:rPr>
                <w:rFonts w:cstheme="minorHAnsi"/>
                <w:caps/>
              </w:rPr>
            </w:pPr>
            <w:r>
              <w:rPr>
                <w:rFonts w:cstheme="minorHAnsi"/>
              </w:rPr>
              <w:t>Land improvements</w:t>
            </w:r>
          </w:p>
        </w:tc>
        <w:tc>
          <w:tcPr>
            <w:tcW w:w="1559" w:type="dxa"/>
          </w:tcPr>
          <w:p w:rsidR="001E7117" w:rsidRDefault="008B310D" w:rsidP="008B310D">
            <w:pPr>
              <w:pStyle w:val="NoSpacing"/>
              <w:jc w:val="right"/>
              <w:rPr>
                <w:rFonts w:cstheme="minorHAnsi"/>
                <w:caps/>
              </w:rPr>
            </w:pPr>
            <w:r>
              <w:rPr>
                <w:rFonts w:cstheme="minorHAnsi"/>
                <w:caps/>
              </w:rPr>
              <w:t>2,502</w:t>
            </w:r>
          </w:p>
        </w:tc>
        <w:tc>
          <w:tcPr>
            <w:tcW w:w="1559" w:type="dxa"/>
          </w:tcPr>
          <w:p w:rsidR="001E7117" w:rsidRDefault="008B310D" w:rsidP="008B310D">
            <w:pPr>
              <w:pStyle w:val="NoSpacing"/>
              <w:jc w:val="right"/>
              <w:rPr>
                <w:rFonts w:cstheme="minorHAnsi"/>
                <w:caps/>
              </w:rPr>
            </w:pPr>
            <w:r>
              <w:rPr>
                <w:rFonts w:cstheme="minorHAnsi"/>
                <w:caps/>
              </w:rPr>
              <w:t>1,732</w:t>
            </w:r>
          </w:p>
        </w:tc>
        <w:tc>
          <w:tcPr>
            <w:tcW w:w="1559" w:type="dxa"/>
          </w:tcPr>
          <w:p w:rsidR="001E7117" w:rsidRDefault="008B310D" w:rsidP="008B310D">
            <w:pPr>
              <w:pStyle w:val="NoSpacing"/>
              <w:jc w:val="right"/>
              <w:rPr>
                <w:rFonts w:cstheme="minorHAnsi"/>
                <w:caps/>
              </w:rPr>
            </w:pPr>
            <w:r>
              <w:rPr>
                <w:rFonts w:cstheme="minorHAnsi"/>
                <w:caps/>
              </w:rPr>
              <w:t>-</w:t>
            </w:r>
          </w:p>
        </w:tc>
        <w:tc>
          <w:tcPr>
            <w:tcW w:w="1560" w:type="dxa"/>
          </w:tcPr>
          <w:p w:rsidR="001E7117" w:rsidRDefault="008B310D" w:rsidP="008B310D">
            <w:pPr>
              <w:pStyle w:val="NoSpacing"/>
              <w:jc w:val="right"/>
              <w:rPr>
                <w:rFonts w:cstheme="minorHAnsi"/>
                <w:caps/>
              </w:rPr>
            </w:pPr>
            <w:r>
              <w:rPr>
                <w:rFonts w:cstheme="minorHAnsi"/>
                <w:caps/>
              </w:rPr>
              <w:t>(281)</w:t>
            </w:r>
          </w:p>
        </w:tc>
        <w:tc>
          <w:tcPr>
            <w:tcW w:w="1417" w:type="dxa"/>
          </w:tcPr>
          <w:p w:rsidR="001E7117" w:rsidRDefault="008B310D" w:rsidP="008B310D">
            <w:pPr>
              <w:pStyle w:val="NoSpacing"/>
              <w:jc w:val="right"/>
              <w:rPr>
                <w:rFonts w:cstheme="minorHAnsi"/>
                <w:caps/>
              </w:rPr>
            </w:pPr>
            <w:r>
              <w:rPr>
                <w:rFonts w:cstheme="minorHAnsi"/>
                <w:caps/>
              </w:rPr>
              <w:t>2,502</w:t>
            </w:r>
          </w:p>
        </w:tc>
        <w:tc>
          <w:tcPr>
            <w:tcW w:w="1418" w:type="dxa"/>
          </w:tcPr>
          <w:p w:rsidR="001E7117" w:rsidRDefault="008B310D" w:rsidP="008B310D">
            <w:pPr>
              <w:pStyle w:val="NoSpacing"/>
              <w:jc w:val="right"/>
              <w:rPr>
                <w:rFonts w:cstheme="minorHAnsi"/>
                <w:caps/>
              </w:rPr>
            </w:pPr>
            <w:r>
              <w:rPr>
                <w:rFonts w:cstheme="minorHAnsi"/>
                <w:caps/>
              </w:rPr>
              <w:t>1,451</w:t>
            </w:r>
          </w:p>
        </w:tc>
      </w:tr>
      <w:tr w:rsidR="001E7117" w:rsidTr="008B310D">
        <w:trPr>
          <w:trHeight w:val="294"/>
        </w:trPr>
        <w:tc>
          <w:tcPr>
            <w:tcW w:w="4957" w:type="dxa"/>
          </w:tcPr>
          <w:p w:rsidR="001E7117" w:rsidRDefault="008B310D" w:rsidP="00C24A4B">
            <w:pPr>
              <w:pStyle w:val="NoSpacing"/>
              <w:rPr>
                <w:rFonts w:cstheme="minorHAnsi"/>
                <w:caps/>
              </w:rPr>
            </w:pPr>
            <w:r>
              <w:rPr>
                <w:rFonts w:cstheme="minorHAnsi"/>
              </w:rPr>
              <w:t xml:space="preserve">Total </w:t>
            </w:r>
          </w:p>
        </w:tc>
        <w:tc>
          <w:tcPr>
            <w:tcW w:w="1559" w:type="dxa"/>
          </w:tcPr>
          <w:p w:rsidR="001E7117" w:rsidRDefault="008B310D" w:rsidP="008B310D">
            <w:pPr>
              <w:pStyle w:val="NoSpacing"/>
              <w:jc w:val="right"/>
              <w:rPr>
                <w:rFonts w:cstheme="minorHAnsi"/>
                <w:caps/>
              </w:rPr>
            </w:pPr>
            <w:r>
              <w:rPr>
                <w:rFonts w:cstheme="minorHAnsi"/>
                <w:caps/>
              </w:rPr>
              <w:t>301,612</w:t>
            </w:r>
          </w:p>
        </w:tc>
        <w:tc>
          <w:tcPr>
            <w:tcW w:w="1559" w:type="dxa"/>
          </w:tcPr>
          <w:p w:rsidR="001E7117" w:rsidRDefault="008B310D" w:rsidP="008B310D">
            <w:pPr>
              <w:pStyle w:val="NoSpacing"/>
              <w:jc w:val="right"/>
              <w:rPr>
                <w:rFonts w:cstheme="minorHAnsi"/>
                <w:caps/>
              </w:rPr>
            </w:pPr>
            <w:r>
              <w:rPr>
                <w:rFonts w:cstheme="minorHAnsi"/>
                <w:caps/>
              </w:rPr>
              <w:t>293,508</w:t>
            </w:r>
          </w:p>
        </w:tc>
        <w:tc>
          <w:tcPr>
            <w:tcW w:w="1559" w:type="dxa"/>
          </w:tcPr>
          <w:p w:rsidR="001E7117" w:rsidRDefault="008B310D" w:rsidP="008B310D">
            <w:pPr>
              <w:pStyle w:val="NoSpacing"/>
              <w:jc w:val="right"/>
              <w:rPr>
                <w:rFonts w:cstheme="minorHAnsi"/>
                <w:caps/>
              </w:rPr>
            </w:pPr>
            <w:r>
              <w:rPr>
                <w:rFonts w:cstheme="minorHAnsi"/>
                <w:caps/>
              </w:rPr>
              <w:t>(22,341)</w:t>
            </w:r>
          </w:p>
        </w:tc>
        <w:tc>
          <w:tcPr>
            <w:tcW w:w="1560" w:type="dxa"/>
          </w:tcPr>
          <w:p w:rsidR="001E7117" w:rsidRDefault="008B310D" w:rsidP="008B310D">
            <w:pPr>
              <w:pStyle w:val="NoSpacing"/>
              <w:jc w:val="right"/>
              <w:rPr>
                <w:rFonts w:cstheme="minorHAnsi"/>
                <w:caps/>
              </w:rPr>
            </w:pPr>
            <w:r>
              <w:rPr>
                <w:rFonts w:cstheme="minorHAnsi"/>
                <w:caps/>
              </w:rPr>
              <w:t>(39,759)</w:t>
            </w:r>
          </w:p>
        </w:tc>
        <w:tc>
          <w:tcPr>
            <w:tcW w:w="1417" w:type="dxa"/>
          </w:tcPr>
          <w:p w:rsidR="001E7117" w:rsidRDefault="008B310D" w:rsidP="008B310D">
            <w:pPr>
              <w:pStyle w:val="NoSpacing"/>
              <w:jc w:val="right"/>
              <w:rPr>
                <w:rFonts w:cstheme="minorHAnsi"/>
                <w:caps/>
              </w:rPr>
            </w:pPr>
            <w:r>
              <w:rPr>
                <w:rFonts w:cstheme="minorHAnsi"/>
                <w:caps/>
              </w:rPr>
              <w:t>279,271</w:t>
            </w:r>
          </w:p>
        </w:tc>
        <w:tc>
          <w:tcPr>
            <w:tcW w:w="1418" w:type="dxa"/>
          </w:tcPr>
          <w:p w:rsidR="001E7117" w:rsidRDefault="008B310D" w:rsidP="008B310D">
            <w:pPr>
              <w:pStyle w:val="NoSpacing"/>
              <w:jc w:val="right"/>
              <w:rPr>
                <w:rFonts w:cstheme="minorHAnsi"/>
                <w:caps/>
              </w:rPr>
            </w:pPr>
            <w:r>
              <w:rPr>
                <w:rFonts w:cstheme="minorHAnsi"/>
                <w:caps/>
              </w:rPr>
              <w:t>253,749</w:t>
            </w:r>
          </w:p>
        </w:tc>
      </w:tr>
    </w:tbl>
    <w:p w:rsidR="00CC640E" w:rsidRDefault="00CC640E" w:rsidP="00C24A4B">
      <w:pPr>
        <w:pStyle w:val="NoSpacing"/>
        <w:rPr>
          <w:rFonts w:cstheme="minorHAnsi"/>
          <w:caps/>
        </w:rPr>
      </w:pPr>
    </w:p>
    <w:p w:rsidR="008B310D" w:rsidRPr="008B310D" w:rsidRDefault="008B310D" w:rsidP="008B310D">
      <w:pPr>
        <w:pStyle w:val="NoSpacing"/>
        <w:rPr>
          <w:rFonts w:cstheme="minorHAnsi"/>
        </w:rPr>
      </w:pPr>
      <w:r w:rsidRPr="008B310D">
        <w:rPr>
          <w:rFonts w:cstheme="minorHAnsi"/>
        </w:rPr>
        <w:t>C</w:t>
      </w:r>
      <w:r>
        <w:rPr>
          <w:rFonts w:cstheme="minorHAnsi"/>
        </w:rPr>
        <w:t>hisholm</w:t>
      </w:r>
    </w:p>
    <w:tbl>
      <w:tblPr>
        <w:tblStyle w:val="TableGrid"/>
        <w:tblW w:w="14029" w:type="dxa"/>
        <w:tblLook w:val="04A0" w:firstRow="1" w:lastRow="0" w:firstColumn="1" w:lastColumn="0" w:noHBand="0" w:noVBand="1"/>
      </w:tblPr>
      <w:tblGrid>
        <w:gridCol w:w="4957"/>
        <w:gridCol w:w="1559"/>
        <w:gridCol w:w="1559"/>
        <w:gridCol w:w="1559"/>
        <w:gridCol w:w="1560"/>
        <w:gridCol w:w="1417"/>
        <w:gridCol w:w="1418"/>
      </w:tblGrid>
      <w:tr w:rsidR="008B310D" w:rsidTr="00DE1A91">
        <w:tc>
          <w:tcPr>
            <w:tcW w:w="4957" w:type="dxa"/>
          </w:tcPr>
          <w:p w:rsidR="008B310D" w:rsidRDefault="008B310D" w:rsidP="00DE1A91">
            <w:pPr>
              <w:pStyle w:val="NoSpacing"/>
              <w:rPr>
                <w:rFonts w:cstheme="minorHAnsi"/>
                <w:caps/>
              </w:rPr>
            </w:pPr>
            <w:r>
              <w:rPr>
                <w:rFonts w:cstheme="minorHAnsi"/>
              </w:rPr>
              <w:t xml:space="preserve">Land </w:t>
            </w:r>
          </w:p>
        </w:tc>
        <w:tc>
          <w:tcPr>
            <w:tcW w:w="1559" w:type="dxa"/>
          </w:tcPr>
          <w:p w:rsidR="008B310D" w:rsidRDefault="008B310D" w:rsidP="00DE1A91">
            <w:pPr>
              <w:pStyle w:val="NoSpacing"/>
              <w:jc w:val="right"/>
              <w:rPr>
                <w:rFonts w:cstheme="minorHAnsi"/>
                <w:caps/>
              </w:rPr>
            </w:pPr>
            <w:r>
              <w:rPr>
                <w:rFonts w:cstheme="minorHAnsi"/>
                <w:caps/>
              </w:rPr>
              <w:t>58,196</w:t>
            </w:r>
          </w:p>
        </w:tc>
        <w:tc>
          <w:tcPr>
            <w:tcW w:w="1559" w:type="dxa"/>
          </w:tcPr>
          <w:p w:rsidR="008B310D" w:rsidRDefault="008B310D" w:rsidP="00DE1A91">
            <w:pPr>
              <w:pStyle w:val="NoSpacing"/>
              <w:jc w:val="right"/>
              <w:rPr>
                <w:rFonts w:cstheme="minorHAnsi"/>
                <w:caps/>
              </w:rPr>
            </w:pPr>
            <w:r>
              <w:rPr>
                <w:rFonts w:cstheme="minorHAnsi"/>
                <w:caps/>
              </w:rPr>
              <w:t>52,927</w:t>
            </w:r>
          </w:p>
        </w:tc>
        <w:tc>
          <w:tcPr>
            <w:tcW w:w="1559" w:type="dxa"/>
          </w:tcPr>
          <w:p w:rsidR="008B310D" w:rsidRDefault="008B310D" w:rsidP="00DE1A91">
            <w:pPr>
              <w:pStyle w:val="NoSpacing"/>
              <w:jc w:val="right"/>
              <w:rPr>
                <w:rFonts w:cstheme="minorHAnsi"/>
                <w:caps/>
              </w:rPr>
            </w:pPr>
            <w:r>
              <w:rPr>
                <w:rFonts w:cstheme="minorHAnsi"/>
                <w:caps/>
              </w:rPr>
              <w:t>-</w:t>
            </w:r>
          </w:p>
        </w:tc>
        <w:tc>
          <w:tcPr>
            <w:tcW w:w="1560" w:type="dxa"/>
          </w:tcPr>
          <w:p w:rsidR="008B310D" w:rsidRDefault="00DE1A91" w:rsidP="00DE1A91">
            <w:pPr>
              <w:pStyle w:val="NoSpacing"/>
              <w:jc w:val="right"/>
              <w:rPr>
                <w:rFonts w:cstheme="minorHAnsi"/>
                <w:caps/>
              </w:rPr>
            </w:pPr>
            <w:r>
              <w:rPr>
                <w:rFonts w:cstheme="minorHAnsi"/>
                <w:caps/>
              </w:rPr>
              <w:t>-</w:t>
            </w:r>
          </w:p>
        </w:tc>
        <w:tc>
          <w:tcPr>
            <w:tcW w:w="1417" w:type="dxa"/>
          </w:tcPr>
          <w:p w:rsidR="008B310D" w:rsidRDefault="00DE1A91" w:rsidP="00DE1A91">
            <w:pPr>
              <w:pStyle w:val="NoSpacing"/>
              <w:jc w:val="right"/>
              <w:rPr>
                <w:rFonts w:cstheme="minorHAnsi"/>
                <w:caps/>
              </w:rPr>
            </w:pPr>
            <w:r>
              <w:rPr>
                <w:rFonts w:cstheme="minorHAnsi"/>
                <w:caps/>
              </w:rPr>
              <w:t>58,196</w:t>
            </w:r>
          </w:p>
        </w:tc>
        <w:tc>
          <w:tcPr>
            <w:tcW w:w="1418" w:type="dxa"/>
          </w:tcPr>
          <w:p w:rsidR="00DE1A91" w:rsidRDefault="00DE1A91" w:rsidP="00DE1A91">
            <w:pPr>
              <w:pStyle w:val="NoSpacing"/>
              <w:jc w:val="right"/>
              <w:rPr>
                <w:rFonts w:cstheme="minorHAnsi"/>
                <w:caps/>
              </w:rPr>
            </w:pPr>
            <w:r>
              <w:rPr>
                <w:rFonts w:cstheme="minorHAnsi"/>
                <w:caps/>
              </w:rPr>
              <w:t>52,927</w:t>
            </w:r>
          </w:p>
        </w:tc>
      </w:tr>
      <w:tr w:rsidR="008B310D" w:rsidTr="00DE1A91">
        <w:tc>
          <w:tcPr>
            <w:tcW w:w="4957" w:type="dxa"/>
          </w:tcPr>
          <w:p w:rsidR="008B310D" w:rsidRDefault="008B310D" w:rsidP="00DE1A91">
            <w:pPr>
              <w:pStyle w:val="NoSpacing"/>
              <w:rPr>
                <w:rFonts w:cstheme="minorHAnsi"/>
                <w:caps/>
              </w:rPr>
            </w:pPr>
            <w:r>
              <w:rPr>
                <w:rFonts w:cstheme="minorHAnsi"/>
              </w:rPr>
              <w:t>Buildings</w:t>
            </w:r>
          </w:p>
        </w:tc>
        <w:tc>
          <w:tcPr>
            <w:tcW w:w="1559" w:type="dxa"/>
          </w:tcPr>
          <w:p w:rsidR="008B310D" w:rsidRDefault="008B310D" w:rsidP="00DE1A91">
            <w:pPr>
              <w:pStyle w:val="NoSpacing"/>
              <w:jc w:val="right"/>
              <w:rPr>
                <w:rFonts w:cstheme="minorHAnsi"/>
                <w:caps/>
              </w:rPr>
            </w:pPr>
            <w:r>
              <w:rPr>
                <w:rFonts w:cstheme="minorHAnsi"/>
                <w:caps/>
              </w:rPr>
              <w:t>196,789</w:t>
            </w:r>
          </w:p>
        </w:tc>
        <w:tc>
          <w:tcPr>
            <w:tcW w:w="1559" w:type="dxa"/>
          </w:tcPr>
          <w:p w:rsidR="008B310D" w:rsidRDefault="008B310D" w:rsidP="00DE1A91">
            <w:pPr>
              <w:pStyle w:val="NoSpacing"/>
              <w:jc w:val="right"/>
              <w:rPr>
                <w:rFonts w:cstheme="minorHAnsi"/>
                <w:caps/>
              </w:rPr>
            </w:pPr>
            <w:r>
              <w:rPr>
                <w:rFonts w:cstheme="minorHAnsi"/>
                <w:caps/>
              </w:rPr>
              <w:t>208,919</w:t>
            </w:r>
          </w:p>
        </w:tc>
        <w:tc>
          <w:tcPr>
            <w:tcW w:w="1559" w:type="dxa"/>
          </w:tcPr>
          <w:p w:rsidR="008B310D" w:rsidRDefault="008B310D" w:rsidP="00DE1A91">
            <w:pPr>
              <w:pStyle w:val="NoSpacing"/>
              <w:jc w:val="right"/>
              <w:rPr>
                <w:rFonts w:cstheme="minorHAnsi"/>
                <w:caps/>
              </w:rPr>
            </w:pPr>
            <w:r>
              <w:rPr>
                <w:rFonts w:cstheme="minorHAnsi"/>
                <w:caps/>
              </w:rPr>
              <w:t>-</w:t>
            </w:r>
          </w:p>
        </w:tc>
        <w:tc>
          <w:tcPr>
            <w:tcW w:w="1560" w:type="dxa"/>
          </w:tcPr>
          <w:p w:rsidR="008B310D" w:rsidRDefault="00DE1A91" w:rsidP="00DE1A91">
            <w:pPr>
              <w:pStyle w:val="NoSpacing"/>
              <w:jc w:val="right"/>
              <w:rPr>
                <w:rFonts w:cstheme="minorHAnsi"/>
                <w:caps/>
              </w:rPr>
            </w:pPr>
            <w:r>
              <w:rPr>
                <w:rFonts w:cstheme="minorHAnsi"/>
                <w:caps/>
              </w:rPr>
              <w:t>(18,933)</w:t>
            </w:r>
          </w:p>
        </w:tc>
        <w:tc>
          <w:tcPr>
            <w:tcW w:w="1417" w:type="dxa"/>
          </w:tcPr>
          <w:p w:rsidR="008B310D" w:rsidRDefault="00DE1A91" w:rsidP="00DE1A91">
            <w:pPr>
              <w:pStyle w:val="NoSpacing"/>
              <w:jc w:val="right"/>
              <w:rPr>
                <w:rFonts w:cstheme="minorHAnsi"/>
                <w:caps/>
              </w:rPr>
            </w:pPr>
            <w:r>
              <w:rPr>
                <w:rFonts w:cstheme="minorHAnsi"/>
                <w:caps/>
              </w:rPr>
              <w:t>196,789</w:t>
            </w:r>
          </w:p>
        </w:tc>
        <w:tc>
          <w:tcPr>
            <w:tcW w:w="1418" w:type="dxa"/>
          </w:tcPr>
          <w:p w:rsidR="008B310D" w:rsidRDefault="00DE1A91" w:rsidP="00DE1A91">
            <w:pPr>
              <w:pStyle w:val="NoSpacing"/>
              <w:jc w:val="right"/>
              <w:rPr>
                <w:rFonts w:cstheme="minorHAnsi"/>
                <w:caps/>
              </w:rPr>
            </w:pPr>
            <w:r>
              <w:rPr>
                <w:rFonts w:cstheme="minorHAnsi"/>
                <w:caps/>
              </w:rPr>
              <w:t>189,986</w:t>
            </w:r>
          </w:p>
        </w:tc>
      </w:tr>
      <w:tr w:rsidR="008B310D" w:rsidTr="00DE1A91">
        <w:tc>
          <w:tcPr>
            <w:tcW w:w="4957" w:type="dxa"/>
          </w:tcPr>
          <w:p w:rsidR="008B310D" w:rsidRDefault="008B310D" w:rsidP="00DE1A91">
            <w:pPr>
              <w:pStyle w:val="NoSpacing"/>
              <w:rPr>
                <w:rFonts w:cstheme="minorHAnsi"/>
                <w:caps/>
              </w:rPr>
            </w:pPr>
            <w:r>
              <w:rPr>
                <w:rFonts w:cstheme="minorHAnsi"/>
              </w:rPr>
              <w:t>Const</w:t>
            </w:r>
            <w:r w:rsidR="00F54F93">
              <w:rPr>
                <w:rFonts w:cstheme="minorHAnsi"/>
              </w:rPr>
              <w:t>r</w:t>
            </w:r>
            <w:r>
              <w:rPr>
                <w:rFonts w:cstheme="minorHAnsi"/>
              </w:rPr>
              <w:t>uction in progress</w:t>
            </w:r>
          </w:p>
        </w:tc>
        <w:tc>
          <w:tcPr>
            <w:tcW w:w="1559" w:type="dxa"/>
          </w:tcPr>
          <w:p w:rsidR="008B310D" w:rsidRDefault="008B310D" w:rsidP="00DE1A91">
            <w:pPr>
              <w:pStyle w:val="NoSpacing"/>
              <w:jc w:val="right"/>
              <w:rPr>
                <w:rFonts w:cstheme="minorHAnsi"/>
                <w:caps/>
              </w:rPr>
            </w:pPr>
            <w:r>
              <w:rPr>
                <w:rFonts w:cstheme="minorHAnsi"/>
                <w:caps/>
              </w:rPr>
              <w:t>16,000</w:t>
            </w:r>
          </w:p>
        </w:tc>
        <w:tc>
          <w:tcPr>
            <w:tcW w:w="1559" w:type="dxa"/>
          </w:tcPr>
          <w:p w:rsidR="008B310D" w:rsidRDefault="008B310D" w:rsidP="00DE1A91">
            <w:pPr>
              <w:pStyle w:val="NoSpacing"/>
              <w:jc w:val="right"/>
              <w:rPr>
                <w:rFonts w:cstheme="minorHAnsi"/>
                <w:caps/>
              </w:rPr>
            </w:pPr>
            <w:r>
              <w:rPr>
                <w:rFonts w:cstheme="minorHAnsi"/>
                <w:caps/>
              </w:rPr>
              <w:t>3,014</w:t>
            </w:r>
          </w:p>
        </w:tc>
        <w:tc>
          <w:tcPr>
            <w:tcW w:w="1559" w:type="dxa"/>
          </w:tcPr>
          <w:p w:rsidR="008B310D" w:rsidRDefault="008B310D" w:rsidP="00DE1A91">
            <w:pPr>
              <w:pStyle w:val="NoSpacing"/>
              <w:jc w:val="right"/>
              <w:rPr>
                <w:rFonts w:cstheme="minorHAnsi"/>
                <w:caps/>
              </w:rPr>
            </w:pPr>
            <w:r>
              <w:rPr>
                <w:rFonts w:cstheme="minorHAnsi"/>
                <w:caps/>
              </w:rPr>
              <w:t>-</w:t>
            </w:r>
          </w:p>
        </w:tc>
        <w:tc>
          <w:tcPr>
            <w:tcW w:w="1560" w:type="dxa"/>
          </w:tcPr>
          <w:p w:rsidR="008B310D" w:rsidRDefault="00DE1A91" w:rsidP="00DE1A91">
            <w:pPr>
              <w:pStyle w:val="NoSpacing"/>
              <w:jc w:val="right"/>
              <w:rPr>
                <w:rFonts w:cstheme="minorHAnsi"/>
                <w:caps/>
              </w:rPr>
            </w:pPr>
            <w:r>
              <w:rPr>
                <w:rFonts w:cstheme="minorHAnsi"/>
                <w:caps/>
              </w:rPr>
              <w:t>-</w:t>
            </w:r>
          </w:p>
        </w:tc>
        <w:tc>
          <w:tcPr>
            <w:tcW w:w="1417" w:type="dxa"/>
          </w:tcPr>
          <w:p w:rsidR="008B310D" w:rsidRDefault="00DE1A91" w:rsidP="00DE1A91">
            <w:pPr>
              <w:pStyle w:val="NoSpacing"/>
              <w:jc w:val="right"/>
              <w:rPr>
                <w:rFonts w:cstheme="minorHAnsi"/>
                <w:caps/>
              </w:rPr>
            </w:pPr>
            <w:r>
              <w:rPr>
                <w:rFonts w:cstheme="minorHAnsi"/>
                <w:caps/>
              </w:rPr>
              <w:t>16,000</w:t>
            </w:r>
          </w:p>
        </w:tc>
        <w:tc>
          <w:tcPr>
            <w:tcW w:w="1418" w:type="dxa"/>
          </w:tcPr>
          <w:p w:rsidR="008B310D" w:rsidRDefault="00DE1A91" w:rsidP="00DE1A91">
            <w:pPr>
              <w:pStyle w:val="NoSpacing"/>
              <w:jc w:val="right"/>
              <w:rPr>
                <w:rFonts w:cstheme="minorHAnsi"/>
                <w:caps/>
              </w:rPr>
            </w:pPr>
            <w:r>
              <w:rPr>
                <w:rFonts w:cstheme="minorHAnsi"/>
                <w:caps/>
              </w:rPr>
              <w:t>3,014</w:t>
            </w:r>
          </w:p>
        </w:tc>
      </w:tr>
      <w:tr w:rsidR="008B310D" w:rsidTr="00DE1A91">
        <w:tc>
          <w:tcPr>
            <w:tcW w:w="4957" w:type="dxa"/>
          </w:tcPr>
          <w:p w:rsidR="008B310D" w:rsidRDefault="008B310D" w:rsidP="00DE1A91">
            <w:pPr>
              <w:pStyle w:val="NoSpacing"/>
              <w:rPr>
                <w:rFonts w:cstheme="minorHAnsi"/>
                <w:caps/>
              </w:rPr>
            </w:pPr>
            <w:r>
              <w:rPr>
                <w:rFonts w:cstheme="minorHAnsi"/>
              </w:rPr>
              <w:t>Plant and equipment</w:t>
            </w:r>
          </w:p>
        </w:tc>
        <w:tc>
          <w:tcPr>
            <w:tcW w:w="1559" w:type="dxa"/>
          </w:tcPr>
          <w:p w:rsidR="008B310D" w:rsidRDefault="008B310D" w:rsidP="00DE1A91">
            <w:pPr>
              <w:pStyle w:val="NoSpacing"/>
              <w:jc w:val="right"/>
              <w:rPr>
                <w:rFonts w:cstheme="minorHAnsi"/>
                <w:caps/>
              </w:rPr>
            </w:pPr>
            <w:r>
              <w:rPr>
                <w:rFonts w:cstheme="minorHAnsi"/>
                <w:caps/>
              </w:rPr>
              <w:t>24,091</w:t>
            </w:r>
          </w:p>
        </w:tc>
        <w:tc>
          <w:tcPr>
            <w:tcW w:w="1559" w:type="dxa"/>
          </w:tcPr>
          <w:p w:rsidR="008B310D" w:rsidRDefault="008B310D" w:rsidP="00DE1A91">
            <w:pPr>
              <w:pStyle w:val="NoSpacing"/>
              <w:jc w:val="right"/>
              <w:rPr>
                <w:rFonts w:cstheme="minorHAnsi"/>
                <w:caps/>
              </w:rPr>
            </w:pPr>
            <w:r>
              <w:rPr>
                <w:rFonts w:cstheme="minorHAnsi"/>
                <w:caps/>
              </w:rPr>
              <w:t>22,828</w:t>
            </w:r>
          </w:p>
        </w:tc>
        <w:tc>
          <w:tcPr>
            <w:tcW w:w="1559" w:type="dxa"/>
          </w:tcPr>
          <w:p w:rsidR="008B310D" w:rsidRDefault="008B310D" w:rsidP="00DE1A91">
            <w:pPr>
              <w:pStyle w:val="NoSpacing"/>
              <w:jc w:val="right"/>
              <w:rPr>
                <w:rFonts w:cstheme="minorHAnsi"/>
                <w:caps/>
              </w:rPr>
            </w:pPr>
            <w:r>
              <w:rPr>
                <w:rFonts w:cstheme="minorHAnsi"/>
                <w:caps/>
              </w:rPr>
              <w:t>(19,237)</w:t>
            </w:r>
          </w:p>
        </w:tc>
        <w:tc>
          <w:tcPr>
            <w:tcW w:w="1560" w:type="dxa"/>
          </w:tcPr>
          <w:p w:rsidR="008B310D" w:rsidRDefault="00DE1A91" w:rsidP="00DE1A91">
            <w:pPr>
              <w:pStyle w:val="NoSpacing"/>
              <w:jc w:val="right"/>
              <w:rPr>
                <w:rFonts w:cstheme="minorHAnsi"/>
                <w:caps/>
              </w:rPr>
            </w:pPr>
            <w:r>
              <w:rPr>
                <w:rFonts w:cstheme="minorHAnsi"/>
                <w:caps/>
              </w:rPr>
              <w:t>(17,896)</w:t>
            </w:r>
          </w:p>
        </w:tc>
        <w:tc>
          <w:tcPr>
            <w:tcW w:w="1417" w:type="dxa"/>
          </w:tcPr>
          <w:p w:rsidR="008B310D" w:rsidRDefault="00DE1A91" w:rsidP="00DE1A91">
            <w:pPr>
              <w:pStyle w:val="NoSpacing"/>
              <w:jc w:val="right"/>
              <w:rPr>
                <w:rFonts w:cstheme="minorHAnsi"/>
                <w:caps/>
              </w:rPr>
            </w:pPr>
            <w:r>
              <w:rPr>
                <w:rFonts w:cstheme="minorHAnsi"/>
                <w:caps/>
              </w:rPr>
              <w:t>4,854</w:t>
            </w:r>
          </w:p>
        </w:tc>
        <w:tc>
          <w:tcPr>
            <w:tcW w:w="1418" w:type="dxa"/>
          </w:tcPr>
          <w:p w:rsidR="008B310D" w:rsidRDefault="00DE1A91" w:rsidP="00DE1A91">
            <w:pPr>
              <w:pStyle w:val="NoSpacing"/>
              <w:jc w:val="right"/>
              <w:rPr>
                <w:rFonts w:cstheme="minorHAnsi"/>
                <w:caps/>
              </w:rPr>
            </w:pPr>
            <w:r>
              <w:rPr>
                <w:rFonts w:cstheme="minorHAnsi"/>
                <w:caps/>
              </w:rPr>
              <w:t>4,932</w:t>
            </w:r>
          </w:p>
        </w:tc>
      </w:tr>
      <w:tr w:rsidR="008B310D" w:rsidTr="00DE1A91">
        <w:tc>
          <w:tcPr>
            <w:tcW w:w="4957" w:type="dxa"/>
          </w:tcPr>
          <w:p w:rsidR="008B310D" w:rsidRDefault="008B310D" w:rsidP="00DE1A91">
            <w:pPr>
              <w:pStyle w:val="NoSpacing"/>
              <w:rPr>
                <w:rFonts w:cstheme="minorHAnsi"/>
                <w:caps/>
              </w:rPr>
            </w:pPr>
            <w:r>
              <w:rPr>
                <w:rFonts w:cstheme="minorHAnsi"/>
              </w:rPr>
              <w:lastRenderedPageBreak/>
              <w:t>Motor vehicles</w:t>
            </w:r>
          </w:p>
        </w:tc>
        <w:tc>
          <w:tcPr>
            <w:tcW w:w="1559" w:type="dxa"/>
          </w:tcPr>
          <w:p w:rsidR="008B310D" w:rsidRDefault="008B310D" w:rsidP="00DE1A91">
            <w:pPr>
              <w:pStyle w:val="NoSpacing"/>
              <w:jc w:val="right"/>
              <w:rPr>
                <w:rFonts w:cstheme="minorHAnsi"/>
                <w:caps/>
              </w:rPr>
            </w:pPr>
            <w:r>
              <w:rPr>
                <w:rFonts w:cstheme="minorHAnsi"/>
                <w:caps/>
              </w:rPr>
              <w:t>990</w:t>
            </w:r>
          </w:p>
        </w:tc>
        <w:tc>
          <w:tcPr>
            <w:tcW w:w="1559" w:type="dxa"/>
          </w:tcPr>
          <w:p w:rsidR="008B310D" w:rsidRDefault="008B310D" w:rsidP="00DE1A91">
            <w:pPr>
              <w:pStyle w:val="NoSpacing"/>
              <w:jc w:val="right"/>
              <w:rPr>
                <w:rFonts w:cstheme="minorHAnsi"/>
                <w:caps/>
              </w:rPr>
            </w:pPr>
            <w:r>
              <w:rPr>
                <w:rFonts w:cstheme="minorHAnsi"/>
                <w:caps/>
              </w:rPr>
              <w:t>1,056</w:t>
            </w:r>
          </w:p>
        </w:tc>
        <w:tc>
          <w:tcPr>
            <w:tcW w:w="1559" w:type="dxa"/>
          </w:tcPr>
          <w:p w:rsidR="008B310D" w:rsidRDefault="00DE1A91" w:rsidP="00DE1A91">
            <w:pPr>
              <w:pStyle w:val="NoSpacing"/>
              <w:jc w:val="right"/>
              <w:rPr>
                <w:rFonts w:cstheme="minorHAnsi"/>
                <w:caps/>
              </w:rPr>
            </w:pPr>
            <w:r>
              <w:rPr>
                <w:rFonts w:cstheme="minorHAnsi"/>
                <w:caps/>
              </w:rPr>
              <w:t>(710)</w:t>
            </w:r>
          </w:p>
        </w:tc>
        <w:tc>
          <w:tcPr>
            <w:tcW w:w="1560" w:type="dxa"/>
          </w:tcPr>
          <w:p w:rsidR="008B310D" w:rsidRDefault="00DE1A91" w:rsidP="00DE1A91">
            <w:pPr>
              <w:pStyle w:val="NoSpacing"/>
              <w:jc w:val="right"/>
              <w:rPr>
                <w:rFonts w:cstheme="minorHAnsi"/>
                <w:caps/>
              </w:rPr>
            </w:pPr>
            <w:r>
              <w:rPr>
                <w:rFonts w:cstheme="minorHAnsi"/>
                <w:caps/>
              </w:rPr>
              <w:t>(712)</w:t>
            </w:r>
          </w:p>
        </w:tc>
        <w:tc>
          <w:tcPr>
            <w:tcW w:w="1417" w:type="dxa"/>
          </w:tcPr>
          <w:p w:rsidR="008B310D" w:rsidRDefault="00DE1A91" w:rsidP="00DE1A91">
            <w:pPr>
              <w:pStyle w:val="NoSpacing"/>
              <w:jc w:val="right"/>
              <w:rPr>
                <w:rFonts w:cstheme="minorHAnsi"/>
                <w:caps/>
              </w:rPr>
            </w:pPr>
            <w:r>
              <w:rPr>
                <w:rFonts w:cstheme="minorHAnsi"/>
                <w:caps/>
              </w:rPr>
              <w:t>280</w:t>
            </w:r>
          </w:p>
        </w:tc>
        <w:tc>
          <w:tcPr>
            <w:tcW w:w="1418" w:type="dxa"/>
          </w:tcPr>
          <w:p w:rsidR="008B310D" w:rsidRDefault="00DE1A91" w:rsidP="00DE1A91">
            <w:pPr>
              <w:pStyle w:val="NoSpacing"/>
              <w:jc w:val="right"/>
              <w:rPr>
                <w:rFonts w:cstheme="minorHAnsi"/>
                <w:caps/>
              </w:rPr>
            </w:pPr>
            <w:r>
              <w:rPr>
                <w:rFonts w:cstheme="minorHAnsi"/>
                <w:caps/>
              </w:rPr>
              <w:t>344</w:t>
            </w:r>
          </w:p>
        </w:tc>
      </w:tr>
      <w:tr w:rsidR="008B310D" w:rsidTr="00DE1A91">
        <w:tc>
          <w:tcPr>
            <w:tcW w:w="4957" w:type="dxa"/>
          </w:tcPr>
          <w:p w:rsidR="008B310D" w:rsidRDefault="008B310D" w:rsidP="00DE1A91">
            <w:pPr>
              <w:pStyle w:val="NoSpacing"/>
              <w:rPr>
                <w:rFonts w:cstheme="minorHAnsi"/>
                <w:caps/>
              </w:rPr>
            </w:pPr>
            <w:r>
              <w:rPr>
                <w:rFonts w:cstheme="minorHAnsi"/>
              </w:rPr>
              <w:t>Leasehold improvements</w:t>
            </w:r>
          </w:p>
        </w:tc>
        <w:tc>
          <w:tcPr>
            <w:tcW w:w="1559" w:type="dxa"/>
          </w:tcPr>
          <w:p w:rsidR="008B310D" w:rsidRDefault="008B310D" w:rsidP="00DE1A91">
            <w:pPr>
              <w:pStyle w:val="NoSpacing"/>
              <w:jc w:val="right"/>
              <w:rPr>
                <w:rFonts w:cstheme="minorHAnsi"/>
                <w:caps/>
              </w:rPr>
            </w:pPr>
            <w:r>
              <w:rPr>
                <w:rFonts w:cstheme="minorHAnsi"/>
                <w:caps/>
              </w:rPr>
              <w:t>3,044</w:t>
            </w:r>
          </w:p>
        </w:tc>
        <w:tc>
          <w:tcPr>
            <w:tcW w:w="1559" w:type="dxa"/>
          </w:tcPr>
          <w:p w:rsidR="008B310D" w:rsidRDefault="008B310D" w:rsidP="00DE1A91">
            <w:pPr>
              <w:pStyle w:val="NoSpacing"/>
              <w:jc w:val="right"/>
              <w:rPr>
                <w:rFonts w:cstheme="minorHAnsi"/>
                <w:caps/>
              </w:rPr>
            </w:pPr>
            <w:r>
              <w:rPr>
                <w:rFonts w:cstheme="minorHAnsi"/>
                <w:caps/>
              </w:rPr>
              <w:t>2,647</w:t>
            </w:r>
          </w:p>
        </w:tc>
        <w:tc>
          <w:tcPr>
            <w:tcW w:w="1559" w:type="dxa"/>
          </w:tcPr>
          <w:p w:rsidR="008B310D" w:rsidRDefault="00DE1A91" w:rsidP="00DE1A91">
            <w:pPr>
              <w:pStyle w:val="NoSpacing"/>
              <w:jc w:val="right"/>
              <w:rPr>
                <w:rFonts w:cstheme="minorHAnsi"/>
                <w:caps/>
              </w:rPr>
            </w:pPr>
            <w:r>
              <w:rPr>
                <w:rFonts w:cstheme="minorHAnsi"/>
                <w:caps/>
              </w:rPr>
              <w:t>(2,394)</w:t>
            </w:r>
          </w:p>
        </w:tc>
        <w:tc>
          <w:tcPr>
            <w:tcW w:w="1560" w:type="dxa"/>
          </w:tcPr>
          <w:p w:rsidR="008B310D" w:rsidRDefault="00DE1A91" w:rsidP="00DE1A91">
            <w:pPr>
              <w:pStyle w:val="NoSpacing"/>
              <w:jc w:val="right"/>
              <w:rPr>
                <w:rFonts w:cstheme="minorHAnsi"/>
                <w:caps/>
              </w:rPr>
            </w:pPr>
            <w:r>
              <w:rPr>
                <w:rFonts w:cstheme="minorHAnsi"/>
                <w:caps/>
              </w:rPr>
              <w:t>(1,895)</w:t>
            </w:r>
          </w:p>
        </w:tc>
        <w:tc>
          <w:tcPr>
            <w:tcW w:w="1417" w:type="dxa"/>
          </w:tcPr>
          <w:p w:rsidR="008B310D" w:rsidRDefault="00DE1A91" w:rsidP="00DE1A91">
            <w:pPr>
              <w:pStyle w:val="NoSpacing"/>
              <w:jc w:val="right"/>
              <w:rPr>
                <w:rFonts w:cstheme="minorHAnsi"/>
                <w:caps/>
              </w:rPr>
            </w:pPr>
            <w:r>
              <w:rPr>
                <w:rFonts w:cstheme="minorHAnsi"/>
                <w:caps/>
              </w:rPr>
              <w:t>650</w:t>
            </w:r>
          </w:p>
        </w:tc>
        <w:tc>
          <w:tcPr>
            <w:tcW w:w="1418" w:type="dxa"/>
          </w:tcPr>
          <w:p w:rsidR="008B310D" w:rsidRDefault="00DE1A91" w:rsidP="00DE1A91">
            <w:pPr>
              <w:pStyle w:val="NoSpacing"/>
              <w:jc w:val="right"/>
              <w:rPr>
                <w:rFonts w:cstheme="minorHAnsi"/>
                <w:caps/>
              </w:rPr>
            </w:pPr>
            <w:r>
              <w:rPr>
                <w:rFonts w:cstheme="minorHAnsi"/>
                <w:caps/>
              </w:rPr>
              <w:t>752</w:t>
            </w:r>
          </w:p>
        </w:tc>
      </w:tr>
      <w:tr w:rsidR="008B310D" w:rsidTr="00DE1A91">
        <w:tc>
          <w:tcPr>
            <w:tcW w:w="4957" w:type="dxa"/>
          </w:tcPr>
          <w:p w:rsidR="008B310D" w:rsidRDefault="008B310D" w:rsidP="00DE1A91">
            <w:pPr>
              <w:pStyle w:val="NoSpacing"/>
              <w:rPr>
                <w:rFonts w:cstheme="minorHAnsi"/>
                <w:caps/>
              </w:rPr>
            </w:pPr>
            <w:r>
              <w:rPr>
                <w:rFonts w:cstheme="minorHAnsi"/>
              </w:rPr>
              <w:t>Land improvements</w:t>
            </w:r>
          </w:p>
        </w:tc>
        <w:tc>
          <w:tcPr>
            <w:tcW w:w="1559" w:type="dxa"/>
          </w:tcPr>
          <w:p w:rsidR="008B310D" w:rsidRDefault="008B310D" w:rsidP="00DE1A91">
            <w:pPr>
              <w:pStyle w:val="NoSpacing"/>
              <w:jc w:val="right"/>
              <w:rPr>
                <w:rFonts w:cstheme="minorHAnsi"/>
                <w:caps/>
              </w:rPr>
            </w:pPr>
            <w:r>
              <w:rPr>
                <w:rFonts w:cstheme="minorHAnsi"/>
                <w:caps/>
              </w:rPr>
              <w:t>2,502</w:t>
            </w:r>
          </w:p>
        </w:tc>
        <w:tc>
          <w:tcPr>
            <w:tcW w:w="1559" w:type="dxa"/>
          </w:tcPr>
          <w:p w:rsidR="008B310D" w:rsidRDefault="008B310D" w:rsidP="00DE1A91">
            <w:pPr>
              <w:pStyle w:val="NoSpacing"/>
              <w:jc w:val="right"/>
              <w:rPr>
                <w:rFonts w:cstheme="minorHAnsi"/>
                <w:caps/>
              </w:rPr>
            </w:pPr>
            <w:r>
              <w:rPr>
                <w:rFonts w:cstheme="minorHAnsi"/>
                <w:caps/>
              </w:rPr>
              <w:t>1,732</w:t>
            </w:r>
          </w:p>
        </w:tc>
        <w:tc>
          <w:tcPr>
            <w:tcW w:w="1559" w:type="dxa"/>
          </w:tcPr>
          <w:p w:rsidR="008B310D" w:rsidRDefault="00DE1A91" w:rsidP="00DE1A91">
            <w:pPr>
              <w:pStyle w:val="NoSpacing"/>
              <w:jc w:val="right"/>
              <w:rPr>
                <w:rFonts w:cstheme="minorHAnsi"/>
                <w:caps/>
              </w:rPr>
            </w:pPr>
            <w:r>
              <w:rPr>
                <w:rFonts w:cstheme="minorHAnsi"/>
                <w:caps/>
              </w:rPr>
              <w:t>-</w:t>
            </w:r>
          </w:p>
        </w:tc>
        <w:tc>
          <w:tcPr>
            <w:tcW w:w="1560" w:type="dxa"/>
          </w:tcPr>
          <w:p w:rsidR="008B310D" w:rsidRDefault="00DE1A91" w:rsidP="00DE1A91">
            <w:pPr>
              <w:pStyle w:val="NoSpacing"/>
              <w:jc w:val="right"/>
              <w:rPr>
                <w:rFonts w:cstheme="minorHAnsi"/>
                <w:caps/>
              </w:rPr>
            </w:pPr>
            <w:r>
              <w:rPr>
                <w:rFonts w:cstheme="minorHAnsi"/>
                <w:caps/>
              </w:rPr>
              <w:t>(281)</w:t>
            </w:r>
          </w:p>
        </w:tc>
        <w:tc>
          <w:tcPr>
            <w:tcW w:w="1417" w:type="dxa"/>
          </w:tcPr>
          <w:p w:rsidR="008B310D" w:rsidRDefault="00DE1A91" w:rsidP="00DE1A91">
            <w:pPr>
              <w:pStyle w:val="NoSpacing"/>
              <w:jc w:val="right"/>
              <w:rPr>
                <w:rFonts w:cstheme="minorHAnsi"/>
                <w:caps/>
              </w:rPr>
            </w:pPr>
            <w:r>
              <w:rPr>
                <w:rFonts w:cstheme="minorHAnsi"/>
                <w:caps/>
              </w:rPr>
              <w:t>2,502</w:t>
            </w:r>
          </w:p>
        </w:tc>
        <w:tc>
          <w:tcPr>
            <w:tcW w:w="1418" w:type="dxa"/>
          </w:tcPr>
          <w:p w:rsidR="008B310D" w:rsidRDefault="00DE1A91" w:rsidP="00DE1A91">
            <w:pPr>
              <w:pStyle w:val="NoSpacing"/>
              <w:jc w:val="right"/>
              <w:rPr>
                <w:rFonts w:cstheme="minorHAnsi"/>
                <w:caps/>
              </w:rPr>
            </w:pPr>
            <w:r>
              <w:rPr>
                <w:rFonts w:cstheme="minorHAnsi"/>
                <w:caps/>
              </w:rPr>
              <w:t>1,451</w:t>
            </w:r>
          </w:p>
        </w:tc>
      </w:tr>
      <w:tr w:rsidR="008B310D" w:rsidTr="00DE1A91">
        <w:trPr>
          <w:trHeight w:val="294"/>
        </w:trPr>
        <w:tc>
          <w:tcPr>
            <w:tcW w:w="4957" w:type="dxa"/>
          </w:tcPr>
          <w:p w:rsidR="008B310D" w:rsidRDefault="008B310D" w:rsidP="00DE1A91">
            <w:pPr>
              <w:pStyle w:val="NoSpacing"/>
              <w:rPr>
                <w:rFonts w:cstheme="minorHAnsi"/>
                <w:caps/>
              </w:rPr>
            </w:pPr>
            <w:r>
              <w:rPr>
                <w:rFonts w:cstheme="minorHAnsi"/>
              </w:rPr>
              <w:t xml:space="preserve">Total </w:t>
            </w:r>
          </w:p>
        </w:tc>
        <w:tc>
          <w:tcPr>
            <w:tcW w:w="1559" w:type="dxa"/>
          </w:tcPr>
          <w:p w:rsidR="008B310D" w:rsidRDefault="008B310D" w:rsidP="00DE1A91">
            <w:pPr>
              <w:pStyle w:val="NoSpacing"/>
              <w:jc w:val="right"/>
              <w:rPr>
                <w:rFonts w:cstheme="minorHAnsi"/>
                <w:caps/>
              </w:rPr>
            </w:pPr>
            <w:r>
              <w:rPr>
                <w:rFonts w:cstheme="minorHAnsi"/>
                <w:caps/>
              </w:rPr>
              <w:t>301,612</w:t>
            </w:r>
          </w:p>
        </w:tc>
        <w:tc>
          <w:tcPr>
            <w:tcW w:w="1559" w:type="dxa"/>
          </w:tcPr>
          <w:p w:rsidR="008B310D" w:rsidRDefault="008B310D" w:rsidP="00DE1A91">
            <w:pPr>
              <w:pStyle w:val="NoSpacing"/>
              <w:jc w:val="right"/>
              <w:rPr>
                <w:rFonts w:cstheme="minorHAnsi"/>
                <w:caps/>
              </w:rPr>
            </w:pPr>
            <w:r>
              <w:rPr>
                <w:rFonts w:cstheme="minorHAnsi"/>
                <w:caps/>
              </w:rPr>
              <w:t>293,123</w:t>
            </w:r>
          </w:p>
        </w:tc>
        <w:tc>
          <w:tcPr>
            <w:tcW w:w="1559" w:type="dxa"/>
          </w:tcPr>
          <w:p w:rsidR="008B310D" w:rsidRDefault="00DE1A91" w:rsidP="00DE1A91">
            <w:pPr>
              <w:pStyle w:val="NoSpacing"/>
              <w:jc w:val="right"/>
              <w:rPr>
                <w:rFonts w:cstheme="minorHAnsi"/>
                <w:caps/>
              </w:rPr>
            </w:pPr>
            <w:r>
              <w:rPr>
                <w:rFonts w:cstheme="minorHAnsi"/>
                <w:caps/>
              </w:rPr>
              <w:t>293,123</w:t>
            </w:r>
          </w:p>
        </w:tc>
        <w:tc>
          <w:tcPr>
            <w:tcW w:w="1560" w:type="dxa"/>
          </w:tcPr>
          <w:p w:rsidR="008B310D" w:rsidRDefault="00DE1A91" w:rsidP="00DE1A91">
            <w:pPr>
              <w:pStyle w:val="NoSpacing"/>
              <w:jc w:val="right"/>
              <w:rPr>
                <w:rFonts w:cstheme="minorHAnsi"/>
                <w:caps/>
              </w:rPr>
            </w:pPr>
            <w:r>
              <w:rPr>
                <w:rFonts w:cstheme="minorHAnsi"/>
                <w:caps/>
              </w:rPr>
              <w:t>(39,717)</w:t>
            </w:r>
          </w:p>
        </w:tc>
        <w:tc>
          <w:tcPr>
            <w:tcW w:w="1417" w:type="dxa"/>
          </w:tcPr>
          <w:p w:rsidR="008B310D" w:rsidRDefault="00DE1A91" w:rsidP="00DE1A91">
            <w:pPr>
              <w:pStyle w:val="NoSpacing"/>
              <w:jc w:val="right"/>
              <w:rPr>
                <w:rFonts w:cstheme="minorHAnsi"/>
                <w:caps/>
              </w:rPr>
            </w:pPr>
            <w:r>
              <w:rPr>
                <w:rFonts w:cstheme="minorHAnsi"/>
                <w:caps/>
              </w:rPr>
              <w:t>279,271</w:t>
            </w:r>
          </w:p>
        </w:tc>
        <w:tc>
          <w:tcPr>
            <w:tcW w:w="1418" w:type="dxa"/>
          </w:tcPr>
          <w:p w:rsidR="008B310D" w:rsidRDefault="00DE1A91" w:rsidP="00DE1A91">
            <w:pPr>
              <w:pStyle w:val="NoSpacing"/>
              <w:jc w:val="right"/>
              <w:rPr>
                <w:rFonts w:cstheme="minorHAnsi"/>
                <w:caps/>
              </w:rPr>
            </w:pPr>
            <w:r>
              <w:rPr>
                <w:rFonts w:cstheme="minorHAnsi"/>
                <w:caps/>
              </w:rPr>
              <w:t>253,406</w:t>
            </w:r>
          </w:p>
        </w:tc>
      </w:tr>
    </w:tbl>
    <w:p w:rsidR="00C24A4B" w:rsidRDefault="00C24A4B" w:rsidP="0026376E">
      <w:pPr>
        <w:pStyle w:val="NoSpacing"/>
        <w:rPr>
          <w:rFonts w:cstheme="minorHAnsi"/>
        </w:rPr>
      </w:pPr>
    </w:p>
    <w:p w:rsidR="0026376E" w:rsidRDefault="0026376E" w:rsidP="00524DBE">
      <w:pPr>
        <w:pStyle w:val="NoSpacing"/>
      </w:pPr>
    </w:p>
    <w:p w:rsidR="0026376E" w:rsidRDefault="0026376E" w:rsidP="00524DBE">
      <w:pPr>
        <w:pStyle w:val="NoSpacing"/>
        <w:sectPr w:rsidR="0026376E" w:rsidSect="0026376E">
          <w:pgSz w:w="16838" w:h="11906" w:orient="landscape"/>
          <w:pgMar w:top="1440" w:right="1440" w:bottom="1440" w:left="1440" w:header="709" w:footer="709" w:gutter="0"/>
          <w:cols w:space="708"/>
          <w:docGrid w:linePitch="360"/>
        </w:sectPr>
      </w:pPr>
    </w:p>
    <w:p w:rsidR="00973A24" w:rsidRPr="00DE1A91" w:rsidRDefault="00973A24" w:rsidP="00A142C7">
      <w:pPr>
        <w:pStyle w:val="NoSpacing"/>
        <w:rPr>
          <w:rFonts w:cstheme="minorHAnsi"/>
          <w:bCs/>
        </w:rPr>
      </w:pPr>
    </w:p>
    <w:p w:rsidR="003727DF" w:rsidRPr="003727DF" w:rsidRDefault="003727DF" w:rsidP="00D36BB2">
      <w:pPr>
        <w:pStyle w:val="Heading4"/>
      </w:pPr>
      <w:r w:rsidRPr="003727DF">
        <w:t>Initial Recognition</w:t>
      </w:r>
    </w:p>
    <w:p w:rsidR="005E5585" w:rsidRDefault="005E5585" w:rsidP="003727DF">
      <w:pPr>
        <w:pStyle w:val="NoSpacing"/>
        <w:rPr>
          <w:rFonts w:cstheme="minorHAnsi"/>
        </w:rPr>
      </w:pPr>
    </w:p>
    <w:p w:rsidR="003727DF" w:rsidRPr="003727DF" w:rsidRDefault="003727DF" w:rsidP="003727DF">
      <w:pPr>
        <w:pStyle w:val="NoSpacing"/>
        <w:rPr>
          <w:rFonts w:cstheme="minorHAnsi"/>
        </w:rPr>
      </w:pPr>
      <w:r w:rsidRPr="003727DF">
        <w:rPr>
          <w:rFonts w:cstheme="minorHAnsi"/>
        </w:rPr>
        <w:t>Items of property, plant and equipment, are measured initially at cost and subsequen</w:t>
      </w:r>
      <w:r>
        <w:rPr>
          <w:rFonts w:cstheme="minorHAnsi"/>
        </w:rPr>
        <w:t xml:space="preserve">tly revalued at fair value less </w:t>
      </w:r>
      <w:r w:rsidRPr="003727DF">
        <w:rPr>
          <w:rFonts w:cstheme="minorHAnsi"/>
        </w:rPr>
        <w:t>accumulated depreciation and impairment. Where an asset is received for no or nominal</w:t>
      </w:r>
      <w:r>
        <w:rPr>
          <w:rFonts w:cstheme="minorHAnsi"/>
        </w:rPr>
        <w:t xml:space="preserve"> consideration, the cost is the </w:t>
      </w:r>
      <w:r w:rsidRPr="003727DF">
        <w:rPr>
          <w:rFonts w:cstheme="minorHAnsi"/>
        </w:rPr>
        <w:t>asset’s fair value at the date of acquisition.</w:t>
      </w:r>
    </w:p>
    <w:p w:rsidR="003727DF" w:rsidRPr="003727DF" w:rsidRDefault="003727DF" w:rsidP="003727DF">
      <w:pPr>
        <w:pStyle w:val="NoSpacing"/>
        <w:rPr>
          <w:rFonts w:cstheme="minorHAnsi"/>
        </w:rPr>
      </w:pPr>
      <w:r w:rsidRPr="003727DF">
        <w:rPr>
          <w:rFonts w:cstheme="minorHAnsi"/>
        </w:rPr>
        <w:t>The cost of constructed non-financial physical assets includes the cost of all materials used in construc</w:t>
      </w:r>
      <w:r>
        <w:rPr>
          <w:rFonts w:cstheme="minorHAnsi"/>
        </w:rPr>
        <w:t xml:space="preserve">tion, direct labour on </w:t>
      </w:r>
      <w:r w:rsidRPr="003727DF">
        <w:rPr>
          <w:rFonts w:cstheme="minorHAnsi"/>
        </w:rPr>
        <w:t>the project and an appropriate proportion of variable and fixed overheads.</w:t>
      </w:r>
    </w:p>
    <w:p w:rsidR="003727DF" w:rsidRPr="003727DF" w:rsidRDefault="003727DF" w:rsidP="003727DF">
      <w:pPr>
        <w:pStyle w:val="NoSpacing"/>
        <w:rPr>
          <w:rFonts w:cstheme="minorHAnsi"/>
        </w:rPr>
      </w:pPr>
      <w:r w:rsidRPr="003727DF">
        <w:rPr>
          <w:rFonts w:cstheme="minorHAnsi"/>
        </w:rPr>
        <w:t>The cost of leasehold improvements is capitalised and depreciated over the shorter of the</w:t>
      </w:r>
      <w:r>
        <w:rPr>
          <w:rFonts w:cstheme="minorHAnsi"/>
        </w:rPr>
        <w:t xml:space="preserve"> remaining term of the lease or </w:t>
      </w:r>
      <w:r w:rsidRPr="003727DF">
        <w:rPr>
          <w:rFonts w:cstheme="minorHAnsi"/>
        </w:rPr>
        <w:t>their estimated useful lives.</w:t>
      </w:r>
    </w:p>
    <w:p w:rsidR="003727DF" w:rsidRDefault="003727DF" w:rsidP="003727DF">
      <w:pPr>
        <w:pStyle w:val="NoSpacing"/>
        <w:rPr>
          <w:rFonts w:cstheme="minorHAnsi"/>
        </w:rPr>
      </w:pPr>
      <w:r w:rsidRPr="003727DF">
        <w:rPr>
          <w:rFonts w:cstheme="minorHAnsi"/>
        </w:rPr>
        <w:t>The initial cost for non-financial physical assets under a finance lease is measured at amounts equal to the fair value of the</w:t>
      </w:r>
      <w:r>
        <w:rPr>
          <w:rFonts w:cstheme="minorHAnsi"/>
        </w:rPr>
        <w:t xml:space="preserve"> </w:t>
      </w:r>
      <w:r w:rsidRPr="003727DF">
        <w:rPr>
          <w:rFonts w:cstheme="minorHAnsi"/>
        </w:rPr>
        <w:t>leased asset or, if lower, the present value of the minimum lease payments, each determined at the inception of the lease.</w:t>
      </w:r>
    </w:p>
    <w:p w:rsidR="003727DF" w:rsidRDefault="003727DF" w:rsidP="003727DF">
      <w:pPr>
        <w:pStyle w:val="NoSpacing"/>
        <w:rPr>
          <w:rFonts w:cstheme="minorHAnsi"/>
        </w:rPr>
      </w:pPr>
    </w:p>
    <w:p w:rsidR="003727DF" w:rsidRDefault="003727DF" w:rsidP="003727DF">
      <w:pPr>
        <w:pStyle w:val="NoSpacing"/>
        <w:rPr>
          <w:rFonts w:cstheme="minorHAnsi"/>
        </w:rPr>
      </w:pPr>
      <w:r>
        <w:rPr>
          <w:rFonts w:cstheme="minorHAnsi"/>
        </w:rPr>
        <w:t>&lt;pp&gt;</w:t>
      </w:r>
      <w:r w:rsidR="007829BB">
        <w:rPr>
          <w:rFonts w:cstheme="minorHAnsi"/>
        </w:rPr>
        <w:t>56</w:t>
      </w:r>
    </w:p>
    <w:p w:rsidR="003727DF" w:rsidRDefault="003727DF" w:rsidP="003727DF">
      <w:pPr>
        <w:pStyle w:val="NoSpacing"/>
        <w:rPr>
          <w:rFonts w:cstheme="minorHAnsi"/>
        </w:rPr>
      </w:pPr>
    </w:p>
    <w:p w:rsidR="003727DF" w:rsidRPr="003727DF" w:rsidRDefault="003727DF" w:rsidP="00D36BB2">
      <w:pPr>
        <w:pStyle w:val="Heading3"/>
      </w:pPr>
      <w:r w:rsidRPr="003727DF">
        <w:t>4. The assets we invested in (continued)</w:t>
      </w:r>
    </w:p>
    <w:p w:rsidR="003727DF" w:rsidRDefault="003727DF" w:rsidP="003727DF">
      <w:pPr>
        <w:pStyle w:val="NoSpacing"/>
        <w:rPr>
          <w:rFonts w:cstheme="minorHAnsi"/>
        </w:rPr>
      </w:pPr>
    </w:p>
    <w:p w:rsidR="003727DF" w:rsidRDefault="003727DF" w:rsidP="00D36BB2">
      <w:pPr>
        <w:pStyle w:val="Heading4"/>
      </w:pPr>
      <w:r>
        <w:t>4.1 Property, plant and equipment (continued)</w:t>
      </w:r>
    </w:p>
    <w:p w:rsidR="003727DF" w:rsidRDefault="003727DF" w:rsidP="003727DF">
      <w:pPr>
        <w:pStyle w:val="NoSpacing"/>
        <w:rPr>
          <w:rFonts w:cstheme="minorHAnsi"/>
        </w:rPr>
      </w:pPr>
    </w:p>
    <w:p w:rsidR="003727DF" w:rsidRPr="003727DF" w:rsidRDefault="003727DF" w:rsidP="00D36BB2">
      <w:pPr>
        <w:pStyle w:val="Heading4"/>
      </w:pPr>
      <w:r w:rsidRPr="003727DF">
        <w:t>Subsequent measurement</w:t>
      </w:r>
    </w:p>
    <w:p w:rsidR="005E5585" w:rsidRDefault="005E5585" w:rsidP="003727DF">
      <w:pPr>
        <w:pStyle w:val="NoSpacing"/>
        <w:rPr>
          <w:rFonts w:cstheme="minorHAnsi"/>
        </w:rPr>
      </w:pPr>
    </w:p>
    <w:p w:rsidR="003727DF" w:rsidRPr="003727DF" w:rsidRDefault="003727DF" w:rsidP="003727DF">
      <w:pPr>
        <w:pStyle w:val="NoSpacing"/>
        <w:rPr>
          <w:rFonts w:cstheme="minorHAnsi"/>
        </w:rPr>
      </w:pPr>
      <w:r w:rsidRPr="003727DF">
        <w:rPr>
          <w:rFonts w:cstheme="minorHAnsi"/>
        </w:rPr>
        <w:t>Pr</w:t>
      </w:r>
      <w:r>
        <w:rPr>
          <w:rFonts w:cstheme="minorHAnsi"/>
        </w:rPr>
        <w:t xml:space="preserve">operty, plant and equipment are </w:t>
      </w:r>
      <w:r w:rsidRPr="003727DF">
        <w:rPr>
          <w:rFonts w:cstheme="minorHAnsi"/>
        </w:rPr>
        <w:t>subs</w:t>
      </w:r>
      <w:r>
        <w:rPr>
          <w:rFonts w:cstheme="minorHAnsi"/>
        </w:rPr>
        <w:t xml:space="preserve">equently measured at fair value </w:t>
      </w:r>
      <w:r w:rsidRPr="003727DF">
        <w:rPr>
          <w:rFonts w:cstheme="minorHAnsi"/>
        </w:rPr>
        <w:t>le</w:t>
      </w:r>
      <w:r>
        <w:rPr>
          <w:rFonts w:cstheme="minorHAnsi"/>
        </w:rPr>
        <w:t xml:space="preserve">ss accumulated depreciation and </w:t>
      </w:r>
      <w:r w:rsidRPr="003727DF">
        <w:rPr>
          <w:rFonts w:cstheme="minorHAnsi"/>
        </w:rPr>
        <w:t>impai</w:t>
      </w:r>
      <w:r>
        <w:rPr>
          <w:rFonts w:cstheme="minorHAnsi"/>
        </w:rPr>
        <w:t xml:space="preserve">rment. Fair value is determined </w:t>
      </w:r>
      <w:r w:rsidRPr="003727DF">
        <w:rPr>
          <w:rFonts w:cstheme="minorHAnsi"/>
        </w:rPr>
        <w:t>wit</w:t>
      </w:r>
      <w:r>
        <w:rPr>
          <w:rFonts w:cstheme="minorHAnsi"/>
        </w:rPr>
        <w:t xml:space="preserve">h regard to the asset’s highest </w:t>
      </w:r>
      <w:r w:rsidRPr="003727DF">
        <w:rPr>
          <w:rFonts w:cstheme="minorHAnsi"/>
        </w:rPr>
        <w:t>and</w:t>
      </w:r>
      <w:r>
        <w:rPr>
          <w:rFonts w:cstheme="minorHAnsi"/>
        </w:rPr>
        <w:t xml:space="preserve"> best use (considering legal or </w:t>
      </w:r>
      <w:r w:rsidRPr="003727DF">
        <w:rPr>
          <w:rFonts w:cstheme="minorHAnsi"/>
        </w:rPr>
        <w:t xml:space="preserve">physical restrictions </w:t>
      </w:r>
      <w:r>
        <w:rPr>
          <w:rFonts w:cstheme="minorHAnsi"/>
        </w:rPr>
        <w:t xml:space="preserve">imposed on the asset, public announcements </w:t>
      </w:r>
      <w:r w:rsidRPr="003727DF">
        <w:rPr>
          <w:rFonts w:cstheme="minorHAnsi"/>
        </w:rPr>
        <w:t xml:space="preserve">or </w:t>
      </w:r>
      <w:r>
        <w:rPr>
          <w:rFonts w:cstheme="minorHAnsi"/>
        </w:rPr>
        <w:t xml:space="preserve">commitments made in relation to </w:t>
      </w:r>
      <w:r w:rsidRPr="003727DF">
        <w:rPr>
          <w:rFonts w:cstheme="minorHAnsi"/>
        </w:rPr>
        <w:t>the</w:t>
      </w:r>
      <w:r>
        <w:rPr>
          <w:rFonts w:cstheme="minorHAnsi"/>
        </w:rPr>
        <w:t xml:space="preserve"> intended use of the asset) and </w:t>
      </w:r>
      <w:r w:rsidRPr="003727DF">
        <w:rPr>
          <w:rFonts w:cstheme="minorHAnsi"/>
        </w:rPr>
        <w:t>is summarised by asset category.</w:t>
      </w:r>
    </w:p>
    <w:p w:rsidR="003727DF" w:rsidRPr="003727DF" w:rsidRDefault="003727DF" w:rsidP="003727DF">
      <w:pPr>
        <w:pStyle w:val="NoSpacing"/>
        <w:rPr>
          <w:rFonts w:cstheme="minorHAnsi"/>
        </w:rPr>
      </w:pPr>
      <w:r w:rsidRPr="003727DF">
        <w:rPr>
          <w:rFonts w:cstheme="minorHAnsi"/>
        </w:rPr>
        <w:t>Non-sp</w:t>
      </w:r>
      <w:r w:rsidR="006E3F43">
        <w:rPr>
          <w:rFonts w:cstheme="minorHAnsi"/>
        </w:rPr>
        <w:t xml:space="preserve">ecialised land, non-specialised </w:t>
      </w:r>
      <w:r w:rsidRPr="003727DF">
        <w:rPr>
          <w:rFonts w:cstheme="minorHAnsi"/>
        </w:rPr>
        <w:t>building</w:t>
      </w:r>
      <w:r w:rsidR="006E3F43">
        <w:rPr>
          <w:rFonts w:cstheme="minorHAnsi"/>
        </w:rPr>
        <w:t xml:space="preserve">s and artworks are valued using </w:t>
      </w:r>
      <w:r w:rsidRPr="003727DF">
        <w:rPr>
          <w:rFonts w:cstheme="minorHAnsi"/>
        </w:rPr>
        <w:t>the market approach, whereby ass</w:t>
      </w:r>
      <w:r w:rsidR="006E3F43">
        <w:rPr>
          <w:rFonts w:cstheme="minorHAnsi"/>
        </w:rPr>
        <w:t xml:space="preserve">ets </w:t>
      </w:r>
      <w:r w:rsidRPr="003727DF">
        <w:rPr>
          <w:rFonts w:cstheme="minorHAnsi"/>
        </w:rPr>
        <w:t>ar</w:t>
      </w:r>
      <w:r w:rsidR="006E3F43">
        <w:rPr>
          <w:rFonts w:cstheme="minorHAnsi"/>
        </w:rPr>
        <w:t xml:space="preserve">e compared to recent comparable </w:t>
      </w:r>
      <w:r w:rsidRPr="003727DF">
        <w:rPr>
          <w:rFonts w:cstheme="minorHAnsi"/>
        </w:rPr>
        <w:t xml:space="preserve">sales or </w:t>
      </w:r>
      <w:r w:rsidR="006E3F43">
        <w:rPr>
          <w:rFonts w:cstheme="minorHAnsi"/>
        </w:rPr>
        <w:t xml:space="preserve">sales of comparable assets that </w:t>
      </w:r>
      <w:r w:rsidRPr="003727DF">
        <w:rPr>
          <w:rFonts w:cstheme="minorHAnsi"/>
        </w:rPr>
        <w:t>are considered to have nominal value.</w:t>
      </w:r>
    </w:p>
    <w:p w:rsidR="003727DF" w:rsidRPr="003727DF" w:rsidRDefault="003727DF" w:rsidP="003727DF">
      <w:pPr>
        <w:pStyle w:val="NoSpacing"/>
        <w:rPr>
          <w:rFonts w:cstheme="minorHAnsi"/>
        </w:rPr>
      </w:pPr>
      <w:r w:rsidRPr="003727DF">
        <w:rPr>
          <w:rFonts w:cstheme="minorHAnsi"/>
        </w:rPr>
        <w:t>S</w:t>
      </w:r>
      <w:r w:rsidR="006E3F43">
        <w:rPr>
          <w:rFonts w:cstheme="minorHAnsi"/>
        </w:rPr>
        <w:t xml:space="preserve">pecialised land and specialised </w:t>
      </w:r>
      <w:r w:rsidRPr="003727DF">
        <w:rPr>
          <w:rFonts w:cstheme="minorHAnsi"/>
        </w:rPr>
        <w:t>bu</w:t>
      </w:r>
      <w:r w:rsidR="006E3F43">
        <w:rPr>
          <w:rFonts w:cstheme="minorHAnsi"/>
        </w:rPr>
        <w:t xml:space="preserve">ildings: The market approach is also used for specialised land, </w:t>
      </w:r>
      <w:r w:rsidRPr="003727DF">
        <w:rPr>
          <w:rFonts w:cstheme="minorHAnsi"/>
        </w:rPr>
        <w:t>althoug</w:t>
      </w:r>
      <w:r w:rsidR="006E3F43">
        <w:rPr>
          <w:rFonts w:cstheme="minorHAnsi"/>
        </w:rPr>
        <w:t xml:space="preserve">h is adjusted for the community </w:t>
      </w:r>
      <w:r w:rsidRPr="003727DF">
        <w:rPr>
          <w:rFonts w:cstheme="minorHAnsi"/>
        </w:rPr>
        <w:t>serv</w:t>
      </w:r>
      <w:r w:rsidR="006E3F43">
        <w:rPr>
          <w:rFonts w:cstheme="minorHAnsi"/>
        </w:rPr>
        <w:t xml:space="preserve">ice obligation (CSO) to reflect </w:t>
      </w:r>
      <w:r w:rsidRPr="003727DF">
        <w:rPr>
          <w:rFonts w:cstheme="minorHAnsi"/>
        </w:rPr>
        <w:t>the</w:t>
      </w:r>
      <w:r w:rsidR="006E3F43">
        <w:rPr>
          <w:rFonts w:cstheme="minorHAnsi"/>
        </w:rPr>
        <w:t xml:space="preserve"> specialised nature of the land </w:t>
      </w:r>
      <w:r w:rsidRPr="003727DF">
        <w:rPr>
          <w:rFonts w:cstheme="minorHAnsi"/>
        </w:rPr>
        <w:t>being valued.</w:t>
      </w:r>
    </w:p>
    <w:p w:rsidR="003727DF" w:rsidRPr="003727DF" w:rsidRDefault="003727DF" w:rsidP="003727DF">
      <w:pPr>
        <w:pStyle w:val="NoSpacing"/>
        <w:rPr>
          <w:rFonts w:cstheme="minorHAnsi"/>
        </w:rPr>
      </w:pPr>
      <w:r w:rsidRPr="003727DF">
        <w:rPr>
          <w:rFonts w:cstheme="minorHAnsi"/>
        </w:rPr>
        <w:t>The CS</w:t>
      </w:r>
      <w:r w:rsidR="006E3F43">
        <w:rPr>
          <w:rFonts w:cstheme="minorHAnsi"/>
        </w:rPr>
        <w:t xml:space="preserve">O adjustment is a reflection of </w:t>
      </w:r>
      <w:r w:rsidRPr="003727DF">
        <w:rPr>
          <w:rFonts w:cstheme="minorHAnsi"/>
        </w:rPr>
        <w:t>the va</w:t>
      </w:r>
      <w:r w:rsidR="006E3F43">
        <w:rPr>
          <w:rFonts w:cstheme="minorHAnsi"/>
        </w:rPr>
        <w:t xml:space="preserve">luer’s assessment of the impact </w:t>
      </w:r>
      <w:r w:rsidRPr="003727DF">
        <w:rPr>
          <w:rFonts w:cstheme="minorHAnsi"/>
        </w:rPr>
        <w:t xml:space="preserve">of </w:t>
      </w:r>
      <w:r w:rsidR="006E3F43">
        <w:rPr>
          <w:rFonts w:cstheme="minorHAnsi"/>
        </w:rPr>
        <w:t xml:space="preserve">restrictions associated with an </w:t>
      </w:r>
      <w:r w:rsidRPr="003727DF">
        <w:rPr>
          <w:rFonts w:cstheme="minorHAnsi"/>
        </w:rPr>
        <w:t xml:space="preserve">asset to </w:t>
      </w:r>
      <w:r w:rsidR="006E3F43">
        <w:rPr>
          <w:rFonts w:cstheme="minorHAnsi"/>
        </w:rPr>
        <w:t xml:space="preserve">the extent that is also equally </w:t>
      </w:r>
      <w:r w:rsidRPr="003727DF">
        <w:rPr>
          <w:rFonts w:cstheme="minorHAnsi"/>
        </w:rPr>
        <w:t>applicable to market participants.</w:t>
      </w:r>
    </w:p>
    <w:p w:rsidR="003727DF" w:rsidRPr="003727DF" w:rsidRDefault="003727DF" w:rsidP="003727DF">
      <w:pPr>
        <w:pStyle w:val="NoSpacing"/>
        <w:rPr>
          <w:rFonts w:cstheme="minorHAnsi"/>
        </w:rPr>
      </w:pPr>
      <w:r w:rsidRPr="003727DF">
        <w:rPr>
          <w:rFonts w:cstheme="minorHAnsi"/>
        </w:rPr>
        <w:t>For the maj</w:t>
      </w:r>
      <w:r w:rsidR="006E3F43">
        <w:rPr>
          <w:rFonts w:cstheme="minorHAnsi"/>
        </w:rPr>
        <w:t xml:space="preserve">ority of Chisholm’s specialised </w:t>
      </w:r>
      <w:r w:rsidRPr="003727DF">
        <w:rPr>
          <w:rFonts w:cstheme="minorHAnsi"/>
        </w:rPr>
        <w:t>buildin</w:t>
      </w:r>
      <w:r w:rsidR="006E3F43">
        <w:rPr>
          <w:rFonts w:cstheme="minorHAnsi"/>
        </w:rPr>
        <w:t xml:space="preserve">gs, the depreciated replacement </w:t>
      </w:r>
      <w:r w:rsidRPr="003727DF">
        <w:rPr>
          <w:rFonts w:cstheme="minorHAnsi"/>
        </w:rPr>
        <w:t>cost me</w:t>
      </w:r>
      <w:r w:rsidR="006E3F43">
        <w:rPr>
          <w:rFonts w:cstheme="minorHAnsi"/>
        </w:rPr>
        <w:t xml:space="preserve">thod is used, adjusting for the </w:t>
      </w:r>
      <w:r w:rsidRPr="003727DF">
        <w:rPr>
          <w:rFonts w:cstheme="minorHAnsi"/>
        </w:rPr>
        <w:t>associated depreciation.</w:t>
      </w:r>
    </w:p>
    <w:p w:rsidR="003727DF" w:rsidRPr="003727DF" w:rsidRDefault="003727DF" w:rsidP="003727DF">
      <w:pPr>
        <w:pStyle w:val="NoSpacing"/>
        <w:rPr>
          <w:rFonts w:cstheme="minorHAnsi"/>
        </w:rPr>
      </w:pPr>
      <w:r w:rsidRPr="003727DF">
        <w:rPr>
          <w:rFonts w:cstheme="minorHAnsi"/>
        </w:rPr>
        <w:t>The fai</w:t>
      </w:r>
      <w:r w:rsidR="006E3F43">
        <w:rPr>
          <w:rFonts w:cstheme="minorHAnsi"/>
        </w:rPr>
        <w:t xml:space="preserve">r value of plant, equipment and </w:t>
      </w:r>
      <w:r w:rsidRPr="003727DF">
        <w:rPr>
          <w:rFonts w:cstheme="minorHAnsi"/>
        </w:rPr>
        <w:t>vehi</w:t>
      </w:r>
      <w:r w:rsidR="006E3F43">
        <w:rPr>
          <w:rFonts w:cstheme="minorHAnsi"/>
        </w:rPr>
        <w:t xml:space="preserve">cles, is normally determined by </w:t>
      </w:r>
      <w:r w:rsidRPr="003727DF">
        <w:rPr>
          <w:rFonts w:cstheme="minorHAnsi"/>
        </w:rPr>
        <w:t>reference to the ass</w:t>
      </w:r>
      <w:r w:rsidR="006E3F43">
        <w:rPr>
          <w:rFonts w:cstheme="minorHAnsi"/>
        </w:rPr>
        <w:t xml:space="preserve">et’s depreciated </w:t>
      </w:r>
      <w:r w:rsidRPr="003727DF">
        <w:rPr>
          <w:rFonts w:cstheme="minorHAnsi"/>
        </w:rPr>
        <w:t>replacement cost.</w:t>
      </w:r>
    </w:p>
    <w:p w:rsidR="003727DF" w:rsidRPr="003727DF" w:rsidRDefault="006E3F43" w:rsidP="003727DF">
      <w:pPr>
        <w:pStyle w:val="NoSpacing"/>
        <w:rPr>
          <w:rFonts w:cstheme="minorHAnsi"/>
        </w:rPr>
      </w:pPr>
      <w:r>
        <w:rPr>
          <w:rFonts w:cstheme="minorHAnsi"/>
        </w:rPr>
        <w:t xml:space="preserve">The latest revaluations of land </w:t>
      </w:r>
      <w:r w:rsidR="003727DF" w:rsidRPr="003727DF">
        <w:rPr>
          <w:rFonts w:cstheme="minorHAnsi"/>
        </w:rPr>
        <w:t xml:space="preserve">and </w:t>
      </w:r>
      <w:r>
        <w:rPr>
          <w:rFonts w:cstheme="minorHAnsi"/>
        </w:rPr>
        <w:t xml:space="preserve">building assets (including land improvements) were based on </w:t>
      </w:r>
      <w:r w:rsidR="003727DF" w:rsidRPr="003727DF">
        <w:rPr>
          <w:rFonts w:cstheme="minorHAnsi"/>
        </w:rPr>
        <w:t>i</w:t>
      </w:r>
      <w:r>
        <w:rPr>
          <w:rFonts w:cstheme="minorHAnsi"/>
        </w:rPr>
        <w:t xml:space="preserve">ndependent assessments as at 31 </w:t>
      </w:r>
      <w:r w:rsidR="003727DF" w:rsidRPr="003727DF">
        <w:rPr>
          <w:rFonts w:cstheme="minorHAnsi"/>
        </w:rPr>
        <w:t>Dec</w:t>
      </w:r>
      <w:r>
        <w:rPr>
          <w:rFonts w:cstheme="minorHAnsi"/>
        </w:rPr>
        <w:t xml:space="preserve">ember 2017, which resulted in a </w:t>
      </w:r>
      <w:r w:rsidR="003727DF" w:rsidRPr="003727DF">
        <w:rPr>
          <w:rFonts w:cstheme="minorHAnsi"/>
        </w:rPr>
        <w:t>net reval</w:t>
      </w:r>
      <w:r>
        <w:rPr>
          <w:rFonts w:cstheme="minorHAnsi"/>
        </w:rPr>
        <w:t xml:space="preserve">uation increase of $5.3 million </w:t>
      </w:r>
      <w:r w:rsidR="003727DF" w:rsidRPr="003727DF">
        <w:rPr>
          <w:rFonts w:cstheme="minorHAnsi"/>
        </w:rPr>
        <w:t>and $13.1 millio</w:t>
      </w:r>
      <w:r>
        <w:rPr>
          <w:rFonts w:cstheme="minorHAnsi"/>
        </w:rPr>
        <w:t xml:space="preserve">n respectively. The revaluation was carried out by Valuer-General Victoria, </w:t>
      </w:r>
      <w:r w:rsidR="00F54F93">
        <w:rPr>
          <w:rFonts w:cstheme="minorHAnsi"/>
        </w:rPr>
        <w:t>Option</w:t>
      </w:r>
      <w:r>
        <w:rPr>
          <w:rFonts w:cstheme="minorHAnsi"/>
        </w:rPr>
        <w:t xml:space="preserve"> </w:t>
      </w:r>
      <w:r w:rsidR="003727DF" w:rsidRPr="003727DF">
        <w:rPr>
          <w:rFonts w:cstheme="minorHAnsi"/>
        </w:rPr>
        <w:t>Sol</w:t>
      </w:r>
      <w:r>
        <w:rPr>
          <w:rFonts w:cstheme="minorHAnsi"/>
        </w:rPr>
        <w:t xml:space="preserve">utions Pty Ltd. Chisholm’s land </w:t>
      </w:r>
      <w:r w:rsidR="003727DF" w:rsidRPr="003727DF">
        <w:rPr>
          <w:rFonts w:cstheme="minorHAnsi"/>
        </w:rPr>
        <w:t>as</w:t>
      </w:r>
      <w:r>
        <w:rPr>
          <w:rFonts w:cstheme="minorHAnsi"/>
        </w:rPr>
        <w:t xml:space="preserve">sets were managerially revalued </w:t>
      </w:r>
      <w:r w:rsidR="003727DF" w:rsidRPr="003727DF">
        <w:rPr>
          <w:rFonts w:cstheme="minorHAnsi"/>
        </w:rPr>
        <w:t>in ac</w:t>
      </w:r>
      <w:r>
        <w:rPr>
          <w:rFonts w:cstheme="minorHAnsi"/>
        </w:rPr>
        <w:t xml:space="preserve">cordance with FRD 103F as at 31 </w:t>
      </w:r>
      <w:r w:rsidR="003727DF" w:rsidRPr="003727DF">
        <w:rPr>
          <w:rFonts w:cstheme="minorHAnsi"/>
        </w:rPr>
        <w:t>Decem</w:t>
      </w:r>
      <w:r>
        <w:rPr>
          <w:rFonts w:cstheme="minorHAnsi"/>
        </w:rPr>
        <w:t xml:space="preserve">ber 2016 using indices supplied </w:t>
      </w:r>
      <w:r w:rsidR="003727DF" w:rsidRPr="003727DF">
        <w:rPr>
          <w:rFonts w:cstheme="minorHAnsi"/>
        </w:rPr>
        <w:t>by the Victorian Valuer-Genera</w:t>
      </w:r>
      <w:r>
        <w:rPr>
          <w:rFonts w:cstheme="minorHAnsi"/>
        </w:rPr>
        <w:t xml:space="preserve">l with </w:t>
      </w:r>
      <w:r w:rsidR="003727DF" w:rsidRPr="003727DF">
        <w:rPr>
          <w:rFonts w:cstheme="minorHAnsi"/>
        </w:rPr>
        <w:t>a res</w:t>
      </w:r>
      <w:r>
        <w:rPr>
          <w:rFonts w:cstheme="minorHAnsi"/>
        </w:rPr>
        <w:t xml:space="preserve">ultant revaluation surplus that </w:t>
      </w:r>
      <w:r w:rsidR="003727DF" w:rsidRPr="003727DF">
        <w:rPr>
          <w:rFonts w:cstheme="minorHAnsi"/>
        </w:rPr>
        <w:t>amounted to $7.9 million.</w:t>
      </w:r>
    </w:p>
    <w:p w:rsidR="006E3F43" w:rsidRDefault="006E3F43" w:rsidP="003727DF">
      <w:pPr>
        <w:pStyle w:val="NoSpacing"/>
        <w:rPr>
          <w:rFonts w:cstheme="minorHAnsi"/>
        </w:rPr>
      </w:pPr>
    </w:p>
    <w:p w:rsidR="003727DF" w:rsidRPr="006E3F43" w:rsidRDefault="006E3F43" w:rsidP="00D36BB2">
      <w:pPr>
        <w:pStyle w:val="Heading4"/>
      </w:pPr>
      <w:r w:rsidRPr="006E3F43">
        <w:t xml:space="preserve">Revaluations of non-financial </w:t>
      </w:r>
      <w:r w:rsidR="003727DF" w:rsidRPr="006E3F43">
        <w:t>physical assets</w:t>
      </w:r>
    </w:p>
    <w:p w:rsidR="005E5585" w:rsidRDefault="005E5585" w:rsidP="003727DF">
      <w:pPr>
        <w:pStyle w:val="NoSpacing"/>
        <w:rPr>
          <w:rFonts w:cstheme="minorHAnsi"/>
        </w:rPr>
      </w:pPr>
    </w:p>
    <w:p w:rsidR="003727DF" w:rsidRPr="003727DF" w:rsidRDefault="003727DF" w:rsidP="003727DF">
      <w:pPr>
        <w:pStyle w:val="NoSpacing"/>
        <w:rPr>
          <w:rFonts w:cstheme="minorHAnsi"/>
        </w:rPr>
      </w:pPr>
      <w:r w:rsidRPr="003727DF">
        <w:rPr>
          <w:rFonts w:cstheme="minorHAnsi"/>
        </w:rPr>
        <w:lastRenderedPageBreak/>
        <w:t>Non-c</w:t>
      </w:r>
      <w:r w:rsidR="006E3F43">
        <w:rPr>
          <w:rFonts w:cstheme="minorHAnsi"/>
        </w:rPr>
        <w:t xml:space="preserve">urrent physical assets measured </w:t>
      </w:r>
      <w:r w:rsidRPr="003727DF">
        <w:rPr>
          <w:rFonts w:cstheme="minorHAnsi"/>
        </w:rPr>
        <w:t>at fair v</w:t>
      </w:r>
      <w:r w:rsidR="006E3F43">
        <w:rPr>
          <w:rFonts w:cstheme="minorHAnsi"/>
        </w:rPr>
        <w:t xml:space="preserve">alue are revalued in accordance with Financial Reporting Directions </w:t>
      </w:r>
      <w:r w:rsidRPr="003727DF">
        <w:rPr>
          <w:rFonts w:cstheme="minorHAnsi"/>
        </w:rPr>
        <w:t>(FRDs) issued by the Minis</w:t>
      </w:r>
      <w:r w:rsidR="006E3F43">
        <w:rPr>
          <w:rFonts w:cstheme="minorHAnsi"/>
        </w:rPr>
        <w:t xml:space="preserve">ter for </w:t>
      </w:r>
      <w:r w:rsidRPr="003727DF">
        <w:rPr>
          <w:rFonts w:cstheme="minorHAnsi"/>
        </w:rPr>
        <w:t>Finan</w:t>
      </w:r>
      <w:r w:rsidR="006E3F43">
        <w:rPr>
          <w:rFonts w:cstheme="minorHAnsi"/>
        </w:rPr>
        <w:t xml:space="preserve">ce. A full revaluation normally </w:t>
      </w:r>
      <w:r w:rsidRPr="003727DF">
        <w:rPr>
          <w:rFonts w:cstheme="minorHAnsi"/>
        </w:rPr>
        <w:t>occu</w:t>
      </w:r>
      <w:r w:rsidR="006E3F43">
        <w:rPr>
          <w:rFonts w:cstheme="minorHAnsi"/>
        </w:rPr>
        <w:t xml:space="preserve">rs every five years, based upon the asset’s government purpose </w:t>
      </w:r>
      <w:r w:rsidRPr="003727DF">
        <w:rPr>
          <w:rFonts w:cstheme="minorHAnsi"/>
        </w:rPr>
        <w:t>cla</w:t>
      </w:r>
      <w:r w:rsidR="006E3F43">
        <w:rPr>
          <w:rFonts w:cstheme="minorHAnsi"/>
        </w:rPr>
        <w:t xml:space="preserve">ssification, but may occur more </w:t>
      </w:r>
      <w:r w:rsidRPr="003727DF">
        <w:rPr>
          <w:rFonts w:cstheme="minorHAnsi"/>
        </w:rPr>
        <w:t>frequ</w:t>
      </w:r>
      <w:r w:rsidR="006E3F43">
        <w:rPr>
          <w:rFonts w:cstheme="minorHAnsi"/>
        </w:rPr>
        <w:t xml:space="preserve">ently if fair value assessments </w:t>
      </w:r>
      <w:r w:rsidRPr="003727DF">
        <w:rPr>
          <w:rFonts w:cstheme="minorHAnsi"/>
        </w:rPr>
        <w:t>indicate material changes in values.</w:t>
      </w:r>
    </w:p>
    <w:p w:rsidR="003727DF" w:rsidRPr="003727DF" w:rsidRDefault="003727DF" w:rsidP="003727DF">
      <w:pPr>
        <w:pStyle w:val="NoSpacing"/>
        <w:rPr>
          <w:rFonts w:cstheme="minorHAnsi"/>
        </w:rPr>
      </w:pPr>
      <w:r w:rsidRPr="003727DF">
        <w:rPr>
          <w:rFonts w:cstheme="minorHAnsi"/>
        </w:rPr>
        <w:t>In</w:t>
      </w:r>
      <w:r w:rsidR="006E3F43">
        <w:rPr>
          <w:rFonts w:cstheme="minorHAnsi"/>
        </w:rPr>
        <w:t xml:space="preserve">dependent valuers are generally </w:t>
      </w:r>
      <w:r w:rsidRPr="003727DF">
        <w:rPr>
          <w:rFonts w:cstheme="minorHAnsi"/>
        </w:rPr>
        <w:t>u</w:t>
      </w:r>
      <w:r w:rsidR="006E3F43">
        <w:rPr>
          <w:rFonts w:cstheme="minorHAnsi"/>
        </w:rPr>
        <w:t xml:space="preserve">sed to conduct these scheduled </w:t>
      </w:r>
      <w:r w:rsidRPr="003727DF">
        <w:rPr>
          <w:rFonts w:cstheme="minorHAnsi"/>
        </w:rPr>
        <w:t>reva</w:t>
      </w:r>
      <w:r w:rsidR="006E3F43">
        <w:rPr>
          <w:rFonts w:cstheme="minorHAnsi"/>
        </w:rPr>
        <w:t xml:space="preserve">luations. Revaluation increases </w:t>
      </w:r>
      <w:r w:rsidRPr="003727DF">
        <w:rPr>
          <w:rFonts w:cstheme="minorHAnsi"/>
        </w:rPr>
        <w:t>or d</w:t>
      </w:r>
      <w:r w:rsidR="006E3F43">
        <w:rPr>
          <w:rFonts w:cstheme="minorHAnsi"/>
        </w:rPr>
        <w:t xml:space="preserve">ecreases arise from differences </w:t>
      </w:r>
      <w:r w:rsidRPr="003727DF">
        <w:rPr>
          <w:rFonts w:cstheme="minorHAnsi"/>
        </w:rPr>
        <w:t>be</w:t>
      </w:r>
      <w:r w:rsidR="006E3F43">
        <w:rPr>
          <w:rFonts w:cstheme="minorHAnsi"/>
        </w:rPr>
        <w:t xml:space="preserve">tween an asset’s carrying value </w:t>
      </w:r>
      <w:r w:rsidRPr="003727DF">
        <w:rPr>
          <w:rFonts w:cstheme="minorHAnsi"/>
        </w:rPr>
        <w:t>and fair value.</w:t>
      </w:r>
    </w:p>
    <w:p w:rsidR="003727DF" w:rsidRPr="003727DF" w:rsidRDefault="003727DF" w:rsidP="003727DF">
      <w:pPr>
        <w:pStyle w:val="NoSpacing"/>
        <w:rPr>
          <w:rFonts w:cstheme="minorHAnsi"/>
        </w:rPr>
      </w:pPr>
      <w:r w:rsidRPr="003727DF">
        <w:rPr>
          <w:rFonts w:cstheme="minorHAnsi"/>
        </w:rPr>
        <w:t>Net r</w:t>
      </w:r>
      <w:r w:rsidR="006E3F43">
        <w:rPr>
          <w:rFonts w:cstheme="minorHAnsi"/>
        </w:rPr>
        <w:t xml:space="preserve">evaluation increases (where the </w:t>
      </w:r>
      <w:r w:rsidRPr="003727DF">
        <w:rPr>
          <w:rFonts w:cstheme="minorHAnsi"/>
        </w:rPr>
        <w:t>carrying</w:t>
      </w:r>
      <w:r w:rsidR="006E3F43">
        <w:rPr>
          <w:rFonts w:cstheme="minorHAnsi"/>
        </w:rPr>
        <w:t xml:space="preserve"> amount of a class of assets is </w:t>
      </w:r>
      <w:r w:rsidRPr="003727DF">
        <w:rPr>
          <w:rFonts w:cstheme="minorHAnsi"/>
        </w:rPr>
        <w:t>increased as a result of a</w:t>
      </w:r>
      <w:r w:rsidR="006E3F43">
        <w:rPr>
          <w:rFonts w:cstheme="minorHAnsi"/>
        </w:rPr>
        <w:t xml:space="preserve"> revaluation) </w:t>
      </w:r>
      <w:r w:rsidRPr="003727DF">
        <w:rPr>
          <w:rFonts w:cstheme="minorHAnsi"/>
        </w:rPr>
        <w:t>are reco</w:t>
      </w:r>
      <w:r w:rsidR="006E3F43">
        <w:rPr>
          <w:rFonts w:cstheme="minorHAnsi"/>
        </w:rPr>
        <w:t xml:space="preserve">gnised in ‘other economic flows </w:t>
      </w:r>
      <w:r w:rsidRPr="003727DF">
        <w:rPr>
          <w:rFonts w:cstheme="minorHAnsi"/>
        </w:rPr>
        <w:t>- o</w:t>
      </w:r>
      <w:r w:rsidR="006E3F43">
        <w:rPr>
          <w:rFonts w:cstheme="minorHAnsi"/>
        </w:rPr>
        <w:t xml:space="preserve">ther comprehensive income’, and </w:t>
      </w:r>
      <w:r w:rsidRPr="003727DF">
        <w:rPr>
          <w:rFonts w:cstheme="minorHAnsi"/>
        </w:rPr>
        <w:t>accumu</w:t>
      </w:r>
      <w:r w:rsidR="006E3F43">
        <w:rPr>
          <w:rFonts w:cstheme="minorHAnsi"/>
        </w:rPr>
        <w:t xml:space="preserve">lated in equity under the asset </w:t>
      </w:r>
      <w:r w:rsidRPr="003727DF">
        <w:rPr>
          <w:rFonts w:cstheme="minorHAnsi"/>
        </w:rPr>
        <w:t>revalu</w:t>
      </w:r>
      <w:r w:rsidR="006E3F43">
        <w:rPr>
          <w:rFonts w:cstheme="minorHAnsi"/>
        </w:rPr>
        <w:t xml:space="preserve">ation surplus. However, the net </w:t>
      </w:r>
      <w:r w:rsidRPr="003727DF">
        <w:rPr>
          <w:rFonts w:cstheme="minorHAnsi"/>
        </w:rPr>
        <w:t>revaluatio</w:t>
      </w:r>
      <w:r w:rsidR="006E3F43">
        <w:rPr>
          <w:rFonts w:cstheme="minorHAnsi"/>
        </w:rPr>
        <w:t xml:space="preserve">n increase is recognised in the </w:t>
      </w:r>
      <w:r w:rsidRPr="003727DF">
        <w:rPr>
          <w:rFonts w:cstheme="minorHAnsi"/>
        </w:rPr>
        <w:t>net result t</w:t>
      </w:r>
      <w:r w:rsidR="006E3F43">
        <w:rPr>
          <w:rFonts w:cstheme="minorHAnsi"/>
        </w:rPr>
        <w:t xml:space="preserve">o the extent that it reverses a </w:t>
      </w:r>
      <w:r w:rsidRPr="003727DF">
        <w:rPr>
          <w:rFonts w:cstheme="minorHAnsi"/>
        </w:rPr>
        <w:t>net rev</w:t>
      </w:r>
      <w:r w:rsidR="006E3F43">
        <w:rPr>
          <w:rFonts w:cstheme="minorHAnsi"/>
        </w:rPr>
        <w:t xml:space="preserve">aluation decrease in respect of </w:t>
      </w:r>
      <w:r w:rsidRPr="003727DF">
        <w:rPr>
          <w:rFonts w:cstheme="minorHAnsi"/>
        </w:rPr>
        <w:t>the sa</w:t>
      </w:r>
      <w:r w:rsidR="006E3F43">
        <w:rPr>
          <w:rFonts w:cstheme="minorHAnsi"/>
        </w:rPr>
        <w:t xml:space="preserve">me class of property, plant and </w:t>
      </w:r>
      <w:r w:rsidRPr="003727DF">
        <w:rPr>
          <w:rFonts w:cstheme="minorHAnsi"/>
        </w:rPr>
        <w:t>equipm</w:t>
      </w:r>
      <w:r w:rsidR="006E3F43">
        <w:rPr>
          <w:rFonts w:cstheme="minorHAnsi"/>
        </w:rPr>
        <w:t xml:space="preserve">ent previously recognised as an </w:t>
      </w:r>
      <w:r w:rsidRPr="003727DF">
        <w:rPr>
          <w:rFonts w:cstheme="minorHAnsi"/>
        </w:rPr>
        <w:t>expens</w:t>
      </w:r>
      <w:r w:rsidR="006E3F43">
        <w:rPr>
          <w:rFonts w:cstheme="minorHAnsi"/>
        </w:rPr>
        <w:t xml:space="preserve">e (other economic flows) in the </w:t>
      </w:r>
      <w:r w:rsidRPr="003727DF">
        <w:rPr>
          <w:rFonts w:cstheme="minorHAnsi"/>
        </w:rPr>
        <w:t>net result.</w:t>
      </w:r>
    </w:p>
    <w:p w:rsidR="003727DF" w:rsidRPr="003727DF" w:rsidRDefault="006E3F43" w:rsidP="003727DF">
      <w:pPr>
        <w:pStyle w:val="NoSpacing"/>
        <w:rPr>
          <w:rFonts w:cstheme="minorHAnsi"/>
        </w:rPr>
      </w:pPr>
      <w:r>
        <w:rPr>
          <w:rFonts w:cstheme="minorHAnsi"/>
        </w:rPr>
        <w:t xml:space="preserve">Net revaluation decreases are </w:t>
      </w:r>
      <w:r w:rsidR="003727DF" w:rsidRPr="003727DF">
        <w:rPr>
          <w:rFonts w:cstheme="minorHAnsi"/>
        </w:rPr>
        <w:t>recogn</w:t>
      </w:r>
      <w:r>
        <w:rPr>
          <w:rFonts w:cstheme="minorHAnsi"/>
        </w:rPr>
        <w:t xml:space="preserve">ised in ‘other economic flows - </w:t>
      </w:r>
      <w:r w:rsidR="003727DF" w:rsidRPr="003727DF">
        <w:rPr>
          <w:rFonts w:cstheme="minorHAnsi"/>
        </w:rPr>
        <w:t xml:space="preserve">other comprehensive income’ </w:t>
      </w:r>
      <w:r>
        <w:rPr>
          <w:rFonts w:cstheme="minorHAnsi"/>
        </w:rPr>
        <w:t xml:space="preserve">to </w:t>
      </w:r>
      <w:r w:rsidR="003727DF" w:rsidRPr="003727DF">
        <w:rPr>
          <w:rFonts w:cstheme="minorHAnsi"/>
        </w:rPr>
        <w:t>the exte</w:t>
      </w:r>
      <w:r>
        <w:rPr>
          <w:rFonts w:cstheme="minorHAnsi"/>
        </w:rPr>
        <w:t xml:space="preserve">nt that a credit balance exists </w:t>
      </w:r>
      <w:r w:rsidR="003727DF" w:rsidRPr="003727DF">
        <w:rPr>
          <w:rFonts w:cstheme="minorHAnsi"/>
        </w:rPr>
        <w:t>in t</w:t>
      </w:r>
      <w:r>
        <w:rPr>
          <w:rFonts w:cstheme="minorHAnsi"/>
        </w:rPr>
        <w:t xml:space="preserve">he asset revaluation surplus in </w:t>
      </w:r>
      <w:r w:rsidR="003727DF" w:rsidRPr="003727DF">
        <w:rPr>
          <w:rFonts w:cstheme="minorHAnsi"/>
        </w:rPr>
        <w:t>respect of the same class of property,</w:t>
      </w:r>
      <w:r>
        <w:rPr>
          <w:rFonts w:cstheme="minorHAnsi"/>
        </w:rPr>
        <w:t xml:space="preserve"> </w:t>
      </w:r>
      <w:r w:rsidR="003727DF" w:rsidRPr="003727DF">
        <w:rPr>
          <w:rFonts w:cstheme="minorHAnsi"/>
        </w:rPr>
        <w:t>plant and equipment. Otherwise,</w:t>
      </w:r>
      <w:r>
        <w:rPr>
          <w:rFonts w:cstheme="minorHAnsi"/>
        </w:rPr>
        <w:t xml:space="preserve"> </w:t>
      </w:r>
      <w:r w:rsidR="003727DF" w:rsidRPr="003727DF">
        <w:rPr>
          <w:rFonts w:cstheme="minorHAnsi"/>
        </w:rPr>
        <w:t>the net revaluation decreases are</w:t>
      </w:r>
      <w:r>
        <w:rPr>
          <w:rFonts w:cstheme="minorHAnsi"/>
        </w:rPr>
        <w:t xml:space="preserve"> recognised immediately as other </w:t>
      </w:r>
      <w:r w:rsidR="003727DF" w:rsidRPr="003727DF">
        <w:rPr>
          <w:rFonts w:cstheme="minorHAnsi"/>
        </w:rPr>
        <w:t>ec</w:t>
      </w:r>
      <w:r>
        <w:rPr>
          <w:rFonts w:cstheme="minorHAnsi"/>
        </w:rPr>
        <w:t xml:space="preserve">onomic flows in the net result. </w:t>
      </w:r>
      <w:r w:rsidR="003727DF" w:rsidRPr="003727DF">
        <w:rPr>
          <w:rFonts w:cstheme="minorHAnsi"/>
        </w:rPr>
        <w:t>The ne</w:t>
      </w:r>
      <w:r>
        <w:rPr>
          <w:rFonts w:cstheme="minorHAnsi"/>
        </w:rPr>
        <w:t xml:space="preserve">t revaluation decrease </w:t>
      </w:r>
      <w:r w:rsidR="003727DF" w:rsidRPr="003727DF">
        <w:rPr>
          <w:rFonts w:cstheme="minorHAnsi"/>
        </w:rPr>
        <w:t>recogn</w:t>
      </w:r>
      <w:r>
        <w:rPr>
          <w:rFonts w:cstheme="minorHAnsi"/>
        </w:rPr>
        <w:t xml:space="preserve">ised in ‘other economic flows - </w:t>
      </w:r>
      <w:r w:rsidR="003727DF" w:rsidRPr="003727DF">
        <w:rPr>
          <w:rFonts w:cstheme="minorHAnsi"/>
        </w:rPr>
        <w:t>othe</w:t>
      </w:r>
      <w:r>
        <w:rPr>
          <w:rFonts w:cstheme="minorHAnsi"/>
        </w:rPr>
        <w:t xml:space="preserve">r comprehensive income’ reduces </w:t>
      </w:r>
      <w:r w:rsidR="003727DF" w:rsidRPr="003727DF">
        <w:rPr>
          <w:rFonts w:cstheme="minorHAnsi"/>
        </w:rPr>
        <w:t>the amo</w:t>
      </w:r>
      <w:r>
        <w:rPr>
          <w:rFonts w:cstheme="minorHAnsi"/>
        </w:rPr>
        <w:t xml:space="preserve">unt accumulated in equity under </w:t>
      </w:r>
      <w:r w:rsidR="003727DF" w:rsidRPr="003727DF">
        <w:rPr>
          <w:rFonts w:cstheme="minorHAnsi"/>
        </w:rPr>
        <w:t>the asset revaluation surplus.</w:t>
      </w:r>
    </w:p>
    <w:p w:rsidR="003727DF" w:rsidRPr="003727DF" w:rsidRDefault="003727DF" w:rsidP="003727DF">
      <w:pPr>
        <w:pStyle w:val="NoSpacing"/>
        <w:rPr>
          <w:rFonts w:cstheme="minorHAnsi"/>
        </w:rPr>
      </w:pPr>
      <w:r w:rsidRPr="003727DF">
        <w:rPr>
          <w:rFonts w:cstheme="minorHAnsi"/>
        </w:rPr>
        <w:t>Revalu</w:t>
      </w:r>
      <w:r w:rsidR="006E3F43">
        <w:rPr>
          <w:rFonts w:cstheme="minorHAnsi"/>
        </w:rPr>
        <w:t xml:space="preserve">ation increases and revaluation </w:t>
      </w:r>
      <w:r w:rsidRPr="003727DF">
        <w:rPr>
          <w:rFonts w:cstheme="minorHAnsi"/>
        </w:rPr>
        <w:t>decrease</w:t>
      </w:r>
      <w:r w:rsidR="006E3F43">
        <w:rPr>
          <w:rFonts w:cstheme="minorHAnsi"/>
        </w:rPr>
        <w:t xml:space="preserve">s relating to individual assets </w:t>
      </w:r>
      <w:r w:rsidRPr="003727DF">
        <w:rPr>
          <w:rFonts w:cstheme="minorHAnsi"/>
        </w:rPr>
        <w:t>within a cl</w:t>
      </w:r>
      <w:r w:rsidR="006E3F43">
        <w:rPr>
          <w:rFonts w:cstheme="minorHAnsi"/>
        </w:rPr>
        <w:t xml:space="preserve">ass of property, plant and </w:t>
      </w:r>
      <w:r w:rsidRPr="003727DF">
        <w:rPr>
          <w:rFonts w:cstheme="minorHAnsi"/>
        </w:rPr>
        <w:t>e</w:t>
      </w:r>
      <w:r w:rsidR="006E3F43">
        <w:rPr>
          <w:rFonts w:cstheme="minorHAnsi"/>
        </w:rPr>
        <w:t xml:space="preserve">quipment are offset against one </w:t>
      </w:r>
      <w:r w:rsidRPr="003727DF">
        <w:rPr>
          <w:rFonts w:cstheme="minorHAnsi"/>
        </w:rPr>
        <w:t>anothe</w:t>
      </w:r>
      <w:r w:rsidR="006E3F43">
        <w:rPr>
          <w:rFonts w:cstheme="minorHAnsi"/>
        </w:rPr>
        <w:t xml:space="preserve">r within that class but are not </w:t>
      </w:r>
      <w:r w:rsidRPr="003727DF">
        <w:rPr>
          <w:rFonts w:cstheme="minorHAnsi"/>
        </w:rPr>
        <w:t>offset in</w:t>
      </w:r>
      <w:r w:rsidR="006E3F43">
        <w:rPr>
          <w:rFonts w:cstheme="minorHAnsi"/>
        </w:rPr>
        <w:t xml:space="preserve"> respect of assets in different </w:t>
      </w:r>
      <w:r w:rsidRPr="003727DF">
        <w:rPr>
          <w:rFonts w:cstheme="minorHAnsi"/>
        </w:rPr>
        <w:t>classes</w:t>
      </w:r>
      <w:r w:rsidR="006E3F43">
        <w:rPr>
          <w:rFonts w:cstheme="minorHAnsi"/>
        </w:rPr>
        <w:t xml:space="preserve">. The asset revaluation surplus </w:t>
      </w:r>
      <w:r w:rsidRPr="003727DF">
        <w:rPr>
          <w:rFonts w:cstheme="minorHAnsi"/>
        </w:rPr>
        <w:t>is not t</w:t>
      </w:r>
      <w:r w:rsidR="006E3F43">
        <w:rPr>
          <w:rFonts w:cstheme="minorHAnsi"/>
        </w:rPr>
        <w:t xml:space="preserve">ransferred to accumulated funds </w:t>
      </w:r>
      <w:r w:rsidRPr="003727DF">
        <w:rPr>
          <w:rFonts w:cstheme="minorHAnsi"/>
        </w:rPr>
        <w:t>on derecognition of the relevant asset.</w:t>
      </w:r>
    </w:p>
    <w:p w:rsidR="003727DF" w:rsidRDefault="003727DF" w:rsidP="003727DF">
      <w:pPr>
        <w:pStyle w:val="NoSpacing"/>
        <w:rPr>
          <w:rFonts w:cstheme="minorHAnsi"/>
        </w:rPr>
      </w:pPr>
      <w:r w:rsidRPr="003727DF">
        <w:rPr>
          <w:rFonts w:cstheme="minorHAnsi"/>
        </w:rPr>
        <w:t>R</w:t>
      </w:r>
      <w:r w:rsidR="006E3F43">
        <w:rPr>
          <w:rFonts w:cstheme="minorHAnsi"/>
        </w:rPr>
        <w:t xml:space="preserve">efer to Note 7.3 for additional </w:t>
      </w:r>
      <w:r w:rsidRPr="003727DF">
        <w:rPr>
          <w:rFonts w:cstheme="minorHAnsi"/>
        </w:rPr>
        <w:t>informat</w:t>
      </w:r>
      <w:r w:rsidR="006E3F43">
        <w:rPr>
          <w:rFonts w:cstheme="minorHAnsi"/>
        </w:rPr>
        <w:t xml:space="preserve">ion on fair value determination </w:t>
      </w:r>
      <w:r w:rsidRPr="003727DF">
        <w:rPr>
          <w:rFonts w:cstheme="minorHAnsi"/>
        </w:rPr>
        <w:t>of property, plant and equipment.</w:t>
      </w:r>
    </w:p>
    <w:p w:rsidR="006E3F43" w:rsidRDefault="006E3F43" w:rsidP="003727DF">
      <w:pPr>
        <w:pStyle w:val="NoSpacing"/>
        <w:rPr>
          <w:rFonts w:cstheme="minorHAnsi"/>
        </w:rPr>
      </w:pPr>
    </w:p>
    <w:p w:rsidR="006E3F43" w:rsidRDefault="006E3F43" w:rsidP="003727DF">
      <w:pPr>
        <w:pStyle w:val="NoSpacing"/>
        <w:rPr>
          <w:rFonts w:cstheme="minorHAnsi"/>
        </w:rPr>
      </w:pPr>
      <w:r>
        <w:rPr>
          <w:rFonts w:cstheme="minorHAnsi"/>
        </w:rPr>
        <w:t>&lt;pp&gt;</w:t>
      </w:r>
      <w:r w:rsidR="007829BB">
        <w:rPr>
          <w:rFonts w:cstheme="minorHAnsi"/>
        </w:rPr>
        <w:t>57</w:t>
      </w:r>
    </w:p>
    <w:p w:rsidR="006E3F43" w:rsidRDefault="006E3F43" w:rsidP="003727DF">
      <w:pPr>
        <w:pStyle w:val="NoSpacing"/>
        <w:rPr>
          <w:rFonts w:cstheme="minorHAnsi"/>
        </w:rPr>
      </w:pPr>
    </w:p>
    <w:p w:rsidR="00DE1A91" w:rsidRDefault="00DE1A91" w:rsidP="003727DF">
      <w:pPr>
        <w:pStyle w:val="NoSpacing"/>
        <w:rPr>
          <w:rFonts w:cstheme="minorHAnsi"/>
          <w:caps/>
        </w:rPr>
        <w:sectPr w:rsidR="00DE1A91">
          <w:pgSz w:w="11906" w:h="16838"/>
          <w:pgMar w:top="1440" w:right="1440" w:bottom="1440" w:left="1440" w:header="708" w:footer="708" w:gutter="0"/>
          <w:cols w:space="708"/>
          <w:docGrid w:linePitch="360"/>
        </w:sectPr>
      </w:pPr>
    </w:p>
    <w:p w:rsidR="006E3F43" w:rsidRPr="006E3F43" w:rsidRDefault="006E3F43" w:rsidP="00D36BB2">
      <w:pPr>
        <w:pStyle w:val="Heading3"/>
      </w:pPr>
      <w:r w:rsidRPr="006E3F43">
        <w:lastRenderedPageBreak/>
        <w:t>4. The assets we invested in (continued)</w:t>
      </w:r>
    </w:p>
    <w:p w:rsidR="006E3F43" w:rsidRDefault="006E3F43" w:rsidP="003727DF">
      <w:pPr>
        <w:pStyle w:val="NoSpacing"/>
        <w:rPr>
          <w:rFonts w:cstheme="minorHAnsi"/>
        </w:rPr>
      </w:pPr>
    </w:p>
    <w:p w:rsidR="006E3F43" w:rsidRDefault="006E3F43" w:rsidP="00D36BB2">
      <w:pPr>
        <w:pStyle w:val="Heading4"/>
      </w:pPr>
      <w:r w:rsidRPr="006E3F43">
        <w:rPr>
          <w:caps/>
        </w:rPr>
        <w:t xml:space="preserve">4.1 </w:t>
      </w:r>
      <w:r w:rsidRPr="006E3F43">
        <w:t>Property, plant and equipment (continued)</w:t>
      </w:r>
    </w:p>
    <w:p w:rsidR="00DE1A91" w:rsidRPr="006E3F43" w:rsidRDefault="00DE1A91" w:rsidP="00D36BB2">
      <w:pPr>
        <w:pStyle w:val="Heading4"/>
        <w:rPr>
          <w:caps/>
        </w:rPr>
      </w:pPr>
    </w:p>
    <w:p w:rsidR="006E3F43" w:rsidRDefault="006E3F43" w:rsidP="00D36BB2">
      <w:pPr>
        <w:pStyle w:val="Heading4"/>
      </w:pPr>
      <w:r>
        <w:t xml:space="preserve">4.1.1 </w:t>
      </w:r>
      <w:r w:rsidRPr="00DE1A91">
        <w:t>Depreciation, amortisation and impairment</w:t>
      </w:r>
    </w:p>
    <w:p w:rsidR="00DE1A91" w:rsidRDefault="00DE1A91" w:rsidP="003727DF">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DE1A91" w:rsidRPr="00AE2D8D" w:rsidTr="00DE1A91">
        <w:tc>
          <w:tcPr>
            <w:tcW w:w="2693" w:type="dxa"/>
            <w:gridSpan w:val="2"/>
          </w:tcPr>
          <w:p w:rsidR="00DE1A91" w:rsidRPr="00AE2D8D" w:rsidRDefault="00DE1A91" w:rsidP="00DE1A91">
            <w:pPr>
              <w:pStyle w:val="NoSpacing"/>
              <w:jc w:val="center"/>
              <w:rPr>
                <w:rFonts w:cstheme="minorHAnsi"/>
                <w:bCs/>
                <w:w w:val="105"/>
              </w:rPr>
            </w:pPr>
            <w:r w:rsidRPr="00AE2D8D">
              <w:rPr>
                <w:rFonts w:cstheme="minorHAnsi"/>
                <w:bCs/>
                <w:w w:val="105"/>
              </w:rPr>
              <w:t>Consolidated</w:t>
            </w:r>
          </w:p>
        </w:tc>
        <w:tc>
          <w:tcPr>
            <w:tcW w:w="2410" w:type="dxa"/>
            <w:gridSpan w:val="2"/>
          </w:tcPr>
          <w:p w:rsidR="00DE1A91" w:rsidRPr="00AE2D8D" w:rsidRDefault="00DE1A91" w:rsidP="00DE1A91">
            <w:pPr>
              <w:pStyle w:val="NoSpacing"/>
              <w:jc w:val="center"/>
              <w:rPr>
                <w:rFonts w:cstheme="minorHAnsi"/>
                <w:bCs/>
                <w:w w:val="105"/>
              </w:rPr>
            </w:pPr>
            <w:r w:rsidRPr="00AE2D8D">
              <w:rPr>
                <w:rFonts w:cstheme="minorHAnsi"/>
                <w:bCs/>
                <w:w w:val="105"/>
              </w:rPr>
              <w:t>Chisholm</w:t>
            </w:r>
          </w:p>
        </w:tc>
      </w:tr>
      <w:tr w:rsidR="00DE1A91" w:rsidRPr="00AE2D8D" w:rsidTr="00DE1A91">
        <w:tc>
          <w:tcPr>
            <w:tcW w:w="1417" w:type="dxa"/>
          </w:tcPr>
          <w:p w:rsidR="00DE1A91" w:rsidRPr="00AE2D8D" w:rsidRDefault="00DE1A91" w:rsidP="00DE1A91">
            <w:pPr>
              <w:pStyle w:val="NoSpacing"/>
              <w:jc w:val="right"/>
              <w:rPr>
                <w:rFonts w:cstheme="minorHAnsi"/>
                <w:bCs/>
                <w:w w:val="105"/>
              </w:rPr>
            </w:pPr>
            <w:r w:rsidRPr="00AE2D8D">
              <w:rPr>
                <w:rFonts w:cstheme="minorHAnsi"/>
                <w:bCs/>
                <w:w w:val="105"/>
              </w:rPr>
              <w:t>2017</w:t>
            </w:r>
          </w:p>
        </w:tc>
        <w:tc>
          <w:tcPr>
            <w:tcW w:w="1276" w:type="dxa"/>
          </w:tcPr>
          <w:p w:rsidR="00DE1A91" w:rsidRPr="00AE2D8D" w:rsidRDefault="00DE1A91" w:rsidP="00DE1A91">
            <w:pPr>
              <w:pStyle w:val="NoSpacing"/>
              <w:jc w:val="right"/>
              <w:rPr>
                <w:rFonts w:cstheme="minorHAnsi"/>
                <w:bCs/>
                <w:w w:val="105"/>
              </w:rPr>
            </w:pPr>
            <w:r w:rsidRPr="00AE2D8D">
              <w:rPr>
                <w:rFonts w:cstheme="minorHAnsi"/>
                <w:bCs/>
                <w:w w:val="105"/>
              </w:rPr>
              <w:t>2016</w:t>
            </w:r>
          </w:p>
        </w:tc>
        <w:tc>
          <w:tcPr>
            <w:tcW w:w="1276" w:type="dxa"/>
          </w:tcPr>
          <w:p w:rsidR="00DE1A91" w:rsidRPr="00AE2D8D" w:rsidRDefault="00DE1A91" w:rsidP="00DE1A91">
            <w:pPr>
              <w:pStyle w:val="NoSpacing"/>
              <w:jc w:val="right"/>
              <w:rPr>
                <w:rFonts w:cstheme="minorHAnsi"/>
                <w:bCs/>
                <w:w w:val="105"/>
              </w:rPr>
            </w:pPr>
            <w:r w:rsidRPr="00AE2D8D">
              <w:rPr>
                <w:rFonts w:cstheme="minorHAnsi"/>
                <w:bCs/>
                <w:w w:val="105"/>
              </w:rPr>
              <w:t>2017</w:t>
            </w:r>
          </w:p>
        </w:tc>
        <w:tc>
          <w:tcPr>
            <w:tcW w:w="1134" w:type="dxa"/>
          </w:tcPr>
          <w:p w:rsidR="00DE1A91" w:rsidRPr="00AE2D8D" w:rsidRDefault="00DE1A91" w:rsidP="00DE1A91">
            <w:pPr>
              <w:pStyle w:val="NoSpacing"/>
              <w:jc w:val="right"/>
              <w:rPr>
                <w:rFonts w:cstheme="minorHAnsi"/>
                <w:bCs/>
                <w:w w:val="105"/>
              </w:rPr>
            </w:pPr>
            <w:r w:rsidRPr="00AE2D8D">
              <w:rPr>
                <w:rFonts w:cstheme="minorHAnsi"/>
                <w:bCs/>
                <w:w w:val="105"/>
              </w:rPr>
              <w:t>2016</w:t>
            </w:r>
          </w:p>
        </w:tc>
      </w:tr>
      <w:tr w:rsidR="00DE1A91" w:rsidRPr="00AE2D8D" w:rsidTr="00DE1A91">
        <w:tc>
          <w:tcPr>
            <w:tcW w:w="1417" w:type="dxa"/>
          </w:tcPr>
          <w:p w:rsidR="00DE1A91" w:rsidRPr="00AE2D8D" w:rsidRDefault="00DE1A91" w:rsidP="00DE1A91">
            <w:pPr>
              <w:jc w:val="right"/>
              <w:rPr>
                <w:rFonts w:cstheme="minorHAnsi"/>
              </w:rPr>
            </w:pPr>
            <w:r w:rsidRPr="00AE2D8D">
              <w:rPr>
                <w:rFonts w:cstheme="minorHAnsi"/>
                <w:bCs/>
                <w:w w:val="105"/>
              </w:rPr>
              <w:t>$’000</w:t>
            </w:r>
          </w:p>
        </w:tc>
        <w:tc>
          <w:tcPr>
            <w:tcW w:w="1276" w:type="dxa"/>
          </w:tcPr>
          <w:p w:rsidR="00DE1A91" w:rsidRPr="00AE2D8D" w:rsidRDefault="00DE1A91" w:rsidP="00DE1A91">
            <w:pPr>
              <w:jc w:val="right"/>
              <w:rPr>
                <w:rFonts w:cstheme="minorHAnsi"/>
              </w:rPr>
            </w:pPr>
            <w:r w:rsidRPr="00AE2D8D">
              <w:rPr>
                <w:rFonts w:cstheme="minorHAnsi"/>
                <w:bCs/>
                <w:w w:val="105"/>
              </w:rPr>
              <w:t>$’000</w:t>
            </w:r>
          </w:p>
        </w:tc>
        <w:tc>
          <w:tcPr>
            <w:tcW w:w="1276" w:type="dxa"/>
          </w:tcPr>
          <w:p w:rsidR="00DE1A91" w:rsidRPr="00AE2D8D" w:rsidRDefault="00DE1A91" w:rsidP="00DE1A91">
            <w:pPr>
              <w:jc w:val="right"/>
              <w:rPr>
                <w:rFonts w:cstheme="minorHAnsi"/>
              </w:rPr>
            </w:pPr>
            <w:r w:rsidRPr="00AE2D8D">
              <w:rPr>
                <w:rFonts w:cstheme="minorHAnsi"/>
                <w:bCs/>
                <w:w w:val="105"/>
              </w:rPr>
              <w:t>$’000</w:t>
            </w:r>
          </w:p>
        </w:tc>
        <w:tc>
          <w:tcPr>
            <w:tcW w:w="1134" w:type="dxa"/>
          </w:tcPr>
          <w:p w:rsidR="00DE1A91" w:rsidRPr="00AE2D8D" w:rsidRDefault="00DE1A91" w:rsidP="00DE1A91">
            <w:pPr>
              <w:pStyle w:val="NoSpacing"/>
              <w:jc w:val="right"/>
              <w:rPr>
                <w:rFonts w:cstheme="minorHAnsi"/>
                <w:bCs/>
                <w:w w:val="105"/>
              </w:rPr>
            </w:pPr>
            <w:r w:rsidRPr="00AE2D8D">
              <w:rPr>
                <w:rFonts w:cstheme="minorHAnsi"/>
                <w:bCs/>
                <w:w w:val="105"/>
              </w:rPr>
              <w:t>$’000</w:t>
            </w:r>
          </w:p>
        </w:tc>
      </w:tr>
    </w:tbl>
    <w:p w:rsidR="00DE1A91" w:rsidRDefault="00DE1A91" w:rsidP="00DE1A91">
      <w:pPr>
        <w:pStyle w:val="NoSpacing"/>
        <w:rPr>
          <w:rFonts w:cstheme="minorHAnsi"/>
        </w:rPr>
      </w:pPr>
      <w:r>
        <w:rPr>
          <w:rFonts w:cstheme="minorHAnsi"/>
        </w:rPr>
        <w:t>Depreciation and amortisation</w:t>
      </w:r>
    </w:p>
    <w:tbl>
      <w:tblPr>
        <w:tblStyle w:val="TableGrid"/>
        <w:tblW w:w="0" w:type="auto"/>
        <w:tblLook w:val="04A0" w:firstRow="1" w:lastRow="0" w:firstColumn="1" w:lastColumn="0" w:noHBand="0" w:noVBand="1"/>
      </w:tblPr>
      <w:tblGrid>
        <w:gridCol w:w="8784"/>
        <w:gridCol w:w="1417"/>
        <w:gridCol w:w="1276"/>
        <w:gridCol w:w="1276"/>
        <w:gridCol w:w="1134"/>
      </w:tblGrid>
      <w:tr w:rsidR="00DE1A91" w:rsidTr="00DE1A91">
        <w:tc>
          <w:tcPr>
            <w:tcW w:w="8784" w:type="dxa"/>
          </w:tcPr>
          <w:p w:rsidR="00DE1A91" w:rsidRDefault="00DE1A91" w:rsidP="00DE1A91">
            <w:pPr>
              <w:pStyle w:val="NoSpacing"/>
            </w:pPr>
            <w:r>
              <w:t>Buildings</w:t>
            </w:r>
          </w:p>
        </w:tc>
        <w:tc>
          <w:tcPr>
            <w:tcW w:w="1417" w:type="dxa"/>
          </w:tcPr>
          <w:p w:rsidR="00DE1A91" w:rsidRDefault="00DE1A91" w:rsidP="00DE1A91">
            <w:pPr>
              <w:pStyle w:val="NoSpacing"/>
              <w:jc w:val="right"/>
            </w:pPr>
            <w:r>
              <w:t>5,178</w:t>
            </w:r>
          </w:p>
        </w:tc>
        <w:tc>
          <w:tcPr>
            <w:tcW w:w="1276" w:type="dxa"/>
          </w:tcPr>
          <w:p w:rsidR="00DE1A91" w:rsidRDefault="00DE1A91" w:rsidP="00DE1A91">
            <w:pPr>
              <w:pStyle w:val="NoSpacing"/>
              <w:jc w:val="right"/>
            </w:pPr>
            <w:r>
              <w:t>5,299</w:t>
            </w:r>
          </w:p>
        </w:tc>
        <w:tc>
          <w:tcPr>
            <w:tcW w:w="1276" w:type="dxa"/>
          </w:tcPr>
          <w:p w:rsidR="00DE1A91" w:rsidRDefault="00DE1A91" w:rsidP="00DE1A91">
            <w:pPr>
              <w:pStyle w:val="NoSpacing"/>
              <w:jc w:val="right"/>
            </w:pPr>
            <w:r>
              <w:t>5,178</w:t>
            </w:r>
          </w:p>
        </w:tc>
        <w:tc>
          <w:tcPr>
            <w:tcW w:w="1134" w:type="dxa"/>
          </w:tcPr>
          <w:p w:rsidR="00DE1A91" w:rsidRDefault="00DE1A91" w:rsidP="00DE1A91">
            <w:pPr>
              <w:pStyle w:val="NoSpacing"/>
              <w:jc w:val="right"/>
            </w:pPr>
            <w:r>
              <w:t>5,299</w:t>
            </w:r>
          </w:p>
        </w:tc>
      </w:tr>
      <w:tr w:rsidR="00DE1A91" w:rsidTr="00DE1A91">
        <w:tc>
          <w:tcPr>
            <w:tcW w:w="8784" w:type="dxa"/>
          </w:tcPr>
          <w:p w:rsidR="00DE1A91" w:rsidRDefault="00DE1A91" w:rsidP="00DE1A91">
            <w:pPr>
              <w:pStyle w:val="NoSpacing"/>
            </w:pPr>
            <w:r>
              <w:t>Plant and equipment</w:t>
            </w:r>
          </w:p>
        </w:tc>
        <w:tc>
          <w:tcPr>
            <w:tcW w:w="1417" w:type="dxa"/>
          </w:tcPr>
          <w:p w:rsidR="00DE1A91" w:rsidRDefault="00DE1A91" w:rsidP="00DE1A91">
            <w:pPr>
              <w:pStyle w:val="NoSpacing"/>
              <w:jc w:val="right"/>
            </w:pPr>
            <w:r>
              <w:t>1,341</w:t>
            </w:r>
          </w:p>
        </w:tc>
        <w:tc>
          <w:tcPr>
            <w:tcW w:w="1276" w:type="dxa"/>
          </w:tcPr>
          <w:p w:rsidR="00DE1A91" w:rsidRDefault="00DE1A91" w:rsidP="00DE1A91">
            <w:pPr>
              <w:pStyle w:val="NoSpacing"/>
              <w:jc w:val="right"/>
            </w:pPr>
            <w:r>
              <w:t>1,354</w:t>
            </w:r>
          </w:p>
        </w:tc>
        <w:tc>
          <w:tcPr>
            <w:tcW w:w="1276" w:type="dxa"/>
          </w:tcPr>
          <w:p w:rsidR="00DE1A91" w:rsidRDefault="00DE1A91" w:rsidP="00DE1A91">
            <w:pPr>
              <w:pStyle w:val="NoSpacing"/>
              <w:jc w:val="right"/>
            </w:pPr>
            <w:r>
              <w:t>1,336</w:t>
            </w:r>
          </w:p>
        </w:tc>
        <w:tc>
          <w:tcPr>
            <w:tcW w:w="1134" w:type="dxa"/>
          </w:tcPr>
          <w:p w:rsidR="00DE1A91" w:rsidRDefault="00DE1A91" w:rsidP="00DE1A91">
            <w:pPr>
              <w:pStyle w:val="NoSpacing"/>
              <w:jc w:val="right"/>
            </w:pPr>
            <w:r>
              <w:t>1,353</w:t>
            </w:r>
          </w:p>
        </w:tc>
      </w:tr>
      <w:tr w:rsidR="00DE1A91" w:rsidTr="00DE1A91">
        <w:tc>
          <w:tcPr>
            <w:tcW w:w="8784" w:type="dxa"/>
          </w:tcPr>
          <w:p w:rsidR="00DE1A91" w:rsidRDefault="00DE1A91" w:rsidP="00DE1A91">
            <w:pPr>
              <w:pStyle w:val="NoSpacing"/>
            </w:pPr>
            <w:r>
              <w:t>Motor vehicles</w:t>
            </w:r>
          </w:p>
        </w:tc>
        <w:tc>
          <w:tcPr>
            <w:tcW w:w="1417" w:type="dxa"/>
          </w:tcPr>
          <w:p w:rsidR="00DE1A91" w:rsidRDefault="00DE1A91" w:rsidP="00DE1A91">
            <w:pPr>
              <w:pStyle w:val="NoSpacing"/>
              <w:jc w:val="right"/>
            </w:pPr>
            <w:r>
              <w:t>64</w:t>
            </w:r>
          </w:p>
        </w:tc>
        <w:tc>
          <w:tcPr>
            <w:tcW w:w="1276" w:type="dxa"/>
          </w:tcPr>
          <w:p w:rsidR="00DE1A91" w:rsidRDefault="00DE1A91" w:rsidP="00DE1A91">
            <w:pPr>
              <w:pStyle w:val="NoSpacing"/>
              <w:jc w:val="right"/>
            </w:pPr>
            <w:r>
              <w:t>44</w:t>
            </w:r>
          </w:p>
        </w:tc>
        <w:tc>
          <w:tcPr>
            <w:tcW w:w="1276" w:type="dxa"/>
          </w:tcPr>
          <w:p w:rsidR="00DE1A91" w:rsidRDefault="00DE1A91" w:rsidP="00DE1A91">
            <w:pPr>
              <w:pStyle w:val="NoSpacing"/>
              <w:jc w:val="right"/>
            </w:pPr>
            <w:r>
              <w:t>64</w:t>
            </w:r>
          </w:p>
        </w:tc>
        <w:tc>
          <w:tcPr>
            <w:tcW w:w="1134" w:type="dxa"/>
          </w:tcPr>
          <w:p w:rsidR="00DE1A91" w:rsidRDefault="00DE1A91" w:rsidP="00DE1A91">
            <w:pPr>
              <w:pStyle w:val="NoSpacing"/>
              <w:jc w:val="right"/>
            </w:pPr>
            <w:r>
              <w:t>44</w:t>
            </w:r>
          </w:p>
        </w:tc>
      </w:tr>
      <w:tr w:rsidR="00DE1A91" w:rsidTr="00DE1A91">
        <w:tc>
          <w:tcPr>
            <w:tcW w:w="8784" w:type="dxa"/>
          </w:tcPr>
          <w:p w:rsidR="00DE1A91" w:rsidRDefault="00DE1A91" w:rsidP="00DE1A91">
            <w:pPr>
              <w:pStyle w:val="NoSpacing"/>
            </w:pPr>
            <w:r>
              <w:t>Land improvements</w:t>
            </w:r>
          </w:p>
        </w:tc>
        <w:tc>
          <w:tcPr>
            <w:tcW w:w="1417" w:type="dxa"/>
          </w:tcPr>
          <w:p w:rsidR="00DE1A91" w:rsidRDefault="00DE1A91" w:rsidP="00DE1A91">
            <w:pPr>
              <w:pStyle w:val="NoSpacing"/>
              <w:jc w:val="right"/>
            </w:pPr>
            <w:r>
              <w:t>80</w:t>
            </w:r>
          </w:p>
        </w:tc>
        <w:tc>
          <w:tcPr>
            <w:tcW w:w="1276" w:type="dxa"/>
          </w:tcPr>
          <w:p w:rsidR="00DE1A91" w:rsidRDefault="00DE1A91" w:rsidP="00DE1A91">
            <w:pPr>
              <w:pStyle w:val="NoSpacing"/>
              <w:jc w:val="right"/>
            </w:pPr>
            <w:r>
              <w:t>77</w:t>
            </w:r>
          </w:p>
        </w:tc>
        <w:tc>
          <w:tcPr>
            <w:tcW w:w="1276" w:type="dxa"/>
          </w:tcPr>
          <w:p w:rsidR="00DE1A91" w:rsidRDefault="00DE1A91" w:rsidP="00DE1A91">
            <w:pPr>
              <w:pStyle w:val="NoSpacing"/>
              <w:jc w:val="right"/>
            </w:pPr>
            <w:r>
              <w:t>80</w:t>
            </w:r>
          </w:p>
        </w:tc>
        <w:tc>
          <w:tcPr>
            <w:tcW w:w="1134" w:type="dxa"/>
          </w:tcPr>
          <w:p w:rsidR="00DE1A91" w:rsidRDefault="00DE1A91" w:rsidP="00DE1A91">
            <w:pPr>
              <w:pStyle w:val="NoSpacing"/>
              <w:jc w:val="right"/>
            </w:pPr>
            <w:r>
              <w:t>77</w:t>
            </w:r>
          </w:p>
        </w:tc>
      </w:tr>
      <w:tr w:rsidR="00DE1A91" w:rsidTr="00DE1A91">
        <w:tc>
          <w:tcPr>
            <w:tcW w:w="8784" w:type="dxa"/>
          </w:tcPr>
          <w:p w:rsidR="00DE1A91" w:rsidRDefault="00DE1A91" w:rsidP="00DE1A91">
            <w:pPr>
              <w:pStyle w:val="NoSpacing"/>
            </w:pPr>
            <w:r>
              <w:t xml:space="preserve">Leasehold improvements </w:t>
            </w:r>
          </w:p>
        </w:tc>
        <w:tc>
          <w:tcPr>
            <w:tcW w:w="1417" w:type="dxa"/>
          </w:tcPr>
          <w:p w:rsidR="00DE1A91" w:rsidRDefault="00DE1A91" w:rsidP="00DE1A91">
            <w:pPr>
              <w:pStyle w:val="NoSpacing"/>
              <w:jc w:val="right"/>
            </w:pPr>
            <w:r>
              <w:t>456</w:t>
            </w:r>
          </w:p>
        </w:tc>
        <w:tc>
          <w:tcPr>
            <w:tcW w:w="1276" w:type="dxa"/>
          </w:tcPr>
          <w:p w:rsidR="00DE1A91" w:rsidRDefault="00DE1A91" w:rsidP="00DE1A91">
            <w:pPr>
              <w:pStyle w:val="NoSpacing"/>
              <w:jc w:val="right"/>
            </w:pPr>
            <w:r>
              <w:t>543</w:t>
            </w:r>
          </w:p>
        </w:tc>
        <w:tc>
          <w:tcPr>
            <w:tcW w:w="1276" w:type="dxa"/>
          </w:tcPr>
          <w:p w:rsidR="00DE1A91" w:rsidRDefault="00DE1A91" w:rsidP="00DE1A91">
            <w:pPr>
              <w:pStyle w:val="NoSpacing"/>
              <w:jc w:val="right"/>
            </w:pPr>
            <w:r>
              <w:t>339</w:t>
            </w:r>
          </w:p>
        </w:tc>
        <w:tc>
          <w:tcPr>
            <w:tcW w:w="1134" w:type="dxa"/>
          </w:tcPr>
          <w:p w:rsidR="00DE1A91" w:rsidRDefault="00DE1A91" w:rsidP="00DE1A91">
            <w:pPr>
              <w:pStyle w:val="NoSpacing"/>
              <w:jc w:val="right"/>
            </w:pPr>
            <w:r>
              <w:t>502</w:t>
            </w:r>
          </w:p>
        </w:tc>
      </w:tr>
      <w:tr w:rsidR="00DE1A91" w:rsidTr="00DE1A91">
        <w:tc>
          <w:tcPr>
            <w:tcW w:w="8784" w:type="dxa"/>
          </w:tcPr>
          <w:p w:rsidR="00DE1A91" w:rsidRDefault="00DE1A91" w:rsidP="00DE1A91">
            <w:pPr>
              <w:pStyle w:val="NoSpacing"/>
            </w:pPr>
            <w:r>
              <w:t>Total depreciation</w:t>
            </w:r>
          </w:p>
        </w:tc>
        <w:tc>
          <w:tcPr>
            <w:tcW w:w="1417" w:type="dxa"/>
          </w:tcPr>
          <w:p w:rsidR="00DE1A91" w:rsidRDefault="00DE1A91" w:rsidP="00DE1A91">
            <w:pPr>
              <w:pStyle w:val="NoSpacing"/>
              <w:jc w:val="right"/>
            </w:pPr>
            <w:r>
              <w:t>7,120</w:t>
            </w:r>
          </w:p>
        </w:tc>
        <w:tc>
          <w:tcPr>
            <w:tcW w:w="1276" w:type="dxa"/>
          </w:tcPr>
          <w:p w:rsidR="00DE1A91" w:rsidRDefault="00DE1A91" w:rsidP="00DE1A91">
            <w:pPr>
              <w:pStyle w:val="NoSpacing"/>
              <w:jc w:val="right"/>
            </w:pPr>
            <w:r>
              <w:t>7,317</w:t>
            </w:r>
          </w:p>
        </w:tc>
        <w:tc>
          <w:tcPr>
            <w:tcW w:w="1276" w:type="dxa"/>
          </w:tcPr>
          <w:p w:rsidR="00DE1A91" w:rsidRDefault="00DE1A91" w:rsidP="00DE1A91">
            <w:pPr>
              <w:pStyle w:val="NoSpacing"/>
              <w:jc w:val="right"/>
            </w:pPr>
            <w:r>
              <w:t>6,997</w:t>
            </w:r>
          </w:p>
        </w:tc>
        <w:tc>
          <w:tcPr>
            <w:tcW w:w="1134" w:type="dxa"/>
          </w:tcPr>
          <w:p w:rsidR="00DE1A91" w:rsidRDefault="00DE1A91" w:rsidP="00DE1A91">
            <w:pPr>
              <w:pStyle w:val="NoSpacing"/>
              <w:jc w:val="right"/>
            </w:pPr>
            <w:r>
              <w:t>7,275</w:t>
            </w:r>
          </w:p>
        </w:tc>
      </w:tr>
    </w:tbl>
    <w:p w:rsidR="00DE1A91" w:rsidRDefault="00DE1A91" w:rsidP="003727DF">
      <w:pPr>
        <w:pStyle w:val="NoSpacing"/>
        <w:rPr>
          <w:rFonts w:cstheme="minorHAnsi"/>
        </w:rPr>
      </w:pPr>
    </w:p>
    <w:p w:rsidR="00DE1A91" w:rsidRDefault="00DE1A91" w:rsidP="003727DF">
      <w:pPr>
        <w:pStyle w:val="NoSpacing"/>
        <w:rPr>
          <w:rFonts w:cstheme="minorHAnsi"/>
        </w:rPr>
      </w:pPr>
      <w:r>
        <w:rPr>
          <w:rFonts w:cstheme="minorHAnsi"/>
        </w:rPr>
        <w:t>Amortisation of non-current physical and intangible assets</w:t>
      </w:r>
    </w:p>
    <w:tbl>
      <w:tblPr>
        <w:tblStyle w:val="TableGrid"/>
        <w:tblW w:w="0" w:type="auto"/>
        <w:tblLook w:val="04A0" w:firstRow="1" w:lastRow="0" w:firstColumn="1" w:lastColumn="0" w:noHBand="0" w:noVBand="1"/>
      </w:tblPr>
      <w:tblGrid>
        <w:gridCol w:w="8784"/>
        <w:gridCol w:w="1417"/>
        <w:gridCol w:w="1276"/>
        <w:gridCol w:w="1276"/>
        <w:gridCol w:w="1134"/>
      </w:tblGrid>
      <w:tr w:rsidR="00DE1A91" w:rsidTr="00DE1A91">
        <w:tc>
          <w:tcPr>
            <w:tcW w:w="8784" w:type="dxa"/>
          </w:tcPr>
          <w:p w:rsidR="00DE1A91" w:rsidRDefault="00DE1A91" w:rsidP="00DE1A91">
            <w:pPr>
              <w:pStyle w:val="NoSpacing"/>
            </w:pPr>
            <w:r>
              <w:t>Software</w:t>
            </w:r>
          </w:p>
        </w:tc>
        <w:tc>
          <w:tcPr>
            <w:tcW w:w="1417" w:type="dxa"/>
          </w:tcPr>
          <w:p w:rsidR="00DE1A91" w:rsidRDefault="00DE1A91" w:rsidP="00DE1A91">
            <w:pPr>
              <w:pStyle w:val="NoSpacing"/>
              <w:jc w:val="right"/>
            </w:pPr>
            <w:r>
              <w:t>1,093</w:t>
            </w:r>
          </w:p>
        </w:tc>
        <w:tc>
          <w:tcPr>
            <w:tcW w:w="1276" w:type="dxa"/>
          </w:tcPr>
          <w:p w:rsidR="00DE1A91" w:rsidRDefault="00DE1A91" w:rsidP="00DE1A91">
            <w:pPr>
              <w:pStyle w:val="NoSpacing"/>
              <w:jc w:val="right"/>
            </w:pPr>
            <w:r>
              <w:t>1,027</w:t>
            </w:r>
          </w:p>
        </w:tc>
        <w:tc>
          <w:tcPr>
            <w:tcW w:w="1276" w:type="dxa"/>
          </w:tcPr>
          <w:p w:rsidR="00DE1A91" w:rsidRDefault="00DE1A91" w:rsidP="00DE1A91">
            <w:pPr>
              <w:pStyle w:val="NoSpacing"/>
              <w:jc w:val="right"/>
            </w:pPr>
            <w:r>
              <w:t>596</w:t>
            </w:r>
          </w:p>
        </w:tc>
        <w:tc>
          <w:tcPr>
            <w:tcW w:w="1134" w:type="dxa"/>
          </w:tcPr>
          <w:p w:rsidR="00DE1A91" w:rsidRDefault="00DE1A91" w:rsidP="00DE1A91">
            <w:pPr>
              <w:pStyle w:val="NoSpacing"/>
              <w:jc w:val="right"/>
            </w:pPr>
            <w:r>
              <w:t>597</w:t>
            </w:r>
          </w:p>
        </w:tc>
      </w:tr>
      <w:tr w:rsidR="00DE1A91" w:rsidTr="00DE1A91">
        <w:tc>
          <w:tcPr>
            <w:tcW w:w="8784" w:type="dxa"/>
          </w:tcPr>
          <w:p w:rsidR="00DE1A91" w:rsidRDefault="00DE1A91" w:rsidP="00DE1A91">
            <w:pPr>
              <w:pStyle w:val="NoSpacing"/>
            </w:pPr>
            <w:r>
              <w:t>Total amortisation</w:t>
            </w:r>
          </w:p>
        </w:tc>
        <w:tc>
          <w:tcPr>
            <w:tcW w:w="1417" w:type="dxa"/>
          </w:tcPr>
          <w:p w:rsidR="00DE1A91" w:rsidRDefault="00DE1A91" w:rsidP="00DE1A91">
            <w:pPr>
              <w:pStyle w:val="NoSpacing"/>
              <w:jc w:val="right"/>
            </w:pPr>
            <w:r>
              <w:t>1,093</w:t>
            </w:r>
          </w:p>
        </w:tc>
        <w:tc>
          <w:tcPr>
            <w:tcW w:w="1276" w:type="dxa"/>
          </w:tcPr>
          <w:p w:rsidR="00DE1A91" w:rsidRDefault="00DE1A91" w:rsidP="00DE1A91">
            <w:pPr>
              <w:pStyle w:val="NoSpacing"/>
              <w:jc w:val="right"/>
            </w:pPr>
            <w:r>
              <w:t>1,027</w:t>
            </w:r>
          </w:p>
        </w:tc>
        <w:tc>
          <w:tcPr>
            <w:tcW w:w="1276" w:type="dxa"/>
          </w:tcPr>
          <w:p w:rsidR="00DE1A91" w:rsidRDefault="00DE1A91" w:rsidP="00DE1A91">
            <w:pPr>
              <w:pStyle w:val="NoSpacing"/>
              <w:jc w:val="right"/>
            </w:pPr>
            <w:r>
              <w:t>596</w:t>
            </w:r>
          </w:p>
        </w:tc>
        <w:tc>
          <w:tcPr>
            <w:tcW w:w="1134" w:type="dxa"/>
          </w:tcPr>
          <w:p w:rsidR="00DE1A91" w:rsidRDefault="00DE1A91" w:rsidP="00DE1A91">
            <w:pPr>
              <w:pStyle w:val="NoSpacing"/>
              <w:jc w:val="right"/>
            </w:pPr>
            <w:r>
              <w:t>597</w:t>
            </w:r>
          </w:p>
        </w:tc>
      </w:tr>
    </w:tbl>
    <w:p w:rsidR="00DE1A91" w:rsidRDefault="00DE1A91" w:rsidP="003727DF">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276"/>
        <w:gridCol w:w="1134"/>
      </w:tblGrid>
      <w:tr w:rsidR="00DE1A91" w:rsidTr="00DE1A91">
        <w:tc>
          <w:tcPr>
            <w:tcW w:w="8784" w:type="dxa"/>
          </w:tcPr>
          <w:p w:rsidR="00DE1A91" w:rsidRDefault="00DE1A91" w:rsidP="00DE1A91">
            <w:pPr>
              <w:pStyle w:val="NoSpacing"/>
            </w:pPr>
            <w:r>
              <w:t>Total depreciation and amortisation</w:t>
            </w:r>
          </w:p>
        </w:tc>
        <w:tc>
          <w:tcPr>
            <w:tcW w:w="1417" w:type="dxa"/>
          </w:tcPr>
          <w:p w:rsidR="00DE1A91" w:rsidRDefault="00DE1A91" w:rsidP="00DE1A91">
            <w:pPr>
              <w:pStyle w:val="NoSpacing"/>
              <w:jc w:val="right"/>
            </w:pPr>
            <w:r>
              <w:t>8,213</w:t>
            </w:r>
          </w:p>
        </w:tc>
        <w:tc>
          <w:tcPr>
            <w:tcW w:w="1276" w:type="dxa"/>
          </w:tcPr>
          <w:p w:rsidR="00DE1A91" w:rsidRDefault="00DE1A91" w:rsidP="00DE1A91">
            <w:pPr>
              <w:pStyle w:val="NoSpacing"/>
              <w:jc w:val="right"/>
            </w:pPr>
            <w:r>
              <w:t>8,344</w:t>
            </w:r>
          </w:p>
        </w:tc>
        <w:tc>
          <w:tcPr>
            <w:tcW w:w="1276" w:type="dxa"/>
          </w:tcPr>
          <w:p w:rsidR="00DE1A91" w:rsidRDefault="00DE1A91" w:rsidP="00DE1A91">
            <w:pPr>
              <w:pStyle w:val="NoSpacing"/>
              <w:jc w:val="right"/>
            </w:pPr>
            <w:r>
              <w:t>7,593</w:t>
            </w:r>
          </w:p>
        </w:tc>
        <w:tc>
          <w:tcPr>
            <w:tcW w:w="1134" w:type="dxa"/>
          </w:tcPr>
          <w:p w:rsidR="00DE1A91" w:rsidRDefault="00DE1A91" w:rsidP="00DE1A91">
            <w:pPr>
              <w:pStyle w:val="NoSpacing"/>
              <w:jc w:val="right"/>
            </w:pPr>
            <w:r>
              <w:t>7,872</w:t>
            </w:r>
          </w:p>
        </w:tc>
      </w:tr>
    </w:tbl>
    <w:p w:rsidR="00DE1A91" w:rsidRDefault="00DE1A91" w:rsidP="003727DF">
      <w:pPr>
        <w:pStyle w:val="NoSpacing"/>
        <w:rPr>
          <w:rFonts w:cstheme="minorHAnsi"/>
        </w:rPr>
      </w:pPr>
    </w:p>
    <w:p w:rsidR="006E3F43" w:rsidRDefault="006E3F43" w:rsidP="003727DF">
      <w:pPr>
        <w:pStyle w:val="NoSpacing"/>
        <w:rPr>
          <w:rFonts w:cstheme="minorHAnsi"/>
        </w:rPr>
      </w:pPr>
    </w:p>
    <w:p w:rsidR="006E3F43" w:rsidRDefault="006E3F43" w:rsidP="006E3F43">
      <w:pPr>
        <w:pStyle w:val="NoSpacing"/>
      </w:pPr>
      <w:r>
        <w:t>Depreciation is provided on property, plant and equipment, including freehold buildings but excluding land.</w:t>
      </w:r>
    </w:p>
    <w:p w:rsidR="006E3F43" w:rsidRDefault="006E3F43" w:rsidP="006E3F43">
      <w:pPr>
        <w:pStyle w:val="NoSpacing"/>
      </w:pPr>
      <w:r>
        <w:t>Depreciation is generally calculated on a straight-line basis, at rates that allocate the asset’s value, less any estimated residual value, over its estimated useful life. Leasehold improvements are depreciated over the period of the lease or estimated useful life, whichever is the shorter, using the straight-line method.</w:t>
      </w:r>
    </w:p>
    <w:p w:rsidR="006E3F43" w:rsidRDefault="006E3F43" w:rsidP="006E3F43">
      <w:pPr>
        <w:pStyle w:val="NoSpacing"/>
      </w:pPr>
      <w:r>
        <w:t>Depreciation methods and rates used for each class of depreciable assets are:</w:t>
      </w:r>
    </w:p>
    <w:p w:rsidR="00DE1A91" w:rsidRDefault="00DE1A91" w:rsidP="006E3F43">
      <w:pPr>
        <w:pStyle w:val="NoSpacing"/>
      </w:pPr>
    </w:p>
    <w:tbl>
      <w:tblPr>
        <w:tblStyle w:val="TableGrid"/>
        <w:tblW w:w="0" w:type="auto"/>
        <w:tblLook w:val="04A0" w:firstRow="1" w:lastRow="0" w:firstColumn="1" w:lastColumn="0" w:noHBand="0" w:noVBand="1"/>
      </w:tblPr>
      <w:tblGrid>
        <w:gridCol w:w="6974"/>
        <w:gridCol w:w="6974"/>
      </w:tblGrid>
      <w:tr w:rsidR="00DE1A91" w:rsidTr="00DE1A91">
        <w:tc>
          <w:tcPr>
            <w:tcW w:w="6974" w:type="dxa"/>
          </w:tcPr>
          <w:p w:rsidR="00DE1A91" w:rsidRDefault="00DE1A91" w:rsidP="006E3F43">
            <w:pPr>
              <w:pStyle w:val="NoSpacing"/>
              <w:rPr>
                <w:rFonts w:cstheme="minorHAnsi"/>
              </w:rPr>
            </w:pPr>
            <w:r>
              <w:rPr>
                <w:rFonts w:cstheme="minorHAnsi"/>
              </w:rPr>
              <w:t>Class of Assets</w:t>
            </w:r>
          </w:p>
        </w:tc>
        <w:tc>
          <w:tcPr>
            <w:tcW w:w="6974" w:type="dxa"/>
          </w:tcPr>
          <w:p w:rsidR="00DE1A91" w:rsidRDefault="00DE1A91" w:rsidP="006E3F43">
            <w:pPr>
              <w:pStyle w:val="NoSpacing"/>
              <w:rPr>
                <w:rFonts w:cstheme="minorHAnsi"/>
              </w:rPr>
            </w:pPr>
            <w:r>
              <w:rPr>
                <w:rFonts w:cstheme="minorHAnsi"/>
              </w:rPr>
              <w:t>Useful Life</w:t>
            </w:r>
          </w:p>
        </w:tc>
      </w:tr>
      <w:tr w:rsidR="00DE1A91" w:rsidTr="00DE1A91">
        <w:tc>
          <w:tcPr>
            <w:tcW w:w="6974" w:type="dxa"/>
          </w:tcPr>
          <w:p w:rsidR="00DE1A91" w:rsidRDefault="00DE1A91" w:rsidP="006E3F43">
            <w:pPr>
              <w:pStyle w:val="NoSpacing"/>
              <w:rPr>
                <w:rFonts w:cstheme="minorHAnsi"/>
              </w:rPr>
            </w:pPr>
            <w:r>
              <w:rPr>
                <w:rFonts w:cstheme="minorHAnsi"/>
              </w:rPr>
              <w:lastRenderedPageBreak/>
              <w:t xml:space="preserve">Buildings </w:t>
            </w:r>
          </w:p>
        </w:tc>
        <w:tc>
          <w:tcPr>
            <w:tcW w:w="6974" w:type="dxa"/>
          </w:tcPr>
          <w:p w:rsidR="00DE1A91" w:rsidRDefault="003444A2" w:rsidP="006E3F43">
            <w:pPr>
              <w:pStyle w:val="NoSpacing"/>
              <w:rPr>
                <w:rFonts w:cstheme="minorHAnsi"/>
              </w:rPr>
            </w:pPr>
            <w:r>
              <w:rPr>
                <w:rFonts w:cstheme="minorHAnsi"/>
              </w:rPr>
              <w:t>5-60 years (2016: 5-60 years)</w:t>
            </w:r>
          </w:p>
        </w:tc>
      </w:tr>
      <w:tr w:rsidR="00DE1A91" w:rsidTr="00DE1A91">
        <w:tc>
          <w:tcPr>
            <w:tcW w:w="6974" w:type="dxa"/>
          </w:tcPr>
          <w:p w:rsidR="00DE1A91" w:rsidRDefault="00DE1A91" w:rsidP="006E3F43">
            <w:pPr>
              <w:pStyle w:val="NoSpacing"/>
              <w:rPr>
                <w:rFonts w:cstheme="minorHAnsi"/>
              </w:rPr>
            </w:pPr>
            <w:r>
              <w:rPr>
                <w:rFonts w:cstheme="minorHAnsi"/>
              </w:rPr>
              <w:t>Plant and equipment</w:t>
            </w:r>
          </w:p>
        </w:tc>
        <w:tc>
          <w:tcPr>
            <w:tcW w:w="6974" w:type="dxa"/>
          </w:tcPr>
          <w:p w:rsidR="00DE1A91" w:rsidRDefault="003444A2" w:rsidP="006E3F43">
            <w:pPr>
              <w:pStyle w:val="NoSpacing"/>
              <w:rPr>
                <w:rFonts w:cstheme="minorHAnsi"/>
              </w:rPr>
            </w:pPr>
            <w:r>
              <w:rPr>
                <w:rFonts w:cstheme="minorHAnsi"/>
              </w:rPr>
              <w:t>3-10 years (2016: 3-10 years)</w:t>
            </w:r>
          </w:p>
        </w:tc>
      </w:tr>
      <w:tr w:rsidR="00DE1A91" w:rsidTr="00DE1A91">
        <w:tc>
          <w:tcPr>
            <w:tcW w:w="6974" w:type="dxa"/>
          </w:tcPr>
          <w:p w:rsidR="00DE1A91" w:rsidRDefault="00DE1A91" w:rsidP="006E3F43">
            <w:pPr>
              <w:pStyle w:val="NoSpacing"/>
              <w:rPr>
                <w:rFonts w:cstheme="minorHAnsi"/>
              </w:rPr>
            </w:pPr>
            <w:r>
              <w:rPr>
                <w:rFonts w:cstheme="minorHAnsi"/>
              </w:rPr>
              <w:t>Motor vehicles</w:t>
            </w:r>
          </w:p>
        </w:tc>
        <w:tc>
          <w:tcPr>
            <w:tcW w:w="6974" w:type="dxa"/>
          </w:tcPr>
          <w:p w:rsidR="00DE1A91" w:rsidRDefault="003444A2" w:rsidP="006E3F43">
            <w:pPr>
              <w:pStyle w:val="NoSpacing"/>
              <w:rPr>
                <w:rFonts w:cstheme="minorHAnsi"/>
              </w:rPr>
            </w:pPr>
            <w:r>
              <w:rPr>
                <w:rFonts w:cstheme="minorHAnsi"/>
              </w:rPr>
              <w:t>6.6 years (2016: 6.6 years)</w:t>
            </w:r>
          </w:p>
        </w:tc>
      </w:tr>
      <w:tr w:rsidR="00DE1A91" w:rsidTr="00DE1A91">
        <w:tc>
          <w:tcPr>
            <w:tcW w:w="6974" w:type="dxa"/>
          </w:tcPr>
          <w:p w:rsidR="00DE1A91" w:rsidRDefault="00DE1A91" w:rsidP="006E3F43">
            <w:pPr>
              <w:pStyle w:val="NoSpacing"/>
              <w:rPr>
                <w:rFonts w:cstheme="minorHAnsi"/>
              </w:rPr>
            </w:pPr>
            <w:r>
              <w:rPr>
                <w:rFonts w:cstheme="minorHAnsi"/>
              </w:rPr>
              <w:t>Leasehold improvements</w:t>
            </w:r>
          </w:p>
        </w:tc>
        <w:tc>
          <w:tcPr>
            <w:tcW w:w="6974" w:type="dxa"/>
          </w:tcPr>
          <w:p w:rsidR="00DE1A91" w:rsidRDefault="003444A2" w:rsidP="006E3F43">
            <w:pPr>
              <w:pStyle w:val="NoSpacing"/>
              <w:rPr>
                <w:rFonts w:cstheme="minorHAnsi"/>
              </w:rPr>
            </w:pPr>
            <w:r>
              <w:rPr>
                <w:rFonts w:cstheme="minorHAnsi"/>
              </w:rPr>
              <w:t>5-6 years (2016: 5-6 years)</w:t>
            </w:r>
          </w:p>
        </w:tc>
      </w:tr>
      <w:tr w:rsidR="00DE1A91" w:rsidTr="00DE1A91">
        <w:tc>
          <w:tcPr>
            <w:tcW w:w="6974" w:type="dxa"/>
          </w:tcPr>
          <w:p w:rsidR="00DE1A91" w:rsidRDefault="00DE1A91" w:rsidP="006E3F43">
            <w:pPr>
              <w:pStyle w:val="NoSpacing"/>
              <w:rPr>
                <w:rFonts w:cstheme="minorHAnsi"/>
              </w:rPr>
            </w:pPr>
            <w:r>
              <w:rPr>
                <w:rFonts w:cstheme="minorHAnsi"/>
              </w:rPr>
              <w:t xml:space="preserve">Land improvements </w:t>
            </w:r>
          </w:p>
        </w:tc>
        <w:tc>
          <w:tcPr>
            <w:tcW w:w="6974" w:type="dxa"/>
          </w:tcPr>
          <w:p w:rsidR="00DE1A91" w:rsidRDefault="003444A2" w:rsidP="006E3F43">
            <w:pPr>
              <w:pStyle w:val="NoSpacing"/>
              <w:rPr>
                <w:rFonts w:cstheme="minorHAnsi"/>
              </w:rPr>
            </w:pPr>
            <w:r>
              <w:rPr>
                <w:rFonts w:cstheme="minorHAnsi"/>
              </w:rPr>
              <w:t>15-40 years (2016: 15-40 years)</w:t>
            </w:r>
          </w:p>
        </w:tc>
      </w:tr>
    </w:tbl>
    <w:p w:rsidR="00DE1A91" w:rsidRPr="003727DF" w:rsidRDefault="00DE1A91" w:rsidP="006E3F43">
      <w:pPr>
        <w:pStyle w:val="NoSpacing"/>
        <w:rPr>
          <w:rFonts w:cstheme="minorHAnsi"/>
        </w:rPr>
      </w:pPr>
    </w:p>
    <w:p w:rsidR="006E3F43" w:rsidRPr="006E3F43" w:rsidRDefault="006E3F43" w:rsidP="006E3F43">
      <w:pPr>
        <w:pStyle w:val="NoSpacing"/>
        <w:rPr>
          <w:rFonts w:cstheme="minorHAnsi"/>
        </w:rPr>
      </w:pPr>
      <w:r w:rsidRPr="006E3F43">
        <w:rPr>
          <w:rFonts w:cstheme="minorHAnsi"/>
        </w:rPr>
        <w:t>The estimated useful lives, residual values and depreciation method are reviewed at the end of each annual reporting</w:t>
      </w:r>
      <w:r>
        <w:rPr>
          <w:rFonts w:cstheme="minorHAnsi"/>
        </w:rPr>
        <w:t xml:space="preserve"> </w:t>
      </w:r>
      <w:r w:rsidRPr="006E3F43">
        <w:rPr>
          <w:rFonts w:cstheme="minorHAnsi"/>
        </w:rPr>
        <w:t>period, and adjustments made where appropriate.</w:t>
      </w:r>
    </w:p>
    <w:p w:rsidR="006E3F43" w:rsidRPr="006E3F43" w:rsidRDefault="006E3F43" w:rsidP="006E3F43">
      <w:pPr>
        <w:pStyle w:val="NoSpacing"/>
        <w:rPr>
          <w:rFonts w:cstheme="minorHAnsi"/>
        </w:rPr>
      </w:pPr>
      <w:r w:rsidRPr="006E3F43">
        <w:rPr>
          <w:rFonts w:cstheme="minorHAnsi"/>
        </w:rPr>
        <w:t>Leasehold improvements are depreciated over the shorter of the lease term and their useful lives.</w:t>
      </w:r>
    </w:p>
    <w:p w:rsidR="00DE1A91" w:rsidRDefault="00DE1A91" w:rsidP="006E3F43">
      <w:pPr>
        <w:pStyle w:val="NoSpacing"/>
        <w:rPr>
          <w:rFonts w:cstheme="minorHAnsi"/>
          <w:bCs/>
        </w:rPr>
        <w:sectPr w:rsidR="00DE1A91" w:rsidSect="00DE1A91">
          <w:pgSz w:w="16838" w:h="11906" w:orient="landscape"/>
          <w:pgMar w:top="1440" w:right="1440" w:bottom="1440" w:left="1440" w:header="709" w:footer="709" w:gutter="0"/>
          <w:cols w:space="708"/>
          <w:docGrid w:linePitch="360"/>
        </w:sectPr>
      </w:pPr>
    </w:p>
    <w:p w:rsidR="006E3F43" w:rsidRDefault="006E3F43" w:rsidP="006E3F43">
      <w:pPr>
        <w:pStyle w:val="NoSpacing"/>
        <w:rPr>
          <w:rFonts w:cstheme="minorHAnsi"/>
          <w:bCs/>
        </w:rPr>
      </w:pPr>
    </w:p>
    <w:p w:rsidR="003444A2" w:rsidRDefault="003444A2" w:rsidP="006E3F43">
      <w:pPr>
        <w:pStyle w:val="NoSpacing"/>
        <w:rPr>
          <w:rFonts w:cstheme="minorHAnsi"/>
          <w:bCs/>
          <w:caps/>
        </w:rPr>
        <w:sectPr w:rsidR="003444A2">
          <w:pgSz w:w="11906" w:h="16838"/>
          <w:pgMar w:top="1440" w:right="1440" w:bottom="1440" w:left="1440" w:header="708" w:footer="708" w:gutter="0"/>
          <w:cols w:space="708"/>
          <w:docGrid w:linePitch="360"/>
        </w:sectPr>
      </w:pPr>
    </w:p>
    <w:p w:rsidR="006E3F43" w:rsidRPr="006E3F43" w:rsidRDefault="006E3F43" w:rsidP="00D36BB2">
      <w:pPr>
        <w:pStyle w:val="Heading4"/>
      </w:pPr>
      <w:r w:rsidRPr="006E3F43">
        <w:lastRenderedPageBreak/>
        <w:t>Impairment</w:t>
      </w:r>
    </w:p>
    <w:p w:rsidR="005E5585" w:rsidRDefault="005E5585" w:rsidP="006E3F43">
      <w:pPr>
        <w:pStyle w:val="NoSpacing"/>
        <w:rPr>
          <w:rFonts w:cstheme="minorHAnsi"/>
        </w:rPr>
      </w:pPr>
    </w:p>
    <w:p w:rsidR="006E3F43" w:rsidRPr="006E3F43" w:rsidRDefault="006E3F43" w:rsidP="006E3F43">
      <w:pPr>
        <w:pStyle w:val="NoSpacing"/>
        <w:rPr>
          <w:rFonts w:cstheme="minorHAnsi"/>
        </w:rPr>
      </w:pPr>
      <w:r w:rsidRPr="006E3F43">
        <w:rPr>
          <w:rFonts w:cstheme="minorHAnsi"/>
        </w:rPr>
        <w:t xml:space="preserve">Non-financial assets, including items of property, plant and equipment, are tested for </w:t>
      </w:r>
      <w:r>
        <w:rPr>
          <w:rFonts w:cstheme="minorHAnsi"/>
        </w:rPr>
        <w:t xml:space="preserve">impairment whenever there is an </w:t>
      </w:r>
      <w:r w:rsidRPr="006E3F43">
        <w:rPr>
          <w:rFonts w:cstheme="minorHAnsi"/>
        </w:rPr>
        <w:t>indication that the asset may be impaired.</w:t>
      </w:r>
    </w:p>
    <w:p w:rsidR="006E3F43" w:rsidRPr="006E3F43" w:rsidRDefault="006E3F43" w:rsidP="006E3F43">
      <w:pPr>
        <w:pStyle w:val="NoSpacing"/>
        <w:rPr>
          <w:rFonts w:cstheme="minorHAnsi"/>
        </w:rPr>
      </w:pPr>
      <w:r w:rsidRPr="006E3F43">
        <w:rPr>
          <w:rFonts w:cstheme="minorHAnsi"/>
        </w:rPr>
        <w:t>The assets concerned are tested as to whether their carrying value exceeds their recov</w:t>
      </w:r>
      <w:r>
        <w:rPr>
          <w:rFonts w:cstheme="minorHAnsi"/>
        </w:rPr>
        <w:t xml:space="preserve">erable amount. Where an asset’s </w:t>
      </w:r>
      <w:r w:rsidRPr="006E3F43">
        <w:rPr>
          <w:rFonts w:cstheme="minorHAnsi"/>
        </w:rPr>
        <w:t>carrying value exceeds its recoverable amount, the difference is written off as an ‘other economic flow’, exc</w:t>
      </w:r>
      <w:r>
        <w:rPr>
          <w:rFonts w:cstheme="minorHAnsi"/>
        </w:rPr>
        <w:t xml:space="preserve">ept to the extent </w:t>
      </w:r>
      <w:r w:rsidRPr="006E3F43">
        <w:rPr>
          <w:rFonts w:cstheme="minorHAnsi"/>
        </w:rPr>
        <w:t>that it can be debited to an asset revaluation surplus amount applicable to that class of asset.</w:t>
      </w:r>
    </w:p>
    <w:p w:rsidR="00973A24" w:rsidRDefault="006E3F43" w:rsidP="006E3F43">
      <w:pPr>
        <w:pStyle w:val="NoSpacing"/>
        <w:rPr>
          <w:rFonts w:cstheme="minorHAnsi"/>
        </w:rPr>
      </w:pPr>
      <w:r w:rsidRPr="006E3F43">
        <w:rPr>
          <w:rFonts w:cstheme="minorHAnsi"/>
        </w:rPr>
        <w:t>If there is an indication that there has been a reversal in impairment, the carrying a</w:t>
      </w:r>
      <w:r>
        <w:rPr>
          <w:rFonts w:cstheme="minorHAnsi"/>
        </w:rPr>
        <w:t xml:space="preserve">mount shall be increased to its </w:t>
      </w:r>
      <w:r w:rsidRPr="006E3F43">
        <w:rPr>
          <w:rFonts w:cstheme="minorHAnsi"/>
        </w:rPr>
        <w:t>recoverable amount. However this reversal should not increase the asset’s carrying am</w:t>
      </w:r>
      <w:r>
        <w:rPr>
          <w:rFonts w:cstheme="minorHAnsi"/>
        </w:rPr>
        <w:t xml:space="preserve">ount above what would have been </w:t>
      </w:r>
      <w:r w:rsidRPr="006E3F43">
        <w:rPr>
          <w:rFonts w:cstheme="minorHAnsi"/>
        </w:rPr>
        <w:t>determined, net of depreciation or amortisation, if no impairment loss had been recognised in prior years.</w:t>
      </w:r>
    </w:p>
    <w:p w:rsidR="006E3F43" w:rsidRDefault="006E3F43" w:rsidP="006E3F43">
      <w:pPr>
        <w:pStyle w:val="NoSpacing"/>
        <w:rPr>
          <w:rFonts w:cstheme="minorHAnsi"/>
        </w:rPr>
      </w:pPr>
    </w:p>
    <w:p w:rsidR="006E3F43" w:rsidRDefault="006E3F43" w:rsidP="006E3F43">
      <w:pPr>
        <w:pStyle w:val="NoSpacing"/>
        <w:rPr>
          <w:rFonts w:cstheme="minorHAnsi"/>
        </w:rPr>
      </w:pPr>
      <w:r>
        <w:rPr>
          <w:rFonts w:cstheme="minorHAnsi"/>
        </w:rPr>
        <w:t>&lt;pp&gt;</w:t>
      </w:r>
      <w:r w:rsidR="007829BB">
        <w:rPr>
          <w:rFonts w:cstheme="minorHAnsi"/>
        </w:rPr>
        <w:t>58</w:t>
      </w:r>
    </w:p>
    <w:p w:rsidR="006E3F43" w:rsidRDefault="006E3F43" w:rsidP="006E3F43">
      <w:pPr>
        <w:pStyle w:val="NoSpacing"/>
        <w:rPr>
          <w:rFonts w:cstheme="minorHAnsi"/>
        </w:rPr>
      </w:pPr>
    </w:p>
    <w:p w:rsidR="006E3F43" w:rsidRPr="006E3F43" w:rsidRDefault="006E3F43" w:rsidP="00D36BB2">
      <w:pPr>
        <w:pStyle w:val="Heading3"/>
      </w:pPr>
      <w:r w:rsidRPr="006E3F43">
        <w:t>4. The assets we invested in (continued)</w:t>
      </w:r>
    </w:p>
    <w:p w:rsidR="006E3F43" w:rsidRDefault="006E3F43" w:rsidP="006E3F43">
      <w:pPr>
        <w:pStyle w:val="NoSpacing"/>
        <w:rPr>
          <w:rFonts w:cstheme="minorHAnsi"/>
        </w:rPr>
      </w:pPr>
    </w:p>
    <w:p w:rsidR="006E3F43" w:rsidRPr="006E3F43" w:rsidRDefault="006E3F43" w:rsidP="00D36BB2">
      <w:pPr>
        <w:pStyle w:val="Heading4"/>
        <w:rPr>
          <w:caps/>
        </w:rPr>
      </w:pPr>
      <w:r w:rsidRPr="006E3F43">
        <w:rPr>
          <w:caps/>
        </w:rPr>
        <w:t xml:space="preserve">4.1 </w:t>
      </w:r>
      <w:r w:rsidRPr="006E3F43">
        <w:t>Property, plant and equipment (continued)</w:t>
      </w:r>
    </w:p>
    <w:p w:rsidR="006E3F43" w:rsidRDefault="006E3F43" w:rsidP="006E3F43">
      <w:pPr>
        <w:pStyle w:val="NoSpacing"/>
        <w:rPr>
          <w:rFonts w:cstheme="minorHAnsi"/>
        </w:rPr>
      </w:pPr>
    </w:p>
    <w:p w:rsidR="006E3F43" w:rsidRDefault="006E3F43" w:rsidP="006E3F43">
      <w:pPr>
        <w:pStyle w:val="NoSpacing"/>
      </w:pPr>
      <w:r w:rsidRPr="006E3F43">
        <w:t>The recoverable amount for most assets is measured at the higher of depreciated replacement cost and fair value less costs</w:t>
      </w:r>
      <w:r>
        <w:t xml:space="preserve"> </w:t>
      </w:r>
      <w:r w:rsidRPr="006E3F43">
        <w:t>to sell. Recoverable amount for assets held primarily to generate net cash inflows is measur</w:t>
      </w:r>
      <w:r>
        <w:t xml:space="preserve">ed at the higher of the present </w:t>
      </w:r>
      <w:r w:rsidRPr="006E3F43">
        <w:t>value of future cash flows expected to be obtained from the asset and fair value less costs to sell.</w:t>
      </w:r>
    </w:p>
    <w:p w:rsidR="006E3F43" w:rsidRDefault="006E3F43" w:rsidP="006E3F43">
      <w:pPr>
        <w:pStyle w:val="NoSpacing"/>
      </w:pPr>
    </w:p>
    <w:p w:rsidR="006E3F43" w:rsidRDefault="006E3F43" w:rsidP="00D36BB2">
      <w:pPr>
        <w:pStyle w:val="Heading4"/>
      </w:pPr>
      <w:r>
        <w:t xml:space="preserve">4.1.2 </w:t>
      </w:r>
      <w:r w:rsidRPr="003444A2">
        <w:t>Gain/loss on property, plant and equipment</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3444A2" w:rsidRPr="00AE2D8D" w:rsidTr="00345886">
        <w:tc>
          <w:tcPr>
            <w:tcW w:w="2693" w:type="dxa"/>
            <w:gridSpan w:val="2"/>
          </w:tcPr>
          <w:p w:rsidR="003444A2" w:rsidRPr="00AE2D8D" w:rsidRDefault="003444A2" w:rsidP="00345886">
            <w:pPr>
              <w:pStyle w:val="NoSpacing"/>
              <w:jc w:val="center"/>
              <w:rPr>
                <w:rFonts w:cstheme="minorHAnsi"/>
                <w:bCs/>
                <w:w w:val="105"/>
              </w:rPr>
            </w:pPr>
            <w:r w:rsidRPr="00AE2D8D">
              <w:rPr>
                <w:rFonts w:cstheme="minorHAnsi"/>
                <w:bCs/>
                <w:w w:val="105"/>
              </w:rPr>
              <w:t>Consolidated</w:t>
            </w:r>
          </w:p>
        </w:tc>
        <w:tc>
          <w:tcPr>
            <w:tcW w:w="2410" w:type="dxa"/>
            <w:gridSpan w:val="2"/>
          </w:tcPr>
          <w:p w:rsidR="003444A2" w:rsidRPr="00AE2D8D" w:rsidRDefault="003444A2" w:rsidP="00345886">
            <w:pPr>
              <w:pStyle w:val="NoSpacing"/>
              <w:jc w:val="center"/>
              <w:rPr>
                <w:rFonts w:cstheme="minorHAnsi"/>
                <w:bCs/>
                <w:w w:val="105"/>
              </w:rPr>
            </w:pPr>
            <w:r w:rsidRPr="00AE2D8D">
              <w:rPr>
                <w:rFonts w:cstheme="minorHAnsi"/>
                <w:bCs/>
                <w:w w:val="105"/>
              </w:rPr>
              <w:t>Chisholm</w:t>
            </w:r>
          </w:p>
        </w:tc>
      </w:tr>
      <w:tr w:rsidR="003444A2" w:rsidRPr="00AE2D8D" w:rsidTr="00345886">
        <w:tc>
          <w:tcPr>
            <w:tcW w:w="1417" w:type="dxa"/>
          </w:tcPr>
          <w:p w:rsidR="003444A2" w:rsidRPr="00AE2D8D" w:rsidRDefault="003444A2" w:rsidP="00345886">
            <w:pPr>
              <w:pStyle w:val="NoSpacing"/>
              <w:jc w:val="right"/>
              <w:rPr>
                <w:rFonts w:cstheme="minorHAnsi"/>
                <w:bCs/>
                <w:w w:val="105"/>
              </w:rPr>
            </w:pPr>
            <w:r w:rsidRPr="00AE2D8D">
              <w:rPr>
                <w:rFonts w:cstheme="minorHAnsi"/>
                <w:bCs/>
                <w:w w:val="105"/>
              </w:rPr>
              <w:t>2017</w:t>
            </w:r>
          </w:p>
        </w:tc>
        <w:tc>
          <w:tcPr>
            <w:tcW w:w="1276" w:type="dxa"/>
          </w:tcPr>
          <w:p w:rsidR="003444A2" w:rsidRPr="00AE2D8D" w:rsidRDefault="003444A2" w:rsidP="00345886">
            <w:pPr>
              <w:pStyle w:val="NoSpacing"/>
              <w:jc w:val="right"/>
              <w:rPr>
                <w:rFonts w:cstheme="minorHAnsi"/>
                <w:bCs/>
                <w:w w:val="105"/>
              </w:rPr>
            </w:pPr>
            <w:r w:rsidRPr="00AE2D8D">
              <w:rPr>
                <w:rFonts w:cstheme="minorHAnsi"/>
                <w:bCs/>
                <w:w w:val="105"/>
              </w:rPr>
              <w:t>2016</w:t>
            </w:r>
          </w:p>
        </w:tc>
        <w:tc>
          <w:tcPr>
            <w:tcW w:w="1276" w:type="dxa"/>
          </w:tcPr>
          <w:p w:rsidR="003444A2" w:rsidRPr="00AE2D8D" w:rsidRDefault="003444A2" w:rsidP="00345886">
            <w:pPr>
              <w:pStyle w:val="NoSpacing"/>
              <w:jc w:val="right"/>
              <w:rPr>
                <w:rFonts w:cstheme="minorHAnsi"/>
                <w:bCs/>
                <w:w w:val="105"/>
              </w:rPr>
            </w:pPr>
            <w:r w:rsidRPr="00AE2D8D">
              <w:rPr>
                <w:rFonts w:cstheme="minorHAnsi"/>
                <w:bCs/>
                <w:w w:val="105"/>
              </w:rPr>
              <w:t>2017</w:t>
            </w:r>
          </w:p>
        </w:tc>
        <w:tc>
          <w:tcPr>
            <w:tcW w:w="1134" w:type="dxa"/>
          </w:tcPr>
          <w:p w:rsidR="003444A2" w:rsidRPr="00AE2D8D" w:rsidRDefault="003444A2" w:rsidP="00345886">
            <w:pPr>
              <w:pStyle w:val="NoSpacing"/>
              <w:jc w:val="right"/>
              <w:rPr>
                <w:rFonts w:cstheme="minorHAnsi"/>
                <w:bCs/>
                <w:w w:val="105"/>
              </w:rPr>
            </w:pPr>
            <w:r w:rsidRPr="00AE2D8D">
              <w:rPr>
                <w:rFonts w:cstheme="minorHAnsi"/>
                <w:bCs/>
                <w:w w:val="105"/>
              </w:rPr>
              <w:t>2016</w:t>
            </w:r>
          </w:p>
        </w:tc>
      </w:tr>
      <w:tr w:rsidR="003444A2" w:rsidRPr="00AE2D8D" w:rsidTr="00345886">
        <w:tc>
          <w:tcPr>
            <w:tcW w:w="1417" w:type="dxa"/>
          </w:tcPr>
          <w:p w:rsidR="003444A2" w:rsidRPr="00AE2D8D" w:rsidRDefault="003444A2" w:rsidP="00345886">
            <w:pPr>
              <w:jc w:val="right"/>
              <w:rPr>
                <w:rFonts w:cstheme="minorHAnsi"/>
              </w:rPr>
            </w:pPr>
            <w:r w:rsidRPr="00AE2D8D">
              <w:rPr>
                <w:rFonts w:cstheme="minorHAnsi"/>
                <w:bCs/>
                <w:w w:val="105"/>
              </w:rPr>
              <w:t>$’000</w:t>
            </w:r>
          </w:p>
        </w:tc>
        <w:tc>
          <w:tcPr>
            <w:tcW w:w="1276" w:type="dxa"/>
          </w:tcPr>
          <w:p w:rsidR="003444A2" w:rsidRPr="00AE2D8D" w:rsidRDefault="003444A2" w:rsidP="00345886">
            <w:pPr>
              <w:jc w:val="right"/>
              <w:rPr>
                <w:rFonts w:cstheme="minorHAnsi"/>
              </w:rPr>
            </w:pPr>
            <w:r w:rsidRPr="00AE2D8D">
              <w:rPr>
                <w:rFonts w:cstheme="minorHAnsi"/>
                <w:bCs/>
                <w:w w:val="105"/>
              </w:rPr>
              <w:t>$’000</w:t>
            </w:r>
          </w:p>
        </w:tc>
        <w:tc>
          <w:tcPr>
            <w:tcW w:w="1276" w:type="dxa"/>
          </w:tcPr>
          <w:p w:rsidR="003444A2" w:rsidRPr="00AE2D8D" w:rsidRDefault="003444A2" w:rsidP="00345886">
            <w:pPr>
              <w:jc w:val="right"/>
              <w:rPr>
                <w:rFonts w:cstheme="minorHAnsi"/>
              </w:rPr>
            </w:pPr>
            <w:r w:rsidRPr="00AE2D8D">
              <w:rPr>
                <w:rFonts w:cstheme="minorHAnsi"/>
                <w:bCs/>
                <w:w w:val="105"/>
              </w:rPr>
              <w:t>$’000</w:t>
            </w:r>
          </w:p>
        </w:tc>
        <w:tc>
          <w:tcPr>
            <w:tcW w:w="1134" w:type="dxa"/>
          </w:tcPr>
          <w:p w:rsidR="003444A2" w:rsidRPr="00AE2D8D" w:rsidRDefault="003444A2" w:rsidP="00345886">
            <w:pPr>
              <w:pStyle w:val="NoSpacing"/>
              <w:jc w:val="right"/>
              <w:rPr>
                <w:rFonts w:cstheme="minorHAnsi"/>
                <w:bCs/>
                <w:w w:val="105"/>
              </w:rPr>
            </w:pPr>
            <w:r w:rsidRPr="00AE2D8D">
              <w:rPr>
                <w:rFonts w:cstheme="minorHAnsi"/>
                <w:bCs/>
                <w:w w:val="105"/>
              </w:rPr>
              <w:t>$’000</w:t>
            </w:r>
          </w:p>
        </w:tc>
      </w:tr>
    </w:tbl>
    <w:p w:rsidR="003444A2" w:rsidRDefault="003444A2" w:rsidP="006E3F43">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3444A2" w:rsidTr="00345886">
        <w:tc>
          <w:tcPr>
            <w:tcW w:w="8784" w:type="dxa"/>
          </w:tcPr>
          <w:p w:rsidR="003444A2" w:rsidRDefault="003444A2" w:rsidP="003444A2">
            <w:pPr>
              <w:pStyle w:val="NoSpacing"/>
            </w:pPr>
            <w:r>
              <w:t xml:space="preserve">Net gain/ (loss) on disposal of property, plant and equipment </w:t>
            </w:r>
          </w:p>
        </w:tc>
        <w:tc>
          <w:tcPr>
            <w:tcW w:w="1417" w:type="dxa"/>
          </w:tcPr>
          <w:p w:rsidR="003444A2" w:rsidRDefault="003444A2" w:rsidP="003444A2">
            <w:pPr>
              <w:pStyle w:val="NoSpacing"/>
              <w:jc w:val="right"/>
            </w:pPr>
            <w:r>
              <w:t>(47)</w:t>
            </w:r>
          </w:p>
        </w:tc>
        <w:tc>
          <w:tcPr>
            <w:tcW w:w="1276" w:type="dxa"/>
          </w:tcPr>
          <w:p w:rsidR="003444A2" w:rsidRDefault="003444A2" w:rsidP="003444A2">
            <w:pPr>
              <w:pStyle w:val="NoSpacing"/>
              <w:jc w:val="right"/>
            </w:pPr>
            <w:r>
              <w:t>(4,390)</w:t>
            </w:r>
          </w:p>
        </w:tc>
        <w:tc>
          <w:tcPr>
            <w:tcW w:w="1276" w:type="dxa"/>
          </w:tcPr>
          <w:p w:rsidR="003444A2" w:rsidRDefault="003444A2" w:rsidP="003444A2">
            <w:pPr>
              <w:pStyle w:val="NoSpacing"/>
              <w:jc w:val="right"/>
            </w:pPr>
            <w:r>
              <w:t>(47)</w:t>
            </w:r>
          </w:p>
        </w:tc>
        <w:tc>
          <w:tcPr>
            <w:tcW w:w="1134" w:type="dxa"/>
          </w:tcPr>
          <w:p w:rsidR="003444A2" w:rsidRDefault="003444A2" w:rsidP="003444A2">
            <w:pPr>
              <w:pStyle w:val="NoSpacing"/>
              <w:jc w:val="right"/>
            </w:pPr>
            <w:r>
              <w:t>(4,390)</w:t>
            </w:r>
          </w:p>
        </w:tc>
      </w:tr>
      <w:tr w:rsidR="003444A2" w:rsidTr="00345886">
        <w:tc>
          <w:tcPr>
            <w:tcW w:w="8784" w:type="dxa"/>
          </w:tcPr>
          <w:p w:rsidR="003444A2" w:rsidRDefault="003444A2" w:rsidP="003444A2">
            <w:pPr>
              <w:pStyle w:val="NoSpacing"/>
            </w:pPr>
            <w:r>
              <w:t xml:space="preserve">Total </w:t>
            </w:r>
          </w:p>
        </w:tc>
        <w:tc>
          <w:tcPr>
            <w:tcW w:w="1417" w:type="dxa"/>
          </w:tcPr>
          <w:p w:rsidR="003444A2" w:rsidRDefault="003444A2" w:rsidP="003444A2">
            <w:pPr>
              <w:pStyle w:val="NoSpacing"/>
              <w:jc w:val="right"/>
            </w:pPr>
            <w:r>
              <w:t>(47)</w:t>
            </w:r>
          </w:p>
        </w:tc>
        <w:tc>
          <w:tcPr>
            <w:tcW w:w="1276" w:type="dxa"/>
          </w:tcPr>
          <w:p w:rsidR="003444A2" w:rsidRDefault="003444A2" w:rsidP="003444A2">
            <w:pPr>
              <w:pStyle w:val="NoSpacing"/>
              <w:jc w:val="right"/>
            </w:pPr>
            <w:r>
              <w:t>(4,390)</w:t>
            </w:r>
          </w:p>
        </w:tc>
        <w:tc>
          <w:tcPr>
            <w:tcW w:w="1276" w:type="dxa"/>
          </w:tcPr>
          <w:p w:rsidR="003444A2" w:rsidRDefault="003444A2" w:rsidP="003444A2">
            <w:pPr>
              <w:pStyle w:val="NoSpacing"/>
              <w:jc w:val="right"/>
            </w:pPr>
            <w:r>
              <w:t>(47)</w:t>
            </w:r>
          </w:p>
        </w:tc>
        <w:tc>
          <w:tcPr>
            <w:tcW w:w="1134" w:type="dxa"/>
          </w:tcPr>
          <w:p w:rsidR="003444A2" w:rsidRDefault="003444A2" w:rsidP="003444A2">
            <w:pPr>
              <w:pStyle w:val="NoSpacing"/>
              <w:jc w:val="right"/>
            </w:pPr>
            <w:r>
              <w:t>(4,390)</w:t>
            </w:r>
          </w:p>
        </w:tc>
      </w:tr>
    </w:tbl>
    <w:p w:rsidR="003444A2" w:rsidRDefault="003444A2" w:rsidP="006E3F43">
      <w:pPr>
        <w:pStyle w:val="NoSpacing"/>
      </w:pPr>
    </w:p>
    <w:p w:rsidR="001C611A" w:rsidRDefault="001C611A" w:rsidP="001C611A">
      <w:pPr>
        <w:pStyle w:val="NoSpacing"/>
      </w:pPr>
      <w:r>
        <w:t>Net gain/(loss) on non-financial assets and liabilities includes realised and unrealised gains and losses from revaluations, impairments, and disposals of all physical and intangible assets.</w:t>
      </w:r>
    </w:p>
    <w:p w:rsidR="006E3F43" w:rsidRDefault="001C611A" w:rsidP="001C611A">
      <w:pPr>
        <w:pStyle w:val="NoSpacing"/>
      </w:pPr>
      <w:r>
        <w:lastRenderedPageBreak/>
        <w:t>Any gain or loss on disposal of non-financial assets is recognised at the date control of the asset is passed to the buyer and is determined after deducting from the proceeds the carrying value of the asset at the time.</w:t>
      </w:r>
    </w:p>
    <w:p w:rsidR="001C611A" w:rsidRDefault="001C611A" w:rsidP="001C611A">
      <w:pPr>
        <w:pStyle w:val="NoSpacing"/>
      </w:pPr>
    </w:p>
    <w:p w:rsidR="001C611A" w:rsidRDefault="001C611A" w:rsidP="00D36BB2">
      <w:pPr>
        <w:pStyle w:val="Heading4"/>
      </w:pPr>
      <w:r>
        <w:t>4.1.3 Reconciliation of movements in carrying amount of property, plant and equipment</w:t>
      </w:r>
    </w:p>
    <w:p w:rsidR="003444A2" w:rsidRDefault="003444A2" w:rsidP="001C611A">
      <w:pPr>
        <w:pStyle w:val="NoSpacing"/>
      </w:pPr>
    </w:p>
    <w:tbl>
      <w:tblPr>
        <w:tblStyle w:val="TableGrid"/>
        <w:tblW w:w="11481" w:type="dxa"/>
        <w:tblInd w:w="2689" w:type="dxa"/>
        <w:tblLook w:val="04A0" w:firstRow="1" w:lastRow="0" w:firstColumn="1" w:lastColumn="0" w:noHBand="0" w:noVBand="1"/>
      </w:tblPr>
      <w:tblGrid>
        <w:gridCol w:w="1255"/>
        <w:gridCol w:w="1406"/>
        <w:gridCol w:w="1553"/>
        <w:gridCol w:w="1411"/>
        <w:gridCol w:w="1452"/>
        <w:gridCol w:w="1520"/>
        <w:gridCol w:w="1609"/>
        <w:gridCol w:w="1275"/>
      </w:tblGrid>
      <w:tr w:rsidR="003444A2" w:rsidTr="00A93734">
        <w:tc>
          <w:tcPr>
            <w:tcW w:w="1255" w:type="dxa"/>
            <w:vAlign w:val="bottom"/>
          </w:tcPr>
          <w:p w:rsidR="003444A2" w:rsidRDefault="003444A2" w:rsidP="003444A2">
            <w:pPr>
              <w:pStyle w:val="NoSpacing"/>
              <w:jc w:val="right"/>
            </w:pPr>
            <w:r>
              <w:t>Land</w:t>
            </w:r>
          </w:p>
        </w:tc>
        <w:tc>
          <w:tcPr>
            <w:tcW w:w="1406" w:type="dxa"/>
            <w:vAlign w:val="bottom"/>
          </w:tcPr>
          <w:p w:rsidR="003444A2" w:rsidRDefault="003444A2" w:rsidP="003444A2">
            <w:pPr>
              <w:pStyle w:val="NoSpacing"/>
              <w:jc w:val="right"/>
            </w:pPr>
            <w:r>
              <w:t>Buildings</w:t>
            </w:r>
          </w:p>
        </w:tc>
        <w:tc>
          <w:tcPr>
            <w:tcW w:w="1553" w:type="dxa"/>
            <w:vAlign w:val="bottom"/>
          </w:tcPr>
          <w:p w:rsidR="003444A2" w:rsidRDefault="003444A2" w:rsidP="003444A2">
            <w:pPr>
              <w:pStyle w:val="NoSpacing"/>
              <w:jc w:val="right"/>
            </w:pPr>
            <w:r>
              <w:t>Construction in progress</w:t>
            </w:r>
          </w:p>
        </w:tc>
        <w:tc>
          <w:tcPr>
            <w:tcW w:w="1411" w:type="dxa"/>
            <w:vAlign w:val="bottom"/>
          </w:tcPr>
          <w:p w:rsidR="003444A2" w:rsidRDefault="003444A2" w:rsidP="003444A2">
            <w:pPr>
              <w:pStyle w:val="NoSpacing"/>
              <w:jc w:val="right"/>
            </w:pPr>
            <w:r>
              <w:t>Plant and equipment</w:t>
            </w:r>
          </w:p>
        </w:tc>
        <w:tc>
          <w:tcPr>
            <w:tcW w:w="1452" w:type="dxa"/>
            <w:vAlign w:val="bottom"/>
          </w:tcPr>
          <w:p w:rsidR="003444A2" w:rsidRDefault="003444A2" w:rsidP="003444A2">
            <w:pPr>
              <w:pStyle w:val="NoSpacing"/>
              <w:jc w:val="right"/>
            </w:pPr>
            <w:r>
              <w:t>Motor vehicles</w:t>
            </w:r>
          </w:p>
        </w:tc>
        <w:tc>
          <w:tcPr>
            <w:tcW w:w="1520" w:type="dxa"/>
            <w:vAlign w:val="bottom"/>
          </w:tcPr>
          <w:p w:rsidR="003444A2" w:rsidRDefault="003444A2" w:rsidP="003444A2">
            <w:pPr>
              <w:pStyle w:val="NoSpacing"/>
              <w:jc w:val="right"/>
            </w:pPr>
            <w:r>
              <w:t>Leasehold improvements</w:t>
            </w:r>
          </w:p>
        </w:tc>
        <w:tc>
          <w:tcPr>
            <w:tcW w:w="1609" w:type="dxa"/>
            <w:vAlign w:val="bottom"/>
          </w:tcPr>
          <w:p w:rsidR="003444A2" w:rsidRDefault="003444A2" w:rsidP="003444A2">
            <w:pPr>
              <w:pStyle w:val="NoSpacing"/>
              <w:jc w:val="right"/>
            </w:pPr>
            <w:r>
              <w:t>Land improvements</w:t>
            </w:r>
          </w:p>
        </w:tc>
        <w:tc>
          <w:tcPr>
            <w:tcW w:w="1275" w:type="dxa"/>
            <w:vAlign w:val="bottom"/>
          </w:tcPr>
          <w:p w:rsidR="003444A2" w:rsidRDefault="003444A2" w:rsidP="003444A2">
            <w:pPr>
              <w:pStyle w:val="NoSpacing"/>
              <w:jc w:val="right"/>
            </w:pPr>
            <w:r>
              <w:t xml:space="preserve">Total </w:t>
            </w:r>
          </w:p>
        </w:tc>
      </w:tr>
      <w:tr w:rsidR="003444A2" w:rsidTr="00A93734">
        <w:tc>
          <w:tcPr>
            <w:tcW w:w="1255" w:type="dxa"/>
          </w:tcPr>
          <w:p w:rsidR="003444A2" w:rsidRDefault="003444A2" w:rsidP="003444A2">
            <w:pPr>
              <w:pStyle w:val="NoSpacing"/>
              <w:jc w:val="right"/>
            </w:pPr>
            <w:r>
              <w:t>$’000</w:t>
            </w:r>
          </w:p>
        </w:tc>
        <w:tc>
          <w:tcPr>
            <w:tcW w:w="1406" w:type="dxa"/>
          </w:tcPr>
          <w:p w:rsidR="003444A2" w:rsidRDefault="003444A2" w:rsidP="003444A2">
            <w:pPr>
              <w:jc w:val="right"/>
            </w:pPr>
            <w:r w:rsidRPr="00CC5F1B">
              <w:t>$’000</w:t>
            </w:r>
          </w:p>
        </w:tc>
        <w:tc>
          <w:tcPr>
            <w:tcW w:w="1553" w:type="dxa"/>
          </w:tcPr>
          <w:p w:rsidR="003444A2" w:rsidRDefault="003444A2" w:rsidP="003444A2">
            <w:pPr>
              <w:jc w:val="right"/>
            </w:pPr>
            <w:r w:rsidRPr="00CC5F1B">
              <w:t>$’000</w:t>
            </w:r>
          </w:p>
        </w:tc>
        <w:tc>
          <w:tcPr>
            <w:tcW w:w="1411" w:type="dxa"/>
          </w:tcPr>
          <w:p w:rsidR="003444A2" w:rsidRDefault="003444A2" w:rsidP="003444A2">
            <w:pPr>
              <w:jc w:val="right"/>
            </w:pPr>
            <w:r w:rsidRPr="00CC5F1B">
              <w:t>$’000</w:t>
            </w:r>
          </w:p>
        </w:tc>
        <w:tc>
          <w:tcPr>
            <w:tcW w:w="1452" w:type="dxa"/>
          </w:tcPr>
          <w:p w:rsidR="003444A2" w:rsidRDefault="003444A2" w:rsidP="003444A2">
            <w:pPr>
              <w:jc w:val="right"/>
            </w:pPr>
            <w:r w:rsidRPr="00CC5F1B">
              <w:t>$’000</w:t>
            </w:r>
          </w:p>
        </w:tc>
        <w:tc>
          <w:tcPr>
            <w:tcW w:w="1520" w:type="dxa"/>
          </w:tcPr>
          <w:p w:rsidR="003444A2" w:rsidRDefault="003444A2" w:rsidP="003444A2">
            <w:pPr>
              <w:jc w:val="right"/>
            </w:pPr>
            <w:r w:rsidRPr="00CC5F1B">
              <w:t>$’000</w:t>
            </w:r>
          </w:p>
        </w:tc>
        <w:tc>
          <w:tcPr>
            <w:tcW w:w="1609" w:type="dxa"/>
          </w:tcPr>
          <w:p w:rsidR="003444A2" w:rsidRDefault="003444A2" w:rsidP="003444A2">
            <w:pPr>
              <w:jc w:val="right"/>
            </w:pPr>
            <w:r w:rsidRPr="00CC5F1B">
              <w:t>$’000</w:t>
            </w:r>
          </w:p>
        </w:tc>
        <w:tc>
          <w:tcPr>
            <w:tcW w:w="1275" w:type="dxa"/>
          </w:tcPr>
          <w:p w:rsidR="003444A2" w:rsidRDefault="003444A2" w:rsidP="003444A2">
            <w:pPr>
              <w:jc w:val="right"/>
            </w:pPr>
            <w:r w:rsidRPr="00CC5F1B">
              <w:t>$’000</w:t>
            </w:r>
          </w:p>
        </w:tc>
      </w:tr>
    </w:tbl>
    <w:p w:rsidR="003444A2" w:rsidRDefault="003444A2" w:rsidP="001C611A">
      <w:pPr>
        <w:pStyle w:val="NoSpacing"/>
      </w:pPr>
      <w:r>
        <w:t>Consolidated 2017</w:t>
      </w:r>
    </w:p>
    <w:tbl>
      <w:tblPr>
        <w:tblStyle w:val="TableGrid"/>
        <w:tblW w:w="14459" w:type="dxa"/>
        <w:tblInd w:w="-289" w:type="dxa"/>
        <w:tblLook w:val="04A0" w:firstRow="1" w:lastRow="0" w:firstColumn="1" w:lastColumn="0" w:noHBand="0" w:noVBand="1"/>
      </w:tblPr>
      <w:tblGrid>
        <w:gridCol w:w="2978"/>
        <w:gridCol w:w="1275"/>
        <w:gridCol w:w="1418"/>
        <w:gridCol w:w="1559"/>
        <w:gridCol w:w="1418"/>
        <w:gridCol w:w="1417"/>
        <w:gridCol w:w="1559"/>
        <w:gridCol w:w="1560"/>
        <w:gridCol w:w="1275"/>
      </w:tblGrid>
      <w:tr w:rsidR="00A93734" w:rsidTr="00A93734">
        <w:trPr>
          <w:trHeight w:val="269"/>
        </w:trPr>
        <w:tc>
          <w:tcPr>
            <w:tcW w:w="2978" w:type="dxa"/>
          </w:tcPr>
          <w:p w:rsidR="00A93734" w:rsidRDefault="00A93734" w:rsidP="001C611A">
            <w:pPr>
              <w:pStyle w:val="NoSpacing"/>
            </w:pPr>
            <w:r>
              <w:t>Opening balance</w:t>
            </w:r>
          </w:p>
        </w:tc>
        <w:tc>
          <w:tcPr>
            <w:tcW w:w="1275" w:type="dxa"/>
          </w:tcPr>
          <w:p w:rsidR="00A93734" w:rsidRDefault="00A93734" w:rsidP="00A93734">
            <w:pPr>
              <w:pStyle w:val="NoSpacing"/>
              <w:jc w:val="right"/>
            </w:pPr>
            <w:r>
              <w:t>52,927</w:t>
            </w:r>
          </w:p>
        </w:tc>
        <w:tc>
          <w:tcPr>
            <w:tcW w:w="1418" w:type="dxa"/>
          </w:tcPr>
          <w:p w:rsidR="00A93734" w:rsidRDefault="00A93734" w:rsidP="00A93734">
            <w:pPr>
              <w:pStyle w:val="NoSpacing"/>
              <w:jc w:val="right"/>
            </w:pPr>
            <w:r>
              <w:t>189,986</w:t>
            </w:r>
          </w:p>
        </w:tc>
        <w:tc>
          <w:tcPr>
            <w:tcW w:w="1559" w:type="dxa"/>
          </w:tcPr>
          <w:p w:rsidR="00A93734" w:rsidRDefault="00A93734" w:rsidP="00A93734">
            <w:pPr>
              <w:pStyle w:val="NoSpacing"/>
              <w:jc w:val="right"/>
            </w:pPr>
            <w:r>
              <w:t>3,014</w:t>
            </w:r>
          </w:p>
        </w:tc>
        <w:tc>
          <w:tcPr>
            <w:tcW w:w="1418" w:type="dxa"/>
          </w:tcPr>
          <w:p w:rsidR="00A93734" w:rsidRDefault="00A93734" w:rsidP="00A93734">
            <w:pPr>
              <w:pStyle w:val="NoSpacing"/>
              <w:jc w:val="right"/>
            </w:pPr>
            <w:r>
              <w:t>4,940</w:t>
            </w:r>
          </w:p>
        </w:tc>
        <w:tc>
          <w:tcPr>
            <w:tcW w:w="1417" w:type="dxa"/>
          </w:tcPr>
          <w:p w:rsidR="00A93734" w:rsidRDefault="00A60264" w:rsidP="00A93734">
            <w:pPr>
              <w:pStyle w:val="NoSpacing"/>
              <w:jc w:val="right"/>
            </w:pPr>
            <w:r>
              <w:t>344</w:t>
            </w:r>
          </w:p>
        </w:tc>
        <w:tc>
          <w:tcPr>
            <w:tcW w:w="1559" w:type="dxa"/>
          </w:tcPr>
          <w:p w:rsidR="00A93734" w:rsidRDefault="00A60264" w:rsidP="00A93734">
            <w:pPr>
              <w:pStyle w:val="NoSpacing"/>
              <w:jc w:val="right"/>
            </w:pPr>
            <w:r>
              <w:t>1,087</w:t>
            </w:r>
          </w:p>
        </w:tc>
        <w:tc>
          <w:tcPr>
            <w:tcW w:w="1560" w:type="dxa"/>
          </w:tcPr>
          <w:p w:rsidR="00A93734" w:rsidRDefault="00A60264" w:rsidP="00A93734">
            <w:pPr>
              <w:pStyle w:val="NoSpacing"/>
              <w:jc w:val="right"/>
            </w:pPr>
            <w:r>
              <w:t>1,451</w:t>
            </w:r>
          </w:p>
        </w:tc>
        <w:tc>
          <w:tcPr>
            <w:tcW w:w="1275" w:type="dxa"/>
          </w:tcPr>
          <w:p w:rsidR="00A93734" w:rsidRDefault="00A60264" w:rsidP="00A93734">
            <w:pPr>
              <w:pStyle w:val="NoSpacing"/>
              <w:jc w:val="right"/>
            </w:pPr>
            <w:r>
              <w:t>253,749</w:t>
            </w:r>
          </w:p>
        </w:tc>
      </w:tr>
      <w:tr w:rsidR="00A93734" w:rsidTr="00A93734">
        <w:trPr>
          <w:trHeight w:val="269"/>
        </w:trPr>
        <w:tc>
          <w:tcPr>
            <w:tcW w:w="2978" w:type="dxa"/>
          </w:tcPr>
          <w:p w:rsidR="00A93734" w:rsidRDefault="00A93734" w:rsidP="001C611A">
            <w:pPr>
              <w:pStyle w:val="NoSpacing"/>
            </w:pPr>
            <w:r>
              <w:t>Additions</w:t>
            </w:r>
          </w:p>
        </w:tc>
        <w:tc>
          <w:tcPr>
            <w:tcW w:w="1275" w:type="dxa"/>
          </w:tcPr>
          <w:p w:rsidR="00A93734" w:rsidRDefault="00A93734" w:rsidP="00A93734">
            <w:pPr>
              <w:pStyle w:val="NoSpacing"/>
              <w:jc w:val="right"/>
            </w:pPr>
            <w:r>
              <w:t>-</w:t>
            </w:r>
          </w:p>
        </w:tc>
        <w:tc>
          <w:tcPr>
            <w:tcW w:w="1418" w:type="dxa"/>
          </w:tcPr>
          <w:p w:rsidR="00A93734" w:rsidRDefault="00A93734" w:rsidP="00A93734">
            <w:pPr>
              <w:pStyle w:val="NoSpacing"/>
              <w:jc w:val="right"/>
            </w:pPr>
            <w:r>
              <w:t>-</w:t>
            </w:r>
          </w:p>
        </w:tc>
        <w:tc>
          <w:tcPr>
            <w:tcW w:w="1559" w:type="dxa"/>
          </w:tcPr>
          <w:p w:rsidR="00A93734" w:rsidRDefault="00A93734" w:rsidP="00A93734">
            <w:pPr>
              <w:pStyle w:val="NoSpacing"/>
              <w:jc w:val="right"/>
            </w:pPr>
            <w:r>
              <w:t>13,128</w:t>
            </w:r>
          </w:p>
        </w:tc>
        <w:tc>
          <w:tcPr>
            <w:tcW w:w="1418" w:type="dxa"/>
          </w:tcPr>
          <w:p w:rsidR="00A93734" w:rsidRDefault="00A60264" w:rsidP="00A93734">
            <w:pPr>
              <w:pStyle w:val="NoSpacing"/>
              <w:jc w:val="right"/>
            </w:pPr>
            <w:r>
              <w:t>1,227</w:t>
            </w:r>
          </w:p>
        </w:tc>
        <w:tc>
          <w:tcPr>
            <w:tcW w:w="1417" w:type="dxa"/>
          </w:tcPr>
          <w:p w:rsidR="00A93734" w:rsidRDefault="00A60264" w:rsidP="00A93734">
            <w:pPr>
              <w:pStyle w:val="NoSpacing"/>
              <w:jc w:val="right"/>
            </w:pPr>
            <w:r>
              <w:t>-</w:t>
            </w:r>
          </w:p>
        </w:tc>
        <w:tc>
          <w:tcPr>
            <w:tcW w:w="1559" w:type="dxa"/>
          </w:tcPr>
          <w:p w:rsidR="00A93734" w:rsidRDefault="00A60264" w:rsidP="00A93734">
            <w:pPr>
              <w:pStyle w:val="NoSpacing"/>
              <w:jc w:val="right"/>
            </w:pPr>
            <w:r>
              <w:t>20</w:t>
            </w:r>
          </w:p>
        </w:tc>
        <w:tc>
          <w:tcPr>
            <w:tcW w:w="1560" w:type="dxa"/>
          </w:tcPr>
          <w:p w:rsidR="00A93734" w:rsidRDefault="00A60264" w:rsidP="00A93734">
            <w:pPr>
              <w:pStyle w:val="NoSpacing"/>
              <w:jc w:val="right"/>
            </w:pPr>
            <w:r>
              <w:t>-</w:t>
            </w:r>
          </w:p>
        </w:tc>
        <w:tc>
          <w:tcPr>
            <w:tcW w:w="1275" w:type="dxa"/>
          </w:tcPr>
          <w:p w:rsidR="00A93734" w:rsidRDefault="00A60264" w:rsidP="00A93734">
            <w:pPr>
              <w:pStyle w:val="NoSpacing"/>
              <w:jc w:val="right"/>
            </w:pPr>
            <w:r>
              <w:t>14,375</w:t>
            </w:r>
          </w:p>
        </w:tc>
      </w:tr>
      <w:tr w:rsidR="00A93734" w:rsidTr="00A93734">
        <w:trPr>
          <w:trHeight w:val="269"/>
        </w:trPr>
        <w:tc>
          <w:tcPr>
            <w:tcW w:w="2978" w:type="dxa"/>
          </w:tcPr>
          <w:p w:rsidR="00A93734" w:rsidRDefault="00A93734" w:rsidP="001C611A">
            <w:pPr>
              <w:pStyle w:val="NoSpacing"/>
            </w:pPr>
            <w:r>
              <w:t>Revaluations</w:t>
            </w:r>
          </w:p>
        </w:tc>
        <w:tc>
          <w:tcPr>
            <w:tcW w:w="1275" w:type="dxa"/>
          </w:tcPr>
          <w:p w:rsidR="00A93734" w:rsidRDefault="00A93734" w:rsidP="00A93734">
            <w:pPr>
              <w:pStyle w:val="NoSpacing"/>
              <w:jc w:val="right"/>
            </w:pPr>
            <w:r>
              <w:t>5,269</w:t>
            </w:r>
          </w:p>
        </w:tc>
        <w:tc>
          <w:tcPr>
            <w:tcW w:w="1418" w:type="dxa"/>
          </w:tcPr>
          <w:p w:rsidR="00A93734" w:rsidRDefault="00A93734" w:rsidP="00A93734">
            <w:pPr>
              <w:pStyle w:val="NoSpacing"/>
              <w:jc w:val="right"/>
            </w:pPr>
            <w:r>
              <w:t>12,010</w:t>
            </w:r>
          </w:p>
        </w:tc>
        <w:tc>
          <w:tcPr>
            <w:tcW w:w="1559" w:type="dxa"/>
          </w:tcPr>
          <w:p w:rsidR="00A93734" w:rsidRDefault="00A93734" w:rsidP="00A93734">
            <w:pPr>
              <w:pStyle w:val="NoSpacing"/>
              <w:jc w:val="right"/>
            </w:pPr>
            <w:r>
              <w:t>-</w:t>
            </w:r>
          </w:p>
        </w:tc>
        <w:tc>
          <w:tcPr>
            <w:tcW w:w="1418" w:type="dxa"/>
          </w:tcPr>
          <w:p w:rsidR="00A93734" w:rsidRDefault="00A60264" w:rsidP="00A93734">
            <w:pPr>
              <w:pStyle w:val="NoSpacing"/>
              <w:jc w:val="right"/>
            </w:pPr>
            <w:r>
              <w:t>-</w:t>
            </w:r>
          </w:p>
        </w:tc>
        <w:tc>
          <w:tcPr>
            <w:tcW w:w="1417" w:type="dxa"/>
          </w:tcPr>
          <w:p w:rsidR="00A93734" w:rsidRDefault="00A60264" w:rsidP="00A93734">
            <w:pPr>
              <w:pStyle w:val="NoSpacing"/>
              <w:jc w:val="right"/>
            </w:pPr>
            <w:r>
              <w:t>-</w:t>
            </w:r>
          </w:p>
        </w:tc>
        <w:tc>
          <w:tcPr>
            <w:tcW w:w="1559" w:type="dxa"/>
          </w:tcPr>
          <w:p w:rsidR="00A93734" w:rsidRDefault="00A60264" w:rsidP="00A93734">
            <w:pPr>
              <w:pStyle w:val="NoSpacing"/>
              <w:jc w:val="right"/>
            </w:pPr>
            <w:r>
              <w:t>-</w:t>
            </w:r>
          </w:p>
        </w:tc>
        <w:tc>
          <w:tcPr>
            <w:tcW w:w="1560" w:type="dxa"/>
          </w:tcPr>
          <w:p w:rsidR="00A93734" w:rsidRDefault="00A60264" w:rsidP="00A93734">
            <w:pPr>
              <w:pStyle w:val="NoSpacing"/>
              <w:jc w:val="right"/>
            </w:pPr>
            <w:r>
              <w:t>1,046</w:t>
            </w:r>
          </w:p>
        </w:tc>
        <w:tc>
          <w:tcPr>
            <w:tcW w:w="1275" w:type="dxa"/>
          </w:tcPr>
          <w:p w:rsidR="00A93734" w:rsidRDefault="00A60264" w:rsidP="00A93734">
            <w:pPr>
              <w:pStyle w:val="NoSpacing"/>
              <w:jc w:val="right"/>
            </w:pPr>
            <w:r>
              <w:t>18,325</w:t>
            </w:r>
          </w:p>
        </w:tc>
      </w:tr>
      <w:tr w:rsidR="00A93734" w:rsidTr="00A93734">
        <w:trPr>
          <w:trHeight w:val="269"/>
        </w:trPr>
        <w:tc>
          <w:tcPr>
            <w:tcW w:w="2978" w:type="dxa"/>
          </w:tcPr>
          <w:p w:rsidR="00A93734" w:rsidRDefault="00A93734" w:rsidP="001C611A">
            <w:pPr>
              <w:pStyle w:val="NoSpacing"/>
            </w:pPr>
            <w:r>
              <w:t>Disposals</w:t>
            </w:r>
          </w:p>
        </w:tc>
        <w:tc>
          <w:tcPr>
            <w:tcW w:w="1275" w:type="dxa"/>
          </w:tcPr>
          <w:p w:rsidR="00A93734" w:rsidRDefault="00A93734" w:rsidP="00A93734">
            <w:pPr>
              <w:pStyle w:val="NoSpacing"/>
              <w:jc w:val="right"/>
            </w:pPr>
            <w:r>
              <w:t>-</w:t>
            </w:r>
          </w:p>
        </w:tc>
        <w:tc>
          <w:tcPr>
            <w:tcW w:w="1418" w:type="dxa"/>
          </w:tcPr>
          <w:p w:rsidR="00A93734" w:rsidRDefault="00A93734" w:rsidP="00A93734">
            <w:pPr>
              <w:pStyle w:val="NoSpacing"/>
              <w:jc w:val="right"/>
            </w:pPr>
            <w:r>
              <w:t>(79)</w:t>
            </w:r>
          </w:p>
        </w:tc>
        <w:tc>
          <w:tcPr>
            <w:tcW w:w="1559" w:type="dxa"/>
          </w:tcPr>
          <w:p w:rsidR="00A93734" w:rsidRDefault="00A93734" w:rsidP="00A93734">
            <w:pPr>
              <w:pStyle w:val="NoSpacing"/>
              <w:jc w:val="right"/>
            </w:pPr>
            <w:r>
              <w:t>-</w:t>
            </w:r>
          </w:p>
        </w:tc>
        <w:tc>
          <w:tcPr>
            <w:tcW w:w="1418" w:type="dxa"/>
          </w:tcPr>
          <w:p w:rsidR="00A93734" w:rsidRDefault="00A60264" w:rsidP="00A93734">
            <w:pPr>
              <w:pStyle w:val="NoSpacing"/>
              <w:jc w:val="right"/>
            </w:pPr>
            <w:r>
              <w:t>-</w:t>
            </w:r>
          </w:p>
        </w:tc>
        <w:tc>
          <w:tcPr>
            <w:tcW w:w="1417" w:type="dxa"/>
          </w:tcPr>
          <w:p w:rsidR="00A93734" w:rsidRDefault="00A60264" w:rsidP="00A93734">
            <w:pPr>
              <w:pStyle w:val="NoSpacing"/>
              <w:jc w:val="right"/>
            </w:pPr>
            <w:r>
              <w:t>(66)</w:t>
            </w:r>
          </w:p>
        </w:tc>
        <w:tc>
          <w:tcPr>
            <w:tcW w:w="1559" w:type="dxa"/>
          </w:tcPr>
          <w:p w:rsidR="00A93734" w:rsidRDefault="00A60264" w:rsidP="00A93734">
            <w:pPr>
              <w:pStyle w:val="NoSpacing"/>
              <w:jc w:val="right"/>
            </w:pPr>
            <w:r>
              <w:t>-</w:t>
            </w:r>
          </w:p>
        </w:tc>
        <w:tc>
          <w:tcPr>
            <w:tcW w:w="1560" w:type="dxa"/>
          </w:tcPr>
          <w:p w:rsidR="00A93734" w:rsidRDefault="00A60264" w:rsidP="00A93734">
            <w:pPr>
              <w:pStyle w:val="NoSpacing"/>
              <w:jc w:val="right"/>
            </w:pPr>
            <w:r>
              <w:t>-</w:t>
            </w:r>
          </w:p>
        </w:tc>
        <w:tc>
          <w:tcPr>
            <w:tcW w:w="1275" w:type="dxa"/>
          </w:tcPr>
          <w:p w:rsidR="00A93734" w:rsidRDefault="00A60264" w:rsidP="00A93734">
            <w:pPr>
              <w:pStyle w:val="NoSpacing"/>
              <w:jc w:val="right"/>
            </w:pPr>
            <w:r>
              <w:t>(145)</w:t>
            </w:r>
          </w:p>
        </w:tc>
      </w:tr>
      <w:tr w:rsidR="00A93734" w:rsidTr="00A93734">
        <w:trPr>
          <w:trHeight w:val="269"/>
        </w:trPr>
        <w:tc>
          <w:tcPr>
            <w:tcW w:w="2978" w:type="dxa"/>
          </w:tcPr>
          <w:p w:rsidR="00A93734" w:rsidRDefault="00A93734" w:rsidP="001C611A">
            <w:pPr>
              <w:pStyle w:val="NoSpacing"/>
            </w:pPr>
            <w:r>
              <w:t>Depreciation writeback</w:t>
            </w:r>
          </w:p>
        </w:tc>
        <w:tc>
          <w:tcPr>
            <w:tcW w:w="1275" w:type="dxa"/>
          </w:tcPr>
          <w:p w:rsidR="00A93734" w:rsidRDefault="00A93734" w:rsidP="00A93734">
            <w:pPr>
              <w:pStyle w:val="NoSpacing"/>
              <w:jc w:val="right"/>
            </w:pPr>
            <w:r>
              <w:t>-</w:t>
            </w:r>
          </w:p>
        </w:tc>
        <w:tc>
          <w:tcPr>
            <w:tcW w:w="1418" w:type="dxa"/>
          </w:tcPr>
          <w:p w:rsidR="00A93734" w:rsidRDefault="00A93734" w:rsidP="00A93734">
            <w:pPr>
              <w:pStyle w:val="NoSpacing"/>
              <w:jc w:val="right"/>
            </w:pPr>
            <w:r>
              <w:t>21</w:t>
            </w:r>
          </w:p>
        </w:tc>
        <w:tc>
          <w:tcPr>
            <w:tcW w:w="1559" w:type="dxa"/>
          </w:tcPr>
          <w:p w:rsidR="00A93734" w:rsidRDefault="00A93734" w:rsidP="00A93734">
            <w:pPr>
              <w:pStyle w:val="NoSpacing"/>
              <w:jc w:val="right"/>
            </w:pPr>
            <w:r>
              <w:t>-</w:t>
            </w:r>
          </w:p>
        </w:tc>
        <w:tc>
          <w:tcPr>
            <w:tcW w:w="1418" w:type="dxa"/>
          </w:tcPr>
          <w:p w:rsidR="00A93734" w:rsidRDefault="00A60264" w:rsidP="00A93734">
            <w:pPr>
              <w:pStyle w:val="NoSpacing"/>
              <w:jc w:val="right"/>
            </w:pPr>
            <w:r>
              <w:t>-</w:t>
            </w:r>
          </w:p>
        </w:tc>
        <w:tc>
          <w:tcPr>
            <w:tcW w:w="1417" w:type="dxa"/>
          </w:tcPr>
          <w:p w:rsidR="00A93734" w:rsidRDefault="00A60264" w:rsidP="00A93734">
            <w:pPr>
              <w:pStyle w:val="NoSpacing"/>
              <w:jc w:val="right"/>
            </w:pPr>
            <w:r>
              <w:t>192</w:t>
            </w:r>
          </w:p>
        </w:tc>
        <w:tc>
          <w:tcPr>
            <w:tcW w:w="1559" w:type="dxa"/>
          </w:tcPr>
          <w:p w:rsidR="00A93734" w:rsidRDefault="00A60264" w:rsidP="00A93734">
            <w:pPr>
              <w:pStyle w:val="NoSpacing"/>
              <w:jc w:val="right"/>
            </w:pPr>
            <w:r>
              <w:t>-</w:t>
            </w:r>
          </w:p>
        </w:tc>
        <w:tc>
          <w:tcPr>
            <w:tcW w:w="1560" w:type="dxa"/>
          </w:tcPr>
          <w:p w:rsidR="00A93734" w:rsidRDefault="00A60264" w:rsidP="00A93734">
            <w:pPr>
              <w:pStyle w:val="NoSpacing"/>
              <w:jc w:val="right"/>
            </w:pPr>
            <w:r>
              <w:t>588</w:t>
            </w:r>
          </w:p>
        </w:tc>
        <w:tc>
          <w:tcPr>
            <w:tcW w:w="1275" w:type="dxa"/>
          </w:tcPr>
          <w:p w:rsidR="00A93734" w:rsidRDefault="00A60264" w:rsidP="00A93734">
            <w:pPr>
              <w:pStyle w:val="NoSpacing"/>
              <w:jc w:val="right"/>
            </w:pPr>
            <w:r>
              <w:t>801</w:t>
            </w:r>
          </w:p>
        </w:tc>
      </w:tr>
      <w:tr w:rsidR="00A93734" w:rsidTr="00A93734">
        <w:trPr>
          <w:trHeight w:val="269"/>
        </w:trPr>
        <w:tc>
          <w:tcPr>
            <w:tcW w:w="2978" w:type="dxa"/>
          </w:tcPr>
          <w:p w:rsidR="00A93734" w:rsidRDefault="00A93734" w:rsidP="001C611A">
            <w:pPr>
              <w:pStyle w:val="NoSpacing"/>
            </w:pPr>
            <w:r>
              <w:t>Transfers</w:t>
            </w:r>
          </w:p>
        </w:tc>
        <w:tc>
          <w:tcPr>
            <w:tcW w:w="1275" w:type="dxa"/>
          </w:tcPr>
          <w:p w:rsidR="00A93734" w:rsidRDefault="00A93734" w:rsidP="00A93734">
            <w:pPr>
              <w:pStyle w:val="NoSpacing"/>
              <w:jc w:val="right"/>
            </w:pPr>
            <w:r>
              <w:t>-</w:t>
            </w:r>
          </w:p>
        </w:tc>
        <w:tc>
          <w:tcPr>
            <w:tcW w:w="1418" w:type="dxa"/>
          </w:tcPr>
          <w:p w:rsidR="00A93734" w:rsidRDefault="00A93734" w:rsidP="00A93734">
            <w:pPr>
              <w:pStyle w:val="NoSpacing"/>
              <w:jc w:val="right"/>
            </w:pPr>
            <w:r>
              <w:t>29</w:t>
            </w:r>
          </w:p>
        </w:tc>
        <w:tc>
          <w:tcPr>
            <w:tcW w:w="1559" w:type="dxa"/>
          </w:tcPr>
          <w:p w:rsidR="00A93734" w:rsidRDefault="00A93734" w:rsidP="00A93734">
            <w:pPr>
              <w:pStyle w:val="NoSpacing"/>
              <w:jc w:val="right"/>
            </w:pPr>
            <w:r>
              <w:t>(142)</w:t>
            </w:r>
          </w:p>
        </w:tc>
        <w:tc>
          <w:tcPr>
            <w:tcW w:w="1418" w:type="dxa"/>
          </w:tcPr>
          <w:p w:rsidR="00A93734" w:rsidRDefault="00A60264" w:rsidP="00A93734">
            <w:pPr>
              <w:pStyle w:val="NoSpacing"/>
              <w:jc w:val="right"/>
            </w:pPr>
            <w:r>
              <w:t>28</w:t>
            </w:r>
          </w:p>
        </w:tc>
        <w:tc>
          <w:tcPr>
            <w:tcW w:w="1417" w:type="dxa"/>
          </w:tcPr>
          <w:p w:rsidR="00A93734" w:rsidRDefault="00A60264" w:rsidP="00A93734">
            <w:pPr>
              <w:pStyle w:val="NoSpacing"/>
              <w:jc w:val="right"/>
            </w:pPr>
            <w:r>
              <w:t>-</w:t>
            </w:r>
          </w:p>
        </w:tc>
        <w:tc>
          <w:tcPr>
            <w:tcW w:w="1559" w:type="dxa"/>
          </w:tcPr>
          <w:p w:rsidR="00A93734" w:rsidRDefault="00A60264" w:rsidP="00A93734">
            <w:pPr>
              <w:pStyle w:val="NoSpacing"/>
              <w:jc w:val="right"/>
            </w:pPr>
            <w:r>
              <w:t>-</w:t>
            </w:r>
          </w:p>
        </w:tc>
        <w:tc>
          <w:tcPr>
            <w:tcW w:w="1560" w:type="dxa"/>
          </w:tcPr>
          <w:p w:rsidR="00A93734" w:rsidRDefault="00A60264" w:rsidP="00A93734">
            <w:pPr>
              <w:pStyle w:val="NoSpacing"/>
              <w:jc w:val="right"/>
            </w:pPr>
            <w:r>
              <w:t>85</w:t>
            </w:r>
          </w:p>
        </w:tc>
        <w:tc>
          <w:tcPr>
            <w:tcW w:w="1275" w:type="dxa"/>
          </w:tcPr>
          <w:p w:rsidR="00A93734" w:rsidRDefault="00A60264" w:rsidP="00A93734">
            <w:pPr>
              <w:pStyle w:val="NoSpacing"/>
              <w:jc w:val="right"/>
            </w:pPr>
            <w:r>
              <w:t>-</w:t>
            </w:r>
          </w:p>
        </w:tc>
      </w:tr>
      <w:tr w:rsidR="00A93734" w:rsidTr="00A93734">
        <w:trPr>
          <w:trHeight w:val="269"/>
        </w:trPr>
        <w:tc>
          <w:tcPr>
            <w:tcW w:w="2978" w:type="dxa"/>
          </w:tcPr>
          <w:p w:rsidR="00A93734" w:rsidRDefault="00A93734" w:rsidP="001C611A">
            <w:pPr>
              <w:pStyle w:val="NoSpacing"/>
            </w:pPr>
            <w:r>
              <w:t>Depreciation</w:t>
            </w:r>
          </w:p>
        </w:tc>
        <w:tc>
          <w:tcPr>
            <w:tcW w:w="1275" w:type="dxa"/>
          </w:tcPr>
          <w:p w:rsidR="00A93734" w:rsidRDefault="00A93734" w:rsidP="00A93734">
            <w:pPr>
              <w:pStyle w:val="NoSpacing"/>
              <w:jc w:val="right"/>
            </w:pPr>
            <w:r>
              <w:t>-</w:t>
            </w:r>
          </w:p>
        </w:tc>
        <w:tc>
          <w:tcPr>
            <w:tcW w:w="1418" w:type="dxa"/>
          </w:tcPr>
          <w:p w:rsidR="00A93734" w:rsidRDefault="00A93734" w:rsidP="00A93734">
            <w:pPr>
              <w:pStyle w:val="NoSpacing"/>
              <w:jc w:val="right"/>
            </w:pPr>
            <w:r>
              <w:t>(5,178)</w:t>
            </w:r>
          </w:p>
        </w:tc>
        <w:tc>
          <w:tcPr>
            <w:tcW w:w="1559" w:type="dxa"/>
          </w:tcPr>
          <w:p w:rsidR="00A93734" w:rsidRDefault="00A93734" w:rsidP="00A93734">
            <w:pPr>
              <w:pStyle w:val="NoSpacing"/>
              <w:jc w:val="right"/>
            </w:pPr>
            <w:r>
              <w:t>-</w:t>
            </w:r>
          </w:p>
        </w:tc>
        <w:tc>
          <w:tcPr>
            <w:tcW w:w="1418" w:type="dxa"/>
          </w:tcPr>
          <w:p w:rsidR="00A93734" w:rsidRDefault="00A60264" w:rsidP="00A93734">
            <w:pPr>
              <w:pStyle w:val="NoSpacing"/>
              <w:jc w:val="right"/>
            </w:pPr>
            <w:r>
              <w:t>(1,341)</w:t>
            </w:r>
          </w:p>
        </w:tc>
        <w:tc>
          <w:tcPr>
            <w:tcW w:w="1417" w:type="dxa"/>
          </w:tcPr>
          <w:p w:rsidR="00A93734" w:rsidRDefault="00A60264" w:rsidP="00A93734">
            <w:pPr>
              <w:pStyle w:val="NoSpacing"/>
              <w:jc w:val="right"/>
            </w:pPr>
            <w:r>
              <w:t>(190)</w:t>
            </w:r>
          </w:p>
        </w:tc>
        <w:tc>
          <w:tcPr>
            <w:tcW w:w="1559" w:type="dxa"/>
          </w:tcPr>
          <w:p w:rsidR="00A93734" w:rsidRDefault="00A60264" w:rsidP="00A93734">
            <w:pPr>
              <w:pStyle w:val="NoSpacing"/>
              <w:jc w:val="right"/>
            </w:pPr>
            <w:r>
              <w:t>(457)</w:t>
            </w:r>
          </w:p>
        </w:tc>
        <w:tc>
          <w:tcPr>
            <w:tcW w:w="1560" w:type="dxa"/>
          </w:tcPr>
          <w:p w:rsidR="00A93734" w:rsidRDefault="00A60264" w:rsidP="00A93734">
            <w:pPr>
              <w:pStyle w:val="NoSpacing"/>
              <w:jc w:val="right"/>
            </w:pPr>
            <w:r>
              <w:t>(668)</w:t>
            </w:r>
          </w:p>
        </w:tc>
        <w:tc>
          <w:tcPr>
            <w:tcW w:w="1275" w:type="dxa"/>
          </w:tcPr>
          <w:p w:rsidR="00A93734" w:rsidRDefault="00A60264" w:rsidP="00A93734">
            <w:pPr>
              <w:pStyle w:val="NoSpacing"/>
              <w:jc w:val="right"/>
            </w:pPr>
            <w:r>
              <w:t>(7,834)</w:t>
            </w:r>
          </w:p>
        </w:tc>
      </w:tr>
      <w:tr w:rsidR="00A93734" w:rsidTr="00A93734">
        <w:trPr>
          <w:trHeight w:val="269"/>
        </w:trPr>
        <w:tc>
          <w:tcPr>
            <w:tcW w:w="2978" w:type="dxa"/>
          </w:tcPr>
          <w:p w:rsidR="00A93734" w:rsidRDefault="00A93734" w:rsidP="001C611A">
            <w:pPr>
              <w:pStyle w:val="NoSpacing"/>
            </w:pPr>
            <w:r>
              <w:t>Closing balance</w:t>
            </w:r>
          </w:p>
        </w:tc>
        <w:tc>
          <w:tcPr>
            <w:tcW w:w="1275" w:type="dxa"/>
          </w:tcPr>
          <w:p w:rsidR="00A93734" w:rsidRDefault="00A93734" w:rsidP="00A93734">
            <w:pPr>
              <w:pStyle w:val="NoSpacing"/>
              <w:jc w:val="right"/>
            </w:pPr>
            <w:r>
              <w:t>58,196</w:t>
            </w:r>
          </w:p>
        </w:tc>
        <w:tc>
          <w:tcPr>
            <w:tcW w:w="1418" w:type="dxa"/>
          </w:tcPr>
          <w:p w:rsidR="00A93734" w:rsidRDefault="00A93734" w:rsidP="00A93734">
            <w:pPr>
              <w:pStyle w:val="NoSpacing"/>
              <w:jc w:val="right"/>
            </w:pPr>
            <w:r>
              <w:t>196,789</w:t>
            </w:r>
          </w:p>
        </w:tc>
        <w:tc>
          <w:tcPr>
            <w:tcW w:w="1559" w:type="dxa"/>
          </w:tcPr>
          <w:p w:rsidR="00A93734" w:rsidRDefault="00A93734" w:rsidP="00A93734">
            <w:pPr>
              <w:pStyle w:val="NoSpacing"/>
              <w:jc w:val="right"/>
            </w:pPr>
            <w:r>
              <w:t>16,000</w:t>
            </w:r>
          </w:p>
        </w:tc>
        <w:tc>
          <w:tcPr>
            <w:tcW w:w="1418" w:type="dxa"/>
          </w:tcPr>
          <w:p w:rsidR="00A93734" w:rsidRDefault="00A60264" w:rsidP="00A93734">
            <w:pPr>
              <w:pStyle w:val="NoSpacing"/>
              <w:jc w:val="right"/>
            </w:pPr>
            <w:r>
              <w:t>4,854</w:t>
            </w:r>
          </w:p>
        </w:tc>
        <w:tc>
          <w:tcPr>
            <w:tcW w:w="1417" w:type="dxa"/>
          </w:tcPr>
          <w:p w:rsidR="00A93734" w:rsidRDefault="00A60264" w:rsidP="00A93734">
            <w:pPr>
              <w:pStyle w:val="NoSpacing"/>
              <w:jc w:val="right"/>
            </w:pPr>
            <w:r>
              <w:t>280</w:t>
            </w:r>
          </w:p>
        </w:tc>
        <w:tc>
          <w:tcPr>
            <w:tcW w:w="1559" w:type="dxa"/>
          </w:tcPr>
          <w:p w:rsidR="00A93734" w:rsidRDefault="00A60264" w:rsidP="00A93734">
            <w:pPr>
              <w:pStyle w:val="NoSpacing"/>
              <w:jc w:val="right"/>
            </w:pPr>
            <w:r>
              <w:t>650</w:t>
            </w:r>
          </w:p>
        </w:tc>
        <w:tc>
          <w:tcPr>
            <w:tcW w:w="1560" w:type="dxa"/>
          </w:tcPr>
          <w:p w:rsidR="00A93734" w:rsidRDefault="00A60264" w:rsidP="00A93734">
            <w:pPr>
              <w:pStyle w:val="NoSpacing"/>
              <w:jc w:val="right"/>
            </w:pPr>
            <w:r>
              <w:t>2,502</w:t>
            </w:r>
          </w:p>
        </w:tc>
        <w:tc>
          <w:tcPr>
            <w:tcW w:w="1275" w:type="dxa"/>
          </w:tcPr>
          <w:p w:rsidR="00A93734" w:rsidRDefault="00A60264" w:rsidP="00A93734">
            <w:pPr>
              <w:pStyle w:val="NoSpacing"/>
              <w:jc w:val="right"/>
            </w:pPr>
            <w:r>
              <w:t>279,271</w:t>
            </w:r>
          </w:p>
        </w:tc>
      </w:tr>
    </w:tbl>
    <w:p w:rsidR="003444A2" w:rsidRDefault="003444A2" w:rsidP="001C611A">
      <w:pPr>
        <w:pStyle w:val="NoSpacing"/>
      </w:pPr>
    </w:p>
    <w:p w:rsidR="00A93734" w:rsidRDefault="00A93734" w:rsidP="00A93734">
      <w:pPr>
        <w:pStyle w:val="NoSpacing"/>
      </w:pPr>
      <w:r>
        <w:t>Consolidated 2016</w:t>
      </w:r>
    </w:p>
    <w:tbl>
      <w:tblPr>
        <w:tblStyle w:val="TableGrid"/>
        <w:tblW w:w="14459" w:type="dxa"/>
        <w:tblInd w:w="-289" w:type="dxa"/>
        <w:tblLook w:val="04A0" w:firstRow="1" w:lastRow="0" w:firstColumn="1" w:lastColumn="0" w:noHBand="0" w:noVBand="1"/>
      </w:tblPr>
      <w:tblGrid>
        <w:gridCol w:w="2978"/>
        <w:gridCol w:w="1275"/>
        <w:gridCol w:w="1418"/>
        <w:gridCol w:w="1559"/>
        <w:gridCol w:w="1418"/>
        <w:gridCol w:w="1417"/>
        <w:gridCol w:w="1559"/>
        <w:gridCol w:w="1560"/>
        <w:gridCol w:w="1275"/>
      </w:tblGrid>
      <w:tr w:rsidR="00A93734" w:rsidTr="00345886">
        <w:trPr>
          <w:trHeight w:val="269"/>
        </w:trPr>
        <w:tc>
          <w:tcPr>
            <w:tcW w:w="2978" w:type="dxa"/>
          </w:tcPr>
          <w:p w:rsidR="00A93734" w:rsidRDefault="00A93734" w:rsidP="00345886">
            <w:pPr>
              <w:pStyle w:val="NoSpacing"/>
            </w:pPr>
            <w:r>
              <w:t>Opening balance</w:t>
            </w:r>
          </w:p>
        </w:tc>
        <w:tc>
          <w:tcPr>
            <w:tcW w:w="1275" w:type="dxa"/>
          </w:tcPr>
          <w:p w:rsidR="00A93734" w:rsidRDefault="00D464D8" w:rsidP="00A93734">
            <w:pPr>
              <w:pStyle w:val="NoSpacing"/>
              <w:jc w:val="right"/>
            </w:pPr>
            <w:r>
              <w:t>45,057</w:t>
            </w:r>
          </w:p>
        </w:tc>
        <w:tc>
          <w:tcPr>
            <w:tcW w:w="1418" w:type="dxa"/>
          </w:tcPr>
          <w:p w:rsidR="00A93734" w:rsidRDefault="00D464D8" w:rsidP="00A93734">
            <w:pPr>
              <w:pStyle w:val="NoSpacing"/>
              <w:jc w:val="right"/>
            </w:pPr>
            <w:r>
              <w:t>194,969</w:t>
            </w:r>
          </w:p>
        </w:tc>
        <w:tc>
          <w:tcPr>
            <w:tcW w:w="1559" w:type="dxa"/>
          </w:tcPr>
          <w:p w:rsidR="00A93734" w:rsidRDefault="00D464D8" w:rsidP="00A93734">
            <w:pPr>
              <w:pStyle w:val="NoSpacing"/>
              <w:jc w:val="right"/>
            </w:pPr>
            <w:r>
              <w:t>871</w:t>
            </w:r>
          </w:p>
        </w:tc>
        <w:tc>
          <w:tcPr>
            <w:tcW w:w="1418" w:type="dxa"/>
          </w:tcPr>
          <w:p w:rsidR="00A93734" w:rsidRDefault="00D464D8" w:rsidP="00A93734">
            <w:pPr>
              <w:pStyle w:val="NoSpacing"/>
              <w:jc w:val="right"/>
            </w:pPr>
            <w:r>
              <w:t>5,020</w:t>
            </w:r>
          </w:p>
        </w:tc>
        <w:tc>
          <w:tcPr>
            <w:tcW w:w="1417" w:type="dxa"/>
          </w:tcPr>
          <w:p w:rsidR="00A93734" w:rsidRDefault="00D464D8" w:rsidP="00A93734">
            <w:pPr>
              <w:pStyle w:val="NoSpacing"/>
              <w:jc w:val="right"/>
            </w:pPr>
            <w:r>
              <w:t>70</w:t>
            </w:r>
          </w:p>
        </w:tc>
        <w:tc>
          <w:tcPr>
            <w:tcW w:w="1559" w:type="dxa"/>
          </w:tcPr>
          <w:p w:rsidR="00A93734" w:rsidRDefault="00D464D8" w:rsidP="00A93734">
            <w:pPr>
              <w:pStyle w:val="NoSpacing"/>
              <w:jc w:val="right"/>
            </w:pPr>
            <w:r>
              <w:t>1,254</w:t>
            </w:r>
          </w:p>
        </w:tc>
        <w:tc>
          <w:tcPr>
            <w:tcW w:w="1560" w:type="dxa"/>
          </w:tcPr>
          <w:p w:rsidR="00A93734" w:rsidRDefault="00D464D8" w:rsidP="00A93734">
            <w:pPr>
              <w:pStyle w:val="NoSpacing"/>
              <w:jc w:val="right"/>
            </w:pPr>
            <w:r>
              <w:t>1,498</w:t>
            </w:r>
          </w:p>
        </w:tc>
        <w:tc>
          <w:tcPr>
            <w:tcW w:w="1275" w:type="dxa"/>
          </w:tcPr>
          <w:p w:rsidR="00A93734" w:rsidRDefault="00D464D8" w:rsidP="00A93734">
            <w:pPr>
              <w:pStyle w:val="NoSpacing"/>
              <w:jc w:val="right"/>
            </w:pPr>
            <w:r>
              <w:t>248,739</w:t>
            </w:r>
          </w:p>
        </w:tc>
      </w:tr>
      <w:tr w:rsidR="00A93734" w:rsidTr="00345886">
        <w:trPr>
          <w:trHeight w:val="269"/>
        </w:trPr>
        <w:tc>
          <w:tcPr>
            <w:tcW w:w="2978" w:type="dxa"/>
          </w:tcPr>
          <w:p w:rsidR="00A93734" w:rsidRDefault="00A93734" w:rsidP="00345886">
            <w:pPr>
              <w:pStyle w:val="NoSpacing"/>
            </w:pPr>
            <w:r>
              <w:t>Additions</w:t>
            </w:r>
          </w:p>
        </w:tc>
        <w:tc>
          <w:tcPr>
            <w:tcW w:w="1275" w:type="dxa"/>
          </w:tcPr>
          <w:p w:rsidR="00A93734" w:rsidRDefault="00D464D8" w:rsidP="00A93734">
            <w:pPr>
              <w:pStyle w:val="NoSpacing"/>
              <w:jc w:val="right"/>
            </w:pPr>
            <w:r>
              <w:t>-</w:t>
            </w:r>
          </w:p>
        </w:tc>
        <w:tc>
          <w:tcPr>
            <w:tcW w:w="1418" w:type="dxa"/>
          </w:tcPr>
          <w:p w:rsidR="00A93734" w:rsidRDefault="00D464D8" w:rsidP="00A93734">
            <w:pPr>
              <w:pStyle w:val="NoSpacing"/>
              <w:jc w:val="right"/>
            </w:pPr>
            <w:r>
              <w:t>-</w:t>
            </w:r>
          </w:p>
        </w:tc>
        <w:tc>
          <w:tcPr>
            <w:tcW w:w="1559" w:type="dxa"/>
          </w:tcPr>
          <w:p w:rsidR="00A93734" w:rsidRDefault="00D464D8" w:rsidP="00A93734">
            <w:pPr>
              <w:pStyle w:val="NoSpacing"/>
              <w:jc w:val="right"/>
            </w:pPr>
            <w:r>
              <w:t>4,884</w:t>
            </w:r>
          </w:p>
        </w:tc>
        <w:tc>
          <w:tcPr>
            <w:tcW w:w="1418" w:type="dxa"/>
          </w:tcPr>
          <w:p w:rsidR="00A93734" w:rsidRDefault="00D464D8" w:rsidP="00A93734">
            <w:pPr>
              <w:pStyle w:val="NoSpacing"/>
              <w:jc w:val="right"/>
            </w:pPr>
            <w:r>
              <w:t>1,307</w:t>
            </w:r>
          </w:p>
        </w:tc>
        <w:tc>
          <w:tcPr>
            <w:tcW w:w="1417" w:type="dxa"/>
          </w:tcPr>
          <w:p w:rsidR="00A93734" w:rsidRDefault="00D464D8" w:rsidP="00A93734">
            <w:pPr>
              <w:pStyle w:val="NoSpacing"/>
              <w:jc w:val="right"/>
            </w:pPr>
            <w:r>
              <w:t>318</w:t>
            </w:r>
          </w:p>
        </w:tc>
        <w:tc>
          <w:tcPr>
            <w:tcW w:w="1559" w:type="dxa"/>
          </w:tcPr>
          <w:p w:rsidR="00A93734" w:rsidRDefault="00D464D8" w:rsidP="00A93734">
            <w:pPr>
              <w:pStyle w:val="NoSpacing"/>
              <w:jc w:val="right"/>
            </w:pPr>
            <w:r>
              <w:t>376</w:t>
            </w:r>
          </w:p>
        </w:tc>
        <w:tc>
          <w:tcPr>
            <w:tcW w:w="1560" w:type="dxa"/>
          </w:tcPr>
          <w:p w:rsidR="00A93734" w:rsidRDefault="00D464D8" w:rsidP="00A93734">
            <w:pPr>
              <w:pStyle w:val="NoSpacing"/>
              <w:jc w:val="right"/>
            </w:pPr>
            <w:r>
              <w:t>30</w:t>
            </w:r>
          </w:p>
        </w:tc>
        <w:tc>
          <w:tcPr>
            <w:tcW w:w="1275" w:type="dxa"/>
          </w:tcPr>
          <w:p w:rsidR="00A93734" w:rsidRDefault="00D464D8" w:rsidP="00A93734">
            <w:pPr>
              <w:pStyle w:val="NoSpacing"/>
              <w:jc w:val="right"/>
            </w:pPr>
            <w:r>
              <w:t>6,915</w:t>
            </w:r>
          </w:p>
        </w:tc>
      </w:tr>
      <w:tr w:rsidR="00A93734" w:rsidTr="00345886">
        <w:trPr>
          <w:trHeight w:val="269"/>
        </w:trPr>
        <w:tc>
          <w:tcPr>
            <w:tcW w:w="2978" w:type="dxa"/>
          </w:tcPr>
          <w:p w:rsidR="00A93734" w:rsidRDefault="00A93734" w:rsidP="00345886">
            <w:pPr>
              <w:pStyle w:val="NoSpacing"/>
            </w:pPr>
            <w:r>
              <w:t>Revaluations</w:t>
            </w:r>
          </w:p>
        </w:tc>
        <w:tc>
          <w:tcPr>
            <w:tcW w:w="1275" w:type="dxa"/>
          </w:tcPr>
          <w:p w:rsidR="00A93734" w:rsidRDefault="00D464D8" w:rsidP="00A93734">
            <w:pPr>
              <w:pStyle w:val="NoSpacing"/>
              <w:jc w:val="right"/>
            </w:pPr>
            <w:r>
              <w:t>7,870</w:t>
            </w:r>
          </w:p>
        </w:tc>
        <w:tc>
          <w:tcPr>
            <w:tcW w:w="1418" w:type="dxa"/>
          </w:tcPr>
          <w:p w:rsidR="00A93734" w:rsidRDefault="00D464D8" w:rsidP="00A93734">
            <w:pPr>
              <w:pStyle w:val="NoSpacing"/>
              <w:jc w:val="right"/>
            </w:pPr>
            <w:r>
              <w:t>-</w:t>
            </w:r>
          </w:p>
        </w:tc>
        <w:tc>
          <w:tcPr>
            <w:tcW w:w="1559" w:type="dxa"/>
          </w:tcPr>
          <w:p w:rsidR="00A93734" w:rsidRDefault="00D464D8" w:rsidP="00A93734">
            <w:pPr>
              <w:pStyle w:val="NoSpacing"/>
              <w:jc w:val="right"/>
            </w:pPr>
            <w:r>
              <w:t>-</w:t>
            </w:r>
          </w:p>
        </w:tc>
        <w:tc>
          <w:tcPr>
            <w:tcW w:w="1418" w:type="dxa"/>
          </w:tcPr>
          <w:p w:rsidR="00A93734" w:rsidRDefault="00D464D8" w:rsidP="00A93734">
            <w:pPr>
              <w:pStyle w:val="NoSpacing"/>
              <w:jc w:val="right"/>
            </w:pPr>
            <w:r>
              <w:t>-</w:t>
            </w:r>
          </w:p>
        </w:tc>
        <w:tc>
          <w:tcPr>
            <w:tcW w:w="1417" w:type="dxa"/>
          </w:tcPr>
          <w:p w:rsidR="00A93734" w:rsidRDefault="00D464D8" w:rsidP="00A93734">
            <w:pPr>
              <w:pStyle w:val="NoSpacing"/>
              <w:jc w:val="right"/>
            </w:pPr>
            <w:r>
              <w:t>-</w:t>
            </w:r>
          </w:p>
        </w:tc>
        <w:tc>
          <w:tcPr>
            <w:tcW w:w="1559" w:type="dxa"/>
          </w:tcPr>
          <w:p w:rsidR="00A93734" w:rsidRDefault="00D464D8" w:rsidP="00A93734">
            <w:pPr>
              <w:pStyle w:val="NoSpacing"/>
              <w:jc w:val="right"/>
            </w:pPr>
            <w:r>
              <w:t>-</w:t>
            </w:r>
          </w:p>
        </w:tc>
        <w:tc>
          <w:tcPr>
            <w:tcW w:w="1560" w:type="dxa"/>
          </w:tcPr>
          <w:p w:rsidR="00A93734" w:rsidRDefault="00D464D8" w:rsidP="00A93734">
            <w:pPr>
              <w:pStyle w:val="NoSpacing"/>
              <w:jc w:val="right"/>
            </w:pPr>
            <w:r>
              <w:t>-</w:t>
            </w:r>
          </w:p>
        </w:tc>
        <w:tc>
          <w:tcPr>
            <w:tcW w:w="1275" w:type="dxa"/>
          </w:tcPr>
          <w:p w:rsidR="00A93734" w:rsidRDefault="00D464D8" w:rsidP="00A93734">
            <w:pPr>
              <w:pStyle w:val="NoSpacing"/>
              <w:jc w:val="right"/>
            </w:pPr>
            <w:r>
              <w:t>7,870</w:t>
            </w:r>
          </w:p>
        </w:tc>
      </w:tr>
      <w:tr w:rsidR="00A93734" w:rsidTr="00345886">
        <w:trPr>
          <w:trHeight w:val="269"/>
        </w:trPr>
        <w:tc>
          <w:tcPr>
            <w:tcW w:w="2978" w:type="dxa"/>
          </w:tcPr>
          <w:p w:rsidR="00A93734" w:rsidRDefault="00A93734" w:rsidP="00345886">
            <w:pPr>
              <w:pStyle w:val="NoSpacing"/>
            </w:pPr>
            <w:r>
              <w:t>Disposals</w:t>
            </w:r>
          </w:p>
        </w:tc>
        <w:tc>
          <w:tcPr>
            <w:tcW w:w="1275" w:type="dxa"/>
          </w:tcPr>
          <w:p w:rsidR="00A93734" w:rsidRDefault="00D464D8" w:rsidP="00A93734">
            <w:pPr>
              <w:pStyle w:val="NoSpacing"/>
              <w:jc w:val="right"/>
            </w:pPr>
            <w:r>
              <w:t>-</w:t>
            </w:r>
          </w:p>
        </w:tc>
        <w:tc>
          <w:tcPr>
            <w:tcW w:w="1418" w:type="dxa"/>
          </w:tcPr>
          <w:p w:rsidR="00A93734" w:rsidRDefault="00D464D8" w:rsidP="00A93734">
            <w:pPr>
              <w:pStyle w:val="NoSpacing"/>
              <w:jc w:val="right"/>
            </w:pPr>
            <w:r>
              <w:t>(5,291)</w:t>
            </w:r>
          </w:p>
        </w:tc>
        <w:tc>
          <w:tcPr>
            <w:tcW w:w="1559" w:type="dxa"/>
          </w:tcPr>
          <w:p w:rsidR="00A93734" w:rsidRDefault="00D464D8" w:rsidP="00A93734">
            <w:pPr>
              <w:pStyle w:val="NoSpacing"/>
              <w:jc w:val="right"/>
            </w:pPr>
            <w:r>
              <w:t>-</w:t>
            </w:r>
          </w:p>
        </w:tc>
        <w:tc>
          <w:tcPr>
            <w:tcW w:w="1418" w:type="dxa"/>
          </w:tcPr>
          <w:p w:rsidR="00A93734" w:rsidRDefault="00D464D8" w:rsidP="00A93734">
            <w:pPr>
              <w:pStyle w:val="NoSpacing"/>
              <w:jc w:val="right"/>
            </w:pPr>
            <w:r>
              <w:t>(95)</w:t>
            </w:r>
          </w:p>
        </w:tc>
        <w:tc>
          <w:tcPr>
            <w:tcW w:w="1417" w:type="dxa"/>
          </w:tcPr>
          <w:p w:rsidR="00A93734" w:rsidRDefault="00D464D8" w:rsidP="00A93734">
            <w:pPr>
              <w:pStyle w:val="NoSpacing"/>
              <w:jc w:val="right"/>
            </w:pPr>
            <w:r>
              <w:t>-</w:t>
            </w:r>
          </w:p>
        </w:tc>
        <w:tc>
          <w:tcPr>
            <w:tcW w:w="1559" w:type="dxa"/>
          </w:tcPr>
          <w:p w:rsidR="00A93734" w:rsidRDefault="00D464D8" w:rsidP="00A93734">
            <w:pPr>
              <w:pStyle w:val="NoSpacing"/>
              <w:jc w:val="right"/>
            </w:pPr>
            <w:r>
              <w:t>-</w:t>
            </w:r>
          </w:p>
        </w:tc>
        <w:tc>
          <w:tcPr>
            <w:tcW w:w="1560" w:type="dxa"/>
          </w:tcPr>
          <w:p w:rsidR="00A93734" w:rsidRDefault="00D464D8" w:rsidP="00A93734">
            <w:pPr>
              <w:pStyle w:val="NoSpacing"/>
              <w:jc w:val="right"/>
            </w:pPr>
            <w:r>
              <w:t>-</w:t>
            </w:r>
          </w:p>
        </w:tc>
        <w:tc>
          <w:tcPr>
            <w:tcW w:w="1275" w:type="dxa"/>
          </w:tcPr>
          <w:p w:rsidR="00A93734" w:rsidRDefault="00D464D8" w:rsidP="00A93734">
            <w:pPr>
              <w:pStyle w:val="NoSpacing"/>
              <w:jc w:val="right"/>
            </w:pPr>
            <w:r>
              <w:t>(5,386)</w:t>
            </w:r>
          </w:p>
        </w:tc>
      </w:tr>
      <w:tr w:rsidR="00A93734" w:rsidTr="00345886">
        <w:trPr>
          <w:trHeight w:val="269"/>
        </w:trPr>
        <w:tc>
          <w:tcPr>
            <w:tcW w:w="2978" w:type="dxa"/>
          </w:tcPr>
          <w:p w:rsidR="00A93734" w:rsidRDefault="00A93734" w:rsidP="00345886">
            <w:pPr>
              <w:pStyle w:val="NoSpacing"/>
            </w:pPr>
            <w:r>
              <w:t>Depreciation writeback</w:t>
            </w:r>
          </w:p>
        </w:tc>
        <w:tc>
          <w:tcPr>
            <w:tcW w:w="1275" w:type="dxa"/>
          </w:tcPr>
          <w:p w:rsidR="00A93734" w:rsidRDefault="00D464D8" w:rsidP="00A93734">
            <w:pPr>
              <w:pStyle w:val="NoSpacing"/>
              <w:jc w:val="right"/>
            </w:pPr>
            <w:r>
              <w:t>-</w:t>
            </w:r>
          </w:p>
        </w:tc>
        <w:tc>
          <w:tcPr>
            <w:tcW w:w="1418" w:type="dxa"/>
          </w:tcPr>
          <w:p w:rsidR="00A93734" w:rsidRDefault="00D464D8" w:rsidP="00A93734">
            <w:pPr>
              <w:pStyle w:val="NoSpacing"/>
              <w:jc w:val="right"/>
            </w:pPr>
            <w:r>
              <w:t>932</w:t>
            </w:r>
          </w:p>
        </w:tc>
        <w:tc>
          <w:tcPr>
            <w:tcW w:w="1559" w:type="dxa"/>
          </w:tcPr>
          <w:p w:rsidR="00A93734" w:rsidRDefault="00D464D8" w:rsidP="00A93734">
            <w:pPr>
              <w:pStyle w:val="NoSpacing"/>
              <w:jc w:val="right"/>
            </w:pPr>
            <w:r>
              <w:t>-</w:t>
            </w:r>
          </w:p>
        </w:tc>
        <w:tc>
          <w:tcPr>
            <w:tcW w:w="1418" w:type="dxa"/>
          </w:tcPr>
          <w:p w:rsidR="00A93734" w:rsidRDefault="00D464D8" w:rsidP="00A93734">
            <w:pPr>
              <w:pStyle w:val="NoSpacing"/>
              <w:jc w:val="right"/>
            </w:pPr>
            <w:r>
              <w:t>62</w:t>
            </w:r>
          </w:p>
        </w:tc>
        <w:tc>
          <w:tcPr>
            <w:tcW w:w="1417" w:type="dxa"/>
          </w:tcPr>
          <w:p w:rsidR="00A93734" w:rsidRDefault="00D464D8" w:rsidP="00A93734">
            <w:pPr>
              <w:pStyle w:val="NoSpacing"/>
              <w:jc w:val="right"/>
            </w:pPr>
            <w:r>
              <w:t>-</w:t>
            </w:r>
          </w:p>
        </w:tc>
        <w:tc>
          <w:tcPr>
            <w:tcW w:w="1559" w:type="dxa"/>
          </w:tcPr>
          <w:p w:rsidR="00A93734" w:rsidRDefault="00D464D8" w:rsidP="00A93734">
            <w:pPr>
              <w:pStyle w:val="NoSpacing"/>
              <w:jc w:val="right"/>
            </w:pPr>
            <w:r>
              <w:t>-</w:t>
            </w:r>
          </w:p>
        </w:tc>
        <w:tc>
          <w:tcPr>
            <w:tcW w:w="1560" w:type="dxa"/>
          </w:tcPr>
          <w:p w:rsidR="00A93734" w:rsidRDefault="00D464D8" w:rsidP="00A93734">
            <w:pPr>
              <w:pStyle w:val="NoSpacing"/>
              <w:jc w:val="right"/>
            </w:pPr>
            <w:r>
              <w:t>-</w:t>
            </w:r>
          </w:p>
        </w:tc>
        <w:tc>
          <w:tcPr>
            <w:tcW w:w="1275" w:type="dxa"/>
          </w:tcPr>
          <w:p w:rsidR="00A93734" w:rsidRDefault="00D464D8" w:rsidP="00A93734">
            <w:pPr>
              <w:pStyle w:val="NoSpacing"/>
              <w:jc w:val="right"/>
            </w:pPr>
            <w:r>
              <w:t>994</w:t>
            </w:r>
          </w:p>
        </w:tc>
      </w:tr>
      <w:tr w:rsidR="00A93734" w:rsidTr="00345886">
        <w:trPr>
          <w:trHeight w:val="269"/>
        </w:trPr>
        <w:tc>
          <w:tcPr>
            <w:tcW w:w="2978" w:type="dxa"/>
          </w:tcPr>
          <w:p w:rsidR="00A93734" w:rsidRDefault="00A93734" w:rsidP="00345886">
            <w:pPr>
              <w:pStyle w:val="NoSpacing"/>
            </w:pPr>
            <w:r>
              <w:t>Transfers</w:t>
            </w:r>
          </w:p>
        </w:tc>
        <w:tc>
          <w:tcPr>
            <w:tcW w:w="1275" w:type="dxa"/>
          </w:tcPr>
          <w:p w:rsidR="00A93734" w:rsidRDefault="00D464D8" w:rsidP="00A93734">
            <w:pPr>
              <w:pStyle w:val="NoSpacing"/>
              <w:jc w:val="right"/>
            </w:pPr>
            <w:r>
              <w:t>-</w:t>
            </w:r>
          </w:p>
        </w:tc>
        <w:tc>
          <w:tcPr>
            <w:tcW w:w="1418" w:type="dxa"/>
          </w:tcPr>
          <w:p w:rsidR="00A93734" w:rsidRDefault="00D464D8" w:rsidP="00A93734">
            <w:pPr>
              <w:pStyle w:val="NoSpacing"/>
              <w:jc w:val="right"/>
            </w:pPr>
            <w:r>
              <w:t>2,741</w:t>
            </w:r>
          </w:p>
        </w:tc>
        <w:tc>
          <w:tcPr>
            <w:tcW w:w="1559" w:type="dxa"/>
          </w:tcPr>
          <w:p w:rsidR="00A93734" w:rsidRDefault="00D464D8" w:rsidP="00A93734">
            <w:pPr>
              <w:pStyle w:val="NoSpacing"/>
              <w:jc w:val="right"/>
            </w:pPr>
            <w:r>
              <w:t>(2,741)</w:t>
            </w:r>
          </w:p>
        </w:tc>
        <w:tc>
          <w:tcPr>
            <w:tcW w:w="1418" w:type="dxa"/>
          </w:tcPr>
          <w:p w:rsidR="00A93734" w:rsidRDefault="00D464D8" w:rsidP="00A93734">
            <w:pPr>
              <w:pStyle w:val="NoSpacing"/>
              <w:jc w:val="right"/>
            </w:pPr>
            <w:r>
              <w:t>-</w:t>
            </w:r>
          </w:p>
        </w:tc>
        <w:tc>
          <w:tcPr>
            <w:tcW w:w="1417" w:type="dxa"/>
          </w:tcPr>
          <w:p w:rsidR="00A93734" w:rsidRDefault="00D464D8" w:rsidP="00A93734">
            <w:pPr>
              <w:pStyle w:val="NoSpacing"/>
              <w:jc w:val="right"/>
            </w:pPr>
            <w:r>
              <w:t>-</w:t>
            </w:r>
          </w:p>
        </w:tc>
        <w:tc>
          <w:tcPr>
            <w:tcW w:w="1559" w:type="dxa"/>
          </w:tcPr>
          <w:p w:rsidR="00A93734" w:rsidRDefault="00D464D8" w:rsidP="00A93734">
            <w:pPr>
              <w:pStyle w:val="NoSpacing"/>
              <w:jc w:val="right"/>
            </w:pPr>
            <w:r>
              <w:t>-</w:t>
            </w:r>
          </w:p>
        </w:tc>
        <w:tc>
          <w:tcPr>
            <w:tcW w:w="1560" w:type="dxa"/>
          </w:tcPr>
          <w:p w:rsidR="00A93734" w:rsidRDefault="00D464D8" w:rsidP="00A93734">
            <w:pPr>
              <w:pStyle w:val="NoSpacing"/>
              <w:jc w:val="right"/>
            </w:pPr>
            <w:r>
              <w:t>-</w:t>
            </w:r>
          </w:p>
        </w:tc>
        <w:tc>
          <w:tcPr>
            <w:tcW w:w="1275" w:type="dxa"/>
          </w:tcPr>
          <w:p w:rsidR="00A93734" w:rsidRDefault="00D464D8" w:rsidP="00A93734">
            <w:pPr>
              <w:pStyle w:val="NoSpacing"/>
              <w:jc w:val="right"/>
            </w:pPr>
            <w:r>
              <w:t>-</w:t>
            </w:r>
          </w:p>
        </w:tc>
      </w:tr>
      <w:tr w:rsidR="00A93734" w:rsidTr="00345886">
        <w:trPr>
          <w:trHeight w:val="269"/>
        </w:trPr>
        <w:tc>
          <w:tcPr>
            <w:tcW w:w="2978" w:type="dxa"/>
          </w:tcPr>
          <w:p w:rsidR="00A93734" w:rsidRDefault="00A93734" w:rsidP="00345886">
            <w:pPr>
              <w:pStyle w:val="NoSpacing"/>
            </w:pPr>
            <w:r>
              <w:t>Depreciation</w:t>
            </w:r>
          </w:p>
        </w:tc>
        <w:tc>
          <w:tcPr>
            <w:tcW w:w="1275" w:type="dxa"/>
          </w:tcPr>
          <w:p w:rsidR="00A93734" w:rsidRDefault="00D464D8" w:rsidP="00A93734">
            <w:pPr>
              <w:pStyle w:val="NoSpacing"/>
              <w:jc w:val="right"/>
            </w:pPr>
            <w:r>
              <w:t>-</w:t>
            </w:r>
          </w:p>
        </w:tc>
        <w:tc>
          <w:tcPr>
            <w:tcW w:w="1418" w:type="dxa"/>
          </w:tcPr>
          <w:p w:rsidR="00A93734" w:rsidRDefault="00D464D8" w:rsidP="00A93734">
            <w:pPr>
              <w:pStyle w:val="NoSpacing"/>
              <w:jc w:val="right"/>
            </w:pPr>
            <w:r>
              <w:t>(5,299)</w:t>
            </w:r>
          </w:p>
        </w:tc>
        <w:tc>
          <w:tcPr>
            <w:tcW w:w="1559" w:type="dxa"/>
          </w:tcPr>
          <w:p w:rsidR="00A93734" w:rsidRDefault="00D464D8" w:rsidP="00A93734">
            <w:pPr>
              <w:pStyle w:val="NoSpacing"/>
              <w:jc w:val="right"/>
            </w:pPr>
            <w:r>
              <w:t>-</w:t>
            </w:r>
          </w:p>
        </w:tc>
        <w:tc>
          <w:tcPr>
            <w:tcW w:w="1418" w:type="dxa"/>
          </w:tcPr>
          <w:p w:rsidR="00A93734" w:rsidRDefault="00D464D8" w:rsidP="00A93734">
            <w:pPr>
              <w:pStyle w:val="NoSpacing"/>
              <w:jc w:val="right"/>
            </w:pPr>
            <w:r>
              <w:t>(1,354)</w:t>
            </w:r>
          </w:p>
        </w:tc>
        <w:tc>
          <w:tcPr>
            <w:tcW w:w="1417" w:type="dxa"/>
          </w:tcPr>
          <w:p w:rsidR="00A93734" w:rsidRDefault="00D464D8" w:rsidP="00A93734">
            <w:pPr>
              <w:pStyle w:val="NoSpacing"/>
              <w:jc w:val="right"/>
            </w:pPr>
            <w:r>
              <w:t>(44)</w:t>
            </w:r>
          </w:p>
        </w:tc>
        <w:tc>
          <w:tcPr>
            <w:tcW w:w="1559" w:type="dxa"/>
          </w:tcPr>
          <w:p w:rsidR="00A93734" w:rsidRDefault="00D464D8" w:rsidP="00A93734">
            <w:pPr>
              <w:pStyle w:val="NoSpacing"/>
              <w:jc w:val="right"/>
            </w:pPr>
            <w:r>
              <w:t>(543)</w:t>
            </w:r>
          </w:p>
        </w:tc>
        <w:tc>
          <w:tcPr>
            <w:tcW w:w="1560" w:type="dxa"/>
          </w:tcPr>
          <w:p w:rsidR="00A93734" w:rsidRDefault="00D464D8" w:rsidP="00A93734">
            <w:pPr>
              <w:pStyle w:val="NoSpacing"/>
              <w:jc w:val="right"/>
            </w:pPr>
            <w:r>
              <w:t>(77)</w:t>
            </w:r>
          </w:p>
        </w:tc>
        <w:tc>
          <w:tcPr>
            <w:tcW w:w="1275" w:type="dxa"/>
          </w:tcPr>
          <w:p w:rsidR="00A93734" w:rsidRDefault="00D464D8" w:rsidP="00A93734">
            <w:pPr>
              <w:pStyle w:val="NoSpacing"/>
              <w:jc w:val="right"/>
            </w:pPr>
            <w:r>
              <w:t>(7,317)</w:t>
            </w:r>
          </w:p>
        </w:tc>
      </w:tr>
      <w:tr w:rsidR="00D464D8" w:rsidTr="00345886">
        <w:trPr>
          <w:trHeight w:val="269"/>
        </w:trPr>
        <w:tc>
          <w:tcPr>
            <w:tcW w:w="2978" w:type="dxa"/>
          </w:tcPr>
          <w:p w:rsidR="00D464D8" w:rsidRDefault="00D464D8" w:rsidP="00345886">
            <w:pPr>
              <w:pStyle w:val="NoSpacing"/>
            </w:pPr>
            <w:r>
              <w:t>Impairment reversal</w:t>
            </w:r>
          </w:p>
        </w:tc>
        <w:tc>
          <w:tcPr>
            <w:tcW w:w="1275" w:type="dxa"/>
          </w:tcPr>
          <w:p w:rsidR="00D464D8" w:rsidRDefault="00D464D8" w:rsidP="00A93734">
            <w:pPr>
              <w:pStyle w:val="NoSpacing"/>
              <w:jc w:val="right"/>
            </w:pPr>
            <w:r>
              <w:t>-</w:t>
            </w:r>
          </w:p>
        </w:tc>
        <w:tc>
          <w:tcPr>
            <w:tcW w:w="1418" w:type="dxa"/>
          </w:tcPr>
          <w:p w:rsidR="00D464D8" w:rsidRDefault="00D464D8" w:rsidP="00A93734">
            <w:pPr>
              <w:pStyle w:val="NoSpacing"/>
              <w:jc w:val="right"/>
            </w:pPr>
            <w:r>
              <w:t>1,934</w:t>
            </w:r>
          </w:p>
        </w:tc>
        <w:tc>
          <w:tcPr>
            <w:tcW w:w="1559" w:type="dxa"/>
          </w:tcPr>
          <w:p w:rsidR="00D464D8" w:rsidRDefault="00D464D8" w:rsidP="00A93734">
            <w:pPr>
              <w:pStyle w:val="NoSpacing"/>
              <w:jc w:val="right"/>
            </w:pPr>
            <w:r>
              <w:t>-</w:t>
            </w:r>
          </w:p>
        </w:tc>
        <w:tc>
          <w:tcPr>
            <w:tcW w:w="1418" w:type="dxa"/>
          </w:tcPr>
          <w:p w:rsidR="00D464D8" w:rsidRDefault="00D464D8" w:rsidP="00A93734">
            <w:pPr>
              <w:pStyle w:val="NoSpacing"/>
              <w:jc w:val="right"/>
            </w:pPr>
            <w:r>
              <w:t>-</w:t>
            </w:r>
          </w:p>
        </w:tc>
        <w:tc>
          <w:tcPr>
            <w:tcW w:w="1417" w:type="dxa"/>
          </w:tcPr>
          <w:p w:rsidR="00D464D8" w:rsidRDefault="00D464D8" w:rsidP="00A93734">
            <w:pPr>
              <w:pStyle w:val="NoSpacing"/>
              <w:jc w:val="right"/>
            </w:pPr>
            <w:r>
              <w:t>-</w:t>
            </w:r>
          </w:p>
        </w:tc>
        <w:tc>
          <w:tcPr>
            <w:tcW w:w="1559" w:type="dxa"/>
          </w:tcPr>
          <w:p w:rsidR="00D464D8" w:rsidRDefault="00D464D8" w:rsidP="00A93734">
            <w:pPr>
              <w:pStyle w:val="NoSpacing"/>
              <w:jc w:val="right"/>
            </w:pPr>
            <w:r>
              <w:t>-</w:t>
            </w:r>
          </w:p>
        </w:tc>
        <w:tc>
          <w:tcPr>
            <w:tcW w:w="1560" w:type="dxa"/>
          </w:tcPr>
          <w:p w:rsidR="00D464D8" w:rsidRDefault="00D464D8" w:rsidP="00A93734">
            <w:pPr>
              <w:pStyle w:val="NoSpacing"/>
              <w:jc w:val="right"/>
            </w:pPr>
            <w:r>
              <w:t>-</w:t>
            </w:r>
          </w:p>
        </w:tc>
        <w:tc>
          <w:tcPr>
            <w:tcW w:w="1275" w:type="dxa"/>
          </w:tcPr>
          <w:p w:rsidR="00D464D8" w:rsidRDefault="00D464D8" w:rsidP="00A93734">
            <w:pPr>
              <w:pStyle w:val="NoSpacing"/>
              <w:jc w:val="right"/>
            </w:pPr>
            <w:r>
              <w:t>1,934</w:t>
            </w:r>
          </w:p>
        </w:tc>
      </w:tr>
      <w:tr w:rsidR="00A93734" w:rsidTr="00345886">
        <w:trPr>
          <w:trHeight w:val="269"/>
        </w:trPr>
        <w:tc>
          <w:tcPr>
            <w:tcW w:w="2978" w:type="dxa"/>
          </w:tcPr>
          <w:p w:rsidR="00A93734" w:rsidRDefault="00A93734" w:rsidP="00345886">
            <w:pPr>
              <w:pStyle w:val="NoSpacing"/>
            </w:pPr>
            <w:r>
              <w:t>Closing balance</w:t>
            </w:r>
          </w:p>
        </w:tc>
        <w:tc>
          <w:tcPr>
            <w:tcW w:w="1275" w:type="dxa"/>
          </w:tcPr>
          <w:p w:rsidR="00A93734" w:rsidRDefault="00D464D8" w:rsidP="00A93734">
            <w:pPr>
              <w:pStyle w:val="NoSpacing"/>
              <w:jc w:val="right"/>
            </w:pPr>
            <w:r>
              <w:t>52,927</w:t>
            </w:r>
          </w:p>
        </w:tc>
        <w:tc>
          <w:tcPr>
            <w:tcW w:w="1418" w:type="dxa"/>
          </w:tcPr>
          <w:p w:rsidR="00A93734" w:rsidRDefault="00D464D8" w:rsidP="00A93734">
            <w:pPr>
              <w:pStyle w:val="NoSpacing"/>
              <w:jc w:val="right"/>
            </w:pPr>
            <w:r>
              <w:t>189,986</w:t>
            </w:r>
          </w:p>
        </w:tc>
        <w:tc>
          <w:tcPr>
            <w:tcW w:w="1559" w:type="dxa"/>
          </w:tcPr>
          <w:p w:rsidR="00A93734" w:rsidRDefault="00D464D8" w:rsidP="00A93734">
            <w:pPr>
              <w:pStyle w:val="NoSpacing"/>
              <w:jc w:val="right"/>
            </w:pPr>
            <w:r>
              <w:t>3,014</w:t>
            </w:r>
          </w:p>
        </w:tc>
        <w:tc>
          <w:tcPr>
            <w:tcW w:w="1418" w:type="dxa"/>
          </w:tcPr>
          <w:p w:rsidR="00A93734" w:rsidRDefault="00D464D8" w:rsidP="00A93734">
            <w:pPr>
              <w:pStyle w:val="NoSpacing"/>
              <w:jc w:val="right"/>
            </w:pPr>
            <w:r>
              <w:t>4,940</w:t>
            </w:r>
          </w:p>
        </w:tc>
        <w:tc>
          <w:tcPr>
            <w:tcW w:w="1417" w:type="dxa"/>
          </w:tcPr>
          <w:p w:rsidR="00A93734" w:rsidRDefault="00D464D8" w:rsidP="00A93734">
            <w:pPr>
              <w:pStyle w:val="NoSpacing"/>
              <w:jc w:val="right"/>
            </w:pPr>
            <w:r>
              <w:t>344</w:t>
            </w:r>
          </w:p>
        </w:tc>
        <w:tc>
          <w:tcPr>
            <w:tcW w:w="1559" w:type="dxa"/>
          </w:tcPr>
          <w:p w:rsidR="00A93734" w:rsidRDefault="00D464D8" w:rsidP="00A93734">
            <w:pPr>
              <w:pStyle w:val="NoSpacing"/>
              <w:jc w:val="right"/>
            </w:pPr>
            <w:r>
              <w:t>1,087</w:t>
            </w:r>
          </w:p>
        </w:tc>
        <w:tc>
          <w:tcPr>
            <w:tcW w:w="1560" w:type="dxa"/>
          </w:tcPr>
          <w:p w:rsidR="00A93734" w:rsidRDefault="00D464D8" w:rsidP="00A93734">
            <w:pPr>
              <w:pStyle w:val="NoSpacing"/>
              <w:jc w:val="right"/>
            </w:pPr>
            <w:r>
              <w:t>1,451</w:t>
            </w:r>
          </w:p>
        </w:tc>
        <w:tc>
          <w:tcPr>
            <w:tcW w:w="1275" w:type="dxa"/>
          </w:tcPr>
          <w:p w:rsidR="00A93734" w:rsidRDefault="00D464D8" w:rsidP="00A93734">
            <w:pPr>
              <w:pStyle w:val="NoSpacing"/>
              <w:jc w:val="right"/>
            </w:pPr>
            <w:r>
              <w:t>253,749</w:t>
            </w:r>
          </w:p>
        </w:tc>
      </w:tr>
    </w:tbl>
    <w:p w:rsidR="00A30F35" w:rsidRDefault="00A30F35" w:rsidP="001C611A">
      <w:pPr>
        <w:pStyle w:val="NoSpacing"/>
      </w:pPr>
    </w:p>
    <w:p w:rsidR="001C611A" w:rsidRDefault="001C611A" w:rsidP="001C611A">
      <w:pPr>
        <w:pStyle w:val="NoSpacing"/>
      </w:pPr>
      <w:r>
        <w:t>&lt;pp&gt;</w:t>
      </w:r>
      <w:r w:rsidR="007829BB">
        <w:t>59</w:t>
      </w:r>
    </w:p>
    <w:p w:rsidR="00A30F35" w:rsidRDefault="00A30F35" w:rsidP="001C611A">
      <w:pPr>
        <w:pStyle w:val="NoSpacing"/>
      </w:pPr>
    </w:p>
    <w:p w:rsidR="001C611A" w:rsidRDefault="001C611A" w:rsidP="001C611A">
      <w:pPr>
        <w:pStyle w:val="NoSpacing"/>
      </w:pPr>
    </w:p>
    <w:p w:rsidR="001C611A" w:rsidRPr="006E3F43" w:rsidRDefault="001C611A" w:rsidP="00D36BB2">
      <w:pPr>
        <w:pStyle w:val="Heading3"/>
      </w:pPr>
      <w:r w:rsidRPr="006E3F43">
        <w:lastRenderedPageBreak/>
        <w:t>4. The assets we invested in (continued)</w:t>
      </w:r>
    </w:p>
    <w:p w:rsidR="001C611A" w:rsidRDefault="001C611A" w:rsidP="001C611A">
      <w:pPr>
        <w:pStyle w:val="NoSpacing"/>
        <w:rPr>
          <w:rFonts w:cstheme="minorHAnsi"/>
        </w:rPr>
      </w:pPr>
    </w:p>
    <w:p w:rsidR="001C611A" w:rsidRDefault="001C611A" w:rsidP="00D36BB2">
      <w:pPr>
        <w:pStyle w:val="Heading4"/>
      </w:pPr>
      <w:r w:rsidRPr="006E3F43">
        <w:rPr>
          <w:caps/>
        </w:rPr>
        <w:t xml:space="preserve">4.1 </w:t>
      </w:r>
      <w:r w:rsidRPr="00A30F35">
        <w:t>Property, plant and equipment (continued)</w:t>
      </w:r>
    </w:p>
    <w:p w:rsidR="00A30F35" w:rsidRDefault="00A30F35" w:rsidP="001C611A">
      <w:pPr>
        <w:pStyle w:val="NoSpacing"/>
        <w:rPr>
          <w:rFonts w:cstheme="minorHAnsi"/>
        </w:rPr>
      </w:pPr>
    </w:p>
    <w:tbl>
      <w:tblPr>
        <w:tblStyle w:val="TableGrid"/>
        <w:tblW w:w="11481" w:type="dxa"/>
        <w:tblInd w:w="2689" w:type="dxa"/>
        <w:tblLook w:val="04A0" w:firstRow="1" w:lastRow="0" w:firstColumn="1" w:lastColumn="0" w:noHBand="0" w:noVBand="1"/>
      </w:tblPr>
      <w:tblGrid>
        <w:gridCol w:w="1255"/>
        <w:gridCol w:w="1406"/>
        <w:gridCol w:w="1553"/>
        <w:gridCol w:w="1411"/>
        <w:gridCol w:w="1452"/>
        <w:gridCol w:w="1520"/>
        <w:gridCol w:w="1609"/>
        <w:gridCol w:w="1275"/>
      </w:tblGrid>
      <w:tr w:rsidR="00A30F35" w:rsidTr="00345886">
        <w:tc>
          <w:tcPr>
            <w:tcW w:w="1255" w:type="dxa"/>
            <w:vAlign w:val="bottom"/>
          </w:tcPr>
          <w:p w:rsidR="00A30F35" w:rsidRDefault="00A30F35" w:rsidP="00345886">
            <w:pPr>
              <w:pStyle w:val="NoSpacing"/>
              <w:jc w:val="right"/>
            </w:pPr>
            <w:r>
              <w:t>Land</w:t>
            </w:r>
          </w:p>
        </w:tc>
        <w:tc>
          <w:tcPr>
            <w:tcW w:w="1406" w:type="dxa"/>
            <w:vAlign w:val="bottom"/>
          </w:tcPr>
          <w:p w:rsidR="00A30F35" w:rsidRDefault="00A30F35" w:rsidP="00345886">
            <w:pPr>
              <w:pStyle w:val="NoSpacing"/>
              <w:jc w:val="right"/>
            </w:pPr>
            <w:r>
              <w:t>Buildings</w:t>
            </w:r>
          </w:p>
        </w:tc>
        <w:tc>
          <w:tcPr>
            <w:tcW w:w="1553" w:type="dxa"/>
            <w:vAlign w:val="bottom"/>
          </w:tcPr>
          <w:p w:rsidR="00A30F35" w:rsidRDefault="00A30F35" w:rsidP="00345886">
            <w:pPr>
              <w:pStyle w:val="NoSpacing"/>
              <w:jc w:val="right"/>
            </w:pPr>
            <w:r>
              <w:t>Construction in progress</w:t>
            </w:r>
          </w:p>
        </w:tc>
        <w:tc>
          <w:tcPr>
            <w:tcW w:w="1411" w:type="dxa"/>
            <w:vAlign w:val="bottom"/>
          </w:tcPr>
          <w:p w:rsidR="00A30F35" w:rsidRDefault="00A30F35" w:rsidP="00345886">
            <w:pPr>
              <w:pStyle w:val="NoSpacing"/>
              <w:jc w:val="right"/>
            </w:pPr>
            <w:r>
              <w:t>Plant and equipment</w:t>
            </w:r>
          </w:p>
        </w:tc>
        <w:tc>
          <w:tcPr>
            <w:tcW w:w="1452" w:type="dxa"/>
            <w:vAlign w:val="bottom"/>
          </w:tcPr>
          <w:p w:rsidR="00A30F35" w:rsidRDefault="00A30F35" w:rsidP="00345886">
            <w:pPr>
              <w:pStyle w:val="NoSpacing"/>
              <w:jc w:val="right"/>
            </w:pPr>
            <w:r>
              <w:t>Motor vehicles</w:t>
            </w:r>
          </w:p>
        </w:tc>
        <w:tc>
          <w:tcPr>
            <w:tcW w:w="1520" w:type="dxa"/>
            <w:vAlign w:val="bottom"/>
          </w:tcPr>
          <w:p w:rsidR="00A30F35" w:rsidRDefault="00A30F35" w:rsidP="00345886">
            <w:pPr>
              <w:pStyle w:val="NoSpacing"/>
              <w:jc w:val="right"/>
            </w:pPr>
            <w:r>
              <w:t>Leasehold improvements</w:t>
            </w:r>
          </w:p>
        </w:tc>
        <w:tc>
          <w:tcPr>
            <w:tcW w:w="1609" w:type="dxa"/>
            <w:vAlign w:val="bottom"/>
          </w:tcPr>
          <w:p w:rsidR="00A30F35" w:rsidRDefault="00A30F35" w:rsidP="00345886">
            <w:pPr>
              <w:pStyle w:val="NoSpacing"/>
              <w:jc w:val="right"/>
            </w:pPr>
            <w:r>
              <w:t>Land improvements</w:t>
            </w:r>
          </w:p>
        </w:tc>
        <w:tc>
          <w:tcPr>
            <w:tcW w:w="1275" w:type="dxa"/>
            <w:vAlign w:val="bottom"/>
          </w:tcPr>
          <w:p w:rsidR="00A30F35" w:rsidRDefault="00A30F35" w:rsidP="00345886">
            <w:pPr>
              <w:pStyle w:val="NoSpacing"/>
              <w:jc w:val="right"/>
            </w:pPr>
            <w:r>
              <w:t xml:space="preserve">Total </w:t>
            </w:r>
          </w:p>
        </w:tc>
      </w:tr>
      <w:tr w:rsidR="00A30F35" w:rsidTr="00345886">
        <w:tc>
          <w:tcPr>
            <w:tcW w:w="1255" w:type="dxa"/>
          </w:tcPr>
          <w:p w:rsidR="00A30F35" w:rsidRDefault="00A30F35" w:rsidP="00345886">
            <w:pPr>
              <w:pStyle w:val="NoSpacing"/>
              <w:jc w:val="right"/>
            </w:pPr>
            <w:r>
              <w:t>$’000</w:t>
            </w:r>
          </w:p>
        </w:tc>
        <w:tc>
          <w:tcPr>
            <w:tcW w:w="1406" w:type="dxa"/>
          </w:tcPr>
          <w:p w:rsidR="00A30F35" w:rsidRDefault="00A30F35" w:rsidP="00345886">
            <w:pPr>
              <w:jc w:val="right"/>
            </w:pPr>
            <w:r w:rsidRPr="00CC5F1B">
              <w:t>$’000</w:t>
            </w:r>
          </w:p>
        </w:tc>
        <w:tc>
          <w:tcPr>
            <w:tcW w:w="1553" w:type="dxa"/>
          </w:tcPr>
          <w:p w:rsidR="00A30F35" w:rsidRDefault="00A30F35" w:rsidP="00345886">
            <w:pPr>
              <w:jc w:val="right"/>
            </w:pPr>
            <w:r w:rsidRPr="00CC5F1B">
              <w:t>$’000</w:t>
            </w:r>
          </w:p>
        </w:tc>
        <w:tc>
          <w:tcPr>
            <w:tcW w:w="1411" w:type="dxa"/>
          </w:tcPr>
          <w:p w:rsidR="00A30F35" w:rsidRDefault="00A30F35" w:rsidP="00345886">
            <w:pPr>
              <w:jc w:val="right"/>
            </w:pPr>
            <w:r w:rsidRPr="00CC5F1B">
              <w:t>$’000</w:t>
            </w:r>
          </w:p>
        </w:tc>
        <w:tc>
          <w:tcPr>
            <w:tcW w:w="1452" w:type="dxa"/>
          </w:tcPr>
          <w:p w:rsidR="00A30F35" w:rsidRDefault="00A30F35" w:rsidP="00345886">
            <w:pPr>
              <w:jc w:val="right"/>
            </w:pPr>
            <w:r w:rsidRPr="00CC5F1B">
              <w:t>$’000</w:t>
            </w:r>
          </w:p>
        </w:tc>
        <w:tc>
          <w:tcPr>
            <w:tcW w:w="1520" w:type="dxa"/>
          </w:tcPr>
          <w:p w:rsidR="00A30F35" w:rsidRDefault="00A30F35" w:rsidP="00345886">
            <w:pPr>
              <w:jc w:val="right"/>
            </w:pPr>
            <w:r w:rsidRPr="00CC5F1B">
              <w:t>$’000</w:t>
            </w:r>
          </w:p>
        </w:tc>
        <w:tc>
          <w:tcPr>
            <w:tcW w:w="1609" w:type="dxa"/>
          </w:tcPr>
          <w:p w:rsidR="00A30F35" w:rsidRDefault="00A30F35" w:rsidP="00345886">
            <w:pPr>
              <w:jc w:val="right"/>
            </w:pPr>
            <w:r w:rsidRPr="00CC5F1B">
              <w:t>$’000</w:t>
            </w:r>
          </w:p>
        </w:tc>
        <w:tc>
          <w:tcPr>
            <w:tcW w:w="1275" w:type="dxa"/>
          </w:tcPr>
          <w:p w:rsidR="00A30F35" w:rsidRDefault="00A30F35" w:rsidP="00345886">
            <w:pPr>
              <w:jc w:val="right"/>
            </w:pPr>
            <w:r w:rsidRPr="00CC5F1B">
              <w:t>$’000</w:t>
            </w:r>
          </w:p>
        </w:tc>
      </w:tr>
    </w:tbl>
    <w:p w:rsidR="00A30F35" w:rsidRDefault="00A30F35" w:rsidP="00A30F35">
      <w:pPr>
        <w:pStyle w:val="NoSpacing"/>
      </w:pPr>
      <w:r>
        <w:t>Chisholm 2017</w:t>
      </w:r>
    </w:p>
    <w:tbl>
      <w:tblPr>
        <w:tblStyle w:val="TableGrid"/>
        <w:tblW w:w="14459" w:type="dxa"/>
        <w:tblInd w:w="-289" w:type="dxa"/>
        <w:tblLook w:val="04A0" w:firstRow="1" w:lastRow="0" w:firstColumn="1" w:lastColumn="0" w:noHBand="0" w:noVBand="1"/>
      </w:tblPr>
      <w:tblGrid>
        <w:gridCol w:w="2978"/>
        <w:gridCol w:w="1275"/>
        <w:gridCol w:w="1418"/>
        <w:gridCol w:w="1559"/>
        <w:gridCol w:w="1418"/>
        <w:gridCol w:w="1417"/>
        <w:gridCol w:w="1559"/>
        <w:gridCol w:w="1560"/>
        <w:gridCol w:w="1275"/>
      </w:tblGrid>
      <w:tr w:rsidR="00A30F35" w:rsidTr="00345886">
        <w:trPr>
          <w:trHeight w:val="269"/>
        </w:trPr>
        <w:tc>
          <w:tcPr>
            <w:tcW w:w="2978" w:type="dxa"/>
          </w:tcPr>
          <w:p w:rsidR="00A30F35" w:rsidRDefault="00A30F35" w:rsidP="00345886">
            <w:pPr>
              <w:pStyle w:val="NoSpacing"/>
            </w:pPr>
            <w:r>
              <w:t>Opening balance</w:t>
            </w:r>
          </w:p>
        </w:tc>
        <w:tc>
          <w:tcPr>
            <w:tcW w:w="1275" w:type="dxa"/>
          </w:tcPr>
          <w:p w:rsidR="00A30F35" w:rsidRDefault="00A30F35" w:rsidP="00345886">
            <w:pPr>
              <w:pStyle w:val="NoSpacing"/>
              <w:jc w:val="right"/>
            </w:pPr>
            <w:r>
              <w:t>52,927</w:t>
            </w:r>
          </w:p>
        </w:tc>
        <w:tc>
          <w:tcPr>
            <w:tcW w:w="1418" w:type="dxa"/>
          </w:tcPr>
          <w:p w:rsidR="00A30F35" w:rsidRDefault="00A30F35" w:rsidP="00345886">
            <w:pPr>
              <w:pStyle w:val="NoSpacing"/>
              <w:jc w:val="right"/>
            </w:pPr>
            <w:r>
              <w:t>189,986</w:t>
            </w:r>
          </w:p>
        </w:tc>
        <w:tc>
          <w:tcPr>
            <w:tcW w:w="1559" w:type="dxa"/>
          </w:tcPr>
          <w:p w:rsidR="00A30F35" w:rsidRDefault="00A30F35" w:rsidP="00345886">
            <w:pPr>
              <w:pStyle w:val="NoSpacing"/>
              <w:jc w:val="right"/>
            </w:pPr>
            <w:r>
              <w:t>3,014</w:t>
            </w:r>
          </w:p>
        </w:tc>
        <w:tc>
          <w:tcPr>
            <w:tcW w:w="1418" w:type="dxa"/>
          </w:tcPr>
          <w:p w:rsidR="00A30F35" w:rsidRDefault="00A30F35" w:rsidP="00345886">
            <w:pPr>
              <w:pStyle w:val="NoSpacing"/>
              <w:jc w:val="right"/>
            </w:pPr>
            <w:r>
              <w:t>4,940</w:t>
            </w:r>
          </w:p>
        </w:tc>
        <w:tc>
          <w:tcPr>
            <w:tcW w:w="1417" w:type="dxa"/>
          </w:tcPr>
          <w:p w:rsidR="00A30F35" w:rsidRDefault="00A30F35" w:rsidP="00345886">
            <w:pPr>
              <w:pStyle w:val="NoSpacing"/>
              <w:jc w:val="right"/>
            </w:pPr>
            <w:r>
              <w:t>344</w:t>
            </w:r>
          </w:p>
        </w:tc>
        <w:tc>
          <w:tcPr>
            <w:tcW w:w="1559" w:type="dxa"/>
          </w:tcPr>
          <w:p w:rsidR="00A30F35" w:rsidRDefault="00A30F35" w:rsidP="00345886">
            <w:pPr>
              <w:pStyle w:val="NoSpacing"/>
              <w:jc w:val="right"/>
            </w:pPr>
            <w:r>
              <w:t>1,087</w:t>
            </w:r>
          </w:p>
        </w:tc>
        <w:tc>
          <w:tcPr>
            <w:tcW w:w="1560" w:type="dxa"/>
          </w:tcPr>
          <w:p w:rsidR="00A30F35" w:rsidRDefault="00A30F35" w:rsidP="00345886">
            <w:pPr>
              <w:pStyle w:val="NoSpacing"/>
              <w:jc w:val="right"/>
            </w:pPr>
            <w:r>
              <w:t>1,451</w:t>
            </w:r>
          </w:p>
        </w:tc>
        <w:tc>
          <w:tcPr>
            <w:tcW w:w="1275" w:type="dxa"/>
          </w:tcPr>
          <w:p w:rsidR="00A30F35" w:rsidRDefault="00A30F35" w:rsidP="00345886">
            <w:pPr>
              <w:pStyle w:val="NoSpacing"/>
              <w:jc w:val="right"/>
            </w:pPr>
            <w:r>
              <w:t>253,749</w:t>
            </w:r>
          </w:p>
        </w:tc>
      </w:tr>
      <w:tr w:rsidR="00A30F35" w:rsidTr="00345886">
        <w:trPr>
          <w:trHeight w:val="269"/>
        </w:trPr>
        <w:tc>
          <w:tcPr>
            <w:tcW w:w="2978" w:type="dxa"/>
          </w:tcPr>
          <w:p w:rsidR="00A30F35" w:rsidRDefault="00A30F35" w:rsidP="00345886">
            <w:pPr>
              <w:pStyle w:val="NoSpacing"/>
            </w:pPr>
            <w:r>
              <w:t>Additions</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559" w:type="dxa"/>
          </w:tcPr>
          <w:p w:rsidR="00A30F35" w:rsidRDefault="00A30F35" w:rsidP="00345886">
            <w:pPr>
              <w:pStyle w:val="NoSpacing"/>
              <w:jc w:val="right"/>
            </w:pPr>
            <w:r>
              <w:t>13,128</w:t>
            </w:r>
          </w:p>
        </w:tc>
        <w:tc>
          <w:tcPr>
            <w:tcW w:w="1418" w:type="dxa"/>
          </w:tcPr>
          <w:p w:rsidR="00A30F35" w:rsidRDefault="00A30F35" w:rsidP="00345886">
            <w:pPr>
              <w:pStyle w:val="NoSpacing"/>
              <w:jc w:val="right"/>
            </w:pPr>
            <w:r>
              <w:t>1,227</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20</w:t>
            </w:r>
          </w:p>
        </w:tc>
        <w:tc>
          <w:tcPr>
            <w:tcW w:w="1560" w:type="dxa"/>
          </w:tcPr>
          <w:p w:rsidR="00A30F35" w:rsidRDefault="00A30F35" w:rsidP="00345886">
            <w:pPr>
              <w:pStyle w:val="NoSpacing"/>
              <w:jc w:val="right"/>
            </w:pPr>
            <w:r>
              <w:t>-</w:t>
            </w:r>
          </w:p>
        </w:tc>
        <w:tc>
          <w:tcPr>
            <w:tcW w:w="1275" w:type="dxa"/>
          </w:tcPr>
          <w:p w:rsidR="00A30F35" w:rsidRDefault="00A30F35" w:rsidP="00345886">
            <w:pPr>
              <w:pStyle w:val="NoSpacing"/>
              <w:jc w:val="right"/>
            </w:pPr>
            <w:r>
              <w:t>14,375</w:t>
            </w:r>
          </w:p>
        </w:tc>
      </w:tr>
      <w:tr w:rsidR="00A30F35" w:rsidTr="00345886">
        <w:trPr>
          <w:trHeight w:val="269"/>
        </w:trPr>
        <w:tc>
          <w:tcPr>
            <w:tcW w:w="2978" w:type="dxa"/>
          </w:tcPr>
          <w:p w:rsidR="00A30F35" w:rsidRDefault="00A30F35" w:rsidP="00345886">
            <w:pPr>
              <w:pStyle w:val="NoSpacing"/>
            </w:pPr>
            <w:r>
              <w:t>Revaluations</w:t>
            </w:r>
          </w:p>
        </w:tc>
        <w:tc>
          <w:tcPr>
            <w:tcW w:w="1275" w:type="dxa"/>
          </w:tcPr>
          <w:p w:rsidR="00A30F35" w:rsidRDefault="00A30F35" w:rsidP="00345886">
            <w:pPr>
              <w:pStyle w:val="NoSpacing"/>
              <w:jc w:val="right"/>
            </w:pPr>
            <w:r>
              <w:t>5,269</w:t>
            </w:r>
          </w:p>
        </w:tc>
        <w:tc>
          <w:tcPr>
            <w:tcW w:w="1418" w:type="dxa"/>
          </w:tcPr>
          <w:p w:rsidR="00A30F35" w:rsidRDefault="00A30F35" w:rsidP="00345886">
            <w:pPr>
              <w:pStyle w:val="NoSpacing"/>
              <w:jc w:val="right"/>
            </w:pPr>
            <w:r>
              <w:t>12,010</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1,046</w:t>
            </w:r>
          </w:p>
        </w:tc>
        <w:tc>
          <w:tcPr>
            <w:tcW w:w="1275" w:type="dxa"/>
          </w:tcPr>
          <w:p w:rsidR="00A30F35" w:rsidRDefault="00A30F35" w:rsidP="00345886">
            <w:pPr>
              <w:pStyle w:val="NoSpacing"/>
              <w:jc w:val="right"/>
            </w:pPr>
            <w:r>
              <w:t>18,325</w:t>
            </w:r>
          </w:p>
        </w:tc>
      </w:tr>
      <w:tr w:rsidR="00A30F35" w:rsidTr="00345886">
        <w:trPr>
          <w:trHeight w:val="269"/>
        </w:trPr>
        <w:tc>
          <w:tcPr>
            <w:tcW w:w="2978" w:type="dxa"/>
          </w:tcPr>
          <w:p w:rsidR="00A30F35" w:rsidRDefault="00A30F35" w:rsidP="00345886">
            <w:pPr>
              <w:pStyle w:val="NoSpacing"/>
            </w:pPr>
            <w:r>
              <w:t>Disposals</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(79)</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417" w:type="dxa"/>
          </w:tcPr>
          <w:p w:rsidR="00A30F35" w:rsidRDefault="00A30F35" w:rsidP="00345886">
            <w:pPr>
              <w:pStyle w:val="NoSpacing"/>
              <w:jc w:val="right"/>
            </w:pPr>
            <w:r>
              <w:t>(66)</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w:t>
            </w:r>
          </w:p>
        </w:tc>
        <w:tc>
          <w:tcPr>
            <w:tcW w:w="1275" w:type="dxa"/>
          </w:tcPr>
          <w:p w:rsidR="00A30F35" w:rsidRDefault="00A30F35" w:rsidP="00345886">
            <w:pPr>
              <w:pStyle w:val="NoSpacing"/>
              <w:jc w:val="right"/>
            </w:pPr>
            <w:r>
              <w:t>(145)</w:t>
            </w:r>
          </w:p>
        </w:tc>
      </w:tr>
      <w:tr w:rsidR="00A30F35" w:rsidTr="00345886">
        <w:trPr>
          <w:trHeight w:val="269"/>
        </w:trPr>
        <w:tc>
          <w:tcPr>
            <w:tcW w:w="2978" w:type="dxa"/>
          </w:tcPr>
          <w:p w:rsidR="00A30F35" w:rsidRDefault="00A30F35" w:rsidP="00345886">
            <w:pPr>
              <w:pStyle w:val="NoSpacing"/>
            </w:pPr>
            <w:r>
              <w:t>Depreciation writeback</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21</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417" w:type="dxa"/>
          </w:tcPr>
          <w:p w:rsidR="00A30F35" w:rsidRDefault="00A30F35" w:rsidP="00345886">
            <w:pPr>
              <w:pStyle w:val="NoSpacing"/>
              <w:jc w:val="right"/>
            </w:pPr>
            <w:r>
              <w:t>192</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588</w:t>
            </w:r>
          </w:p>
        </w:tc>
        <w:tc>
          <w:tcPr>
            <w:tcW w:w="1275" w:type="dxa"/>
          </w:tcPr>
          <w:p w:rsidR="00A30F35" w:rsidRDefault="00A30F35" w:rsidP="00345886">
            <w:pPr>
              <w:pStyle w:val="NoSpacing"/>
              <w:jc w:val="right"/>
            </w:pPr>
            <w:r>
              <w:t>801</w:t>
            </w:r>
          </w:p>
        </w:tc>
      </w:tr>
      <w:tr w:rsidR="00A30F35" w:rsidTr="00345886">
        <w:trPr>
          <w:trHeight w:val="269"/>
        </w:trPr>
        <w:tc>
          <w:tcPr>
            <w:tcW w:w="2978" w:type="dxa"/>
          </w:tcPr>
          <w:p w:rsidR="00A30F35" w:rsidRDefault="00A30F35" w:rsidP="00345886">
            <w:pPr>
              <w:pStyle w:val="NoSpacing"/>
            </w:pPr>
            <w:r>
              <w:t>Transfers</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29</w:t>
            </w:r>
          </w:p>
        </w:tc>
        <w:tc>
          <w:tcPr>
            <w:tcW w:w="1559" w:type="dxa"/>
          </w:tcPr>
          <w:p w:rsidR="00A30F35" w:rsidRDefault="00A30F35" w:rsidP="00345886">
            <w:pPr>
              <w:pStyle w:val="NoSpacing"/>
              <w:jc w:val="right"/>
            </w:pPr>
            <w:r>
              <w:t>(142)</w:t>
            </w:r>
          </w:p>
        </w:tc>
        <w:tc>
          <w:tcPr>
            <w:tcW w:w="1418" w:type="dxa"/>
          </w:tcPr>
          <w:p w:rsidR="00A30F35" w:rsidRDefault="00A30F35" w:rsidP="00345886">
            <w:pPr>
              <w:pStyle w:val="NoSpacing"/>
              <w:jc w:val="right"/>
            </w:pPr>
            <w:r>
              <w:t>28</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85</w:t>
            </w:r>
          </w:p>
        </w:tc>
        <w:tc>
          <w:tcPr>
            <w:tcW w:w="1275" w:type="dxa"/>
          </w:tcPr>
          <w:p w:rsidR="00A30F35" w:rsidRDefault="00A30F35" w:rsidP="00345886">
            <w:pPr>
              <w:pStyle w:val="NoSpacing"/>
              <w:jc w:val="right"/>
            </w:pPr>
            <w:r>
              <w:t>-</w:t>
            </w:r>
          </w:p>
        </w:tc>
      </w:tr>
      <w:tr w:rsidR="00A30F35" w:rsidTr="00345886">
        <w:trPr>
          <w:trHeight w:val="269"/>
        </w:trPr>
        <w:tc>
          <w:tcPr>
            <w:tcW w:w="2978" w:type="dxa"/>
          </w:tcPr>
          <w:p w:rsidR="00A30F35" w:rsidRDefault="00A30F35" w:rsidP="00345886">
            <w:pPr>
              <w:pStyle w:val="NoSpacing"/>
            </w:pPr>
            <w:r>
              <w:t>Depreciation</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(5,178)</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(1,341)</w:t>
            </w:r>
          </w:p>
        </w:tc>
        <w:tc>
          <w:tcPr>
            <w:tcW w:w="1417" w:type="dxa"/>
          </w:tcPr>
          <w:p w:rsidR="00A30F35" w:rsidRDefault="00A30F35" w:rsidP="00345886">
            <w:pPr>
              <w:pStyle w:val="NoSpacing"/>
              <w:jc w:val="right"/>
            </w:pPr>
            <w:r>
              <w:t>(190)</w:t>
            </w:r>
          </w:p>
        </w:tc>
        <w:tc>
          <w:tcPr>
            <w:tcW w:w="1559" w:type="dxa"/>
          </w:tcPr>
          <w:p w:rsidR="00A30F35" w:rsidRDefault="00A30F35" w:rsidP="00345886">
            <w:pPr>
              <w:pStyle w:val="NoSpacing"/>
              <w:jc w:val="right"/>
            </w:pPr>
            <w:r>
              <w:t>(457)</w:t>
            </w:r>
          </w:p>
        </w:tc>
        <w:tc>
          <w:tcPr>
            <w:tcW w:w="1560" w:type="dxa"/>
          </w:tcPr>
          <w:p w:rsidR="00A30F35" w:rsidRDefault="00A30F35" w:rsidP="00345886">
            <w:pPr>
              <w:pStyle w:val="NoSpacing"/>
              <w:jc w:val="right"/>
            </w:pPr>
            <w:r>
              <w:t>(668)</w:t>
            </w:r>
          </w:p>
        </w:tc>
        <w:tc>
          <w:tcPr>
            <w:tcW w:w="1275" w:type="dxa"/>
          </w:tcPr>
          <w:p w:rsidR="00A30F35" w:rsidRDefault="00A30F35" w:rsidP="00345886">
            <w:pPr>
              <w:pStyle w:val="NoSpacing"/>
              <w:jc w:val="right"/>
            </w:pPr>
            <w:r>
              <w:t>(7,834)</w:t>
            </w:r>
          </w:p>
        </w:tc>
      </w:tr>
      <w:tr w:rsidR="00A30F35" w:rsidTr="00345886">
        <w:trPr>
          <w:trHeight w:val="269"/>
        </w:trPr>
        <w:tc>
          <w:tcPr>
            <w:tcW w:w="2978" w:type="dxa"/>
          </w:tcPr>
          <w:p w:rsidR="00A30F35" w:rsidRDefault="00A30F35" w:rsidP="00345886">
            <w:pPr>
              <w:pStyle w:val="NoSpacing"/>
            </w:pPr>
            <w:r>
              <w:t>Closing balance</w:t>
            </w:r>
          </w:p>
        </w:tc>
        <w:tc>
          <w:tcPr>
            <w:tcW w:w="1275" w:type="dxa"/>
          </w:tcPr>
          <w:p w:rsidR="00A30F35" w:rsidRDefault="00A30F35" w:rsidP="00345886">
            <w:pPr>
              <w:pStyle w:val="NoSpacing"/>
              <w:jc w:val="right"/>
            </w:pPr>
            <w:r>
              <w:t>58,196</w:t>
            </w:r>
          </w:p>
        </w:tc>
        <w:tc>
          <w:tcPr>
            <w:tcW w:w="1418" w:type="dxa"/>
          </w:tcPr>
          <w:p w:rsidR="00A30F35" w:rsidRDefault="00A30F35" w:rsidP="00345886">
            <w:pPr>
              <w:pStyle w:val="NoSpacing"/>
              <w:jc w:val="right"/>
            </w:pPr>
            <w:r>
              <w:t>196,789</w:t>
            </w:r>
          </w:p>
        </w:tc>
        <w:tc>
          <w:tcPr>
            <w:tcW w:w="1559" w:type="dxa"/>
          </w:tcPr>
          <w:p w:rsidR="00A30F35" w:rsidRDefault="00A30F35" w:rsidP="00345886">
            <w:pPr>
              <w:pStyle w:val="NoSpacing"/>
              <w:jc w:val="right"/>
            </w:pPr>
            <w:r>
              <w:t>16,000</w:t>
            </w:r>
          </w:p>
        </w:tc>
        <w:tc>
          <w:tcPr>
            <w:tcW w:w="1418" w:type="dxa"/>
          </w:tcPr>
          <w:p w:rsidR="00A30F35" w:rsidRDefault="00A30F35" w:rsidP="00345886">
            <w:pPr>
              <w:pStyle w:val="NoSpacing"/>
              <w:jc w:val="right"/>
            </w:pPr>
            <w:r>
              <w:t>4,854</w:t>
            </w:r>
          </w:p>
        </w:tc>
        <w:tc>
          <w:tcPr>
            <w:tcW w:w="1417" w:type="dxa"/>
          </w:tcPr>
          <w:p w:rsidR="00A30F35" w:rsidRDefault="00A30F35" w:rsidP="00345886">
            <w:pPr>
              <w:pStyle w:val="NoSpacing"/>
              <w:jc w:val="right"/>
            </w:pPr>
            <w:r>
              <w:t>280</w:t>
            </w:r>
          </w:p>
        </w:tc>
        <w:tc>
          <w:tcPr>
            <w:tcW w:w="1559" w:type="dxa"/>
          </w:tcPr>
          <w:p w:rsidR="00A30F35" w:rsidRDefault="00A30F35" w:rsidP="00345886">
            <w:pPr>
              <w:pStyle w:val="NoSpacing"/>
              <w:jc w:val="right"/>
            </w:pPr>
            <w:r>
              <w:t>650</w:t>
            </w:r>
          </w:p>
        </w:tc>
        <w:tc>
          <w:tcPr>
            <w:tcW w:w="1560" w:type="dxa"/>
          </w:tcPr>
          <w:p w:rsidR="00A30F35" w:rsidRDefault="00A30F35" w:rsidP="00345886">
            <w:pPr>
              <w:pStyle w:val="NoSpacing"/>
              <w:jc w:val="right"/>
            </w:pPr>
            <w:r>
              <w:t>2,502</w:t>
            </w:r>
          </w:p>
        </w:tc>
        <w:tc>
          <w:tcPr>
            <w:tcW w:w="1275" w:type="dxa"/>
          </w:tcPr>
          <w:p w:rsidR="00A30F35" w:rsidRDefault="00A30F35" w:rsidP="00345886">
            <w:pPr>
              <w:pStyle w:val="NoSpacing"/>
              <w:jc w:val="right"/>
            </w:pPr>
            <w:r>
              <w:t>279,271</w:t>
            </w:r>
          </w:p>
        </w:tc>
      </w:tr>
    </w:tbl>
    <w:p w:rsidR="00A30F35" w:rsidRDefault="00A30F35" w:rsidP="00A30F35">
      <w:pPr>
        <w:pStyle w:val="NoSpacing"/>
      </w:pPr>
    </w:p>
    <w:p w:rsidR="00A30F35" w:rsidRDefault="00A30F35" w:rsidP="00A30F35">
      <w:pPr>
        <w:pStyle w:val="NoSpacing"/>
      </w:pPr>
      <w:r>
        <w:t>Chisholm 2016</w:t>
      </w:r>
    </w:p>
    <w:tbl>
      <w:tblPr>
        <w:tblStyle w:val="TableGrid"/>
        <w:tblW w:w="14459" w:type="dxa"/>
        <w:tblInd w:w="-289" w:type="dxa"/>
        <w:tblLook w:val="04A0" w:firstRow="1" w:lastRow="0" w:firstColumn="1" w:lastColumn="0" w:noHBand="0" w:noVBand="1"/>
      </w:tblPr>
      <w:tblGrid>
        <w:gridCol w:w="2978"/>
        <w:gridCol w:w="1275"/>
        <w:gridCol w:w="1418"/>
        <w:gridCol w:w="1559"/>
        <w:gridCol w:w="1418"/>
        <w:gridCol w:w="1417"/>
        <w:gridCol w:w="1559"/>
        <w:gridCol w:w="1560"/>
        <w:gridCol w:w="1275"/>
      </w:tblGrid>
      <w:tr w:rsidR="00A30F35" w:rsidTr="00345886">
        <w:trPr>
          <w:trHeight w:val="269"/>
        </w:trPr>
        <w:tc>
          <w:tcPr>
            <w:tcW w:w="2978" w:type="dxa"/>
          </w:tcPr>
          <w:p w:rsidR="00A30F35" w:rsidRDefault="00A30F35" w:rsidP="00345886">
            <w:pPr>
              <w:pStyle w:val="NoSpacing"/>
            </w:pPr>
            <w:r>
              <w:t>Opening balance</w:t>
            </w:r>
          </w:p>
        </w:tc>
        <w:tc>
          <w:tcPr>
            <w:tcW w:w="1275" w:type="dxa"/>
          </w:tcPr>
          <w:p w:rsidR="00A30F35" w:rsidRDefault="00A30F35" w:rsidP="00345886">
            <w:pPr>
              <w:pStyle w:val="NoSpacing"/>
              <w:jc w:val="right"/>
            </w:pPr>
            <w:r>
              <w:t>45,057</w:t>
            </w:r>
          </w:p>
        </w:tc>
        <w:tc>
          <w:tcPr>
            <w:tcW w:w="1418" w:type="dxa"/>
          </w:tcPr>
          <w:p w:rsidR="00A30F35" w:rsidRDefault="00A30F35" w:rsidP="00345886">
            <w:pPr>
              <w:pStyle w:val="NoSpacing"/>
              <w:jc w:val="right"/>
            </w:pPr>
            <w:r>
              <w:t>194,969</w:t>
            </w:r>
          </w:p>
        </w:tc>
        <w:tc>
          <w:tcPr>
            <w:tcW w:w="1559" w:type="dxa"/>
          </w:tcPr>
          <w:p w:rsidR="00A30F35" w:rsidRDefault="00A30F35" w:rsidP="00345886">
            <w:pPr>
              <w:pStyle w:val="NoSpacing"/>
              <w:jc w:val="right"/>
            </w:pPr>
            <w:r>
              <w:t>871</w:t>
            </w:r>
          </w:p>
        </w:tc>
        <w:tc>
          <w:tcPr>
            <w:tcW w:w="1418" w:type="dxa"/>
          </w:tcPr>
          <w:p w:rsidR="00A30F35" w:rsidRDefault="00A30F35" w:rsidP="00345886">
            <w:pPr>
              <w:pStyle w:val="NoSpacing"/>
              <w:jc w:val="right"/>
            </w:pPr>
            <w:r>
              <w:t>5,020</w:t>
            </w:r>
          </w:p>
        </w:tc>
        <w:tc>
          <w:tcPr>
            <w:tcW w:w="1417" w:type="dxa"/>
          </w:tcPr>
          <w:p w:rsidR="00A30F35" w:rsidRDefault="00A30F35" w:rsidP="00345886">
            <w:pPr>
              <w:pStyle w:val="NoSpacing"/>
              <w:jc w:val="right"/>
            </w:pPr>
            <w:r>
              <w:t>70</w:t>
            </w:r>
          </w:p>
        </w:tc>
        <w:tc>
          <w:tcPr>
            <w:tcW w:w="1559" w:type="dxa"/>
          </w:tcPr>
          <w:p w:rsidR="00A30F35" w:rsidRDefault="00A30F35" w:rsidP="00345886">
            <w:pPr>
              <w:pStyle w:val="NoSpacing"/>
              <w:jc w:val="right"/>
            </w:pPr>
            <w:r>
              <w:t>1,254</w:t>
            </w:r>
          </w:p>
        </w:tc>
        <w:tc>
          <w:tcPr>
            <w:tcW w:w="1560" w:type="dxa"/>
          </w:tcPr>
          <w:p w:rsidR="00A30F35" w:rsidRDefault="00A30F35" w:rsidP="00345886">
            <w:pPr>
              <w:pStyle w:val="NoSpacing"/>
              <w:jc w:val="right"/>
            </w:pPr>
            <w:r>
              <w:t>1,498</w:t>
            </w:r>
          </w:p>
        </w:tc>
        <w:tc>
          <w:tcPr>
            <w:tcW w:w="1275" w:type="dxa"/>
          </w:tcPr>
          <w:p w:rsidR="00A30F35" w:rsidRDefault="00A30F35" w:rsidP="00345886">
            <w:pPr>
              <w:pStyle w:val="NoSpacing"/>
              <w:jc w:val="right"/>
            </w:pPr>
            <w:r>
              <w:t>248,739</w:t>
            </w:r>
          </w:p>
        </w:tc>
      </w:tr>
      <w:tr w:rsidR="00A30F35" w:rsidTr="00345886">
        <w:trPr>
          <w:trHeight w:val="269"/>
        </w:trPr>
        <w:tc>
          <w:tcPr>
            <w:tcW w:w="2978" w:type="dxa"/>
          </w:tcPr>
          <w:p w:rsidR="00A30F35" w:rsidRDefault="00A30F35" w:rsidP="00345886">
            <w:pPr>
              <w:pStyle w:val="NoSpacing"/>
            </w:pPr>
            <w:r>
              <w:t>Additions</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559" w:type="dxa"/>
          </w:tcPr>
          <w:p w:rsidR="00A30F35" w:rsidRDefault="00A30F35" w:rsidP="00345886">
            <w:pPr>
              <w:pStyle w:val="NoSpacing"/>
              <w:jc w:val="right"/>
            </w:pPr>
            <w:r>
              <w:t>4,884</w:t>
            </w:r>
          </w:p>
        </w:tc>
        <w:tc>
          <w:tcPr>
            <w:tcW w:w="1418" w:type="dxa"/>
          </w:tcPr>
          <w:p w:rsidR="00A30F35" w:rsidRDefault="00A30F35" w:rsidP="00BF5A91">
            <w:pPr>
              <w:pStyle w:val="NoSpacing"/>
              <w:jc w:val="right"/>
            </w:pPr>
            <w:r>
              <w:t>1,</w:t>
            </w:r>
            <w:r w:rsidR="00BF5A91">
              <w:t>298</w:t>
            </w:r>
          </w:p>
        </w:tc>
        <w:tc>
          <w:tcPr>
            <w:tcW w:w="1417" w:type="dxa"/>
          </w:tcPr>
          <w:p w:rsidR="00A30F35" w:rsidRDefault="00A30F35" w:rsidP="00345886">
            <w:pPr>
              <w:pStyle w:val="NoSpacing"/>
              <w:jc w:val="right"/>
            </w:pPr>
            <w:r>
              <w:t>318</w:t>
            </w:r>
          </w:p>
        </w:tc>
        <w:tc>
          <w:tcPr>
            <w:tcW w:w="1559" w:type="dxa"/>
          </w:tcPr>
          <w:p w:rsidR="00A30F35" w:rsidRDefault="00BF5A91" w:rsidP="00345886">
            <w:pPr>
              <w:pStyle w:val="NoSpacing"/>
              <w:jc w:val="right"/>
            </w:pPr>
            <w:r>
              <w:t>-</w:t>
            </w:r>
          </w:p>
        </w:tc>
        <w:tc>
          <w:tcPr>
            <w:tcW w:w="1560" w:type="dxa"/>
          </w:tcPr>
          <w:p w:rsidR="00A30F35" w:rsidRDefault="00A30F35" w:rsidP="00345886">
            <w:pPr>
              <w:pStyle w:val="NoSpacing"/>
              <w:jc w:val="right"/>
            </w:pPr>
            <w:r>
              <w:t>30</w:t>
            </w:r>
          </w:p>
        </w:tc>
        <w:tc>
          <w:tcPr>
            <w:tcW w:w="1275" w:type="dxa"/>
          </w:tcPr>
          <w:p w:rsidR="00A30F35" w:rsidRDefault="00A30F35" w:rsidP="00BF5A91">
            <w:pPr>
              <w:pStyle w:val="NoSpacing"/>
              <w:jc w:val="right"/>
            </w:pPr>
            <w:r>
              <w:t>6,</w:t>
            </w:r>
            <w:r w:rsidR="00BF5A91">
              <w:t>530</w:t>
            </w:r>
          </w:p>
        </w:tc>
      </w:tr>
      <w:tr w:rsidR="00A30F35" w:rsidTr="00345886">
        <w:trPr>
          <w:trHeight w:val="269"/>
        </w:trPr>
        <w:tc>
          <w:tcPr>
            <w:tcW w:w="2978" w:type="dxa"/>
          </w:tcPr>
          <w:p w:rsidR="00A30F35" w:rsidRDefault="00A30F35" w:rsidP="00345886">
            <w:pPr>
              <w:pStyle w:val="NoSpacing"/>
            </w:pPr>
            <w:r>
              <w:t>Revaluations</w:t>
            </w:r>
          </w:p>
        </w:tc>
        <w:tc>
          <w:tcPr>
            <w:tcW w:w="1275" w:type="dxa"/>
          </w:tcPr>
          <w:p w:rsidR="00A30F35" w:rsidRDefault="00A30F35" w:rsidP="00345886">
            <w:pPr>
              <w:pStyle w:val="NoSpacing"/>
              <w:jc w:val="right"/>
            </w:pPr>
            <w:r>
              <w:t>7,870</w:t>
            </w:r>
          </w:p>
        </w:tc>
        <w:tc>
          <w:tcPr>
            <w:tcW w:w="1418"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w:t>
            </w:r>
          </w:p>
        </w:tc>
        <w:tc>
          <w:tcPr>
            <w:tcW w:w="1275" w:type="dxa"/>
          </w:tcPr>
          <w:p w:rsidR="00A30F35" w:rsidRDefault="00A30F35" w:rsidP="00345886">
            <w:pPr>
              <w:pStyle w:val="NoSpacing"/>
              <w:jc w:val="right"/>
            </w:pPr>
            <w:r>
              <w:t>7,870</w:t>
            </w:r>
          </w:p>
        </w:tc>
      </w:tr>
      <w:tr w:rsidR="00A30F35" w:rsidTr="00345886">
        <w:trPr>
          <w:trHeight w:val="269"/>
        </w:trPr>
        <w:tc>
          <w:tcPr>
            <w:tcW w:w="2978" w:type="dxa"/>
          </w:tcPr>
          <w:p w:rsidR="00A30F35" w:rsidRDefault="00A30F35" w:rsidP="00345886">
            <w:pPr>
              <w:pStyle w:val="NoSpacing"/>
            </w:pPr>
            <w:r>
              <w:t>Disposals</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(5,291)</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(95)</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w:t>
            </w:r>
          </w:p>
        </w:tc>
        <w:tc>
          <w:tcPr>
            <w:tcW w:w="1275" w:type="dxa"/>
          </w:tcPr>
          <w:p w:rsidR="00A30F35" w:rsidRDefault="00A30F35" w:rsidP="00345886">
            <w:pPr>
              <w:pStyle w:val="NoSpacing"/>
              <w:jc w:val="right"/>
            </w:pPr>
            <w:r>
              <w:t>(5,386)</w:t>
            </w:r>
          </w:p>
        </w:tc>
      </w:tr>
      <w:tr w:rsidR="00A30F35" w:rsidTr="00345886">
        <w:trPr>
          <w:trHeight w:val="269"/>
        </w:trPr>
        <w:tc>
          <w:tcPr>
            <w:tcW w:w="2978" w:type="dxa"/>
          </w:tcPr>
          <w:p w:rsidR="00A30F35" w:rsidRDefault="00A30F35" w:rsidP="00345886">
            <w:pPr>
              <w:pStyle w:val="NoSpacing"/>
            </w:pPr>
            <w:r>
              <w:t>Depreciation writeback</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932</w:t>
            </w:r>
          </w:p>
        </w:tc>
        <w:tc>
          <w:tcPr>
            <w:tcW w:w="1559" w:type="dxa"/>
          </w:tcPr>
          <w:p w:rsidR="00A30F35" w:rsidRDefault="00A30F35" w:rsidP="00345886">
            <w:pPr>
              <w:pStyle w:val="NoSpacing"/>
              <w:jc w:val="right"/>
            </w:pPr>
            <w:r>
              <w:t>-</w:t>
            </w:r>
          </w:p>
        </w:tc>
        <w:tc>
          <w:tcPr>
            <w:tcW w:w="1418" w:type="dxa"/>
          </w:tcPr>
          <w:p w:rsidR="00A30F35" w:rsidRDefault="00BF5A91" w:rsidP="00345886">
            <w:pPr>
              <w:pStyle w:val="NoSpacing"/>
              <w:jc w:val="right"/>
            </w:pPr>
            <w:r>
              <w:t>63</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w:t>
            </w:r>
          </w:p>
        </w:tc>
        <w:tc>
          <w:tcPr>
            <w:tcW w:w="1275" w:type="dxa"/>
          </w:tcPr>
          <w:p w:rsidR="00A30F35" w:rsidRDefault="00BF5A91" w:rsidP="00345886">
            <w:pPr>
              <w:pStyle w:val="NoSpacing"/>
              <w:jc w:val="right"/>
            </w:pPr>
            <w:r>
              <w:t>995</w:t>
            </w:r>
          </w:p>
        </w:tc>
      </w:tr>
      <w:tr w:rsidR="00A30F35" w:rsidTr="00345886">
        <w:trPr>
          <w:trHeight w:val="269"/>
        </w:trPr>
        <w:tc>
          <w:tcPr>
            <w:tcW w:w="2978" w:type="dxa"/>
          </w:tcPr>
          <w:p w:rsidR="00A30F35" w:rsidRDefault="00A30F35" w:rsidP="00345886">
            <w:pPr>
              <w:pStyle w:val="NoSpacing"/>
            </w:pPr>
            <w:r>
              <w:t>Transfers</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2,741</w:t>
            </w:r>
          </w:p>
        </w:tc>
        <w:tc>
          <w:tcPr>
            <w:tcW w:w="1559" w:type="dxa"/>
          </w:tcPr>
          <w:p w:rsidR="00A30F35" w:rsidRDefault="00A30F35" w:rsidP="00345886">
            <w:pPr>
              <w:pStyle w:val="NoSpacing"/>
              <w:jc w:val="right"/>
            </w:pPr>
            <w:r>
              <w:t>(2,741)</w:t>
            </w:r>
          </w:p>
        </w:tc>
        <w:tc>
          <w:tcPr>
            <w:tcW w:w="1418" w:type="dxa"/>
          </w:tcPr>
          <w:p w:rsidR="00A30F35" w:rsidRDefault="00A30F35" w:rsidP="00345886">
            <w:pPr>
              <w:pStyle w:val="NoSpacing"/>
              <w:jc w:val="right"/>
            </w:pPr>
            <w:r>
              <w:t>-</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w:t>
            </w:r>
          </w:p>
        </w:tc>
        <w:tc>
          <w:tcPr>
            <w:tcW w:w="1275" w:type="dxa"/>
          </w:tcPr>
          <w:p w:rsidR="00A30F35" w:rsidRDefault="00A30F35" w:rsidP="00345886">
            <w:pPr>
              <w:pStyle w:val="NoSpacing"/>
              <w:jc w:val="right"/>
            </w:pPr>
            <w:r>
              <w:t>-</w:t>
            </w:r>
          </w:p>
        </w:tc>
      </w:tr>
      <w:tr w:rsidR="00A30F35" w:rsidTr="00345886">
        <w:trPr>
          <w:trHeight w:val="269"/>
        </w:trPr>
        <w:tc>
          <w:tcPr>
            <w:tcW w:w="2978" w:type="dxa"/>
          </w:tcPr>
          <w:p w:rsidR="00A30F35" w:rsidRDefault="00A30F35" w:rsidP="00345886">
            <w:pPr>
              <w:pStyle w:val="NoSpacing"/>
            </w:pPr>
            <w:r>
              <w:t>Depreciation</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(5,299)</w:t>
            </w:r>
          </w:p>
        </w:tc>
        <w:tc>
          <w:tcPr>
            <w:tcW w:w="1559" w:type="dxa"/>
          </w:tcPr>
          <w:p w:rsidR="00A30F35" w:rsidRDefault="00A30F35" w:rsidP="00345886">
            <w:pPr>
              <w:pStyle w:val="NoSpacing"/>
              <w:jc w:val="right"/>
            </w:pPr>
            <w:r>
              <w:t>-</w:t>
            </w:r>
          </w:p>
        </w:tc>
        <w:tc>
          <w:tcPr>
            <w:tcW w:w="1418" w:type="dxa"/>
          </w:tcPr>
          <w:p w:rsidR="00A30F35" w:rsidRDefault="00BF5A91" w:rsidP="00345886">
            <w:pPr>
              <w:pStyle w:val="NoSpacing"/>
              <w:jc w:val="right"/>
            </w:pPr>
            <w:r>
              <w:t>(1,353</w:t>
            </w:r>
            <w:r w:rsidR="00A30F35">
              <w:t>)</w:t>
            </w:r>
          </w:p>
        </w:tc>
        <w:tc>
          <w:tcPr>
            <w:tcW w:w="1417" w:type="dxa"/>
          </w:tcPr>
          <w:p w:rsidR="00A30F35" w:rsidRDefault="00A30F35" w:rsidP="00345886">
            <w:pPr>
              <w:pStyle w:val="NoSpacing"/>
              <w:jc w:val="right"/>
            </w:pPr>
            <w:r>
              <w:t>(44)</w:t>
            </w:r>
          </w:p>
        </w:tc>
        <w:tc>
          <w:tcPr>
            <w:tcW w:w="1559" w:type="dxa"/>
          </w:tcPr>
          <w:p w:rsidR="00A30F35" w:rsidRDefault="00A30F35" w:rsidP="00BF5A91">
            <w:pPr>
              <w:pStyle w:val="NoSpacing"/>
              <w:jc w:val="right"/>
            </w:pPr>
            <w:r>
              <w:t>(5</w:t>
            </w:r>
            <w:r w:rsidR="00BF5A91">
              <w:t>02</w:t>
            </w:r>
            <w:r>
              <w:t>)</w:t>
            </w:r>
          </w:p>
        </w:tc>
        <w:tc>
          <w:tcPr>
            <w:tcW w:w="1560" w:type="dxa"/>
          </w:tcPr>
          <w:p w:rsidR="00A30F35" w:rsidRDefault="00A30F35" w:rsidP="00345886">
            <w:pPr>
              <w:pStyle w:val="NoSpacing"/>
              <w:jc w:val="right"/>
            </w:pPr>
            <w:r>
              <w:t>(77)</w:t>
            </w:r>
          </w:p>
        </w:tc>
        <w:tc>
          <w:tcPr>
            <w:tcW w:w="1275" w:type="dxa"/>
          </w:tcPr>
          <w:p w:rsidR="00A30F35" w:rsidRDefault="00A30F35" w:rsidP="00BF5A91">
            <w:pPr>
              <w:pStyle w:val="NoSpacing"/>
              <w:jc w:val="right"/>
            </w:pPr>
            <w:r>
              <w:t>(7,</w:t>
            </w:r>
            <w:r w:rsidR="00BF5A91">
              <w:t>275</w:t>
            </w:r>
            <w:r>
              <w:t>)</w:t>
            </w:r>
          </w:p>
        </w:tc>
      </w:tr>
      <w:tr w:rsidR="00A30F35" w:rsidTr="00345886">
        <w:trPr>
          <w:trHeight w:val="269"/>
        </w:trPr>
        <w:tc>
          <w:tcPr>
            <w:tcW w:w="2978" w:type="dxa"/>
          </w:tcPr>
          <w:p w:rsidR="00A30F35" w:rsidRDefault="00A30F35" w:rsidP="00345886">
            <w:pPr>
              <w:pStyle w:val="NoSpacing"/>
            </w:pPr>
            <w:r>
              <w:t>Impairment reversal</w:t>
            </w:r>
          </w:p>
        </w:tc>
        <w:tc>
          <w:tcPr>
            <w:tcW w:w="1275" w:type="dxa"/>
          </w:tcPr>
          <w:p w:rsidR="00A30F35" w:rsidRDefault="00A30F35" w:rsidP="00345886">
            <w:pPr>
              <w:pStyle w:val="NoSpacing"/>
              <w:jc w:val="right"/>
            </w:pPr>
            <w:r>
              <w:t>-</w:t>
            </w:r>
          </w:p>
        </w:tc>
        <w:tc>
          <w:tcPr>
            <w:tcW w:w="1418" w:type="dxa"/>
          </w:tcPr>
          <w:p w:rsidR="00A30F35" w:rsidRDefault="00A30F35" w:rsidP="00345886">
            <w:pPr>
              <w:pStyle w:val="NoSpacing"/>
              <w:jc w:val="right"/>
            </w:pPr>
            <w:r>
              <w:t>1,934</w:t>
            </w:r>
          </w:p>
        </w:tc>
        <w:tc>
          <w:tcPr>
            <w:tcW w:w="1559" w:type="dxa"/>
          </w:tcPr>
          <w:p w:rsidR="00A30F35" w:rsidRDefault="00A30F35" w:rsidP="00345886">
            <w:pPr>
              <w:pStyle w:val="NoSpacing"/>
              <w:jc w:val="right"/>
            </w:pPr>
            <w:r>
              <w:t>-</w:t>
            </w:r>
          </w:p>
        </w:tc>
        <w:tc>
          <w:tcPr>
            <w:tcW w:w="1418" w:type="dxa"/>
          </w:tcPr>
          <w:p w:rsidR="00A30F35" w:rsidRDefault="00A30F35" w:rsidP="00345886">
            <w:pPr>
              <w:pStyle w:val="NoSpacing"/>
              <w:jc w:val="right"/>
            </w:pPr>
            <w:r>
              <w:t>-</w:t>
            </w:r>
          </w:p>
        </w:tc>
        <w:tc>
          <w:tcPr>
            <w:tcW w:w="1417" w:type="dxa"/>
          </w:tcPr>
          <w:p w:rsidR="00A30F35" w:rsidRDefault="00A30F35" w:rsidP="00345886">
            <w:pPr>
              <w:pStyle w:val="NoSpacing"/>
              <w:jc w:val="right"/>
            </w:pPr>
            <w:r>
              <w:t>-</w:t>
            </w:r>
          </w:p>
        </w:tc>
        <w:tc>
          <w:tcPr>
            <w:tcW w:w="1559" w:type="dxa"/>
          </w:tcPr>
          <w:p w:rsidR="00A30F35" w:rsidRDefault="00A30F35" w:rsidP="00345886">
            <w:pPr>
              <w:pStyle w:val="NoSpacing"/>
              <w:jc w:val="right"/>
            </w:pPr>
            <w:r>
              <w:t>-</w:t>
            </w:r>
          </w:p>
        </w:tc>
        <w:tc>
          <w:tcPr>
            <w:tcW w:w="1560" w:type="dxa"/>
          </w:tcPr>
          <w:p w:rsidR="00A30F35" w:rsidRDefault="00A30F35" w:rsidP="00345886">
            <w:pPr>
              <w:pStyle w:val="NoSpacing"/>
              <w:jc w:val="right"/>
            </w:pPr>
            <w:r>
              <w:t>-</w:t>
            </w:r>
          </w:p>
        </w:tc>
        <w:tc>
          <w:tcPr>
            <w:tcW w:w="1275" w:type="dxa"/>
          </w:tcPr>
          <w:p w:rsidR="00A30F35" w:rsidRDefault="00A30F35" w:rsidP="00345886">
            <w:pPr>
              <w:pStyle w:val="NoSpacing"/>
              <w:jc w:val="right"/>
            </w:pPr>
            <w:r>
              <w:t>1,934</w:t>
            </w:r>
          </w:p>
        </w:tc>
      </w:tr>
      <w:tr w:rsidR="00A30F35" w:rsidTr="00345886">
        <w:trPr>
          <w:trHeight w:val="269"/>
        </w:trPr>
        <w:tc>
          <w:tcPr>
            <w:tcW w:w="2978" w:type="dxa"/>
          </w:tcPr>
          <w:p w:rsidR="00A30F35" w:rsidRDefault="00A30F35" w:rsidP="00345886">
            <w:pPr>
              <w:pStyle w:val="NoSpacing"/>
            </w:pPr>
            <w:r>
              <w:t>Closing balance</w:t>
            </w:r>
          </w:p>
        </w:tc>
        <w:tc>
          <w:tcPr>
            <w:tcW w:w="1275" w:type="dxa"/>
          </w:tcPr>
          <w:p w:rsidR="00A30F35" w:rsidRDefault="00A30F35" w:rsidP="00345886">
            <w:pPr>
              <w:pStyle w:val="NoSpacing"/>
              <w:jc w:val="right"/>
            </w:pPr>
            <w:r>
              <w:t>52,927</w:t>
            </w:r>
          </w:p>
        </w:tc>
        <w:tc>
          <w:tcPr>
            <w:tcW w:w="1418" w:type="dxa"/>
          </w:tcPr>
          <w:p w:rsidR="00A30F35" w:rsidRDefault="00A30F35" w:rsidP="00345886">
            <w:pPr>
              <w:pStyle w:val="NoSpacing"/>
              <w:jc w:val="right"/>
            </w:pPr>
            <w:r>
              <w:t>189,986</w:t>
            </w:r>
          </w:p>
        </w:tc>
        <w:tc>
          <w:tcPr>
            <w:tcW w:w="1559" w:type="dxa"/>
          </w:tcPr>
          <w:p w:rsidR="00A30F35" w:rsidRDefault="00A30F35" w:rsidP="00345886">
            <w:pPr>
              <w:pStyle w:val="NoSpacing"/>
              <w:jc w:val="right"/>
            </w:pPr>
            <w:r>
              <w:t>3,014</w:t>
            </w:r>
          </w:p>
        </w:tc>
        <w:tc>
          <w:tcPr>
            <w:tcW w:w="1418" w:type="dxa"/>
          </w:tcPr>
          <w:p w:rsidR="00A30F35" w:rsidRDefault="00BF5A91" w:rsidP="00345886">
            <w:pPr>
              <w:pStyle w:val="NoSpacing"/>
              <w:jc w:val="right"/>
            </w:pPr>
            <w:r>
              <w:t>4,933</w:t>
            </w:r>
          </w:p>
        </w:tc>
        <w:tc>
          <w:tcPr>
            <w:tcW w:w="1417" w:type="dxa"/>
          </w:tcPr>
          <w:p w:rsidR="00A30F35" w:rsidRDefault="00A30F35" w:rsidP="00345886">
            <w:pPr>
              <w:pStyle w:val="NoSpacing"/>
              <w:jc w:val="right"/>
            </w:pPr>
            <w:r>
              <w:t>344</w:t>
            </w:r>
          </w:p>
        </w:tc>
        <w:tc>
          <w:tcPr>
            <w:tcW w:w="1559" w:type="dxa"/>
          </w:tcPr>
          <w:p w:rsidR="00A30F35" w:rsidRDefault="00BF5A91" w:rsidP="00345886">
            <w:pPr>
              <w:pStyle w:val="NoSpacing"/>
              <w:jc w:val="right"/>
            </w:pPr>
            <w:r>
              <w:t>752</w:t>
            </w:r>
          </w:p>
        </w:tc>
        <w:tc>
          <w:tcPr>
            <w:tcW w:w="1560" w:type="dxa"/>
          </w:tcPr>
          <w:p w:rsidR="00A30F35" w:rsidRDefault="00A30F35" w:rsidP="00345886">
            <w:pPr>
              <w:pStyle w:val="NoSpacing"/>
              <w:jc w:val="right"/>
            </w:pPr>
            <w:r>
              <w:t>1,451</w:t>
            </w:r>
          </w:p>
        </w:tc>
        <w:tc>
          <w:tcPr>
            <w:tcW w:w="1275" w:type="dxa"/>
          </w:tcPr>
          <w:p w:rsidR="00A30F35" w:rsidRDefault="00A30F35" w:rsidP="00BF5A91">
            <w:pPr>
              <w:pStyle w:val="NoSpacing"/>
              <w:jc w:val="right"/>
            </w:pPr>
            <w:r>
              <w:t>253,</w:t>
            </w:r>
            <w:r w:rsidR="00BF5A91">
              <w:t>407</w:t>
            </w:r>
          </w:p>
        </w:tc>
      </w:tr>
    </w:tbl>
    <w:p w:rsidR="00A30F35" w:rsidRDefault="00A30F35" w:rsidP="001C611A">
      <w:pPr>
        <w:pStyle w:val="NoSpacing"/>
        <w:rPr>
          <w:rFonts w:cstheme="minorHAnsi"/>
        </w:rPr>
      </w:pPr>
    </w:p>
    <w:p w:rsidR="001C611A" w:rsidRDefault="001C611A" w:rsidP="00D36BB2">
      <w:pPr>
        <w:pStyle w:val="Heading4"/>
      </w:pPr>
      <w:r>
        <w:t>4.1.4 Capital commitments</w:t>
      </w:r>
    </w:p>
    <w:p w:rsidR="001C611A" w:rsidRDefault="001C611A" w:rsidP="001C611A">
      <w:pPr>
        <w:pStyle w:val="NoSpacing"/>
      </w:pPr>
    </w:p>
    <w:p w:rsidR="001C611A" w:rsidRDefault="001C611A" w:rsidP="001C611A">
      <w:pPr>
        <w:pStyle w:val="NoSpacing"/>
      </w:pPr>
      <w:r>
        <w:t>These capital commitments are recorded below at their nominal value and inclusive of GST.</w:t>
      </w:r>
    </w:p>
    <w:p w:rsidR="005E2EC9" w:rsidRDefault="005E2EC9" w:rsidP="001C611A">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5E2EC9" w:rsidRPr="00AE2D8D" w:rsidTr="00345886">
        <w:tc>
          <w:tcPr>
            <w:tcW w:w="2693" w:type="dxa"/>
            <w:gridSpan w:val="2"/>
          </w:tcPr>
          <w:p w:rsidR="005E2EC9" w:rsidRPr="00AE2D8D" w:rsidRDefault="005E2EC9" w:rsidP="00345886">
            <w:pPr>
              <w:pStyle w:val="NoSpacing"/>
              <w:jc w:val="center"/>
              <w:rPr>
                <w:rFonts w:cstheme="minorHAnsi"/>
                <w:bCs/>
                <w:w w:val="105"/>
              </w:rPr>
            </w:pPr>
            <w:r w:rsidRPr="00AE2D8D">
              <w:rPr>
                <w:rFonts w:cstheme="minorHAnsi"/>
                <w:bCs/>
                <w:w w:val="105"/>
              </w:rPr>
              <w:lastRenderedPageBreak/>
              <w:t>Consolidated</w:t>
            </w:r>
          </w:p>
        </w:tc>
        <w:tc>
          <w:tcPr>
            <w:tcW w:w="2410" w:type="dxa"/>
            <w:gridSpan w:val="2"/>
          </w:tcPr>
          <w:p w:rsidR="005E2EC9" w:rsidRPr="00AE2D8D" w:rsidRDefault="005E2EC9" w:rsidP="00345886">
            <w:pPr>
              <w:pStyle w:val="NoSpacing"/>
              <w:jc w:val="center"/>
              <w:rPr>
                <w:rFonts w:cstheme="minorHAnsi"/>
                <w:bCs/>
                <w:w w:val="105"/>
              </w:rPr>
            </w:pPr>
            <w:r w:rsidRPr="00AE2D8D">
              <w:rPr>
                <w:rFonts w:cstheme="minorHAnsi"/>
                <w:bCs/>
                <w:w w:val="105"/>
              </w:rPr>
              <w:t>Chisholm</w:t>
            </w:r>
          </w:p>
        </w:tc>
      </w:tr>
      <w:tr w:rsidR="005E2EC9" w:rsidRPr="00AE2D8D" w:rsidTr="00345886">
        <w:tc>
          <w:tcPr>
            <w:tcW w:w="1417" w:type="dxa"/>
          </w:tcPr>
          <w:p w:rsidR="005E2EC9" w:rsidRPr="00AE2D8D" w:rsidRDefault="005E2EC9" w:rsidP="00345886">
            <w:pPr>
              <w:pStyle w:val="NoSpacing"/>
              <w:jc w:val="right"/>
              <w:rPr>
                <w:rFonts w:cstheme="minorHAnsi"/>
                <w:bCs/>
                <w:w w:val="105"/>
              </w:rPr>
            </w:pPr>
            <w:r w:rsidRPr="00AE2D8D">
              <w:rPr>
                <w:rFonts w:cstheme="minorHAnsi"/>
                <w:bCs/>
                <w:w w:val="105"/>
              </w:rPr>
              <w:t>2017</w:t>
            </w:r>
          </w:p>
        </w:tc>
        <w:tc>
          <w:tcPr>
            <w:tcW w:w="1276" w:type="dxa"/>
          </w:tcPr>
          <w:p w:rsidR="005E2EC9" w:rsidRPr="00AE2D8D" w:rsidRDefault="005E2EC9" w:rsidP="00345886">
            <w:pPr>
              <w:pStyle w:val="NoSpacing"/>
              <w:jc w:val="right"/>
              <w:rPr>
                <w:rFonts w:cstheme="minorHAnsi"/>
                <w:bCs/>
                <w:w w:val="105"/>
              </w:rPr>
            </w:pPr>
            <w:r w:rsidRPr="00AE2D8D">
              <w:rPr>
                <w:rFonts w:cstheme="minorHAnsi"/>
                <w:bCs/>
                <w:w w:val="105"/>
              </w:rPr>
              <w:t>2016</w:t>
            </w:r>
          </w:p>
        </w:tc>
        <w:tc>
          <w:tcPr>
            <w:tcW w:w="1276" w:type="dxa"/>
          </w:tcPr>
          <w:p w:rsidR="005E2EC9" w:rsidRPr="00AE2D8D" w:rsidRDefault="005E2EC9" w:rsidP="00345886">
            <w:pPr>
              <w:pStyle w:val="NoSpacing"/>
              <w:jc w:val="right"/>
              <w:rPr>
                <w:rFonts w:cstheme="minorHAnsi"/>
                <w:bCs/>
                <w:w w:val="105"/>
              </w:rPr>
            </w:pPr>
            <w:r w:rsidRPr="00AE2D8D">
              <w:rPr>
                <w:rFonts w:cstheme="minorHAnsi"/>
                <w:bCs/>
                <w:w w:val="105"/>
              </w:rPr>
              <w:t>2017</w:t>
            </w:r>
          </w:p>
        </w:tc>
        <w:tc>
          <w:tcPr>
            <w:tcW w:w="1134" w:type="dxa"/>
          </w:tcPr>
          <w:p w:rsidR="005E2EC9" w:rsidRPr="00AE2D8D" w:rsidRDefault="005E2EC9" w:rsidP="00345886">
            <w:pPr>
              <w:pStyle w:val="NoSpacing"/>
              <w:jc w:val="right"/>
              <w:rPr>
                <w:rFonts w:cstheme="minorHAnsi"/>
                <w:bCs/>
                <w:w w:val="105"/>
              </w:rPr>
            </w:pPr>
            <w:r w:rsidRPr="00AE2D8D">
              <w:rPr>
                <w:rFonts w:cstheme="minorHAnsi"/>
                <w:bCs/>
                <w:w w:val="105"/>
              </w:rPr>
              <w:t>2016</w:t>
            </w:r>
          </w:p>
        </w:tc>
      </w:tr>
      <w:tr w:rsidR="005E2EC9" w:rsidRPr="00AE2D8D" w:rsidTr="00345886">
        <w:tc>
          <w:tcPr>
            <w:tcW w:w="1417" w:type="dxa"/>
          </w:tcPr>
          <w:p w:rsidR="005E2EC9" w:rsidRPr="00AE2D8D" w:rsidRDefault="005E2EC9" w:rsidP="00345886">
            <w:pPr>
              <w:jc w:val="right"/>
              <w:rPr>
                <w:rFonts w:cstheme="minorHAnsi"/>
              </w:rPr>
            </w:pPr>
            <w:r w:rsidRPr="00AE2D8D">
              <w:rPr>
                <w:rFonts w:cstheme="minorHAnsi"/>
                <w:bCs/>
                <w:w w:val="105"/>
              </w:rPr>
              <w:t>$’000</w:t>
            </w:r>
          </w:p>
        </w:tc>
        <w:tc>
          <w:tcPr>
            <w:tcW w:w="1276" w:type="dxa"/>
          </w:tcPr>
          <w:p w:rsidR="005E2EC9" w:rsidRPr="00AE2D8D" w:rsidRDefault="005E2EC9" w:rsidP="00345886">
            <w:pPr>
              <w:jc w:val="right"/>
              <w:rPr>
                <w:rFonts w:cstheme="minorHAnsi"/>
              </w:rPr>
            </w:pPr>
            <w:r w:rsidRPr="00AE2D8D">
              <w:rPr>
                <w:rFonts w:cstheme="minorHAnsi"/>
                <w:bCs/>
                <w:w w:val="105"/>
              </w:rPr>
              <w:t>$’000</w:t>
            </w:r>
          </w:p>
        </w:tc>
        <w:tc>
          <w:tcPr>
            <w:tcW w:w="1276" w:type="dxa"/>
          </w:tcPr>
          <w:p w:rsidR="005E2EC9" w:rsidRPr="00AE2D8D" w:rsidRDefault="005E2EC9" w:rsidP="00345886">
            <w:pPr>
              <w:jc w:val="right"/>
              <w:rPr>
                <w:rFonts w:cstheme="minorHAnsi"/>
              </w:rPr>
            </w:pPr>
            <w:r w:rsidRPr="00AE2D8D">
              <w:rPr>
                <w:rFonts w:cstheme="minorHAnsi"/>
                <w:bCs/>
                <w:w w:val="105"/>
              </w:rPr>
              <w:t>$’000</w:t>
            </w:r>
          </w:p>
        </w:tc>
        <w:tc>
          <w:tcPr>
            <w:tcW w:w="1134" w:type="dxa"/>
          </w:tcPr>
          <w:p w:rsidR="005E2EC9" w:rsidRPr="00AE2D8D" w:rsidRDefault="005E2EC9" w:rsidP="00345886">
            <w:pPr>
              <w:pStyle w:val="NoSpacing"/>
              <w:jc w:val="right"/>
              <w:rPr>
                <w:rFonts w:cstheme="minorHAnsi"/>
                <w:bCs/>
                <w:w w:val="105"/>
              </w:rPr>
            </w:pPr>
            <w:r w:rsidRPr="00AE2D8D">
              <w:rPr>
                <w:rFonts w:cstheme="minorHAnsi"/>
                <w:bCs/>
                <w:w w:val="105"/>
              </w:rPr>
              <w:t>$’000</w:t>
            </w:r>
          </w:p>
        </w:tc>
      </w:tr>
    </w:tbl>
    <w:p w:rsidR="005E2EC9" w:rsidRDefault="005E2EC9" w:rsidP="001C611A">
      <w:pPr>
        <w:pStyle w:val="NoSpacing"/>
      </w:pPr>
      <w:r>
        <w:t>Payable:</w:t>
      </w:r>
    </w:p>
    <w:tbl>
      <w:tblPr>
        <w:tblStyle w:val="TableGrid"/>
        <w:tblW w:w="0" w:type="auto"/>
        <w:tblLook w:val="04A0" w:firstRow="1" w:lastRow="0" w:firstColumn="1" w:lastColumn="0" w:noHBand="0" w:noVBand="1"/>
      </w:tblPr>
      <w:tblGrid>
        <w:gridCol w:w="8784"/>
        <w:gridCol w:w="1417"/>
        <w:gridCol w:w="1276"/>
        <w:gridCol w:w="1276"/>
        <w:gridCol w:w="1134"/>
      </w:tblGrid>
      <w:tr w:rsidR="005E2EC9" w:rsidTr="00345886">
        <w:tc>
          <w:tcPr>
            <w:tcW w:w="8784" w:type="dxa"/>
          </w:tcPr>
          <w:p w:rsidR="005E2EC9" w:rsidRDefault="005E2EC9" w:rsidP="00345886">
            <w:pPr>
              <w:pStyle w:val="NoSpacing"/>
            </w:pPr>
            <w:r>
              <w:t>Within one year</w:t>
            </w:r>
          </w:p>
        </w:tc>
        <w:tc>
          <w:tcPr>
            <w:tcW w:w="1417" w:type="dxa"/>
          </w:tcPr>
          <w:p w:rsidR="005E2EC9" w:rsidRDefault="005E2EC9" w:rsidP="00345886">
            <w:pPr>
              <w:pStyle w:val="NoSpacing"/>
              <w:jc w:val="right"/>
            </w:pPr>
            <w:r>
              <w:t>64,003</w:t>
            </w:r>
          </w:p>
        </w:tc>
        <w:tc>
          <w:tcPr>
            <w:tcW w:w="1276" w:type="dxa"/>
          </w:tcPr>
          <w:p w:rsidR="005E2EC9" w:rsidRDefault="005E2EC9" w:rsidP="00345886">
            <w:pPr>
              <w:pStyle w:val="NoSpacing"/>
              <w:jc w:val="right"/>
            </w:pPr>
            <w:r>
              <w:t>1,743</w:t>
            </w:r>
          </w:p>
        </w:tc>
        <w:tc>
          <w:tcPr>
            <w:tcW w:w="1276" w:type="dxa"/>
          </w:tcPr>
          <w:p w:rsidR="005E2EC9" w:rsidRDefault="005E2EC9" w:rsidP="00345886">
            <w:pPr>
              <w:pStyle w:val="NoSpacing"/>
              <w:jc w:val="right"/>
            </w:pPr>
            <w:r>
              <w:t>64,003</w:t>
            </w:r>
          </w:p>
        </w:tc>
        <w:tc>
          <w:tcPr>
            <w:tcW w:w="1134" w:type="dxa"/>
          </w:tcPr>
          <w:p w:rsidR="005E2EC9" w:rsidRDefault="005E2EC9" w:rsidP="00345886">
            <w:pPr>
              <w:pStyle w:val="NoSpacing"/>
              <w:jc w:val="right"/>
            </w:pPr>
            <w:r>
              <w:t>1,743</w:t>
            </w:r>
          </w:p>
        </w:tc>
      </w:tr>
      <w:tr w:rsidR="005E2EC9" w:rsidTr="00345886">
        <w:tc>
          <w:tcPr>
            <w:tcW w:w="8784" w:type="dxa"/>
          </w:tcPr>
          <w:p w:rsidR="005E2EC9" w:rsidRDefault="005E2EC9" w:rsidP="00345886">
            <w:pPr>
              <w:pStyle w:val="NoSpacing"/>
            </w:pPr>
            <w:r>
              <w:t>Later than one year but no later than five years</w:t>
            </w:r>
          </w:p>
        </w:tc>
        <w:tc>
          <w:tcPr>
            <w:tcW w:w="1417" w:type="dxa"/>
          </w:tcPr>
          <w:p w:rsidR="005E2EC9" w:rsidRDefault="005E2EC9" w:rsidP="00345886">
            <w:pPr>
              <w:pStyle w:val="NoSpacing"/>
              <w:jc w:val="right"/>
            </w:pPr>
            <w:r>
              <w:t>13,592</w:t>
            </w:r>
          </w:p>
        </w:tc>
        <w:tc>
          <w:tcPr>
            <w:tcW w:w="1276" w:type="dxa"/>
          </w:tcPr>
          <w:p w:rsidR="005E2EC9" w:rsidRDefault="005E2EC9" w:rsidP="00345886">
            <w:pPr>
              <w:pStyle w:val="NoSpacing"/>
              <w:jc w:val="right"/>
            </w:pPr>
            <w:r>
              <w:t>916</w:t>
            </w:r>
          </w:p>
        </w:tc>
        <w:tc>
          <w:tcPr>
            <w:tcW w:w="1276" w:type="dxa"/>
          </w:tcPr>
          <w:p w:rsidR="005E2EC9" w:rsidRDefault="005E2EC9" w:rsidP="00345886">
            <w:pPr>
              <w:pStyle w:val="NoSpacing"/>
              <w:jc w:val="right"/>
            </w:pPr>
            <w:r>
              <w:t>13,592</w:t>
            </w:r>
          </w:p>
        </w:tc>
        <w:tc>
          <w:tcPr>
            <w:tcW w:w="1134" w:type="dxa"/>
          </w:tcPr>
          <w:p w:rsidR="005E2EC9" w:rsidRDefault="005E2EC9" w:rsidP="00345886">
            <w:pPr>
              <w:pStyle w:val="NoSpacing"/>
              <w:jc w:val="right"/>
            </w:pPr>
            <w:r>
              <w:t>916</w:t>
            </w:r>
          </w:p>
        </w:tc>
      </w:tr>
      <w:tr w:rsidR="005E2EC9" w:rsidTr="00345886">
        <w:tc>
          <w:tcPr>
            <w:tcW w:w="8784" w:type="dxa"/>
          </w:tcPr>
          <w:p w:rsidR="005E2EC9" w:rsidRDefault="005E2EC9" w:rsidP="00345886">
            <w:pPr>
              <w:pStyle w:val="NoSpacing"/>
            </w:pPr>
            <w:r>
              <w:t xml:space="preserve">Total capital expenditure commitments </w:t>
            </w:r>
          </w:p>
        </w:tc>
        <w:tc>
          <w:tcPr>
            <w:tcW w:w="1417" w:type="dxa"/>
          </w:tcPr>
          <w:p w:rsidR="005E2EC9" w:rsidRDefault="005E2EC9" w:rsidP="00345886">
            <w:pPr>
              <w:pStyle w:val="NoSpacing"/>
              <w:jc w:val="right"/>
            </w:pPr>
            <w:r>
              <w:t>77,595</w:t>
            </w:r>
          </w:p>
        </w:tc>
        <w:tc>
          <w:tcPr>
            <w:tcW w:w="1276" w:type="dxa"/>
          </w:tcPr>
          <w:p w:rsidR="005E2EC9" w:rsidRDefault="005E2EC9" w:rsidP="00345886">
            <w:pPr>
              <w:pStyle w:val="NoSpacing"/>
              <w:jc w:val="right"/>
            </w:pPr>
            <w:r>
              <w:t>2,659</w:t>
            </w:r>
          </w:p>
        </w:tc>
        <w:tc>
          <w:tcPr>
            <w:tcW w:w="1276" w:type="dxa"/>
          </w:tcPr>
          <w:p w:rsidR="005E2EC9" w:rsidRDefault="005E2EC9" w:rsidP="00345886">
            <w:pPr>
              <w:pStyle w:val="NoSpacing"/>
              <w:jc w:val="right"/>
            </w:pPr>
            <w:r>
              <w:t>77,595</w:t>
            </w:r>
          </w:p>
        </w:tc>
        <w:tc>
          <w:tcPr>
            <w:tcW w:w="1134" w:type="dxa"/>
          </w:tcPr>
          <w:p w:rsidR="005E2EC9" w:rsidRDefault="005E2EC9" w:rsidP="00345886">
            <w:pPr>
              <w:pStyle w:val="NoSpacing"/>
              <w:jc w:val="right"/>
            </w:pPr>
            <w:r>
              <w:t>2,659</w:t>
            </w:r>
          </w:p>
        </w:tc>
      </w:tr>
    </w:tbl>
    <w:p w:rsidR="005E2EC9" w:rsidRDefault="005E2EC9" w:rsidP="001C611A">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5E2EC9" w:rsidTr="00345886">
        <w:tc>
          <w:tcPr>
            <w:tcW w:w="8784" w:type="dxa"/>
          </w:tcPr>
          <w:p w:rsidR="005E2EC9" w:rsidRDefault="005E2EC9" w:rsidP="00345886">
            <w:pPr>
              <w:pStyle w:val="NoSpacing"/>
            </w:pPr>
            <w:r>
              <w:t>GST reclaimable on the above</w:t>
            </w:r>
          </w:p>
        </w:tc>
        <w:tc>
          <w:tcPr>
            <w:tcW w:w="1417" w:type="dxa"/>
          </w:tcPr>
          <w:p w:rsidR="005E2EC9" w:rsidRDefault="005E2EC9" w:rsidP="00345886">
            <w:pPr>
              <w:pStyle w:val="NoSpacing"/>
              <w:jc w:val="right"/>
            </w:pPr>
            <w:r>
              <w:t>7,054</w:t>
            </w:r>
          </w:p>
        </w:tc>
        <w:tc>
          <w:tcPr>
            <w:tcW w:w="1276" w:type="dxa"/>
          </w:tcPr>
          <w:p w:rsidR="005E2EC9" w:rsidRDefault="005E2EC9" w:rsidP="00345886">
            <w:pPr>
              <w:pStyle w:val="NoSpacing"/>
              <w:jc w:val="right"/>
            </w:pPr>
            <w:r>
              <w:t>242</w:t>
            </w:r>
          </w:p>
        </w:tc>
        <w:tc>
          <w:tcPr>
            <w:tcW w:w="1276" w:type="dxa"/>
          </w:tcPr>
          <w:p w:rsidR="005E2EC9" w:rsidRDefault="005E2EC9" w:rsidP="00345886">
            <w:pPr>
              <w:pStyle w:val="NoSpacing"/>
              <w:jc w:val="right"/>
            </w:pPr>
            <w:r>
              <w:t>7,054</w:t>
            </w:r>
          </w:p>
        </w:tc>
        <w:tc>
          <w:tcPr>
            <w:tcW w:w="1134" w:type="dxa"/>
          </w:tcPr>
          <w:p w:rsidR="005E2EC9" w:rsidRDefault="005E2EC9" w:rsidP="00345886">
            <w:pPr>
              <w:pStyle w:val="NoSpacing"/>
              <w:jc w:val="right"/>
            </w:pPr>
            <w:r>
              <w:t>242</w:t>
            </w:r>
          </w:p>
        </w:tc>
      </w:tr>
      <w:tr w:rsidR="005E2EC9" w:rsidTr="00345886">
        <w:tc>
          <w:tcPr>
            <w:tcW w:w="8784" w:type="dxa"/>
          </w:tcPr>
          <w:p w:rsidR="005E2EC9" w:rsidRDefault="005E2EC9" w:rsidP="00345886">
            <w:pPr>
              <w:pStyle w:val="NoSpacing"/>
            </w:pPr>
            <w:r>
              <w:t xml:space="preserve">Net capital expenditure commitments </w:t>
            </w:r>
          </w:p>
        </w:tc>
        <w:tc>
          <w:tcPr>
            <w:tcW w:w="1417" w:type="dxa"/>
          </w:tcPr>
          <w:p w:rsidR="005E2EC9" w:rsidRDefault="005E2EC9" w:rsidP="00345886">
            <w:pPr>
              <w:pStyle w:val="NoSpacing"/>
              <w:jc w:val="right"/>
            </w:pPr>
            <w:r>
              <w:t>70,541</w:t>
            </w:r>
          </w:p>
        </w:tc>
        <w:tc>
          <w:tcPr>
            <w:tcW w:w="1276" w:type="dxa"/>
          </w:tcPr>
          <w:p w:rsidR="005E2EC9" w:rsidRDefault="005E2EC9" w:rsidP="00345886">
            <w:pPr>
              <w:pStyle w:val="NoSpacing"/>
              <w:jc w:val="right"/>
            </w:pPr>
            <w:r>
              <w:t>2,417</w:t>
            </w:r>
          </w:p>
        </w:tc>
        <w:tc>
          <w:tcPr>
            <w:tcW w:w="1276" w:type="dxa"/>
          </w:tcPr>
          <w:p w:rsidR="005E2EC9" w:rsidRDefault="005E2EC9" w:rsidP="00345886">
            <w:pPr>
              <w:pStyle w:val="NoSpacing"/>
              <w:jc w:val="right"/>
            </w:pPr>
            <w:r>
              <w:t>70,541</w:t>
            </w:r>
          </w:p>
        </w:tc>
        <w:tc>
          <w:tcPr>
            <w:tcW w:w="1134" w:type="dxa"/>
          </w:tcPr>
          <w:p w:rsidR="005E2EC9" w:rsidRDefault="005E2EC9" w:rsidP="00345886">
            <w:pPr>
              <w:pStyle w:val="NoSpacing"/>
              <w:jc w:val="right"/>
            </w:pPr>
            <w:r>
              <w:t>2,417</w:t>
            </w:r>
          </w:p>
        </w:tc>
      </w:tr>
    </w:tbl>
    <w:p w:rsidR="005E2EC9" w:rsidRDefault="005E2EC9" w:rsidP="001C611A">
      <w:pPr>
        <w:pStyle w:val="NoSpacing"/>
      </w:pPr>
    </w:p>
    <w:p w:rsidR="001C611A" w:rsidRDefault="009B377A" w:rsidP="006E3F43">
      <w:pPr>
        <w:pStyle w:val="NoSpacing"/>
      </w:pPr>
      <w:r>
        <w:t>&lt;pp&gt;</w:t>
      </w:r>
      <w:r w:rsidR="007829BB">
        <w:t>60</w:t>
      </w:r>
    </w:p>
    <w:p w:rsidR="005E2EC9" w:rsidRDefault="005E2EC9" w:rsidP="006E3F43">
      <w:pPr>
        <w:pStyle w:val="NoSpacing"/>
      </w:pPr>
    </w:p>
    <w:p w:rsidR="005E2EC9" w:rsidRPr="006E3F43" w:rsidRDefault="005E2EC9" w:rsidP="00D36BB2">
      <w:pPr>
        <w:pStyle w:val="Heading3"/>
      </w:pPr>
      <w:r w:rsidRPr="006E3F43">
        <w:t>4. The assets we invested in (continued)</w:t>
      </w:r>
    </w:p>
    <w:p w:rsidR="005E2EC9" w:rsidRDefault="005E2EC9" w:rsidP="005E2EC9">
      <w:pPr>
        <w:pStyle w:val="NoSpacing"/>
      </w:pPr>
    </w:p>
    <w:p w:rsidR="005E2EC9" w:rsidRDefault="005E2EC9" w:rsidP="00D36BB2">
      <w:pPr>
        <w:pStyle w:val="Heading4"/>
      </w:pPr>
      <w:r>
        <w:t>4.2 Intangible assets</w:t>
      </w:r>
    </w:p>
    <w:p w:rsidR="005E2EC9" w:rsidRDefault="005E2EC9" w:rsidP="005E2EC9">
      <w:pPr>
        <w:pStyle w:val="NoSpacing"/>
      </w:pPr>
    </w:p>
    <w:p w:rsidR="005E2EC9" w:rsidRDefault="005E2EC9" w:rsidP="005E2EC9">
      <w:pPr>
        <w:pStyle w:val="NoSpacing"/>
      </w:pPr>
      <w:r>
        <w:t>Chisholm has capitalised software development expenditure for the upgrade of its student management system (STRATA) software.</w:t>
      </w:r>
    </w:p>
    <w:p w:rsidR="005E2EC9" w:rsidRDefault="005E2EC9" w:rsidP="005E2EC9">
      <w:pPr>
        <w:pStyle w:val="NoSpacing"/>
      </w:pPr>
      <w:r>
        <w:t>The carrying amount of the capitalised software development expenditure is $2.72 million (2016: $1.24 million). Its useful life is 4 years.</w:t>
      </w:r>
    </w:p>
    <w:p w:rsidR="005E2EC9" w:rsidRDefault="005E2EC9" w:rsidP="005E2EC9">
      <w:pPr>
        <w:pStyle w:val="NoSpacing"/>
      </w:pPr>
      <w:r>
        <w:t>TAFE Online Pty Ltd has capitalised software development expenditure in relation to its relation to its online enrolment system and online learning modules. The carrying amount of the capitalised software development expend is $0.50 million (2016: 0.79 million). Its useful life is 3 years.</w:t>
      </w:r>
    </w:p>
    <w:p w:rsidR="005E2EC9" w:rsidRDefault="005E2EC9" w:rsidP="006E3F43">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5E2EC9" w:rsidRPr="00AE2D8D" w:rsidTr="00345886">
        <w:tc>
          <w:tcPr>
            <w:tcW w:w="2693" w:type="dxa"/>
            <w:gridSpan w:val="2"/>
          </w:tcPr>
          <w:p w:rsidR="005E2EC9" w:rsidRPr="00AE2D8D" w:rsidRDefault="005E2EC9" w:rsidP="00345886">
            <w:pPr>
              <w:pStyle w:val="NoSpacing"/>
              <w:jc w:val="center"/>
              <w:rPr>
                <w:rFonts w:cstheme="minorHAnsi"/>
                <w:bCs/>
                <w:w w:val="105"/>
              </w:rPr>
            </w:pPr>
            <w:r w:rsidRPr="00AE2D8D">
              <w:rPr>
                <w:rFonts w:cstheme="minorHAnsi"/>
                <w:bCs/>
                <w:w w:val="105"/>
              </w:rPr>
              <w:t>Consolidated</w:t>
            </w:r>
          </w:p>
        </w:tc>
        <w:tc>
          <w:tcPr>
            <w:tcW w:w="2410" w:type="dxa"/>
            <w:gridSpan w:val="2"/>
          </w:tcPr>
          <w:p w:rsidR="005E2EC9" w:rsidRPr="00AE2D8D" w:rsidRDefault="005E2EC9" w:rsidP="00345886">
            <w:pPr>
              <w:pStyle w:val="NoSpacing"/>
              <w:jc w:val="center"/>
              <w:rPr>
                <w:rFonts w:cstheme="minorHAnsi"/>
                <w:bCs/>
                <w:w w:val="105"/>
              </w:rPr>
            </w:pPr>
            <w:r w:rsidRPr="00AE2D8D">
              <w:rPr>
                <w:rFonts w:cstheme="minorHAnsi"/>
                <w:bCs/>
                <w:w w:val="105"/>
              </w:rPr>
              <w:t>Chisholm</w:t>
            </w:r>
          </w:p>
        </w:tc>
      </w:tr>
      <w:tr w:rsidR="005E2EC9" w:rsidRPr="00AE2D8D" w:rsidTr="00345886">
        <w:tc>
          <w:tcPr>
            <w:tcW w:w="1417" w:type="dxa"/>
          </w:tcPr>
          <w:p w:rsidR="005E2EC9" w:rsidRPr="00AE2D8D" w:rsidRDefault="005E2EC9" w:rsidP="00345886">
            <w:pPr>
              <w:pStyle w:val="NoSpacing"/>
              <w:jc w:val="right"/>
              <w:rPr>
                <w:rFonts w:cstheme="minorHAnsi"/>
                <w:bCs/>
                <w:w w:val="105"/>
              </w:rPr>
            </w:pPr>
            <w:r w:rsidRPr="00AE2D8D">
              <w:rPr>
                <w:rFonts w:cstheme="minorHAnsi"/>
                <w:bCs/>
                <w:w w:val="105"/>
              </w:rPr>
              <w:t>2017</w:t>
            </w:r>
          </w:p>
        </w:tc>
        <w:tc>
          <w:tcPr>
            <w:tcW w:w="1276" w:type="dxa"/>
          </w:tcPr>
          <w:p w:rsidR="005E2EC9" w:rsidRPr="00AE2D8D" w:rsidRDefault="005E2EC9" w:rsidP="00345886">
            <w:pPr>
              <w:pStyle w:val="NoSpacing"/>
              <w:jc w:val="right"/>
              <w:rPr>
                <w:rFonts w:cstheme="minorHAnsi"/>
                <w:bCs/>
                <w:w w:val="105"/>
              </w:rPr>
            </w:pPr>
            <w:r w:rsidRPr="00AE2D8D">
              <w:rPr>
                <w:rFonts w:cstheme="minorHAnsi"/>
                <w:bCs/>
                <w:w w:val="105"/>
              </w:rPr>
              <w:t>2016</w:t>
            </w:r>
          </w:p>
        </w:tc>
        <w:tc>
          <w:tcPr>
            <w:tcW w:w="1276" w:type="dxa"/>
          </w:tcPr>
          <w:p w:rsidR="005E2EC9" w:rsidRPr="00AE2D8D" w:rsidRDefault="005E2EC9" w:rsidP="00345886">
            <w:pPr>
              <w:pStyle w:val="NoSpacing"/>
              <w:jc w:val="right"/>
              <w:rPr>
                <w:rFonts w:cstheme="minorHAnsi"/>
                <w:bCs/>
                <w:w w:val="105"/>
              </w:rPr>
            </w:pPr>
            <w:r w:rsidRPr="00AE2D8D">
              <w:rPr>
                <w:rFonts w:cstheme="minorHAnsi"/>
                <w:bCs/>
                <w:w w:val="105"/>
              </w:rPr>
              <w:t>2017</w:t>
            </w:r>
          </w:p>
        </w:tc>
        <w:tc>
          <w:tcPr>
            <w:tcW w:w="1134" w:type="dxa"/>
          </w:tcPr>
          <w:p w:rsidR="005E2EC9" w:rsidRPr="00AE2D8D" w:rsidRDefault="005E2EC9" w:rsidP="00345886">
            <w:pPr>
              <w:pStyle w:val="NoSpacing"/>
              <w:jc w:val="right"/>
              <w:rPr>
                <w:rFonts w:cstheme="minorHAnsi"/>
                <w:bCs/>
                <w:w w:val="105"/>
              </w:rPr>
            </w:pPr>
            <w:r w:rsidRPr="00AE2D8D">
              <w:rPr>
                <w:rFonts w:cstheme="minorHAnsi"/>
                <w:bCs/>
                <w:w w:val="105"/>
              </w:rPr>
              <w:t>2016</w:t>
            </w:r>
          </w:p>
        </w:tc>
      </w:tr>
      <w:tr w:rsidR="005E2EC9" w:rsidRPr="00AE2D8D" w:rsidTr="00345886">
        <w:tc>
          <w:tcPr>
            <w:tcW w:w="1417" w:type="dxa"/>
          </w:tcPr>
          <w:p w:rsidR="005E2EC9" w:rsidRPr="00AE2D8D" w:rsidRDefault="005E2EC9" w:rsidP="00345886">
            <w:pPr>
              <w:jc w:val="right"/>
              <w:rPr>
                <w:rFonts w:cstheme="minorHAnsi"/>
              </w:rPr>
            </w:pPr>
            <w:r w:rsidRPr="00AE2D8D">
              <w:rPr>
                <w:rFonts w:cstheme="minorHAnsi"/>
                <w:bCs/>
                <w:w w:val="105"/>
              </w:rPr>
              <w:t>$’000</w:t>
            </w:r>
          </w:p>
        </w:tc>
        <w:tc>
          <w:tcPr>
            <w:tcW w:w="1276" w:type="dxa"/>
          </w:tcPr>
          <w:p w:rsidR="005E2EC9" w:rsidRPr="00AE2D8D" w:rsidRDefault="005E2EC9" w:rsidP="00345886">
            <w:pPr>
              <w:jc w:val="right"/>
              <w:rPr>
                <w:rFonts w:cstheme="minorHAnsi"/>
              </w:rPr>
            </w:pPr>
            <w:r w:rsidRPr="00AE2D8D">
              <w:rPr>
                <w:rFonts w:cstheme="minorHAnsi"/>
                <w:bCs/>
                <w:w w:val="105"/>
              </w:rPr>
              <w:t>$’000</w:t>
            </w:r>
          </w:p>
        </w:tc>
        <w:tc>
          <w:tcPr>
            <w:tcW w:w="1276" w:type="dxa"/>
          </w:tcPr>
          <w:p w:rsidR="005E2EC9" w:rsidRPr="00AE2D8D" w:rsidRDefault="005E2EC9" w:rsidP="00345886">
            <w:pPr>
              <w:jc w:val="right"/>
              <w:rPr>
                <w:rFonts w:cstheme="minorHAnsi"/>
              </w:rPr>
            </w:pPr>
            <w:r w:rsidRPr="00AE2D8D">
              <w:rPr>
                <w:rFonts w:cstheme="minorHAnsi"/>
                <w:bCs/>
                <w:w w:val="105"/>
              </w:rPr>
              <w:t>$’000</w:t>
            </w:r>
          </w:p>
        </w:tc>
        <w:tc>
          <w:tcPr>
            <w:tcW w:w="1134" w:type="dxa"/>
          </w:tcPr>
          <w:p w:rsidR="005E2EC9" w:rsidRPr="00AE2D8D" w:rsidRDefault="005E2EC9" w:rsidP="00345886">
            <w:pPr>
              <w:pStyle w:val="NoSpacing"/>
              <w:jc w:val="right"/>
              <w:rPr>
                <w:rFonts w:cstheme="minorHAnsi"/>
                <w:bCs/>
                <w:w w:val="105"/>
              </w:rPr>
            </w:pPr>
            <w:r w:rsidRPr="00AE2D8D">
              <w:rPr>
                <w:rFonts w:cstheme="minorHAnsi"/>
                <w:bCs/>
                <w:w w:val="105"/>
              </w:rPr>
              <w:t>$’000</w:t>
            </w:r>
          </w:p>
        </w:tc>
      </w:tr>
    </w:tbl>
    <w:p w:rsidR="005E2EC9" w:rsidRDefault="005E2EC9" w:rsidP="005E2EC9">
      <w:pPr>
        <w:pStyle w:val="NoSpacing"/>
      </w:pPr>
      <w:r>
        <w:t>Software</w:t>
      </w:r>
    </w:p>
    <w:p w:rsidR="005E2EC9" w:rsidRDefault="005E2EC9" w:rsidP="005E2EC9">
      <w:pPr>
        <w:pStyle w:val="NoSpacing"/>
      </w:pPr>
      <w:r>
        <w:t xml:space="preserve">Gross carrying amount </w:t>
      </w:r>
    </w:p>
    <w:tbl>
      <w:tblPr>
        <w:tblStyle w:val="TableGrid"/>
        <w:tblW w:w="0" w:type="auto"/>
        <w:tblLook w:val="04A0" w:firstRow="1" w:lastRow="0" w:firstColumn="1" w:lastColumn="0" w:noHBand="0" w:noVBand="1"/>
      </w:tblPr>
      <w:tblGrid>
        <w:gridCol w:w="8784"/>
        <w:gridCol w:w="1417"/>
        <w:gridCol w:w="1276"/>
        <w:gridCol w:w="1276"/>
        <w:gridCol w:w="1134"/>
      </w:tblGrid>
      <w:tr w:rsidR="005E2EC9" w:rsidTr="00345886">
        <w:tc>
          <w:tcPr>
            <w:tcW w:w="8784" w:type="dxa"/>
          </w:tcPr>
          <w:p w:rsidR="005E2EC9" w:rsidRDefault="005E2EC9" w:rsidP="00345886">
            <w:pPr>
              <w:pStyle w:val="NoSpacing"/>
            </w:pPr>
            <w:r>
              <w:t>Opening balance</w:t>
            </w:r>
          </w:p>
        </w:tc>
        <w:tc>
          <w:tcPr>
            <w:tcW w:w="1417" w:type="dxa"/>
          </w:tcPr>
          <w:p w:rsidR="005E2EC9" w:rsidRDefault="00EF54B4" w:rsidP="00345886">
            <w:pPr>
              <w:pStyle w:val="NoSpacing"/>
              <w:jc w:val="right"/>
            </w:pPr>
            <w:r>
              <w:t>4,657</w:t>
            </w:r>
          </w:p>
        </w:tc>
        <w:tc>
          <w:tcPr>
            <w:tcW w:w="1276" w:type="dxa"/>
          </w:tcPr>
          <w:p w:rsidR="005E2EC9" w:rsidRDefault="00EF54B4" w:rsidP="00345886">
            <w:pPr>
              <w:pStyle w:val="NoSpacing"/>
              <w:jc w:val="right"/>
            </w:pPr>
            <w:r>
              <w:t>3,690</w:t>
            </w:r>
          </w:p>
        </w:tc>
        <w:tc>
          <w:tcPr>
            <w:tcW w:w="1276" w:type="dxa"/>
          </w:tcPr>
          <w:p w:rsidR="005E2EC9" w:rsidRDefault="00EF54B4" w:rsidP="00345886">
            <w:pPr>
              <w:pStyle w:val="NoSpacing"/>
              <w:jc w:val="right"/>
            </w:pPr>
            <w:r>
              <w:t>3,113</w:t>
            </w:r>
          </w:p>
        </w:tc>
        <w:tc>
          <w:tcPr>
            <w:tcW w:w="1134" w:type="dxa"/>
          </w:tcPr>
          <w:p w:rsidR="005E2EC9" w:rsidRDefault="00EF54B4" w:rsidP="00345886">
            <w:pPr>
              <w:pStyle w:val="NoSpacing"/>
              <w:jc w:val="right"/>
            </w:pPr>
            <w:r>
              <w:t>2,487</w:t>
            </w:r>
          </w:p>
        </w:tc>
      </w:tr>
      <w:tr w:rsidR="005E2EC9" w:rsidTr="00345886">
        <w:tc>
          <w:tcPr>
            <w:tcW w:w="8784" w:type="dxa"/>
          </w:tcPr>
          <w:p w:rsidR="005E2EC9" w:rsidRDefault="005E2EC9" w:rsidP="00345886">
            <w:pPr>
              <w:pStyle w:val="NoSpacing"/>
            </w:pPr>
            <w:r>
              <w:t>Additions from internal developments</w:t>
            </w:r>
          </w:p>
        </w:tc>
        <w:tc>
          <w:tcPr>
            <w:tcW w:w="1417" w:type="dxa"/>
          </w:tcPr>
          <w:p w:rsidR="005E2EC9" w:rsidRDefault="00EF54B4" w:rsidP="00345886">
            <w:pPr>
              <w:pStyle w:val="NoSpacing"/>
              <w:jc w:val="right"/>
            </w:pPr>
            <w:r>
              <w:t>2,279</w:t>
            </w:r>
          </w:p>
        </w:tc>
        <w:tc>
          <w:tcPr>
            <w:tcW w:w="1276" w:type="dxa"/>
          </w:tcPr>
          <w:p w:rsidR="005E2EC9" w:rsidRDefault="00EF54B4" w:rsidP="00345886">
            <w:pPr>
              <w:pStyle w:val="NoSpacing"/>
              <w:jc w:val="right"/>
            </w:pPr>
            <w:r>
              <w:t>967</w:t>
            </w:r>
          </w:p>
        </w:tc>
        <w:tc>
          <w:tcPr>
            <w:tcW w:w="1276" w:type="dxa"/>
          </w:tcPr>
          <w:p w:rsidR="005E2EC9" w:rsidRDefault="00EF54B4" w:rsidP="00345886">
            <w:pPr>
              <w:pStyle w:val="NoSpacing"/>
              <w:jc w:val="right"/>
            </w:pPr>
            <w:r>
              <w:t>2,075</w:t>
            </w:r>
          </w:p>
        </w:tc>
        <w:tc>
          <w:tcPr>
            <w:tcW w:w="1134" w:type="dxa"/>
          </w:tcPr>
          <w:p w:rsidR="005E2EC9" w:rsidRDefault="00EF54B4" w:rsidP="00345886">
            <w:pPr>
              <w:pStyle w:val="NoSpacing"/>
              <w:jc w:val="right"/>
            </w:pPr>
            <w:r>
              <w:t>626</w:t>
            </w:r>
          </w:p>
        </w:tc>
      </w:tr>
      <w:tr w:rsidR="005E2EC9" w:rsidTr="00345886">
        <w:tc>
          <w:tcPr>
            <w:tcW w:w="8784" w:type="dxa"/>
          </w:tcPr>
          <w:p w:rsidR="005E2EC9" w:rsidRDefault="005E2EC9" w:rsidP="00345886">
            <w:pPr>
              <w:pStyle w:val="NoSpacing"/>
            </w:pPr>
            <w:r>
              <w:t xml:space="preserve">Closing balance </w:t>
            </w:r>
          </w:p>
        </w:tc>
        <w:tc>
          <w:tcPr>
            <w:tcW w:w="1417" w:type="dxa"/>
          </w:tcPr>
          <w:p w:rsidR="005E2EC9" w:rsidRDefault="00EF54B4" w:rsidP="00345886">
            <w:pPr>
              <w:pStyle w:val="NoSpacing"/>
              <w:jc w:val="right"/>
            </w:pPr>
            <w:r>
              <w:t>6,936</w:t>
            </w:r>
          </w:p>
        </w:tc>
        <w:tc>
          <w:tcPr>
            <w:tcW w:w="1276" w:type="dxa"/>
          </w:tcPr>
          <w:p w:rsidR="005E2EC9" w:rsidRDefault="00EF54B4" w:rsidP="00345886">
            <w:pPr>
              <w:pStyle w:val="NoSpacing"/>
              <w:jc w:val="right"/>
            </w:pPr>
            <w:r>
              <w:t>4,657</w:t>
            </w:r>
          </w:p>
        </w:tc>
        <w:tc>
          <w:tcPr>
            <w:tcW w:w="1276" w:type="dxa"/>
          </w:tcPr>
          <w:p w:rsidR="005E2EC9" w:rsidRDefault="00EF54B4" w:rsidP="00345886">
            <w:pPr>
              <w:pStyle w:val="NoSpacing"/>
              <w:jc w:val="right"/>
            </w:pPr>
            <w:r>
              <w:t>5,188</w:t>
            </w:r>
          </w:p>
        </w:tc>
        <w:tc>
          <w:tcPr>
            <w:tcW w:w="1134" w:type="dxa"/>
          </w:tcPr>
          <w:p w:rsidR="005E2EC9" w:rsidRDefault="00EF54B4" w:rsidP="00345886">
            <w:pPr>
              <w:pStyle w:val="NoSpacing"/>
              <w:jc w:val="right"/>
            </w:pPr>
            <w:r>
              <w:t>3,113</w:t>
            </w:r>
          </w:p>
        </w:tc>
      </w:tr>
    </w:tbl>
    <w:p w:rsidR="005E2EC9" w:rsidRDefault="005E2EC9" w:rsidP="006E3F43">
      <w:pPr>
        <w:pStyle w:val="NoSpacing"/>
      </w:pPr>
    </w:p>
    <w:p w:rsidR="005E2EC9" w:rsidRDefault="005E2EC9" w:rsidP="005E2EC9">
      <w:pPr>
        <w:pStyle w:val="NoSpacing"/>
      </w:pPr>
      <w:r>
        <w:t xml:space="preserve">Accumulated amortisation and impairment </w:t>
      </w:r>
    </w:p>
    <w:tbl>
      <w:tblPr>
        <w:tblStyle w:val="TableGrid"/>
        <w:tblW w:w="0" w:type="auto"/>
        <w:tblLook w:val="04A0" w:firstRow="1" w:lastRow="0" w:firstColumn="1" w:lastColumn="0" w:noHBand="0" w:noVBand="1"/>
      </w:tblPr>
      <w:tblGrid>
        <w:gridCol w:w="8784"/>
        <w:gridCol w:w="1417"/>
        <w:gridCol w:w="1276"/>
        <w:gridCol w:w="1276"/>
        <w:gridCol w:w="1134"/>
      </w:tblGrid>
      <w:tr w:rsidR="005E2EC9" w:rsidTr="00345886">
        <w:tc>
          <w:tcPr>
            <w:tcW w:w="8784" w:type="dxa"/>
          </w:tcPr>
          <w:p w:rsidR="005E2EC9" w:rsidRDefault="005E2EC9" w:rsidP="00345886">
            <w:pPr>
              <w:pStyle w:val="NoSpacing"/>
            </w:pPr>
            <w:r>
              <w:lastRenderedPageBreak/>
              <w:t>Opening balance</w:t>
            </w:r>
          </w:p>
        </w:tc>
        <w:tc>
          <w:tcPr>
            <w:tcW w:w="1417" w:type="dxa"/>
          </w:tcPr>
          <w:p w:rsidR="005E2EC9" w:rsidRDefault="00EF54B4" w:rsidP="00345886">
            <w:pPr>
              <w:pStyle w:val="NoSpacing"/>
              <w:jc w:val="right"/>
            </w:pPr>
            <w:r>
              <w:t>(2,279)</w:t>
            </w:r>
          </w:p>
        </w:tc>
        <w:tc>
          <w:tcPr>
            <w:tcW w:w="1276" w:type="dxa"/>
          </w:tcPr>
          <w:p w:rsidR="005E2EC9" w:rsidRDefault="00EF54B4" w:rsidP="00345886">
            <w:pPr>
              <w:pStyle w:val="NoSpacing"/>
              <w:jc w:val="right"/>
            </w:pPr>
            <w:r>
              <w:t>(1,602)</w:t>
            </w:r>
          </w:p>
        </w:tc>
        <w:tc>
          <w:tcPr>
            <w:tcW w:w="1276" w:type="dxa"/>
          </w:tcPr>
          <w:p w:rsidR="005E2EC9" w:rsidRDefault="00EF54B4" w:rsidP="00345886">
            <w:pPr>
              <w:pStyle w:val="NoSpacing"/>
              <w:jc w:val="right"/>
            </w:pPr>
            <w:r>
              <w:t>(1,877)</w:t>
            </w:r>
          </w:p>
        </w:tc>
        <w:tc>
          <w:tcPr>
            <w:tcW w:w="1134" w:type="dxa"/>
          </w:tcPr>
          <w:p w:rsidR="005E2EC9" w:rsidRDefault="00EF54B4" w:rsidP="00345886">
            <w:pPr>
              <w:pStyle w:val="NoSpacing"/>
              <w:jc w:val="right"/>
            </w:pPr>
            <w:r>
              <w:t>(1,280)</w:t>
            </w:r>
          </w:p>
        </w:tc>
      </w:tr>
      <w:tr w:rsidR="005E2EC9" w:rsidTr="00345886">
        <w:tc>
          <w:tcPr>
            <w:tcW w:w="8784" w:type="dxa"/>
          </w:tcPr>
          <w:p w:rsidR="005E2EC9" w:rsidRDefault="005E2EC9" w:rsidP="00345886">
            <w:pPr>
              <w:pStyle w:val="NoSpacing"/>
            </w:pPr>
            <w:r>
              <w:t xml:space="preserve">Amortisation charge </w:t>
            </w:r>
          </w:p>
        </w:tc>
        <w:tc>
          <w:tcPr>
            <w:tcW w:w="1417" w:type="dxa"/>
          </w:tcPr>
          <w:p w:rsidR="005E2EC9" w:rsidRDefault="00EF54B4" w:rsidP="00345886">
            <w:pPr>
              <w:pStyle w:val="NoSpacing"/>
              <w:jc w:val="right"/>
            </w:pPr>
            <w:r>
              <w:t>(1,093)</w:t>
            </w:r>
          </w:p>
        </w:tc>
        <w:tc>
          <w:tcPr>
            <w:tcW w:w="1276" w:type="dxa"/>
          </w:tcPr>
          <w:p w:rsidR="005E2EC9" w:rsidRDefault="00EF54B4" w:rsidP="00345886">
            <w:pPr>
              <w:pStyle w:val="NoSpacing"/>
              <w:jc w:val="right"/>
            </w:pPr>
            <w:r>
              <w:t>(1,027)</w:t>
            </w:r>
          </w:p>
        </w:tc>
        <w:tc>
          <w:tcPr>
            <w:tcW w:w="1276" w:type="dxa"/>
          </w:tcPr>
          <w:p w:rsidR="005E2EC9" w:rsidRDefault="00EF54B4" w:rsidP="00345886">
            <w:pPr>
              <w:pStyle w:val="NoSpacing"/>
              <w:jc w:val="right"/>
            </w:pPr>
            <w:r>
              <w:t>(596)</w:t>
            </w:r>
          </w:p>
        </w:tc>
        <w:tc>
          <w:tcPr>
            <w:tcW w:w="1134" w:type="dxa"/>
          </w:tcPr>
          <w:p w:rsidR="005E2EC9" w:rsidRDefault="00EF54B4" w:rsidP="00345886">
            <w:pPr>
              <w:pStyle w:val="NoSpacing"/>
              <w:jc w:val="right"/>
            </w:pPr>
            <w:r>
              <w:t>(597)</w:t>
            </w:r>
          </w:p>
        </w:tc>
      </w:tr>
      <w:tr w:rsidR="005E2EC9" w:rsidTr="00345886">
        <w:tc>
          <w:tcPr>
            <w:tcW w:w="8784" w:type="dxa"/>
          </w:tcPr>
          <w:p w:rsidR="005E2EC9" w:rsidRDefault="005E2EC9" w:rsidP="00345886">
            <w:pPr>
              <w:pStyle w:val="NoSpacing"/>
            </w:pPr>
            <w:r>
              <w:t xml:space="preserve">Closing balance </w:t>
            </w:r>
          </w:p>
        </w:tc>
        <w:tc>
          <w:tcPr>
            <w:tcW w:w="1417" w:type="dxa"/>
          </w:tcPr>
          <w:p w:rsidR="005E2EC9" w:rsidRDefault="00EF54B4" w:rsidP="00345886">
            <w:pPr>
              <w:pStyle w:val="NoSpacing"/>
              <w:jc w:val="right"/>
            </w:pPr>
            <w:r>
              <w:t>(3,722)</w:t>
            </w:r>
          </w:p>
        </w:tc>
        <w:tc>
          <w:tcPr>
            <w:tcW w:w="1276" w:type="dxa"/>
          </w:tcPr>
          <w:p w:rsidR="005E2EC9" w:rsidRDefault="00EF54B4" w:rsidP="00345886">
            <w:pPr>
              <w:pStyle w:val="NoSpacing"/>
              <w:jc w:val="right"/>
            </w:pPr>
            <w:r>
              <w:t>(2,629)</w:t>
            </w:r>
          </w:p>
        </w:tc>
        <w:tc>
          <w:tcPr>
            <w:tcW w:w="1276" w:type="dxa"/>
          </w:tcPr>
          <w:p w:rsidR="005E2EC9" w:rsidRDefault="00EF54B4" w:rsidP="00345886">
            <w:pPr>
              <w:pStyle w:val="NoSpacing"/>
              <w:jc w:val="right"/>
            </w:pPr>
            <w:r>
              <w:t>(2,473)</w:t>
            </w:r>
          </w:p>
        </w:tc>
        <w:tc>
          <w:tcPr>
            <w:tcW w:w="1134" w:type="dxa"/>
          </w:tcPr>
          <w:p w:rsidR="005E2EC9" w:rsidRDefault="00EF54B4" w:rsidP="00345886">
            <w:pPr>
              <w:pStyle w:val="NoSpacing"/>
              <w:jc w:val="right"/>
            </w:pPr>
            <w:r>
              <w:t>(1,877)</w:t>
            </w:r>
          </w:p>
        </w:tc>
      </w:tr>
    </w:tbl>
    <w:p w:rsidR="005E2EC9" w:rsidRDefault="005E2EC9" w:rsidP="006E3F43">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5E2EC9" w:rsidTr="00345886">
        <w:tc>
          <w:tcPr>
            <w:tcW w:w="8784" w:type="dxa"/>
          </w:tcPr>
          <w:p w:rsidR="005E2EC9" w:rsidRDefault="005E2EC9" w:rsidP="00345886">
            <w:pPr>
              <w:pStyle w:val="NoSpacing"/>
            </w:pPr>
            <w:r>
              <w:t>Net carrying amount at the end of the year</w:t>
            </w:r>
          </w:p>
        </w:tc>
        <w:tc>
          <w:tcPr>
            <w:tcW w:w="1417" w:type="dxa"/>
          </w:tcPr>
          <w:p w:rsidR="005E2EC9" w:rsidRDefault="00EF54B4" w:rsidP="00345886">
            <w:pPr>
              <w:pStyle w:val="NoSpacing"/>
              <w:jc w:val="right"/>
            </w:pPr>
            <w:r>
              <w:t>3,214</w:t>
            </w:r>
          </w:p>
        </w:tc>
        <w:tc>
          <w:tcPr>
            <w:tcW w:w="1276" w:type="dxa"/>
          </w:tcPr>
          <w:p w:rsidR="005E2EC9" w:rsidRDefault="00EF54B4" w:rsidP="00345886">
            <w:pPr>
              <w:pStyle w:val="NoSpacing"/>
              <w:jc w:val="right"/>
            </w:pPr>
            <w:r>
              <w:t>2,028</w:t>
            </w:r>
          </w:p>
        </w:tc>
        <w:tc>
          <w:tcPr>
            <w:tcW w:w="1276" w:type="dxa"/>
          </w:tcPr>
          <w:p w:rsidR="005E2EC9" w:rsidRDefault="00EF54B4" w:rsidP="00345886">
            <w:pPr>
              <w:pStyle w:val="NoSpacing"/>
              <w:jc w:val="right"/>
            </w:pPr>
            <w:r>
              <w:t>2,715</w:t>
            </w:r>
          </w:p>
        </w:tc>
        <w:tc>
          <w:tcPr>
            <w:tcW w:w="1134" w:type="dxa"/>
          </w:tcPr>
          <w:p w:rsidR="005E2EC9" w:rsidRDefault="00EF54B4" w:rsidP="00345886">
            <w:pPr>
              <w:pStyle w:val="NoSpacing"/>
              <w:jc w:val="right"/>
            </w:pPr>
            <w:r>
              <w:t>1,236</w:t>
            </w:r>
          </w:p>
        </w:tc>
      </w:tr>
    </w:tbl>
    <w:p w:rsidR="005E2EC9" w:rsidRDefault="005E2EC9" w:rsidP="006E3F43">
      <w:pPr>
        <w:pStyle w:val="NoSpacing"/>
      </w:pPr>
    </w:p>
    <w:p w:rsidR="005E2EC9" w:rsidRDefault="005E2EC9" w:rsidP="006E3F43">
      <w:pPr>
        <w:pStyle w:val="NoSpacing"/>
      </w:pPr>
    </w:p>
    <w:p w:rsidR="003444A2" w:rsidRDefault="003444A2" w:rsidP="006E3F43">
      <w:pPr>
        <w:pStyle w:val="NoSpacing"/>
        <w:sectPr w:rsidR="003444A2" w:rsidSect="003444A2">
          <w:pgSz w:w="16838" w:h="11906" w:orient="landscape"/>
          <w:pgMar w:top="1440" w:right="1440" w:bottom="1440" w:left="1440" w:header="709" w:footer="709" w:gutter="0"/>
          <w:cols w:space="708"/>
          <w:docGrid w:linePitch="360"/>
        </w:sectPr>
      </w:pPr>
    </w:p>
    <w:p w:rsidR="001C611A" w:rsidRDefault="001C611A" w:rsidP="006E3F43">
      <w:pPr>
        <w:pStyle w:val="NoSpacing"/>
      </w:pPr>
    </w:p>
    <w:p w:rsidR="009B377A" w:rsidRDefault="009B377A" w:rsidP="009B377A">
      <w:pPr>
        <w:pStyle w:val="NoSpacing"/>
      </w:pPr>
    </w:p>
    <w:p w:rsidR="009B377A" w:rsidRPr="009B377A" w:rsidRDefault="009B377A" w:rsidP="00D36BB2">
      <w:pPr>
        <w:pStyle w:val="Heading4"/>
      </w:pPr>
      <w:r w:rsidRPr="009B377A">
        <w:t>Initial recognition</w:t>
      </w:r>
    </w:p>
    <w:p w:rsidR="005E5585" w:rsidRDefault="005E5585" w:rsidP="009B377A">
      <w:pPr>
        <w:pStyle w:val="NoSpacing"/>
        <w:rPr>
          <w:rFonts w:cstheme="minorHAnsi"/>
        </w:rPr>
      </w:pPr>
    </w:p>
    <w:p w:rsidR="009B377A" w:rsidRPr="009B377A" w:rsidRDefault="009B377A" w:rsidP="009B377A">
      <w:pPr>
        <w:pStyle w:val="NoSpacing"/>
        <w:rPr>
          <w:rFonts w:cstheme="minorHAnsi"/>
        </w:rPr>
      </w:pPr>
      <w:r w:rsidRPr="009B377A">
        <w:rPr>
          <w:rFonts w:cstheme="minorHAnsi"/>
        </w:rPr>
        <w:t>When recognition criteria AASB 138 Intangible Assets are met, internally generated intangible</w:t>
      </w:r>
      <w:r>
        <w:rPr>
          <w:rFonts w:cstheme="minorHAnsi"/>
        </w:rPr>
        <w:t xml:space="preserve"> assets are recognised at cost. </w:t>
      </w:r>
      <w:r w:rsidRPr="009B377A">
        <w:rPr>
          <w:rFonts w:cstheme="minorHAnsi"/>
        </w:rPr>
        <w:t>Subsequently, intangible assets with finite useful lives are carried at cost less accumulat</w:t>
      </w:r>
      <w:r>
        <w:rPr>
          <w:rFonts w:cstheme="minorHAnsi"/>
        </w:rPr>
        <w:t xml:space="preserve">ed amortisation and accumulated </w:t>
      </w:r>
      <w:r w:rsidRPr="009B377A">
        <w:rPr>
          <w:rFonts w:cstheme="minorHAnsi"/>
        </w:rPr>
        <w:t>impairment losses. Amortisation begins when the asset is available for use, that is, when it i</w:t>
      </w:r>
      <w:r>
        <w:rPr>
          <w:rFonts w:cstheme="minorHAnsi"/>
        </w:rPr>
        <w:t xml:space="preserve">s in the location and condition </w:t>
      </w:r>
      <w:r w:rsidRPr="009B377A">
        <w:rPr>
          <w:rFonts w:cstheme="minorHAnsi"/>
        </w:rPr>
        <w:t>necessary for it to be capable of operating in the manner intended by management.</w:t>
      </w:r>
    </w:p>
    <w:p w:rsidR="009B377A" w:rsidRPr="009B377A" w:rsidRDefault="009B377A" w:rsidP="009B377A">
      <w:pPr>
        <w:pStyle w:val="NoSpacing"/>
        <w:rPr>
          <w:rFonts w:cstheme="minorHAnsi"/>
        </w:rPr>
      </w:pPr>
      <w:r w:rsidRPr="009B377A">
        <w:rPr>
          <w:rFonts w:cstheme="minorHAnsi"/>
        </w:rPr>
        <w:t>An internally-generated intangible asset arising from development (or from the developmen</w:t>
      </w:r>
      <w:r>
        <w:rPr>
          <w:rFonts w:cstheme="minorHAnsi"/>
        </w:rPr>
        <w:t xml:space="preserve">t phase of an internal project) </w:t>
      </w:r>
      <w:r w:rsidRPr="009B377A">
        <w:rPr>
          <w:rFonts w:cstheme="minorHAnsi"/>
        </w:rPr>
        <w:t>is recognised if all of the following are demonstrated:</w:t>
      </w:r>
    </w:p>
    <w:p w:rsidR="009B377A" w:rsidRPr="009B377A" w:rsidRDefault="009B377A" w:rsidP="009B377A">
      <w:pPr>
        <w:pStyle w:val="NoSpacing"/>
        <w:rPr>
          <w:rFonts w:cstheme="minorHAnsi"/>
        </w:rPr>
      </w:pPr>
      <w:r w:rsidRPr="009B377A">
        <w:rPr>
          <w:rFonts w:cstheme="minorHAnsi"/>
        </w:rPr>
        <w:t>• the technical feasibility of completing the intangible asset so that it will be available for use or sale;</w:t>
      </w:r>
    </w:p>
    <w:p w:rsidR="009B377A" w:rsidRPr="009B377A" w:rsidRDefault="009B377A" w:rsidP="009B377A">
      <w:pPr>
        <w:pStyle w:val="NoSpacing"/>
        <w:rPr>
          <w:rFonts w:cstheme="minorHAnsi"/>
        </w:rPr>
      </w:pPr>
      <w:r w:rsidRPr="009B377A">
        <w:rPr>
          <w:rFonts w:cstheme="minorHAnsi"/>
        </w:rPr>
        <w:t>• the intention to complete the intangible asset for use or sale;</w:t>
      </w:r>
    </w:p>
    <w:p w:rsidR="009B377A" w:rsidRPr="009B377A" w:rsidRDefault="009B377A" w:rsidP="009B377A">
      <w:pPr>
        <w:pStyle w:val="NoSpacing"/>
        <w:rPr>
          <w:rFonts w:cstheme="minorHAnsi"/>
        </w:rPr>
      </w:pPr>
      <w:r w:rsidRPr="009B377A">
        <w:rPr>
          <w:rFonts w:cstheme="minorHAnsi"/>
        </w:rPr>
        <w:t>• the ability to use or sell the asset;</w:t>
      </w:r>
    </w:p>
    <w:p w:rsidR="009B377A" w:rsidRPr="009B377A" w:rsidRDefault="009B377A" w:rsidP="009B377A">
      <w:pPr>
        <w:pStyle w:val="NoSpacing"/>
        <w:rPr>
          <w:rFonts w:cstheme="minorHAnsi"/>
        </w:rPr>
      </w:pPr>
      <w:r w:rsidRPr="009B377A">
        <w:rPr>
          <w:rFonts w:cstheme="minorHAnsi"/>
        </w:rPr>
        <w:t>• the intangible asset will generate probable future economic benefits;</w:t>
      </w:r>
    </w:p>
    <w:p w:rsidR="009B377A" w:rsidRPr="009B377A" w:rsidRDefault="009B377A" w:rsidP="009B377A">
      <w:pPr>
        <w:pStyle w:val="NoSpacing"/>
        <w:rPr>
          <w:rFonts w:cstheme="minorHAnsi"/>
        </w:rPr>
      </w:pPr>
      <w:r w:rsidRPr="009B377A">
        <w:rPr>
          <w:rFonts w:cstheme="minorHAnsi"/>
        </w:rPr>
        <w:t>• the availability of adequate technical, financial and other resources to complete the development and t</w:t>
      </w:r>
      <w:r>
        <w:rPr>
          <w:rFonts w:cstheme="minorHAnsi"/>
        </w:rPr>
        <w:t xml:space="preserve">o use or sell the </w:t>
      </w:r>
      <w:r w:rsidRPr="009B377A">
        <w:rPr>
          <w:rFonts w:cstheme="minorHAnsi"/>
        </w:rPr>
        <w:t>intangible asset; and</w:t>
      </w:r>
    </w:p>
    <w:p w:rsidR="009B377A" w:rsidRPr="009B377A" w:rsidRDefault="009B377A" w:rsidP="009B377A">
      <w:pPr>
        <w:pStyle w:val="NoSpacing"/>
        <w:rPr>
          <w:rFonts w:cstheme="minorHAnsi"/>
        </w:rPr>
      </w:pPr>
      <w:r w:rsidRPr="009B377A">
        <w:rPr>
          <w:rFonts w:cstheme="minorHAnsi"/>
        </w:rPr>
        <w:t>• the ability to measure reliably the expenditure attributable to the intangible asset during its development.</w:t>
      </w:r>
    </w:p>
    <w:p w:rsidR="009B377A" w:rsidRDefault="009B377A" w:rsidP="009B377A">
      <w:pPr>
        <w:pStyle w:val="NoSpacing"/>
        <w:rPr>
          <w:rFonts w:cstheme="minorHAnsi"/>
        </w:rPr>
      </w:pPr>
    </w:p>
    <w:p w:rsidR="009B377A" w:rsidRPr="009B377A" w:rsidRDefault="009B377A" w:rsidP="00D36BB2">
      <w:pPr>
        <w:pStyle w:val="Heading4"/>
      </w:pPr>
      <w:r w:rsidRPr="009B377A">
        <w:t>Subsequent measurement</w:t>
      </w:r>
    </w:p>
    <w:p w:rsidR="005E5585" w:rsidRDefault="005E5585" w:rsidP="009B377A">
      <w:pPr>
        <w:pStyle w:val="NoSpacing"/>
        <w:rPr>
          <w:rFonts w:cstheme="minorHAnsi"/>
        </w:rPr>
      </w:pPr>
    </w:p>
    <w:p w:rsidR="009B377A" w:rsidRPr="009B377A" w:rsidRDefault="009B377A" w:rsidP="009B377A">
      <w:pPr>
        <w:pStyle w:val="NoSpacing"/>
        <w:rPr>
          <w:rFonts w:cstheme="minorHAnsi"/>
        </w:rPr>
      </w:pPr>
      <w:r w:rsidRPr="009B377A">
        <w:rPr>
          <w:rFonts w:cstheme="minorHAnsi"/>
        </w:rPr>
        <w:t>Intangible assets with finite lives are amortised on a straight basis over their useful lives. The amortisat</w:t>
      </w:r>
      <w:r>
        <w:rPr>
          <w:rFonts w:cstheme="minorHAnsi"/>
        </w:rPr>
        <w:t xml:space="preserve">ion period and the amortisation </w:t>
      </w:r>
      <w:r w:rsidRPr="009B377A">
        <w:rPr>
          <w:rFonts w:cstheme="minorHAnsi"/>
        </w:rPr>
        <w:t>method for an intangible asset with a finite useful life are reviewed at least at the end of each annual reporting period.</w:t>
      </w:r>
    </w:p>
    <w:p w:rsidR="009B377A" w:rsidRDefault="009B377A" w:rsidP="009B377A">
      <w:pPr>
        <w:pStyle w:val="NoSpacing"/>
        <w:rPr>
          <w:rFonts w:cstheme="minorHAnsi"/>
        </w:rPr>
      </w:pPr>
    </w:p>
    <w:p w:rsidR="009B377A" w:rsidRPr="009B377A" w:rsidRDefault="009B377A" w:rsidP="00D36BB2">
      <w:pPr>
        <w:pStyle w:val="Heading4"/>
      </w:pPr>
      <w:r w:rsidRPr="009B377A">
        <w:t>Impairment</w:t>
      </w:r>
    </w:p>
    <w:p w:rsidR="005E5585" w:rsidRDefault="005E5585" w:rsidP="009B377A">
      <w:pPr>
        <w:pStyle w:val="NoSpacing"/>
        <w:rPr>
          <w:rFonts w:cstheme="minorHAnsi"/>
        </w:rPr>
      </w:pPr>
    </w:p>
    <w:p w:rsidR="009B377A" w:rsidRPr="009B377A" w:rsidRDefault="009B377A" w:rsidP="009B377A">
      <w:pPr>
        <w:pStyle w:val="NoSpacing"/>
        <w:rPr>
          <w:rFonts w:cstheme="minorHAnsi"/>
        </w:rPr>
      </w:pPr>
      <w:r w:rsidRPr="009B377A">
        <w:rPr>
          <w:rFonts w:cstheme="minorHAnsi"/>
        </w:rPr>
        <w:t>Goodwill and intangible assets with indefinite useful lives (and intangible assets not yet availab</w:t>
      </w:r>
      <w:r>
        <w:rPr>
          <w:rFonts w:cstheme="minorHAnsi"/>
        </w:rPr>
        <w:t xml:space="preserve">le for use) are tested annually </w:t>
      </w:r>
      <w:r w:rsidRPr="009B377A">
        <w:rPr>
          <w:rFonts w:cstheme="minorHAnsi"/>
        </w:rPr>
        <w:t xml:space="preserve">for impairment and whenever there is an indication that the asset may be impaired. Intangible </w:t>
      </w:r>
      <w:r>
        <w:rPr>
          <w:rFonts w:cstheme="minorHAnsi"/>
        </w:rPr>
        <w:t xml:space="preserve">assets with finite useful lives </w:t>
      </w:r>
      <w:r w:rsidRPr="009B377A">
        <w:rPr>
          <w:rFonts w:cstheme="minorHAnsi"/>
        </w:rPr>
        <w:t>are tested for impairment whenever an indication of impairment is identified.</w:t>
      </w:r>
    </w:p>
    <w:p w:rsidR="009B377A" w:rsidRPr="009B377A" w:rsidRDefault="009B377A" w:rsidP="009B377A">
      <w:pPr>
        <w:pStyle w:val="NoSpacing"/>
        <w:rPr>
          <w:rFonts w:cstheme="minorHAnsi"/>
        </w:rPr>
      </w:pPr>
      <w:r w:rsidRPr="009B377A">
        <w:rPr>
          <w:rFonts w:cstheme="minorHAnsi"/>
        </w:rPr>
        <w:t>If there is an indication of impairment, the assets concerned are tested as to whether the</w:t>
      </w:r>
      <w:r>
        <w:rPr>
          <w:rFonts w:cstheme="minorHAnsi"/>
        </w:rPr>
        <w:t xml:space="preserve">ir carrying value exceeds their </w:t>
      </w:r>
      <w:r w:rsidRPr="009B377A">
        <w:rPr>
          <w:rFonts w:cstheme="minorHAnsi"/>
        </w:rPr>
        <w:t>possible recoverable amount. Where an asset’s carrying value exceeds its recoverable amount, the difference is written o</w:t>
      </w:r>
      <w:r>
        <w:rPr>
          <w:rFonts w:cstheme="minorHAnsi"/>
        </w:rPr>
        <w:t xml:space="preserve">ff </w:t>
      </w:r>
      <w:r w:rsidRPr="009B377A">
        <w:rPr>
          <w:rFonts w:cstheme="minorHAnsi"/>
        </w:rPr>
        <w:t>by a charge to the Comprehensive Operating Statement. Impairment of goodwill is not reversed.</w:t>
      </w:r>
    </w:p>
    <w:p w:rsidR="006E3F43" w:rsidRPr="006E3F43" w:rsidRDefault="006E3F43" w:rsidP="006E3F43">
      <w:pPr>
        <w:pStyle w:val="NoSpacing"/>
        <w:rPr>
          <w:rFonts w:cstheme="minorHAnsi"/>
        </w:rPr>
      </w:pPr>
    </w:p>
    <w:p w:rsidR="00A142C7" w:rsidRDefault="009B377A" w:rsidP="00F809E3">
      <w:pPr>
        <w:pStyle w:val="NoSpacing"/>
        <w:rPr>
          <w:rFonts w:cstheme="minorHAnsi"/>
        </w:rPr>
      </w:pPr>
      <w:r>
        <w:rPr>
          <w:rFonts w:cstheme="minorHAnsi"/>
        </w:rPr>
        <w:t>&lt;pp&gt;</w:t>
      </w:r>
      <w:r w:rsidR="007829BB">
        <w:rPr>
          <w:rFonts w:cstheme="minorHAnsi"/>
        </w:rPr>
        <w:t>61</w:t>
      </w:r>
    </w:p>
    <w:p w:rsidR="009B377A" w:rsidRDefault="009B377A" w:rsidP="00F809E3">
      <w:pPr>
        <w:pStyle w:val="NoSpacing"/>
        <w:rPr>
          <w:rFonts w:cstheme="minorHAnsi"/>
        </w:rPr>
      </w:pPr>
    </w:p>
    <w:p w:rsidR="00345886" w:rsidRDefault="00345886" w:rsidP="00D814AC">
      <w:pPr>
        <w:pStyle w:val="NoSpacing"/>
        <w:rPr>
          <w:rFonts w:cstheme="minorHAnsi"/>
          <w:caps/>
        </w:rPr>
      </w:pPr>
    </w:p>
    <w:p w:rsidR="00345886" w:rsidRDefault="00345886" w:rsidP="00D814AC">
      <w:pPr>
        <w:pStyle w:val="NoSpacing"/>
        <w:rPr>
          <w:rFonts w:cstheme="minorHAnsi"/>
          <w:caps/>
        </w:rPr>
        <w:sectPr w:rsidR="00345886">
          <w:pgSz w:w="11906" w:h="16838"/>
          <w:pgMar w:top="1440" w:right="1440" w:bottom="1440" w:left="1440" w:header="708" w:footer="708" w:gutter="0"/>
          <w:cols w:space="708"/>
          <w:docGrid w:linePitch="360"/>
        </w:sectPr>
      </w:pPr>
    </w:p>
    <w:p w:rsidR="00D814AC" w:rsidRPr="006E3F43" w:rsidRDefault="00D814AC" w:rsidP="00D36BB2">
      <w:pPr>
        <w:pStyle w:val="Heading3"/>
      </w:pPr>
      <w:r w:rsidRPr="006E3F43">
        <w:lastRenderedPageBreak/>
        <w:t>4. The assets we invested in (continued)</w:t>
      </w:r>
    </w:p>
    <w:p w:rsidR="009B377A" w:rsidRDefault="009B377A" w:rsidP="00F809E3">
      <w:pPr>
        <w:pStyle w:val="NoSpacing"/>
        <w:rPr>
          <w:rFonts w:cstheme="minorHAnsi"/>
        </w:rPr>
      </w:pPr>
    </w:p>
    <w:p w:rsidR="00D814AC" w:rsidRDefault="00D814AC" w:rsidP="00D36BB2">
      <w:pPr>
        <w:pStyle w:val="Heading4"/>
      </w:pPr>
      <w:r>
        <w:t xml:space="preserve">4.3 </w:t>
      </w:r>
      <w:r w:rsidRPr="00345886">
        <w:t>Investments and other financial assets</w:t>
      </w:r>
    </w:p>
    <w:p w:rsidR="00D814AC" w:rsidRDefault="00D814AC" w:rsidP="00F809E3">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345886" w:rsidRPr="00AE2D8D" w:rsidTr="00345886">
        <w:tc>
          <w:tcPr>
            <w:tcW w:w="2693" w:type="dxa"/>
            <w:gridSpan w:val="2"/>
          </w:tcPr>
          <w:p w:rsidR="00345886" w:rsidRPr="00AE2D8D" w:rsidRDefault="00345886" w:rsidP="00345886">
            <w:pPr>
              <w:pStyle w:val="NoSpacing"/>
              <w:jc w:val="center"/>
              <w:rPr>
                <w:rFonts w:cstheme="minorHAnsi"/>
                <w:bCs/>
                <w:w w:val="105"/>
              </w:rPr>
            </w:pPr>
            <w:r w:rsidRPr="00AE2D8D">
              <w:rPr>
                <w:rFonts w:cstheme="minorHAnsi"/>
                <w:bCs/>
                <w:w w:val="105"/>
              </w:rPr>
              <w:t>Consolidated</w:t>
            </w:r>
          </w:p>
        </w:tc>
        <w:tc>
          <w:tcPr>
            <w:tcW w:w="2410" w:type="dxa"/>
            <w:gridSpan w:val="2"/>
          </w:tcPr>
          <w:p w:rsidR="00345886" w:rsidRPr="00AE2D8D" w:rsidRDefault="00345886" w:rsidP="00345886">
            <w:pPr>
              <w:pStyle w:val="NoSpacing"/>
              <w:jc w:val="center"/>
              <w:rPr>
                <w:rFonts w:cstheme="minorHAnsi"/>
                <w:bCs/>
                <w:w w:val="105"/>
              </w:rPr>
            </w:pPr>
            <w:r w:rsidRPr="00AE2D8D">
              <w:rPr>
                <w:rFonts w:cstheme="minorHAnsi"/>
                <w:bCs/>
                <w:w w:val="105"/>
              </w:rPr>
              <w:t>Chisholm</w:t>
            </w:r>
          </w:p>
        </w:tc>
      </w:tr>
      <w:tr w:rsidR="00345886" w:rsidRPr="00AE2D8D" w:rsidTr="00345886">
        <w:tc>
          <w:tcPr>
            <w:tcW w:w="1417" w:type="dxa"/>
          </w:tcPr>
          <w:p w:rsidR="00345886" w:rsidRPr="00AE2D8D" w:rsidRDefault="00345886" w:rsidP="00345886">
            <w:pPr>
              <w:pStyle w:val="NoSpacing"/>
              <w:jc w:val="right"/>
              <w:rPr>
                <w:rFonts w:cstheme="minorHAnsi"/>
                <w:bCs/>
                <w:w w:val="105"/>
              </w:rPr>
            </w:pPr>
            <w:r w:rsidRPr="00AE2D8D">
              <w:rPr>
                <w:rFonts w:cstheme="minorHAnsi"/>
                <w:bCs/>
                <w:w w:val="105"/>
              </w:rPr>
              <w:t>2017</w:t>
            </w:r>
          </w:p>
        </w:tc>
        <w:tc>
          <w:tcPr>
            <w:tcW w:w="1276" w:type="dxa"/>
          </w:tcPr>
          <w:p w:rsidR="00345886" w:rsidRPr="00AE2D8D" w:rsidRDefault="00345886" w:rsidP="00345886">
            <w:pPr>
              <w:pStyle w:val="NoSpacing"/>
              <w:jc w:val="right"/>
              <w:rPr>
                <w:rFonts w:cstheme="minorHAnsi"/>
                <w:bCs/>
                <w:w w:val="105"/>
              </w:rPr>
            </w:pPr>
            <w:r w:rsidRPr="00AE2D8D">
              <w:rPr>
                <w:rFonts w:cstheme="minorHAnsi"/>
                <w:bCs/>
                <w:w w:val="105"/>
              </w:rPr>
              <w:t>2016</w:t>
            </w:r>
          </w:p>
        </w:tc>
        <w:tc>
          <w:tcPr>
            <w:tcW w:w="1276" w:type="dxa"/>
          </w:tcPr>
          <w:p w:rsidR="00345886" w:rsidRPr="00AE2D8D" w:rsidRDefault="00345886" w:rsidP="00345886">
            <w:pPr>
              <w:pStyle w:val="NoSpacing"/>
              <w:jc w:val="right"/>
              <w:rPr>
                <w:rFonts w:cstheme="minorHAnsi"/>
                <w:bCs/>
                <w:w w:val="105"/>
              </w:rPr>
            </w:pPr>
            <w:r w:rsidRPr="00AE2D8D">
              <w:rPr>
                <w:rFonts w:cstheme="minorHAnsi"/>
                <w:bCs/>
                <w:w w:val="105"/>
              </w:rPr>
              <w:t>2017</w:t>
            </w:r>
          </w:p>
        </w:tc>
        <w:tc>
          <w:tcPr>
            <w:tcW w:w="1134" w:type="dxa"/>
          </w:tcPr>
          <w:p w:rsidR="00345886" w:rsidRPr="00AE2D8D" w:rsidRDefault="00345886" w:rsidP="00345886">
            <w:pPr>
              <w:pStyle w:val="NoSpacing"/>
              <w:jc w:val="right"/>
              <w:rPr>
                <w:rFonts w:cstheme="minorHAnsi"/>
                <w:bCs/>
                <w:w w:val="105"/>
              </w:rPr>
            </w:pPr>
            <w:r w:rsidRPr="00AE2D8D">
              <w:rPr>
                <w:rFonts w:cstheme="minorHAnsi"/>
                <w:bCs/>
                <w:w w:val="105"/>
              </w:rPr>
              <w:t>2016</w:t>
            </w:r>
          </w:p>
        </w:tc>
      </w:tr>
      <w:tr w:rsidR="00345886" w:rsidRPr="00AE2D8D" w:rsidTr="00345886">
        <w:tc>
          <w:tcPr>
            <w:tcW w:w="1417" w:type="dxa"/>
          </w:tcPr>
          <w:p w:rsidR="00345886" w:rsidRPr="00AE2D8D" w:rsidRDefault="00345886" w:rsidP="00345886">
            <w:pPr>
              <w:jc w:val="right"/>
              <w:rPr>
                <w:rFonts w:cstheme="minorHAnsi"/>
              </w:rPr>
            </w:pPr>
            <w:r w:rsidRPr="00AE2D8D">
              <w:rPr>
                <w:rFonts w:cstheme="minorHAnsi"/>
                <w:bCs/>
                <w:w w:val="105"/>
              </w:rPr>
              <w:t>$’000</w:t>
            </w:r>
          </w:p>
        </w:tc>
        <w:tc>
          <w:tcPr>
            <w:tcW w:w="1276" w:type="dxa"/>
          </w:tcPr>
          <w:p w:rsidR="00345886" w:rsidRPr="00AE2D8D" w:rsidRDefault="00345886" w:rsidP="00345886">
            <w:pPr>
              <w:jc w:val="right"/>
              <w:rPr>
                <w:rFonts w:cstheme="minorHAnsi"/>
              </w:rPr>
            </w:pPr>
            <w:r w:rsidRPr="00AE2D8D">
              <w:rPr>
                <w:rFonts w:cstheme="minorHAnsi"/>
                <w:bCs/>
                <w:w w:val="105"/>
              </w:rPr>
              <w:t>$’000</w:t>
            </w:r>
          </w:p>
        </w:tc>
        <w:tc>
          <w:tcPr>
            <w:tcW w:w="1276" w:type="dxa"/>
          </w:tcPr>
          <w:p w:rsidR="00345886" w:rsidRPr="00AE2D8D" w:rsidRDefault="00345886" w:rsidP="00345886">
            <w:pPr>
              <w:jc w:val="right"/>
              <w:rPr>
                <w:rFonts w:cstheme="minorHAnsi"/>
              </w:rPr>
            </w:pPr>
            <w:r w:rsidRPr="00AE2D8D">
              <w:rPr>
                <w:rFonts w:cstheme="minorHAnsi"/>
                <w:bCs/>
                <w:w w:val="105"/>
              </w:rPr>
              <w:t>$’000</w:t>
            </w:r>
          </w:p>
        </w:tc>
        <w:tc>
          <w:tcPr>
            <w:tcW w:w="1134" w:type="dxa"/>
          </w:tcPr>
          <w:p w:rsidR="00345886" w:rsidRPr="00AE2D8D" w:rsidRDefault="00345886" w:rsidP="00345886">
            <w:pPr>
              <w:pStyle w:val="NoSpacing"/>
              <w:jc w:val="right"/>
              <w:rPr>
                <w:rFonts w:cstheme="minorHAnsi"/>
                <w:bCs/>
                <w:w w:val="105"/>
              </w:rPr>
            </w:pPr>
            <w:r w:rsidRPr="00AE2D8D">
              <w:rPr>
                <w:rFonts w:cstheme="minorHAnsi"/>
                <w:bCs/>
                <w:w w:val="105"/>
              </w:rPr>
              <w:t>$’000</w:t>
            </w:r>
          </w:p>
        </w:tc>
      </w:tr>
    </w:tbl>
    <w:p w:rsidR="00345886" w:rsidRDefault="00345886" w:rsidP="00F809E3">
      <w:pPr>
        <w:pStyle w:val="NoSpacing"/>
        <w:rPr>
          <w:rFonts w:cstheme="minorHAnsi"/>
        </w:rPr>
      </w:pPr>
      <w:r>
        <w:rPr>
          <w:rFonts w:cstheme="minorHAnsi"/>
        </w:rPr>
        <w:t>Current investments and other financial assets</w:t>
      </w:r>
    </w:p>
    <w:tbl>
      <w:tblPr>
        <w:tblStyle w:val="TableGrid"/>
        <w:tblW w:w="0" w:type="auto"/>
        <w:tblLook w:val="04A0" w:firstRow="1" w:lastRow="0" w:firstColumn="1" w:lastColumn="0" w:noHBand="0" w:noVBand="1"/>
      </w:tblPr>
      <w:tblGrid>
        <w:gridCol w:w="8784"/>
        <w:gridCol w:w="1417"/>
        <w:gridCol w:w="1276"/>
        <w:gridCol w:w="1276"/>
        <w:gridCol w:w="1134"/>
      </w:tblGrid>
      <w:tr w:rsidR="00345886" w:rsidTr="00345886">
        <w:tc>
          <w:tcPr>
            <w:tcW w:w="8784" w:type="dxa"/>
          </w:tcPr>
          <w:p w:rsidR="00345886" w:rsidRDefault="00345886" w:rsidP="00345886">
            <w:pPr>
              <w:pStyle w:val="NoSpacing"/>
            </w:pPr>
            <w:r>
              <w:t xml:space="preserve">Australia dollar term deposits &gt; three months </w:t>
            </w:r>
          </w:p>
        </w:tc>
        <w:tc>
          <w:tcPr>
            <w:tcW w:w="1417" w:type="dxa"/>
          </w:tcPr>
          <w:p w:rsidR="00345886" w:rsidRDefault="00345886" w:rsidP="00345886">
            <w:pPr>
              <w:pStyle w:val="NoSpacing"/>
              <w:jc w:val="right"/>
            </w:pPr>
            <w:r>
              <w:t>51,261</w:t>
            </w:r>
          </w:p>
        </w:tc>
        <w:tc>
          <w:tcPr>
            <w:tcW w:w="1276" w:type="dxa"/>
          </w:tcPr>
          <w:p w:rsidR="00345886" w:rsidRDefault="00345886" w:rsidP="00345886">
            <w:pPr>
              <w:pStyle w:val="NoSpacing"/>
              <w:jc w:val="right"/>
            </w:pPr>
            <w:r>
              <w:t>21,107</w:t>
            </w:r>
          </w:p>
        </w:tc>
        <w:tc>
          <w:tcPr>
            <w:tcW w:w="1276" w:type="dxa"/>
          </w:tcPr>
          <w:p w:rsidR="00345886" w:rsidRDefault="00345886" w:rsidP="00345886">
            <w:pPr>
              <w:pStyle w:val="NoSpacing"/>
              <w:jc w:val="right"/>
            </w:pPr>
            <w:r>
              <w:t>50,000</w:t>
            </w:r>
          </w:p>
        </w:tc>
        <w:tc>
          <w:tcPr>
            <w:tcW w:w="1134" w:type="dxa"/>
          </w:tcPr>
          <w:p w:rsidR="00345886" w:rsidRDefault="00345886" w:rsidP="00345886">
            <w:pPr>
              <w:pStyle w:val="NoSpacing"/>
              <w:jc w:val="right"/>
            </w:pPr>
            <w:r>
              <w:t>20,000</w:t>
            </w:r>
          </w:p>
        </w:tc>
      </w:tr>
    </w:tbl>
    <w:p w:rsidR="00345886" w:rsidRDefault="00345886" w:rsidP="00F809E3">
      <w:pPr>
        <w:pStyle w:val="NoSpacing"/>
        <w:rPr>
          <w:rFonts w:cstheme="minorHAnsi"/>
        </w:rPr>
      </w:pPr>
    </w:p>
    <w:p w:rsidR="00345886" w:rsidRDefault="00345886" w:rsidP="00F809E3">
      <w:pPr>
        <w:pStyle w:val="NoSpacing"/>
        <w:rPr>
          <w:rFonts w:cstheme="minorHAnsi"/>
        </w:rPr>
      </w:pPr>
      <w:r>
        <w:rPr>
          <w:rFonts w:cstheme="minorHAnsi"/>
        </w:rPr>
        <w:t>Non-current investments and other financial assets</w:t>
      </w:r>
    </w:p>
    <w:tbl>
      <w:tblPr>
        <w:tblStyle w:val="TableGrid"/>
        <w:tblW w:w="0" w:type="auto"/>
        <w:tblLook w:val="04A0" w:firstRow="1" w:lastRow="0" w:firstColumn="1" w:lastColumn="0" w:noHBand="0" w:noVBand="1"/>
      </w:tblPr>
      <w:tblGrid>
        <w:gridCol w:w="8784"/>
        <w:gridCol w:w="1417"/>
        <w:gridCol w:w="1276"/>
        <w:gridCol w:w="1276"/>
        <w:gridCol w:w="1134"/>
      </w:tblGrid>
      <w:tr w:rsidR="00345886" w:rsidTr="00345886">
        <w:tc>
          <w:tcPr>
            <w:tcW w:w="8784" w:type="dxa"/>
          </w:tcPr>
          <w:p w:rsidR="00345886" w:rsidRDefault="00345886" w:rsidP="00345886">
            <w:pPr>
              <w:pStyle w:val="NoSpacing"/>
            </w:pPr>
            <w:r>
              <w:t>Unlisted shares in subsidiary – TAFE Online Pty Ltd</w:t>
            </w:r>
          </w:p>
        </w:tc>
        <w:tc>
          <w:tcPr>
            <w:tcW w:w="1417" w:type="dxa"/>
          </w:tcPr>
          <w:p w:rsidR="00345886" w:rsidRDefault="00345886" w:rsidP="00345886">
            <w:pPr>
              <w:pStyle w:val="NoSpacing"/>
              <w:jc w:val="right"/>
            </w:pPr>
            <w:r>
              <w:t>-</w:t>
            </w:r>
          </w:p>
        </w:tc>
        <w:tc>
          <w:tcPr>
            <w:tcW w:w="1276" w:type="dxa"/>
          </w:tcPr>
          <w:p w:rsidR="00345886" w:rsidRDefault="00345886" w:rsidP="00345886">
            <w:pPr>
              <w:pStyle w:val="NoSpacing"/>
              <w:jc w:val="right"/>
            </w:pPr>
            <w:r>
              <w:t>-</w:t>
            </w:r>
          </w:p>
        </w:tc>
        <w:tc>
          <w:tcPr>
            <w:tcW w:w="1276" w:type="dxa"/>
          </w:tcPr>
          <w:p w:rsidR="00345886" w:rsidRDefault="00345886" w:rsidP="00345886">
            <w:pPr>
              <w:pStyle w:val="NoSpacing"/>
              <w:jc w:val="right"/>
            </w:pPr>
            <w:r>
              <w:t>6,000</w:t>
            </w:r>
          </w:p>
        </w:tc>
        <w:tc>
          <w:tcPr>
            <w:tcW w:w="1134" w:type="dxa"/>
          </w:tcPr>
          <w:p w:rsidR="00345886" w:rsidRDefault="00345886" w:rsidP="00345886">
            <w:pPr>
              <w:pStyle w:val="NoSpacing"/>
              <w:jc w:val="right"/>
            </w:pPr>
            <w:r>
              <w:t>6,000</w:t>
            </w:r>
          </w:p>
        </w:tc>
      </w:tr>
      <w:tr w:rsidR="00345886" w:rsidTr="00345886">
        <w:tc>
          <w:tcPr>
            <w:tcW w:w="8784" w:type="dxa"/>
          </w:tcPr>
          <w:p w:rsidR="00345886" w:rsidRDefault="00345886" w:rsidP="00345886">
            <w:pPr>
              <w:pStyle w:val="NoSpacing"/>
            </w:pPr>
            <w:r>
              <w:t xml:space="preserve">Total investments and other financial assets </w:t>
            </w:r>
          </w:p>
        </w:tc>
        <w:tc>
          <w:tcPr>
            <w:tcW w:w="1417" w:type="dxa"/>
          </w:tcPr>
          <w:p w:rsidR="00345886" w:rsidRDefault="00345886" w:rsidP="00345886">
            <w:pPr>
              <w:pStyle w:val="NoSpacing"/>
              <w:jc w:val="right"/>
            </w:pPr>
            <w:r>
              <w:t>51,261</w:t>
            </w:r>
          </w:p>
        </w:tc>
        <w:tc>
          <w:tcPr>
            <w:tcW w:w="1276" w:type="dxa"/>
          </w:tcPr>
          <w:p w:rsidR="00345886" w:rsidRDefault="00345886" w:rsidP="00345886">
            <w:pPr>
              <w:pStyle w:val="NoSpacing"/>
              <w:jc w:val="right"/>
            </w:pPr>
            <w:r>
              <w:t>21,107</w:t>
            </w:r>
          </w:p>
        </w:tc>
        <w:tc>
          <w:tcPr>
            <w:tcW w:w="1276" w:type="dxa"/>
          </w:tcPr>
          <w:p w:rsidR="00345886" w:rsidRDefault="00345886" w:rsidP="00345886">
            <w:pPr>
              <w:pStyle w:val="NoSpacing"/>
              <w:jc w:val="right"/>
            </w:pPr>
            <w:r>
              <w:t>56,000</w:t>
            </w:r>
          </w:p>
        </w:tc>
        <w:tc>
          <w:tcPr>
            <w:tcW w:w="1134" w:type="dxa"/>
          </w:tcPr>
          <w:p w:rsidR="00345886" w:rsidRDefault="00345886" w:rsidP="00345886">
            <w:pPr>
              <w:pStyle w:val="NoSpacing"/>
              <w:jc w:val="right"/>
            </w:pPr>
            <w:r>
              <w:t>26,000</w:t>
            </w:r>
          </w:p>
        </w:tc>
      </w:tr>
    </w:tbl>
    <w:p w:rsidR="00345886" w:rsidRDefault="00345886" w:rsidP="00F809E3">
      <w:pPr>
        <w:pStyle w:val="NoSpacing"/>
        <w:rPr>
          <w:rFonts w:cstheme="minorHAnsi"/>
        </w:rPr>
      </w:pPr>
    </w:p>
    <w:p w:rsidR="00345886" w:rsidRDefault="00345886" w:rsidP="00F809E3">
      <w:pPr>
        <w:pStyle w:val="NoSpacing"/>
        <w:rPr>
          <w:rFonts w:cstheme="minorHAnsi"/>
        </w:rPr>
      </w:pPr>
      <w:r>
        <w:rPr>
          <w:rFonts w:cstheme="minorHAnsi"/>
        </w:rPr>
        <w:t xml:space="preserve">Ageing analysis of investments and other financial assets </w:t>
      </w:r>
    </w:p>
    <w:p w:rsidR="00345886" w:rsidRDefault="00345886" w:rsidP="00F809E3">
      <w:pPr>
        <w:pStyle w:val="NoSpacing"/>
        <w:rPr>
          <w:rFonts w:cstheme="minorHAnsi"/>
        </w:rPr>
      </w:pPr>
    </w:p>
    <w:tbl>
      <w:tblPr>
        <w:tblStyle w:val="TableGrid"/>
        <w:tblW w:w="0" w:type="auto"/>
        <w:tblInd w:w="5949" w:type="dxa"/>
        <w:tblLook w:val="04A0" w:firstRow="1" w:lastRow="0" w:firstColumn="1" w:lastColumn="0" w:noHBand="0" w:noVBand="1"/>
      </w:tblPr>
      <w:tblGrid>
        <w:gridCol w:w="1417"/>
        <w:gridCol w:w="1418"/>
        <w:gridCol w:w="1417"/>
        <w:gridCol w:w="1276"/>
        <w:gridCol w:w="1276"/>
        <w:gridCol w:w="1195"/>
      </w:tblGrid>
      <w:tr w:rsidR="00345886" w:rsidTr="00345886">
        <w:tc>
          <w:tcPr>
            <w:tcW w:w="1417" w:type="dxa"/>
            <w:vAlign w:val="bottom"/>
          </w:tcPr>
          <w:p w:rsidR="00345886" w:rsidRDefault="00345886" w:rsidP="00345886">
            <w:pPr>
              <w:pStyle w:val="NoSpacing"/>
              <w:jc w:val="right"/>
              <w:rPr>
                <w:rFonts w:cstheme="minorHAnsi"/>
              </w:rPr>
            </w:pPr>
            <w:r>
              <w:rPr>
                <w:rFonts w:cstheme="minorHAnsi"/>
              </w:rPr>
              <w:t>Carrying amount</w:t>
            </w:r>
          </w:p>
        </w:tc>
        <w:tc>
          <w:tcPr>
            <w:tcW w:w="1418" w:type="dxa"/>
            <w:vAlign w:val="bottom"/>
          </w:tcPr>
          <w:p w:rsidR="00345886" w:rsidRDefault="00345886" w:rsidP="00345886">
            <w:pPr>
              <w:pStyle w:val="NoSpacing"/>
              <w:jc w:val="right"/>
              <w:rPr>
                <w:rFonts w:cstheme="minorHAnsi"/>
              </w:rPr>
            </w:pPr>
            <w:r>
              <w:rPr>
                <w:rFonts w:cstheme="minorHAnsi"/>
              </w:rPr>
              <w:t>Not past due and not impaired</w:t>
            </w:r>
          </w:p>
        </w:tc>
        <w:tc>
          <w:tcPr>
            <w:tcW w:w="1417" w:type="dxa"/>
            <w:vAlign w:val="bottom"/>
          </w:tcPr>
          <w:p w:rsidR="00345886" w:rsidRDefault="00345886" w:rsidP="00345886">
            <w:pPr>
              <w:pStyle w:val="NoSpacing"/>
              <w:jc w:val="right"/>
              <w:rPr>
                <w:rFonts w:cstheme="minorHAnsi"/>
              </w:rPr>
            </w:pPr>
            <w:r>
              <w:rPr>
                <w:rFonts w:cstheme="minorHAnsi"/>
              </w:rPr>
              <w:t>Less than 1 month</w:t>
            </w:r>
          </w:p>
        </w:tc>
        <w:tc>
          <w:tcPr>
            <w:tcW w:w="1276" w:type="dxa"/>
            <w:vAlign w:val="bottom"/>
          </w:tcPr>
          <w:p w:rsidR="00345886" w:rsidRDefault="00345886" w:rsidP="00345886">
            <w:pPr>
              <w:pStyle w:val="NoSpacing"/>
              <w:jc w:val="right"/>
              <w:rPr>
                <w:rFonts w:cstheme="minorHAnsi"/>
              </w:rPr>
            </w:pPr>
            <w:r>
              <w:rPr>
                <w:rFonts w:cstheme="minorHAnsi"/>
              </w:rPr>
              <w:t>1-3 months</w:t>
            </w:r>
          </w:p>
        </w:tc>
        <w:tc>
          <w:tcPr>
            <w:tcW w:w="1276" w:type="dxa"/>
            <w:vAlign w:val="bottom"/>
          </w:tcPr>
          <w:p w:rsidR="00345886" w:rsidRDefault="00345886" w:rsidP="00345886">
            <w:pPr>
              <w:pStyle w:val="NoSpacing"/>
              <w:jc w:val="right"/>
              <w:rPr>
                <w:rFonts w:cstheme="minorHAnsi"/>
              </w:rPr>
            </w:pPr>
            <w:r>
              <w:rPr>
                <w:rFonts w:cstheme="minorHAnsi"/>
              </w:rPr>
              <w:t xml:space="preserve">3 months – 1 year </w:t>
            </w:r>
          </w:p>
        </w:tc>
        <w:tc>
          <w:tcPr>
            <w:tcW w:w="1195" w:type="dxa"/>
            <w:vAlign w:val="bottom"/>
          </w:tcPr>
          <w:p w:rsidR="00345886" w:rsidRDefault="00345886" w:rsidP="00345886">
            <w:pPr>
              <w:pStyle w:val="NoSpacing"/>
              <w:jc w:val="right"/>
              <w:rPr>
                <w:rFonts w:cstheme="minorHAnsi"/>
              </w:rPr>
            </w:pPr>
            <w:r>
              <w:rPr>
                <w:rFonts w:cstheme="minorHAnsi"/>
              </w:rPr>
              <w:t>1-5 years</w:t>
            </w:r>
          </w:p>
        </w:tc>
      </w:tr>
      <w:tr w:rsidR="00EC605D" w:rsidTr="00345886">
        <w:tc>
          <w:tcPr>
            <w:tcW w:w="1417" w:type="dxa"/>
          </w:tcPr>
          <w:p w:rsidR="00EC605D" w:rsidRDefault="00EC605D" w:rsidP="00EC605D">
            <w:pPr>
              <w:jc w:val="right"/>
            </w:pPr>
            <w:r w:rsidRPr="00FF31DA">
              <w:rPr>
                <w:rFonts w:cstheme="minorHAnsi"/>
                <w:bCs/>
                <w:w w:val="105"/>
              </w:rPr>
              <w:t>$’000</w:t>
            </w:r>
          </w:p>
        </w:tc>
        <w:tc>
          <w:tcPr>
            <w:tcW w:w="1418" w:type="dxa"/>
          </w:tcPr>
          <w:p w:rsidR="00EC605D" w:rsidRDefault="00EC605D" w:rsidP="00EC605D">
            <w:pPr>
              <w:jc w:val="right"/>
            </w:pPr>
            <w:r w:rsidRPr="00FF31DA">
              <w:rPr>
                <w:rFonts w:cstheme="minorHAnsi"/>
                <w:bCs/>
                <w:w w:val="105"/>
              </w:rPr>
              <w:t>$’000</w:t>
            </w:r>
          </w:p>
        </w:tc>
        <w:tc>
          <w:tcPr>
            <w:tcW w:w="1417" w:type="dxa"/>
          </w:tcPr>
          <w:p w:rsidR="00EC605D" w:rsidRDefault="00EC605D" w:rsidP="00EC605D">
            <w:pPr>
              <w:jc w:val="right"/>
            </w:pPr>
            <w:r w:rsidRPr="00FF31DA">
              <w:rPr>
                <w:rFonts w:cstheme="minorHAnsi"/>
                <w:bCs/>
                <w:w w:val="105"/>
              </w:rPr>
              <w:t>$’000</w:t>
            </w:r>
          </w:p>
        </w:tc>
        <w:tc>
          <w:tcPr>
            <w:tcW w:w="1276" w:type="dxa"/>
          </w:tcPr>
          <w:p w:rsidR="00EC605D" w:rsidRDefault="00EC605D" w:rsidP="00EC605D">
            <w:pPr>
              <w:jc w:val="right"/>
            </w:pPr>
            <w:r w:rsidRPr="00FF31DA">
              <w:rPr>
                <w:rFonts w:cstheme="minorHAnsi"/>
                <w:bCs/>
                <w:w w:val="105"/>
              </w:rPr>
              <w:t>$’000</w:t>
            </w:r>
          </w:p>
        </w:tc>
        <w:tc>
          <w:tcPr>
            <w:tcW w:w="1276" w:type="dxa"/>
          </w:tcPr>
          <w:p w:rsidR="00EC605D" w:rsidRDefault="00EC605D" w:rsidP="00EC605D">
            <w:pPr>
              <w:jc w:val="right"/>
            </w:pPr>
            <w:r w:rsidRPr="00FF31DA">
              <w:rPr>
                <w:rFonts w:cstheme="minorHAnsi"/>
                <w:bCs/>
                <w:w w:val="105"/>
              </w:rPr>
              <w:t>$’000</w:t>
            </w:r>
          </w:p>
        </w:tc>
        <w:tc>
          <w:tcPr>
            <w:tcW w:w="1195" w:type="dxa"/>
          </w:tcPr>
          <w:p w:rsidR="00EC605D" w:rsidRDefault="00EC605D" w:rsidP="00EC605D">
            <w:pPr>
              <w:jc w:val="right"/>
            </w:pPr>
            <w:r w:rsidRPr="00FF31DA">
              <w:rPr>
                <w:rFonts w:cstheme="minorHAnsi"/>
                <w:bCs/>
                <w:w w:val="105"/>
              </w:rPr>
              <w:t>$’000</w:t>
            </w:r>
          </w:p>
        </w:tc>
      </w:tr>
    </w:tbl>
    <w:p w:rsidR="00345886" w:rsidRDefault="00EC605D" w:rsidP="00F809E3">
      <w:pPr>
        <w:pStyle w:val="NoSpacing"/>
        <w:rPr>
          <w:rFonts w:cstheme="minorHAnsi"/>
        </w:rPr>
      </w:pPr>
      <w:r>
        <w:rPr>
          <w:rFonts w:cstheme="minorHAnsi"/>
        </w:rPr>
        <w:t>Consolidated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EC605D" w:rsidTr="00EC605D">
        <w:tc>
          <w:tcPr>
            <w:tcW w:w="5949" w:type="dxa"/>
          </w:tcPr>
          <w:p w:rsidR="00EC605D" w:rsidRDefault="00EC605D" w:rsidP="00F809E3">
            <w:pPr>
              <w:pStyle w:val="NoSpacing"/>
              <w:rPr>
                <w:rFonts w:cstheme="minorHAnsi"/>
              </w:rPr>
            </w:pPr>
            <w:r>
              <w:rPr>
                <w:rFonts w:cstheme="minorHAnsi"/>
              </w:rPr>
              <w:t xml:space="preserve">2017-Term deposits </w:t>
            </w:r>
          </w:p>
        </w:tc>
        <w:tc>
          <w:tcPr>
            <w:tcW w:w="1417" w:type="dxa"/>
          </w:tcPr>
          <w:p w:rsidR="00EC605D" w:rsidRDefault="00EC605D" w:rsidP="00EC605D">
            <w:pPr>
              <w:pStyle w:val="NoSpacing"/>
              <w:jc w:val="right"/>
              <w:rPr>
                <w:rFonts w:cstheme="minorHAnsi"/>
              </w:rPr>
            </w:pPr>
            <w:r>
              <w:rPr>
                <w:rFonts w:cstheme="minorHAnsi"/>
              </w:rPr>
              <w:t>51,261</w:t>
            </w:r>
          </w:p>
        </w:tc>
        <w:tc>
          <w:tcPr>
            <w:tcW w:w="1418" w:type="dxa"/>
          </w:tcPr>
          <w:p w:rsidR="00EC605D" w:rsidRDefault="00EC605D" w:rsidP="00EC605D">
            <w:pPr>
              <w:pStyle w:val="NoSpacing"/>
              <w:jc w:val="right"/>
              <w:rPr>
                <w:rFonts w:cstheme="minorHAnsi"/>
              </w:rPr>
            </w:pPr>
            <w:r>
              <w:rPr>
                <w:rFonts w:cstheme="minorHAnsi"/>
              </w:rPr>
              <w:t>51,261</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r w:rsidR="00EC605D" w:rsidTr="00EC605D">
        <w:tc>
          <w:tcPr>
            <w:tcW w:w="5949" w:type="dxa"/>
          </w:tcPr>
          <w:p w:rsidR="00EC605D" w:rsidRDefault="00EC605D" w:rsidP="00EC605D">
            <w:pPr>
              <w:pStyle w:val="NoSpacing"/>
              <w:rPr>
                <w:rFonts w:cstheme="minorHAnsi"/>
              </w:rPr>
            </w:pPr>
            <w:r>
              <w:rPr>
                <w:rFonts w:cstheme="minorHAnsi"/>
              </w:rPr>
              <w:t>Total</w:t>
            </w:r>
          </w:p>
        </w:tc>
        <w:tc>
          <w:tcPr>
            <w:tcW w:w="1417" w:type="dxa"/>
          </w:tcPr>
          <w:p w:rsidR="00EC605D" w:rsidRDefault="00EC605D" w:rsidP="00EC605D">
            <w:pPr>
              <w:pStyle w:val="NoSpacing"/>
              <w:jc w:val="right"/>
              <w:rPr>
                <w:rFonts w:cstheme="minorHAnsi"/>
              </w:rPr>
            </w:pPr>
            <w:r>
              <w:rPr>
                <w:rFonts w:cstheme="minorHAnsi"/>
              </w:rPr>
              <w:t>51,261</w:t>
            </w:r>
          </w:p>
        </w:tc>
        <w:tc>
          <w:tcPr>
            <w:tcW w:w="1418" w:type="dxa"/>
          </w:tcPr>
          <w:p w:rsidR="00EC605D" w:rsidRDefault="00EC605D" w:rsidP="00EC605D">
            <w:pPr>
              <w:pStyle w:val="NoSpacing"/>
              <w:jc w:val="right"/>
              <w:rPr>
                <w:rFonts w:cstheme="minorHAnsi"/>
              </w:rPr>
            </w:pPr>
            <w:r>
              <w:rPr>
                <w:rFonts w:cstheme="minorHAnsi"/>
              </w:rPr>
              <w:t>51,261</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bl>
    <w:p w:rsidR="00EC605D" w:rsidRDefault="00EC605D" w:rsidP="00F809E3">
      <w:pPr>
        <w:pStyle w:val="NoSpacing"/>
        <w:rPr>
          <w:rFonts w:cstheme="minorHAnsi"/>
        </w:rPr>
      </w:pPr>
    </w:p>
    <w:p w:rsidR="00EC605D" w:rsidRDefault="00EC605D" w:rsidP="00EC605D">
      <w:pPr>
        <w:pStyle w:val="NoSpacing"/>
        <w:rPr>
          <w:rFonts w:cstheme="minorHAnsi"/>
        </w:rPr>
      </w:pPr>
      <w:r>
        <w:rPr>
          <w:rFonts w:cstheme="minorHAnsi"/>
        </w:rPr>
        <w:t>Consolidated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EC605D" w:rsidTr="002E022F">
        <w:tc>
          <w:tcPr>
            <w:tcW w:w="5949" w:type="dxa"/>
          </w:tcPr>
          <w:p w:rsidR="00EC605D" w:rsidRDefault="00EC605D" w:rsidP="00EC605D">
            <w:pPr>
              <w:pStyle w:val="NoSpacing"/>
              <w:rPr>
                <w:rFonts w:cstheme="minorHAnsi"/>
              </w:rPr>
            </w:pPr>
            <w:r>
              <w:rPr>
                <w:rFonts w:cstheme="minorHAnsi"/>
              </w:rPr>
              <w:t xml:space="preserve">2016- Term deposits </w:t>
            </w:r>
          </w:p>
        </w:tc>
        <w:tc>
          <w:tcPr>
            <w:tcW w:w="1417" w:type="dxa"/>
          </w:tcPr>
          <w:p w:rsidR="00EC605D" w:rsidRDefault="00EC605D" w:rsidP="00EC605D">
            <w:pPr>
              <w:pStyle w:val="NoSpacing"/>
              <w:jc w:val="right"/>
              <w:rPr>
                <w:rFonts w:cstheme="minorHAnsi"/>
              </w:rPr>
            </w:pPr>
            <w:r>
              <w:rPr>
                <w:rFonts w:cstheme="minorHAnsi"/>
              </w:rPr>
              <w:t>21,107</w:t>
            </w:r>
          </w:p>
        </w:tc>
        <w:tc>
          <w:tcPr>
            <w:tcW w:w="1418" w:type="dxa"/>
          </w:tcPr>
          <w:p w:rsidR="00EC605D" w:rsidRDefault="00EC605D" w:rsidP="00EC605D">
            <w:pPr>
              <w:pStyle w:val="NoSpacing"/>
              <w:jc w:val="right"/>
              <w:rPr>
                <w:rFonts w:cstheme="minorHAnsi"/>
              </w:rPr>
            </w:pPr>
            <w:r>
              <w:rPr>
                <w:rFonts w:cstheme="minorHAnsi"/>
              </w:rPr>
              <w:t>21,107</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r w:rsidR="00EC605D" w:rsidTr="002E022F">
        <w:tc>
          <w:tcPr>
            <w:tcW w:w="5949" w:type="dxa"/>
          </w:tcPr>
          <w:p w:rsidR="00EC605D" w:rsidRDefault="00EC605D" w:rsidP="00EC605D">
            <w:pPr>
              <w:pStyle w:val="NoSpacing"/>
              <w:rPr>
                <w:rFonts w:cstheme="minorHAnsi"/>
              </w:rPr>
            </w:pPr>
            <w:r>
              <w:rPr>
                <w:rFonts w:cstheme="minorHAnsi"/>
              </w:rPr>
              <w:t>Total</w:t>
            </w:r>
          </w:p>
        </w:tc>
        <w:tc>
          <w:tcPr>
            <w:tcW w:w="1417" w:type="dxa"/>
          </w:tcPr>
          <w:p w:rsidR="00EC605D" w:rsidRDefault="00EC605D" w:rsidP="00EC605D">
            <w:pPr>
              <w:pStyle w:val="NoSpacing"/>
              <w:jc w:val="right"/>
              <w:rPr>
                <w:rFonts w:cstheme="minorHAnsi"/>
              </w:rPr>
            </w:pPr>
            <w:r>
              <w:rPr>
                <w:rFonts w:cstheme="minorHAnsi"/>
              </w:rPr>
              <w:t>21,107</w:t>
            </w:r>
          </w:p>
        </w:tc>
        <w:tc>
          <w:tcPr>
            <w:tcW w:w="1418" w:type="dxa"/>
          </w:tcPr>
          <w:p w:rsidR="00EC605D" w:rsidRDefault="00EC605D" w:rsidP="00EC605D">
            <w:pPr>
              <w:pStyle w:val="NoSpacing"/>
              <w:jc w:val="right"/>
              <w:rPr>
                <w:rFonts w:cstheme="minorHAnsi"/>
              </w:rPr>
            </w:pPr>
            <w:r>
              <w:rPr>
                <w:rFonts w:cstheme="minorHAnsi"/>
              </w:rPr>
              <w:t>21,107</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bl>
    <w:p w:rsidR="00345886" w:rsidRDefault="00345886" w:rsidP="00F809E3">
      <w:pPr>
        <w:pStyle w:val="NoSpacing"/>
        <w:rPr>
          <w:rFonts w:cstheme="minorHAnsi"/>
        </w:rPr>
      </w:pPr>
    </w:p>
    <w:p w:rsidR="00EC605D" w:rsidRDefault="00EC605D" w:rsidP="00EC605D">
      <w:pPr>
        <w:pStyle w:val="NoSpacing"/>
        <w:rPr>
          <w:rFonts w:cstheme="minorHAnsi"/>
        </w:rPr>
      </w:pPr>
      <w:r>
        <w:rPr>
          <w:rFonts w:cstheme="minorHAnsi"/>
        </w:rPr>
        <w:t>Chisholm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EC605D" w:rsidTr="002E022F">
        <w:tc>
          <w:tcPr>
            <w:tcW w:w="5949" w:type="dxa"/>
          </w:tcPr>
          <w:p w:rsidR="00EC605D" w:rsidRDefault="00EC605D" w:rsidP="00EC605D">
            <w:pPr>
              <w:pStyle w:val="NoSpacing"/>
              <w:rPr>
                <w:rFonts w:cstheme="minorHAnsi"/>
              </w:rPr>
            </w:pPr>
            <w:r>
              <w:rPr>
                <w:rFonts w:cstheme="minorHAnsi"/>
              </w:rPr>
              <w:t>2017-Term deposits</w:t>
            </w:r>
          </w:p>
        </w:tc>
        <w:tc>
          <w:tcPr>
            <w:tcW w:w="1417" w:type="dxa"/>
          </w:tcPr>
          <w:p w:rsidR="00EC605D" w:rsidRDefault="00EC605D" w:rsidP="00EC605D">
            <w:pPr>
              <w:pStyle w:val="NoSpacing"/>
              <w:jc w:val="right"/>
              <w:rPr>
                <w:rFonts w:cstheme="minorHAnsi"/>
              </w:rPr>
            </w:pPr>
            <w:r>
              <w:rPr>
                <w:rFonts w:cstheme="minorHAnsi"/>
              </w:rPr>
              <w:t>50,000</w:t>
            </w:r>
          </w:p>
        </w:tc>
        <w:tc>
          <w:tcPr>
            <w:tcW w:w="1418" w:type="dxa"/>
          </w:tcPr>
          <w:p w:rsidR="00EC605D" w:rsidRDefault="00EC605D" w:rsidP="00EC605D">
            <w:pPr>
              <w:pStyle w:val="NoSpacing"/>
              <w:jc w:val="right"/>
              <w:rPr>
                <w:rFonts w:cstheme="minorHAnsi"/>
              </w:rPr>
            </w:pPr>
            <w:r>
              <w:rPr>
                <w:rFonts w:cstheme="minorHAnsi"/>
              </w:rPr>
              <w:t>50,000</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r w:rsidR="00EC605D" w:rsidTr="002E022F">
        <w:tc>
          <w:tcPr>
            <w:tcW w:w="5949" w:type="dxa"/>
          </w:tcPr>
          <w:p w:rsidR="00EC605D" w:rsidRDefault="00EC605D" w:rsidP="00EC605D">
            <w:pPr>
              <w:pStyle w:val="NoSpacing"/>
              <w:rPr>
                <w:rFonts w:cstheme="minorHAnsi"/>
              </w:rPr>
            </w:pPr>
            <w:r>
              <w:rPr>
                <w:rFonts w:cstheme="minorHAnsi"/>
              </w:rPr>
              <w:t xml:space="preserve">Investments in subsidiary </w:t>
            </w:r>
          </w:p>
        </w:tc>
        <w:tc>
          <w:tcPr>
            <w:tcW w:w="1417" w:type="dxa"/>
          </w:tcPr>
          <w:p w:rsidR="00EC605D" w:rsidRDefault="00EC605D" w:rsidP="00EC605D">
            <w:pPr>
              <w:pStyle w:val="NoSpacing"/>
              <w:jc w:val="right"/>
              <w:rPr>
                <w:rFonts w:cstheme="minorHAnsi"/>
              </w:rPr>
            </w:pPr>
            <w:r>
              <w:rPr>
                <w:rFonts w:cstheme="minorHAnsi"/>
              </w:rPr>
              <w:t>6,000</w:t>
            </w:r>
          </w:p>
        </w:tc>
        <w:tc>
          <w:tcPr>
            <w:tcW w:w="1418" w:type="dxa"/>
          </w:tcPr>
          <w:p w:rsidR="00EC605D" w:rsidRDefault="00EC605D" w:rsidP="00EC605D">
            <w:pPr>
              <w:pStyle w:val="NoSpacing"/>
              <w:jc w:val="right"/>
              <w:rPr>
                <w:rFonts w:cstheme="minorHAnsi"/>
              </w:rPr>
            </w:pPr>
            <w:r>
              <w:rPr>
                <w:rFonts w:cstheme="minorHAnsi"/>
              </w:rPr>
              <w:t>6,000</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r w:rsidR="00EC605D" w:rsidTr="002E022F">
        <w:tc>
          <w:tcPr>
            <w:tcW w:w="5949" w:type="dxa"/>
          </w:tcPr>
          <w:p w:rsidR="00EC605D" w:rsidRDefault="00EC605D" w:rsidP="00EC605D">
            <w:pPr>
              <w:pStyle w:val="NoSpacing"/>
              <w:rPr>
                <w:rFonts w:cstheme="minorHAnsi"/>
              </w:rPr>
            </w:pPr>
            <w:r>
              <w:rPr>
                <w:rFonts w:cstheme="minorHAnsi"/>
              </w:rPr>
              <w:t>Total</w:t>
            </w:r>
          </w:p>
        </w:tc>
        <w:tc>
          <w:tcPr>
            <w:tcW w:w="1417" w:type="dxa"/>
          </w:tcPr>
          <w:p w:rsidR="00EC605D" w:rsidRDefault="00EC605D" w:rsidP="00EC605D">
            <w:pPr>
              <w:pStyle w:val="NoSpacing"/>
              <w:jc w:val="right"/>
              <w:rPr>
                <w:rFonts w:cstheme="minorHAnsi"/>
              </w:rPr>
            </w:pPr>
            <w:r>
              <w:rPr>
                <w:rFonts w:cstheme="minorHAnsi"/>
              </w:rPr>
              <w:t>56,000</w:t>
            </w:r>
          </w:p>
        </w:tc>
        <w:tc>
          <w:tcPr>
            <w:tcW w:w="1418" w:type="dxa"/>
          </w:tcPr>
          <w:p w:rsidR="00EC605D" w:rsidRDefault="00EC605D" w:rsidP="00EC605D">
            <w:pPr>
              <w:pStyle w:val="NoSpacing"/>
              <w:jc w:val="right"/>
              <w:rPr>
                <w:rFonts w:cstheme="minorHAnsi"/>
              </w:rPr>
            </w:pPr>
            <w:r>
              <w:rPr>
                <w:rFonts w:cstheme="minorHAnsi"/>
              </w:rPr>
              <w:t>56,000</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bl>
    <w:p w:rsidR="00EC605D" w:rsidRDefault="00EC605D" w:rsidP="00F809E3">
      <w:pPr>
        <w:pStyle w:val="NoSpacing"/>
        <w:rPr>
          <w:rFonts w:cstheme="minorHAnsi"/>
        </w:rPr>
      </w:pPr>
    </w:p>
    <w:p w:rsidR="00EC605D" w:rsidRDefault="00EC605D" w:rsidP="00EC605D">
      <w:pPr>
        <w:pStyle w:val="NoSpacing"/>
        <w:rPr>
          <w:rFonts w:cstheme="minorHAnsi"/>
        </w:rPr>
      </w:pPr>
      <w:r>
        <w:rPr>
          <w:rFonts w:cstheme="minorHAnsi"/>
        </w:rPr>
        <w:t>Chisholm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EC605D" w:rsidTr="002E022F">
        <w:tc>
          <w:tcPr>
            <w:tcW w:w="5949" w:type="dxa"/>
          </w:tcPr>
          <w:p w:rsidR="00EC605D" w:rsidRDefault="00EC605D" w:rsidP="00EC605D">
            <w:pPr>
              <w:pStyle w:val="NoSpacing"/>
              <w:rPr>
                <w:rFonts w:cstheme="minorHAnsi"/>
              </w:rPr>
            </w:pPr>
            <w:r>
              <w:rPr>
                <w:rFonts w:cstheme="minorHAnsi"/>
              </w:rPr>
              <w:t>2016- Term deposits</w:t>
            </w:r>
          </w:p>
        </w:tc>
        <w:tc>
          <w:tcPr>
            <w:tcW w:w="1417" w:type="dxa"/>
          </w:tcPr>
          <w:p w:rsidR="00EC605D" w:rsidRDefault="00EC605D" w:rsidP="00EC605D">
            <w:pPr>
              <w:pStyle w:val="NoSpacing"/>
              <w:jc w:val="right"/>
              <w:rPr>
                <w:rFonts w:cstheme="minorHAnsi"/>
              </w:rPr>
            </w:pPr>
            <w:r>
              <w:rPr>
                <w:rFonts w:cstheme="minorHAnsi"/>
              </w:rPr>
              <w:t>20,000</w:t>
            </w:r>
          </w:p>
        </w:tc>
        <w:tc>
          <w:tcPr>
            <w:tcW w:w="1418" w:type="dxa"/>
          </w:tcPr>
          <w:p w:rsidR="00EC605D" w:rsidRDefault="00EC605D" w:rsidP="00EC605D">
            <w:pPr>
              <w:pStyle w:val="NoSpacing"/>
              <w:jc w:val="right"/>
              <w:rPr>
                <w:rFonts w:cstheme="minorHAnsi"/>
              </w:rPr>
            </w:pPr>
            <w:r>
              <w:rPr>
                <w:rFonts w:cstheme="minorHAnsi"/>
              </w:rPr>
              <w:t>20,000</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r w:rsidR="00EC605D" w:rsidTr="002E022F">
        <w:tc>
          <w:tcPr>
            <w:tcW w:w="5949" w:type="dxa"/>
          </w:tcPr>
          <w:p w:rsidR="00EC605D" w:rsidRDefault="00EC605D" w:rsidP="00EC605D">
            <w:pPr>
              <w:pStyle w:val="NoSpacing"/>
              <w:rPr>
                <w:rFonts w:cstheme="minorHAnsi"/>
              </w:rPr>
            </w:pPr>
            <w:r>
              <w:rPr>
                <w:rFonts w:cstheme="minorHAnsi"/>
              </w:rPr>
              <w:t xml:space="preserve">Investments in subsidiary </w:t>
            </w:r>
          </w:p>
        </w:tc>
        <w:tc>
          <w:tcPr>
            <w:tcW w:w="1417" w:type="dxa"/>
          </w:tcPr>
          <w:p w:rsidR="00EC605D" w:rsidRDefault="00EC605D" w:rsidP="00EC605D">
            <w:pPr>
              <w:pStyle w:val="NoSpacing"/>
              <w:jc w:val="right"/>
              <w:rPr>
                <w:rFonts w:cstheme="minorHAnsi"/>
              </w:rPr>
            </w:pPr>
            <w:r>
              <w:rPr>
                <w:rFonts w:cstheme="minorHAnsi"/>
              </w:rPr>
              <w:t>6,000</w:t>
            </w:r>
          </w:p>
        </w:tc>
        <w:tc>
          <w:tcPr>
            <w:tcW w:w="1418" w:type="dxa"/>
          </w:tcPr>
          <w:p w:rsidR="00EC605D" w:rsidRDefault="00EC605D" w:rsidP="00EC605D">
            <w:pPr>
              <w:pStyle w:val="NoSpacing"/>
              <w:jc w:val="right"/>
              <w:rPr>
                <w:rFonts w:cstheme="minorHAnsi"/>
              </w:rPr>
            </w:pPr>
            <w:r>
              <w:rPr>
                <w:rFonts w:cstheme="minorHAnsi"/>
              </w:rPr>
              <w:t>6,000</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r w:rsidR="00EC605D" w:rsidTr="002E022F">
        <w:tc>
          <w:tcPr>
            <w:tcW w:w="5949" w:type="dxa"/>
          </w:tcPr>
          <w:p w:rsidR="00EC605D" w:rsidRDefault="00EC605D" w:rsidP="00EC605D">
            <w:pPr>
              <w:pStyle w:val="NoSpacing"/>
              <w:rPr>
                <w:rFonts w:cstheme="minorHAnsi"/>
              </w:rPr>
            </w:pPr>
            <w:r>
              <w:rPr>
                <w:rFonts w:cstheme="minorHAnsi"/>
              </w:rPr>
              <w:t xml:space="preserve">Total </w:t>
            </w:r>
          </w:p>
        </w:tc>
        <w:tc>
          <w:tcPr>
            <w:tcW w:w="1417" w:type="dxa"/>
          </w:tcPr>
          <w:p w:rsidR="00EC605D" w:rsidRDefault="00EC605D" w:rsidP="00EC605D">
            <w:pPr>
              <w:pStyle w:val="NoSpacing"/>
              <w:jc w:val="right"/>
              <w:rPr>
                <w:rFonts w:cstheme="minorHAnsi"/>
              </w:rPr>
            </w:pPr>
            <w:r>
              <w:rPr>
                <w:rFonts w:cstheme="minorHAnsi"/>
              </w:rPr>
              <w:t>26,000</w:t>
            </w:r>
          </w:p>
        </w:tc>
        <w:tc>
          <w:tcPr>
            <w:tcW w:w="1418" w:type="dxa"/>
          </w:tcPr>
          <w:p w:rsidR="00EC605D" w:rsidRDefault="00EC605D" w:rsidP="00EC605D">
            <w:pPr>
              <w:pStyle w:val="NoSpacing"/>
              <w:jc w:val="right"/>
              <w:rPr>
                <w:rFonts w:cstheme="minorHAnsi"/>
              </w:rPr>
            </w:pPr>
            <w:r>
              <w:rPr>
                <w:rFonts w:cstheme="minorHAnsi"/>
              </w:rPr>
              <w:t>26,000</w:t>
            </w:r>
          </w:p>
        </w:tc>
        <w:tc>
          <w:tcPr>
            <w:tcW w:w="1417"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276" w:type="dxa"/>
          </w:tcPr>
          <w:p w:rsidR="00EC605D" w:rsidRDefault="00EC605D" w:rsidP="00EC605D">
            <w:pPr>
              <w:pStyle w:val="NoSpacing"/>
              <w:jc w:val="right"/>
              <w:rPr>
                <w:rFonts w:cstheme="minorHAnsi"/>
              </w:rPr>
            </w:pPr>
            <w:r>
              <w:rPr>
                <w:rFonts w:cstheme="minorHAnsi"/>
              </w:rPr>
              <w:t>-</w:t>
            </w:r>
          </w:p>
        </w:tc>
        <w:tc>
          <w:tcPr>
            <w:tcW w:w="1195" w:type="dxa"/>
          </w:tcPr>
          <w:p w:rsidR="00EC605D" w:rsidRDefault="00EC605D" w:rsidP="00EC605D">
            <w:pPr>
              <w:pStyle w:val="NoSpacing"/>
              <w:jc w:val="right"/>
              <w:rPr>
                <w:rFonts w:cstheme="minorHAnsi"/>
              </w:rPr>
            </w:pPr>
            <w:r>
              <w:rPr>
                <w:rFonts w:cstheme="minorHAnsi"/>
              </w:rPr>
              <w:t>-</w:t>
            </w:r>
          </w:p>
        </w:tc>
      </w:tr>
    </w:tbl>
    <w:p w:rsidR="008421BC" w:rsidRDefault="008421BC" w:rsidP="00F809E3">
      <w:pPr>
        <w:pStyle w:val="NoSpacing"/>
        <w:rPr>
          <w:rFonts w:cstheme="minorHAnsi"/>
        </w:rPr>
      </w:pPr>
    </w:p>
    <w:p w:rsidR="00D814AC" w:rsidRDefault="00D814AC" w:rsidP="00F809E3">
      <w:pPr>
        <w:pStyle w:val="NoSpacing"/>
        <w:rPr>
          <w:rFonts w:cstheme="minorHAnsi"/>
        </w:rPr>
      </w:pPr>
      <w:r>
        <w:rPr>
          <w:rFonts w:cstheme="minorHAnsi"/>
        </w:rPr>
        <w:t>&lt;pp&gt;</w:t>
      </w:r>
      <w:r w:rsidR="007829BB">
        <w:rPr>
          <w:rFonts w:cstheme="minorHAnsi"/>
        </w:rPr>
        <w:t>62</w:t>
      </w:r>
    </w:p>
    <w:p w:rsidR="008421BC" w:rsidRDefault="008421BC" w:rsidP="00F809E3">
      <w:pPr>
        <w:pStyle w:val="NoSpacing"/>
        <w:rPr>
          <w:rFonts w:cstheme="minorHAnsi"/>
        </w:rPr>
      </w:pPr>
    </w:p>
    <w:p w:rsidR="008421BC" w:rsidRPr="00D814AC" w:rsidRDefault="008421BC" w:rsidP="00D36BB2">
      <w:pPr>
        <w:pStyle w:val="Heading3"/>
      </w:pPr>
      <w:r w:rsidRPr="00D814AC">
        <w:t xml:space="preserve">5. Balances from operations </w:t>
      </w:r>
    </w:p>
    <w:p w:rsidR="008421BC" w:rsidRPr="00A635C4" w:rsidRDefault="008421BC" w:rsidP="008421BC">
      <w:pPr>
        <w:pStyle w:val="NoSpacing"/>
      </w:pPr>
      <w:r w:rsidRPr="00A635C4">
        <w:t xml:space="preserve"> </w:t>
      </w:r>
    </w:p>
    <w:p w:rsidR="008421BC" w:rsidRDefault="008421BC" w:rsidP="00D36BB2">
      <w:pPr>
        <w:pStyle w:val="Heading4"/>
      </w:pPr>
      <w:r>
        <w:t>5.1 Receivables</w:t>
      </w:r>
    </w:p>
    <w:p w:rsidR="008421BC" w:rsidRDefault="008421BC" w:rsidP="008421BC">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8421BC" w:rsidRPr="00AE2D8D" w:rsidTr="002E022F">
        <w:tc>
          <w:tcPr>
            <w:tcW w:w="2693" w:type="dxa"/>
            <w:gridSpan w:val="2"/>
          </w:tcPr>
          <w:p w:rsidR="008421BC" w:rsidRPr="00AE2D8D" w:rsidRDefault="008421BC" w:rsidP="002E022F">
            <w:pPr>
              <w:pStyle w:val="NoSpacing"/>
              <w:jc w:val="center"/>
              <w:rPr>
                <w:rFonts w:cstheme="minorHAnsi"/>
                <w:bCs/>
                <w:w w:val="105"/>
              </w:rPr>
            </w:pPr>
            <w:r w:rsidRPr="00AE2D8D">
              <w:rPr>
                <w:rFonts w:cstheme="minorHAnsi"/>
                <w:bCs/>
                <w:w w:val="105"/>
              </w:rPr>
              <w:t>Consolidated</w:t>
            </w:r>
          </w:p>
        </w:tc>
        <w:tc>
          <w:tcPr>
            <w:tcW w:w="2410" w:type="dxa"/>
            <w:gridSpan w:val="2"/>
          </w:tcPr>
          <w:p w:rsidR="008421BC" w:rsidRPr="00AE2D8D" w:rsidRDefault="008421BC" w:rsidP="002E022F">
            <w:pPr>
              <w:pStyle w:val="NoSpacing"/>
              <w:jc w:val="center"/>
              <w:rPr>
                <w:rFonts w:cstheme="minorHAnsi"/>
                <w:bCs/>
                <w:w w:val="105"/>
              </w:rPr>
            </w:pPr>
            <w:r w:rsidRPr="00AE2D8D">
              <w:rPr>
                <w:rFonts w:cstheme="minorHAnsi"/>
                <w:bCs/>
                <w:w w:val="105"/>
              </w:rPr>
              <w:t>Chisholm</w:t>
            </w:r>
          </w:p>
        </w:tc>
      </w:tr>
      <w:tr w:rsidR="008421BC" w:rsidRPr="00AE2D8D" w:rsidTr="002E022F">
        <w:tc>
          <w:tcPr>
            <w:tcW w:w="1417" w:type="dxa"/>
          </w:tcPr>
          <w:p w:rsidR="008421BC" w:rsidRPr="00AE2D8D" w:rsidRDefault="008421BC" w:rsidP="002E022F">
            <w:pPr>
              <w:pStyle w:val="NoSpacing"/>
              <w:jc w:val="right"/>
              <w:rPr>
                <w:rFonts w:cstheme="minorHAnsi"/>
                <w:bCs/>
                <w:w w:val="105"/>
              </w:rPr>
            </w:pPr>
            <w:r w:rsidRPr="00AE2D8D">
              <w:rPr>
                <w:rFonts w:cstheme="minorHAnsi"/>
                <w:bCs/>
                <w:w w:val="105"/>
              </w:rPr>
              <w:t>2017</w:t>
            </w:r>
          </w:p>
        </w:tc>
        <w:tc>
          <w:tcPr>
            <w:tcW w:w="1276" w:type="dxa"/>
          </w:tcPr>
          <w:p w:rsidR="008421BC" w:rsidRPr="00AE2D8D" w:rsidRDefault="008421BC" w:rsidP="002E022F">
            <w:pPr>
              <w:pStyle w:val="NoSpacing"/>
              <w:jc w:val="right"/>
              <w:rPr>
                <w:rFonts w:cstheme="minorHAnsi"/>
                <w:bCs/>
                <w:w w:val="105"/>
              </w:rPr>
            </w:pPr>
            <w:r w:rsidRPr="00AE2D8D">
              <w:rPr>
                <w:rFonts w:cstheme="minorHAnsi"/>
                <w:bCs/>
                <w:w w:val="105"/>
              </w:rPr>
              <w:t>2016</w:t>
            </w:r>
          </w:p>
        </w:tc>
        <w:tc>
          <w:tcPr>
            <w:tcW w:w="1276" w:type="dxa"/>
          </w:tcPr>
          <w:p w:rsidR="008421BC" w:rsidRPr="00AE2D8D" w:rsidRDefault="008421BC" w:rsidP="002E022F">
            <w:pPr>
              <w:pStyle w:val="NoSpacing"/>
              <w:jc w:val="right"/>
              <w:rPr>
                <w:rFonts w:cstheme="minorHAnsi"/>
                <w:bCs/>
                <w:w w:val="105"/>
              </w:rPr>
            </w:pPr>
            <w:r w:rsidRPr="00AE2D8D">
              <w:rPr>
                <w:rFonts w:cstheme="minorHAnsi"/>
                <w:bCs/>
                <w:w w:val="105"/>
              </w:rPr>
              <w:t>2017</w:t>
            </w:r>
          </w:p>
        </w:tc>
        <w:tc>
          <w:tcPr>
            <w:tcW w:w="1134" w:type="dxa"/>
          </w:tcPr>
          <w:p w:rsidR="008421BC" w:rsidRPr="00AE2D8D" w:rsidRDefault="008421BC" w:rsidP="002E022F">
            <w:pPr>
              <w:pStyle w:val="NoSpacing"/>
              <w:jc w:val="right"/>
              <w:rPr>
                <w:rFonts w:cstheme="minorHAnsi"/>
                <w:bCs/>
                <w:w w:val="105"/>
              </w:rPr>
            </w:pPr>
            <w:r w:rsidRPr="00AE2D8D">
              <w:rPr>
                <w:rFonts w:cstheme="minorHAnsi"/>
                <w:bCs/>
                <w:w w:val="105"/>
              </w:rPr>
              <w:t>2016</w:t>
            </w:r>
          </w:p>
        </w:tc>
      </w:tr>
      <w:tr w:rsidR="008421BC" w:rsidRPr="00AE2D8D" w:rsidTr="002E022F">
        <w:tc>
          <w:tcPr>
            <w:tcW w:w="1417" w:type="dxa"/>
          </w:tcPr>
          <w:p w:rsidR="008421BC" w:rsidRPr="00AE2D8D" w:rsidRDefault="008421BC" w:rsidP="002E022F">
            <w:pPr>
              <w:jc w:val="right"/>
              <w:rPr>
                <w:rFonts w:cstheme="minorHAnsi"/>
              </w:rPr>
            </w:pPr>
            <w:r w:rsidRPr="00AE2D8D">
              <w:rPr>
                <w:rFonts w:cstheme="minorHAnsi"/>
                <w:bCs/>
                <w:w w:val="105"/>
              </w:rPr>
              <w:t>$’000</w:t>
            </w:r>
          </w:p>
        </w:tc>
        <w:tc>
          <w:tcPr>
            <w:tcW w:w="1276" w:type="dxa"/>
          </w:tcPr>
          <w:p w:rsidR="008421BC" w:rsidRPr="00AE2D8D" w:rsidRDefault="008421BC" w:rsidP="002E022F">
            <w:pPr>
              <w:jc w:val="right"/>
              <w:rPr>
                <w:rFonts w:cstheme="minorHAnsi"/>
              </w:rPr>
            </w:pPr>
            <w:r w:rsidRPr="00AE2D8D">
              <w:rPr>
                <w:rFonts w:cstheme="minorHAnsi"/>
                <w:bCs/>
                <w:w w:val="105"/>
              </w:rPr>
              <w:t>$’000</w:t>
            </w:r>
          </w:p>
        </w:tc>
        <w:tc>
          <w:tcPr>
            <w:tcW w:w="1276" w:type="dxa"/>
          </w:tcPr>
          <w:p w:rsidR="008421BC" w:rsidRPr="00AE2D8D" w:rsidRDefault="008421BC" w:rsidP="002E022F">
            <w:pPr>
              <w:jc w:val="right"/>
              <w:rPr>
                <w:rFonts w:cstheme="minorHAnsi"/>
              </w:rPr>
            </w:pPr>
            <w:r w:rsidRPr="00AE2D8D">
              <w:rPr>
                <w:rFonts w:cstheme="minorHAnsi"/>
                <w:bCs/>
                <w:w w:val="105"/>
              </w:rPr>
              <w:t>$’000</w:t>
            </w:r>
          </w:p>
        </w:tc>
        <w:tc>
          <w:tcPr>
            <w:tcW w:w="1134" w:type="dxa"/>
          </w:tcPr>
          <w:p w:rsidR="008421BC" w:rsidRPr="00AE2D8D" w:rsidRDefault="008421BC" w:rsidP="002E022F">
            <w:pPr>
              <w:pStyle w:val="NoSpacing"/>
              <w:jc w:val="right"/>
              <w:rPr>
                <w:rFonts w:cstheme="minorHAnsi"/>
                <w:bCs/>
                <w:w w:val="105"/>
              </w:rPr>
            </w:pPr>
            <w:r w:rsidRPr="00AE2D8D">
              <w:rPr>
                <w:rFonts w:cstheme="minorHAnsi"/>
                <w:bCs/>
                <w:w w:val="105"/>
              </w:rPr>
              <w:t>$’000</w:t>
            </w:r>
          </w:p>
        </w:tc>
      </w:tr>
    </w:tbl>
    <w:p w:rsidR="008421BC" w:rsidRDefault="008421BC" w:rsidP="008421BC">
      <w:pPr>
        <w:pStyle w:val="NoSpacing"/>
      </w:pPr>
      <w:r>
        <w:t>Current</w:t>
      </w:r>
    </w:p>
    <w:p w:rsidR="008421BC" w:rsidRDefault="008421BC" w:rsidP="008421BC">
      <w:pPr>
        <w:pStyle w:val="NoSpacing"/>
      </w:pPr>
      <w:r>
        <w:t xml:space="preserve">Contractual </w:t>
      </w:r>
    </w:p>
    <w:tbl>
      <w:tblPr>
        <w:tblStyle w:val="TableGrid"/>
        <w:tblW w:w="0" w:type="auto"/>
        <w:tblLook w:val="04A0" w:firstRow="1" w:lastRow="0" w:firstColumn="1" w:lastColumn="0" w:noHBand="0" w:noVBand="1"/>
      </w:tblPr>
      <w:tblGrid>
        <w:gridCol w:w="8784"/>
        <w:gridCol w:w="1417"/>
        <w:gridCol w:w="1276"/>
        <w:gridCol w:w="1276"/>
        <w:gridCol w:w="1134"/>
      </w:tblGrid>
      <w:tr w:rsidR="008421BC" w:rsidTr="002E022F">
        <w:tc>
          <w:tcPr>
            <w:tcW w:w="8784" w:type="dxa"/>
          </w:tcPr>
          <w:p w:rsidR="008421BC" w:rsidRDefault="008421BC" w:rsidP="002E022F">
            <w:pPr>
              <w:pStyle w:val="NoSpacing"/>
            </w:pPr>
            <w:r>
              <w:t>Sale of goods and services</w:t>
            </w:r>
          </w:p>
        </w:tc>
        <w:tc>
          <w:tcPr>
            <w:tcW w:w="1417" w:type="dxa"/>
          </w:tcPr>
          <w:p w:rsidR="008421BC" w:rsidRDefault="001776C5" w:rsidP="002E022F">
            <w:pPr>
              <w:pStyle w:val="NoSpacing"/>
              <w:jc w:val="right"/>
            </w:pPr>
            <w:r>
              <w:t>5,922</w:t>
            </w:r>
          </w:p>
        </w:tc>
        <w:tc>
          <w:tcPr>
            <w:tcW w:w="1276" w:type="dxa"/>
          </w:tcPr>
          <w:p w:rsidR="008421BC" w:rsidRDefault="001776C5" w:rsidP="002E022F">
            <w:pPr>
              <w:pStyle w:val="NoSpacing"/>
              <w:jc w:val="right"/>
            </w:pPr>
            <w:r>
              <w:t>1,694</w:t>
            </w:r>
          </w:p>
        </w:tc>
        <w:tc>
          <w:tcPr>
            <w:tcW w:w="1276" w:type="dxa"/>
          </w:tcPr>
          <w:p w:rsidR="008421BC" w:rsidRDefault="001776C5" w:rsidP="002E022F">
            <w:pPr>
              <w:pStyle w:val="NoSpacing"/>
              <w:jc w:val="right"/>
            </w:pPr>
            <w:r>
              <w:t>5,918</w:t>
            </w:r>
          </w:p>
        </w:tc>
        <w:tc>
          <w:tcPr>
            <w:tcW w:w="1134" w:type="dxa"/>
          </w:tcPr>
          <w:p w:rsidR="008421BC" w:rsidRDefault="001776C5" w:rsidP="002E022F">
            <w:pPr>
              <w:pStyle w:val="NoSpacing"/>
              <w:jc w:val="right"/>
            </w:pPr>
            <w:r>
              <w:t>1,694</w:t>
            </w:r>
          </w:p>
        </w:tc>
      </w:tr>
      <w:tr w:rsidR="008421BC" w:rsidTr="002E022F">
        <w:tc>
          <w:tcPr>
            <w:tcW w:w="8784" w:type="dxa"/>
          </w:tcPr>
          <w:p w:rsidR="008421BC" w:rsidRDefault="008421BC" w:rsidP="002E022F">
            <w:pPr>
              <w:pStyle w:val="NoSpacing"/>
            </w:pPr>
            <w:r>
              <w:t>Provision for doubtful contractual receivables</w:t>
            </w:r>
          </w:p>
        </w:tc>
        <w:tc>
          <w:tcPr>
            <w:tcW w:w="1417" w:type="dxa"/>
          </w:tcPr>
          <w:p w:rsidR="008421BC" w:rsidRDefault="001776C5" w:rsidP="002E022F">
            <w:pPr>
              <w:pStyle w:val="NoSpacing"/>
              <w:jc w:val="right"/>
            </w:pPr>
            <w:r>
              <w:t>(353)</w:t>
            </w:r>
          </w:p>
        </w:tc>
        <w:tc>
          <w:tcPr>
            <w:tcW w:w="1276" w:type="dxa"/>
          </w:tcPr>
          <w:p w:rsidR="008421BC" w:rsidRDefault="001776C5" w:rsidP="002E022F">
            <w:pPr>
              <w:pStyle w:val="NoSpacing"/>
              <w:jc w:val="right"/>
            </w:pPr>
            <w:r>
              <w:t>(135)</w:t>
            </w:r>
          </w:p>
        </w:tc>
        <w:tc>
          <w:tcPr>
            <w:tcW w:w="1276" w:type="dxa"/>
          </w:tcPr>
          <w:p w:rsidR="008421BC" w:rsidRDefault="001776C5" w:rsidP="002E022F">
            <w:pPr>
              <w:pStyle w:val="NoSpacing"/>
              <w:jc w:val="right"/>
            </w:pPr>
            <w:r>
              <w:t>(353)</w:t>
            </w:r>
          </w:p>
        </w:tc>
        <w:tc>
          <w:tcPr>
            <w:tcW w:w="1134" w:type="dxa"/>
          </w:tcPr>
          <w:p w:rsidR="008421BC" w:rsidRDefault="001776C5" w:rsidP="002E022F">
            <w:pPr>
              <w:pStyle w:val="NoSpacing"/>
              <w:jc w:val="right"/>
            </w:pPr>
            <w:r>
              <w:t>(135)</w:t>
            </w:r>
          </w:p>
        </w:tc>
      </w:tr>
      <w:tr w:rsidR="008421BC" w:rsidTr="002E022F">
        <w:tc>
          <w:tcPr>
            <w:tcW w:w="8784" w:type="dxa"/>
          </w:tcPr>
          <w:p w:rsidR="008421BC" w:rsidRDefault="008421BC" w:rsidP="002E022F">
            <w:pPr>
              <w:pStyle w:val="NoSpacing"/>
            </w:pPr>
            <w:r>
              <w:t>Revenue receivables</w:t>
            </w:r>
          </w:p>
        </w:tc>
        <w:tc>
          <w:tcPr>
            <w:tcW w:w="1417" w:type="dxa"/>
          </w:tcPr>
          <w:p w:rsidR="008421BC" w:rsidRDefault="001776C5" w:rsidP="002E022F">
            <w:pPr>
              <w:pStyle w:val="NoSpacing"/>
              <w:jc w:val="right"/>
            </w:pPr>
            <w:r>
              <w:t>6,361</w:t>
            </w:r>
          </w:p>
        </w:tc>
        <w:tc>
          <w:tcPr>
            <w:tcW w:w="1276" w:type="dxa"/>
          </w:tcPr>
          <w:p w:rsidR="008421BC" w:rsidRDefault="001776C5" w:rsidP="002E022F">
            <w:pPr>
              <w:pStyle w:val="NoSpacing"/>
              <w:jc w:val="right"/>
            </w:pPr>
            <w:r>
              <w:t>5,714</w:t>
            </w:r>
          </w:p>
        </w:tc>
        <w:tc>
          <w:tcPr>
            <w:tcW w:w="1276" w:type="dxa"/>
          </w:tcPr>
          <w:p w:rsidR="008421BC" w:rsidRDefault="001776C5" w:rsidP="002E022F">
            <w:pPr>
              <w:pStyle w:val="NoSpacing"/>
              <w:jc w:val="right"/>
            </w:pPr>
            <w:r>
              <w:t>6,257</w:t>
            </w:r>
          </w:p>
        </w:tc>
        <w:tc>
          <w:tcPr>
            <w:tcW w:w="1134" w:type="dxa"/>
          </w:tcPr>
          <w:p w:rsidR="008421BC" w:rsidRDefault="001776C5" w:rsidP="002E022F">
            <w:pPr>
              <w:pStyle w:val="NoSpacing"/>
              <w:jc w:val="right"/>
            </w:pPr>
            <w:r>
              <w:t>5,585</w:t>
            </w:r>
          </w:p>
        </w:tc>
      </w:tr>
      <w:tr w:rsidR="008421BC" w:rsidTr="002E022F">
        <w:tc>
          <w:tcPr>
            <w:tcW w:w="8784" w:type="dxa"/>
          </w:tcPr>
          <w:p w:rsidR="008421BC" w:rsidRDefault="008421BC" w:rsidP="002E022F">
            <w:pPr>
              <w:pStyle w:val="NoSpacing"/>
            </w:pPr>
            <w:r>
              <w:t>Other receivables</w:t>
            </w:r>
          </w:p>
        </w:tc>
        <w:tc>
          <w:tcPr>
            <w:tcW w:w="1417" w:type="dxa"/>
          </w:tcPr>
          <w:p w:rsidR="008421BC" w:rsidRDefault="001776C5" w:rsidP="002E022F">
            <w:pPr>
              <w:pStyle w:val="NoSpacing"/>
              <w:jc w:val="right"/>
            </w:pPr>
            <w:r>
              <w:t>2,608</w:t>
            </w:r>
          </w:p>
        </w:tc>
        <w:tc>
          <w:tcPr>
            <w:tcW w:w="1276" w:type="dxa"/>
          </w:tcPr>
          <w:p w:rsidR="008421BC" w:rsidRDefault="001776C5" w:rsidP="002E022F">
            <w:pPr>
              <w:pStyle w:val="NoSpacing"/>
              <w:jc w:val="right"/>
            </w:pPr>
            <w:r>
              <w:t>1,357</w:t>
            </w:r>
          </w:p>
        </w:tc>
        <w:tc>
          <w:tcPr>
            <w:tcW w:w="1276" w:type="dxa"/>
          </w:tcPr>
          <w:p w:rsidR="008421BC" w:rsidRDefault="001776C5" w:rsidP="002E022F">
            <w:pPr>
              <w:pStyle w:val="NoSpacing"/>
              <w:jc w:val="right"/>
            </w:pPr>
            <w:r>
              <w:t>4,463</w:t>
            </w:r>
          </w:p>
        </w:tc>
        <w:tc>
          <w:tcPr>
            <w:tcW w:w="1134" w:type="dxa"/>
          </w:tcPr>
          <w:p w:rsidR="008421BC" w:rsidRDefault="001776C5" w:rsidP="002E022F">
            <w:pPr>
              <w:pStyle w:val="NoSpacing"/>
              <w:jc w:val="right"/>
            </w:pPr>
            <w:r>
              <w:t>4,769</w:t>
            </w:r>
          </w:p>
        </w:tc>
      </w:tr>
      <w:tr w:rsidR="008421BC" w:rsidTr="002E022F">
        <w:tc>
          <w:tcPr>
            <w:tcW w:w="8784" w:type="dxa"/>
          </w:tcPr>
          <w:p w:rsidR="008421BC" w:rsidRDefault="008421BC" w:rsidP="002E022F">
            <w:pPr>
              <w:pStyle w:val="NoSpacing"/>
            </w:pPr>
            <w:r>
              <w:t xml:space="preserve">Total contractual receivables </w:t>
            </w:r>
          </w:p>
        </w:tc>
        <w:tc>
          <w:tcPr>
            <w:tcW w:w="1417" w:type="dxa"/>
          </w:tcPr>
          <w:p w:rsidR="008421BC" w:rsidRDefault="001776C5" w:rsidP="002E022F">
            <w:pPr>
              <w:pStyle w:val="NoSpacing"/>
              <w:jc w:val="right"/>
            </w:pPr>
            <w:r>
              <w:t>14,538</w:t>
            </w:r>
          </w:p>
        </w:tc>
        <w:tc>
          <w:tcPr>
            <w:tcW w:w="1276" w:type="dxa"/>
          </w:tcPr>
          <w:p w:rsidR="008421BC" w:rsidRDefault="001776C5" w:rsidP="002E022F">
            <w:pPr>
              <w:pStyle w:val="NoSpacing"/>
              <w:jc w:val="right"/>
            </w:pPr>
            <w:r>
              <w:t>8,630</w:t>
            </w:r>
          </w:p>
        </w:tc>
        <w:tc>
          <w:tcPr>
            <w:tcW w:w="1276" w:type="dxa"/>
          </w:tcPr>
          <w:p w:rsidR="008421BC" w:rsidRDefault="001776C5" w:rsidP="002E022F">
            <w:pPr>
              <w:pStyle w:val="NoSpacing"/>
              <w:jc w:val="right"/>
            </w:pPr>
            <w:r>
              <w:t>16,285</w:t>
            </w:r>
          </w:p>
        </w:tc>
        <w:tc>
          <w:tcPr>
            <w:tcW w:w="1134" w:type="dxa"/>
          </w:tcPr>
          <w:p w:rsidR="008421BC" w:rsidRDefault="001776C5" w:rsidP="002E022F">
            <w:pPr>
              <w:pStyle w:val="NoSpacing"/>
              <w:jc w:val="right"/>
            </w:pPr>
            <w:r>
              <w:t>11,913</w:t>
            </w:r>
          </w:p>
        </w:tc>
      </w:tr>
    </w:tbl>
    <w:p w:rsidR="008421BC" w:rsidRDefault="008421BC" w:rsidP="008421BC">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8421BC" w:rsidTr="002E022F">
        <w:tc>
          <w:tcPr>
            <w:tcW w:w="8784" w:type="dxa"/>
          </w:tcPr>
          <w:p w:rsidR="008421BC" w:rsidRDefault="008421BC" w:rsidP="002E022F">
            <w:pPr>
              <w:pStyle w:val="NoSpacing"/>
            </w:pPr>
            <w:r>
              <w:t xml:space="preserve">Total current receivables </w:t>
            </w:r>
          </w:p>
        </w:tc>
        <w:tc>
          <w:tcPr>
            <w:tcW w:w="1417" w:type="dxa"/>
          </w:tcPr>
          <w:p w:rsidR="008421BC" w:rsidRDefault="001776C5" w:rsidP="002E022F">
            <w:pPr>
              <w:pStyle w:val="NoSpacing"/>
              <w:jc w:val="right"/>
            </w:pPr>
            <w:r>
              <w:t>14,538</w:t>
            </w:r>
          </w:p>
        </w:tc>
        <w:tc>
          <w:tcPr>
            <w:tcW w:w="1276" w:type="dxa"/>
          </w:tcPr>
          <w:p w:rsidR="008421BC" w:rsidRDefault="001776C5" w:rsidP="002E022F">
            <w:pPr>
              <w:pStyle w:val="NoSpacing"/>
              <w:jc w:val="right"/>
            </w:pPr>
            <w:r>
              <w:t>8,630</w:t>
            </w:r>
          </w:p>
        </w:tc>
        <w:tc>
          <w:tcPr>
            <w:tcW w:w="1276" w:type="dxa"/>
          </w:tcPr>
          <w:p w:rsidR="008421BC" w:rsidRDefault="001776C5" w:rsidP="002E022F">
            <w:pPr>
              <w:pStyle w:val="NoSpacing"/>
              <w:jc w:val="right"/>
            </w:pPr>
            <w:r>
              <w:t>16,285</w:t>
            </w:r>
          </w:p>
        </w:tc>
        <w:tc>
          <w:tcPr>
            <w:tcW w:w="1134" w:type="dxa"/>
          </w:tcPr>
          <w:p w:rsidR="008421BC" w:rsidRDefault="001776C5" w:rsidP="002E022F">
            <w:pPr>
              <w:pStyle w:val="NoSpacing"/>
              <w:jc w:val="right"/>
            </w:pPr>
            <w:r>
              <w:t>11,913</w:t>
            </w:r>
          </w:p>
        </w:tc>
      </w:tr>
    </w:tbl>
    <w:p w:rsidR="008421BC" w:rsidRDefault="008421BC" w:rsidP="008421BC">
      <w:pPr>
        <w:pStyle w:val="NoSpacing"/>
      </w:pPr>
    </w:p>
    <w:p w:rsidR="001776C5" w:rsidRPr="00D814AC" w:rsidRDefault="001776C5" w:rsidP="001776C5">
      <w:pPr>
        <w:pStyle w:val="NoSpacing"/>
        <w:rPr>
          <w:rFonts w:cstheme="minorHAnsi"/>
        </w:rPr>
      </w:pPr>
      <w:r w:rsidRPr="00D814AC">
        <w:rPr>
          <w:rFonts w:cstheme="minorHAnsi"/>
          <w:bCs/>
        </w:rPr>
        <w:t xml:space="preserve">Receivables </w:t>
      </w:r>
      <w:r w:rsidRPr="00D814AC">
        <w:rPr>
          <w:rFonts w:cstheme="minorHAnsi"/>
        </w:rPr>
        <w:t>consist of contractual receivables, which include mainly debtors in relation to goods and services, revenue receivables, accrued income and accrued investment income.</w:t>
      </w:r>
    </w:p>
    <w:p w:rsidR="001776C5" w:rsidRPr="00D814AC" w:rsidRDefault="001776C5" w:rsidP="001776C5">
      <w:pPr>
        <w:pStyle w:val="NoSpacing"/>
        <w:rPr>
          <w:rFonts w:cstheme="minorHAnsi"/>
        </w:rPr>
      </w:pPr>
      <w:r w:rsidRPr="00D814AC">
        <w:rPr>
          <w:rFonts w:cstheme="minorHAnsi"/>
        </w:rPr>
        <w:t>Receivables are stated inclusive of the amount of GST receivable. Receivables that are contractual are classified as financial instruments.</w:t>
      </w:r>
    </w:p>
    <w:p w:rsidR="001776C5" w:rsidRPr="00D814AC" w:rsidRDefault="001776C5" w:rsidP="001776C5">
      <w:pPr>
        <w:pStyle w:val="NoSpacing"/>
        <w:rPr>
          <w:rFonts w:cstheme="minorHAnsi"/>
        </w:rPr>
      </w:pPr>
      <w:r w:rsidRPr="00D814AC">
        <w:rPr>
          <w:rFonts w:cstheme="minorHAnsi"/>
        </w:rPr>
        <w:t>Receivables are recognised initially at fair value and subsequently measured at amortised cost, using the effective interest method, less an allowance for impairment.</w:t>
      </w:r>
    </w:p>
    <w:p w:rsidR="001776C5" w:rsidRPr="00D814AC" w:rsidRDefault="001776C5" w:rsidP="001776C5">
      <w:pPr>
        <w:pStyle w:val="NoSpacing"/>
        <w:rPr>
          <w:rFonts w:cstheme="minorHAnsi"/>
          <w:bCs/>
        </w:rPr>
      </w:pPr>
    </w:p>
    <w:p w:rsidR="001776C5" w:rsidRPr="00D814AC" w:rsidRDefault="001776C5" w:rsidP="00D36BB2">
      <w:pPr>
        <w:pStyle w:val="Heading4"/>
      </w:pPr>
      <w:r w:rsidRPr="00D814AC">
        <w:lastRenderedPageBreak/>
        <w:t>Doubtful debts</w:t>
      </w:r>
    </w:p>
    <w:p w:rsidR="001776C5" w:rsidRDefault="001776C5" w:rsidP="001776C5">
      <w:pPr>
        <w:pStyle w:val="NoSpacing"/>
        <w:rPr>
          <w:rFonts w:cstheme="minorHAnsi"/>
        </w:rPr>
      </w:pPr>
    </w:p>
    <w:p w:rsidR="001776C5" w:rsidRPr="00D814AC" w:rsidRDefault="001776C5" w:rsidP="001776C5">
      <w:pPr>
        <w:pStyle w:val="NoSpacing"/>
        <w:rPr>
          <w:rFonts w:cstheme="minorHAnsi"/>
        </w:rPr>
      </w:pPr>
      <w:r w:rsidRPr="00D814AC">
        <w:rPr>
          <w:rFonts w:cstheme="minorHAnsi"/>
        </w:rPr>
        <w:t>Receivables are assessed for bad and doubtful debts on a regular basis. A provision for doubtful debts is recognised when there is objective evidence that the debts may not be collected and bad debts are written off when identified. In assessing impairment of statutory (non-contractual) financial assets, which are not financial instruments, professional judgement is applied in assessing materiality using estimates, averages and other computational methods in accordance with AASB 136 Impairment of Assets.</w:t>
      </w:r>
    </w:p>
    <w:p w:rsidR="001776C5" w:rsidRPr="00D814AC" w:rsidRDefault="001776C5" w:rsidP="001776C5">
      <w:pPr>
        <w:pStyle w:val="NoSpacing"/>
        <w:rPr>
          <w:rFonts w:cstheme="minorHAnsi"/>
        </w:rPr>
      </w:pPr>
      <w:r w:rsidRPr="00D814AC">
        <w:rPr>
          <w:rFonts w:cstheme="minorHAnsi"/>
        </w:rPr>
        <w:t>A provision is made for estimated irrecoverable amounts from the sale of goods when there is objective evidence that an individual receivable is impaired. The increase in the provision for the year is recognised in the net result.</w:t>
      </w:r>
    </w:p>
    <w:p w:rsidR="001776C5" w:rsidRDefault="001776C5" w:rsidP="001776C5">
      <w:pPr>
        <w:pStyle w:val="NoSpacing"/>
        <w:rPr>
          <w:rFonts w:cstheme="minorHAnsi"/>
        </w:rPr>
      </w:pPr>
      <w:r w:rsidRPr="00D814AC">
        <w:rPr>
          <w:rFonts w:cstheme="minorHAnsi"/>
        </w:rPr>
        <w:t>Bad debts considered as written off by mutual consent are classified as a transaction expense. Bad debts not written off, but included in the provision for doubtful debts, are classified as other economic flows in the net result.</w:t>
      </w:r>
    </w:p>
    <w:p w:rsidR="001776C5" w:rsidRDefault="001776C5" w:rsidP="001776C5">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1776C5" w:rsidRPr="00AE2D8D" w:rsidTr="002E022F">
        <w:tc>
          <w:tcPr>
            <w:tcW w:w="2693" w:type="dxa"/>
            <w:gridSpan w:val="2"/>
          </w:tcPr>
          <w:p w:rsidR="001776C5" w:rsidRPr="00AE2D8D" w:rsidRDefault="001776C5" w:rsidP="002E022F">
            <w:pPr>
              <w:pStyle w:val="NoSpacing"/>
              <w:jc w:val="center"/>
              <w:rPr>
                <w:rFonts w:cstheme="minorHAnsi"/>
                <w:bCs/>
                <w:w w:val="105"/>
              </w:rPr>
            </w:pPr>
            <w:r w:rsidRPr="00AE2D8D">
              <w:rPr>
                <w:rFonts w:cstheme="minorHAnsi"/>
                <w:bCs/>
                <w:w w:val="105"/>
              </w:rPr>
              <w:t>Consolidated</w:t>
            </w:r>
          </w:p>
        </w:tc>
        <w:tc>
          <w:tcPr>
            <w:tcW w:w="2410" w:type="dxa"/>
            <w:gridSpan w:val="2"/>
          </w:tcPr>
          <w:p w:rsidR="001776C5" w:rsidRPr="00AE2D8D" w:rsidRDefault="001776C5" w:rsidP="002E022F">
            <w:pPr>
              <w:pStyle w:val="NoSpacing"/>
              <w:jc w:val="center"/>
              <w:rPr>
                <w:rFonts w:cstheme="minorHAnsi"/>
                <w:bCs/>
                <w:w w:val="105"/>
              </w:rPr>
            </w:pPr>
            <w:r w:rsidRPr="00AE2D8D">
              <w:rPr>
                <w:rFonts w:cstheme="minorHAnsi"/>
                <w:bCs/>
                <w:w w:val="105"/>
              </w:rPr>
              <w:t>Chisholm</w:t>
            </w:r>
          </w:p>
        </w:tc>
      </w:tr>
      <w:tr w:rsidR="001776C5" w:rsidRPr="00AE2D8D" w:rsidTr="002E022F">
        <w:tc>
          <w:tcPr>
            <w:tcW w:w="1417" w:type="dxa"/>
          </w:tcPr>
          <w:p w:rsidR="001776C5" w:rsidRPr="00AE2D8D" w:rsidRDefault="001776C5" w:rsidP="002E022F">
            <w:pPr>
              <w:pStyle w:val="NoSpacing"/>
              <w:jc w:val="right"/>
              <w:rPr>
                <w:rFonts w:cstheme="minorHAnsi"/>
                <w:bCs/>
                <w:w w:val="105"/>
              </w:rPr>
            </w:pPr>
            <w:r w:rsidRPr="00AE2D8D">
              <w:rPr>
                <w:rFonts w:cstheme="minorHAnsi"/>
                <w:bCs/>
                <w:w w:val="105"/>
              </w:rPr>
              <w:t>2017</w:t>
            </w:r>
          </w:p>
        </w:tc>
        <w:tc>
          <w:tcPr>
            <w:tcW w:w="1276" w:type="dxa"/>
          </w:tcPr>
          <w:p w:rsidR="001776C5" w:rsidRPr="00AE2D8D" w:rsidRDefault="001776C5" w:rsidP="002E022F">
            <w:pPr>
              <w:pStyle w:val="NoSpacing"/>
              <w:jc w:val="right"/>
              <w:rPr>
                <w:rFonts w:cstheme="minorHAnsi"/>
                <w:bCs/>
                <w:w w:val="105"/>
              </w:rPr>
            </w:pPr>
            <w:r w:rsidRPr="00AE2D8D">
              <w:rPr>
                <w:rFonts w:cstheme="minorHAnsi"/>
                <w:bCs/>
                <w:w w:val="105"/>
              </w:rPr>
              <w:t>2016</w:t>
            </w:r>
          </w:p>
        </w:tc>
        <w:tc>
          <w:tcPr>
            <w:tcW w:w="1276" w:type="dxa"/>
          </w:tcPr>
          <w:p w:rsidR="001776C5" w:rsidRPr="00AE2D8D" w:rsidRDefault="001776C5" w:rsidP="002E022F">
            <w:pPr>
              <w:pStyle w:val="NoSpacing"/>
              <w:jc w:val="right"/>
              <w:rPr>
                <w:rFonts w:cstheme="minorHAnsi"/>
                <w:bCs/>
                <w:w w:val="105"/>
              </w:rPr>
            </w:pPr>
            <w:r w:rsidRPr="00AE2D8D">
              <w:rPr>
                <w:rFonts w:cstheme="minorHAnsi"/>
                <w:bCs/>
                <w:w w:val="105"/>
              </w:rPr>
              <w:t>2017</w:t>
            </w:r>
          </w:p>
        </w:tc>
        <w:tc>
          <w:tcPr>
            <w:tcW w:w="1134" w:type="dxa"/>
          </w:tcPr>
          <w:p w:rsidR="001776C5" w:rsidRPr="00AE2D8D" w:rsidRDefault="001776C5" w:rsidP="002E022F">
            <w:pPr>
              <w:pStyle w:val="NoSpacing"/>
              <w:jc w:val="right"/>
              <w:rPr>
                <w:rFonts w:cstheme="minorHAnsi"/>
                <w:bCs/>
                <w:w w:val="105"/>
              </w:rPr>
            </w:pPr>
            <w:r w:rsidRPr="00AE2D8D">
              <w:rPr>
                <w:rFonts w:cstheme="minorHAnsi"/>
                <w:bCs/>
                <w:w w:val="105"/>
              </w:rPr>
              <w:t>2016</w:t>
            </w:r>
          </w:p>
        </w:tc>
      </w:tr>
      <w:tr w:rsidR="001776C5" w:rsidRPr="00AE2D8D" w:rsidTr="002E022F">
        <w:tc>
          <w:tcPr>
            <w:tcW w:w="1417" w:type="dxa"/>
          </w:tcPr>
          <w:p w:rsidR="001776C5" w:rsidRPr="00AE2D8D" w:rsidRDefault="001776C5" w:rsidP="002E022F">
            <w:pPr>
              <w:jc w:val="right"/>
              <w:rPr>
                <w:rFonts w:cstheme="minorHAnsi"/>
              </w:rPr>
            </w:pPr>
            <w:r w:rsidRPr="00AE2D8D">
              <w:rPr>
                <w:rFonts w:cstheme="minorHAnsi"/>
                <w:bCs/>
                <w:w w:val="105"/>
              </w:rPr>
              <w:t>$’000</w:t>
            </w:r>
          </w:p>
        </w:tc>
        <w:tc>
          <w:tcPr>
            <w:tcW w:w="1276" w:type="dxa"/>
          </w:tcPr>
          <w:p w:rsidR="001776C5" w:rsidRPr="00AE2D8D" w:rsidRDefault="001776C5" w:rsidP="002E022F">
            <w:pPr>
              <w:jc w:val="right"/>
              <w:rPr>
                <w:rFonts w:cstheme="minorHAnsi"/>
              </w:rPr>
            </w:pPr>
            <w:r w:rsidRPr="00AE2D8D">
              <w:rPr>
                <w:rFonts w:cstheme="minorHAnsi"/>
                <w:bCs/>
                <w:w w:val="105"/>
              </w:rPr>
              <w:t>$’000</w:t>
            </w:r>
          </w:p>
        </w:tc>
        <w:tc>
          <w:tcPr>
            <w:tcW w:w="1276" w:type="dxa"/>
          </w:tcPr>
          <w:p w:rsidR="001776C5" w:rsidRPr="00AE2D8D" w:rsidRDefault="001776C5" w:rsidP="002E022F">
            <w:pPr>
              <w:jc w:val="right"/>
              <w:rPr>
                <w:rFonts w:cstheme="minorHAnsi"/>
              </w:rPr>
            </w:pPr>
            <w:r w:rsidRPr="00AE2D8D">
              <w:rPr>
                <w:rFonts w:cstheme="minorHAnsi"/>
                <w:bCs/>
                <w:w w:val="105"/>
              </w:rPr>
              <w:t>$’000</w:t>
            </w:r>
          </w:p>
        </w:tc>
        <w:tc>
          <w:tcPr>
            <w:tcW w:w="1134" w:type="dxa"/>
          </w:tcPr>
          <w:p w:rsidR="001776C5" w:rsidRPr="00AE2D8D" w:rsidRDefault="001776C5" w:rsidP="002E022F">
            <w:pPr>
              <w:pStyle w:val="NoSpacing"/>
              <w:jc w:val="right"/>
              <w:rPr>
                <w:rFonts w:cstheme="minorHAnsi"/>
                <w:bCs/>
                <w:w w:val="105"/>
              </w:rPr>
            </w:pPr>
            <w:r w:rsidRPr="00AE2D8D">
              <w:rPr>
                <w:rFonts w:cstheme="minorHAnsi"/>
                <w:bCs/>
                <w:w w:val="105"/>
              </w:rPr>
              <w:t>$’000</w:t>
            </w:r>
          </w:p>
        </w:tc>
      </w:tr>
    </w:tbl>
    <w:p w:rsidR="001776C5" w:rsidRDefault="001776C5" w:rsidP="001776C5">
      <w:pPr>
        <w:pStyle w:val="NoSpacing"/>
        <w:rPr>
          <w:rFonts w:cstheme="minorHAnsi"/>
        </w:rPr>
      </w:pPr>
      <w:r>
        <w:rPr>
          <w:rFonts w:cstheme="minorHAnsi"/>
        </w:rPr>
        <w:t xml:space="preserve">Movement in the provision for doubtful contractual receivables </w:t>
      </w:r>
    </w:p>
    <w:tbl>
      <w:tblPr>
        <w:tblStyle w:val="TableGrid"/>
        <w:tblW w:w="0" w:type="auto"/>
        <w:tblLook w:val="04A0" w:firstRow="1" w:lastRow="0" w:firstColumn="1" w:lastColumn="0" w:noHBand="0" w:noVBand="1"/>
      </w:tblPr>
      <w:tblGrid>
        <w:gridCol w:w="8784"/>
        <w:gridCol w:w="1417"/>
        <w:gridCol w:w="1276"/>
        <w:gridCol w:w="1276"/>
        <w:gridCol w:w="1134"/>
      </w:tblGrid>
      <w:tr w:rsidR="001776C5" w:rsidTr="002E022F">
        <w:tc>
          <w:tcPr>
            <w:tcW w:w="8784" w:type="dxa"/>
          </w:tcPr>
          <w:p w:rsidR="001776C5" w:rsidRDefault="001776C5" w:rsidP="002E022F">
            <w:pPr>
              <w:pStyle w:val="NoSpacing"/>
            </w:pPr>
            <w:r>
              <w:t>Balance at the beginning of the year</w:t>
            </w:r>
          </w:p>
        </w:tc>
        <w:tc>
          <w:tcPr>
            <w:tcW w:w="1417" w:type="dxa"/>
          </w:tcPr>
          <w:p w:rsidR="001776C5" w:rsidRDefault="001776C5" w:rsidP="002E022F">
            <w:pPr>
              <w:pStyle w:val="NoSpacing"/>
              <w:jc w:val="right"/>
            </w:pPr>
            <w:r>
              <w:t>(135)</w:t>
            </w:r>
          </w:p>
        </w:tc>
        <w:tc>
          <w:tcPr>
            <w:tcW w:w="1276" w:type="dxa"/>
          </w:tcPr>
          <w:p w:rsidR="001776C5" w:rsidRDefault="001776C5" w:rsidP="002E022F">
            <w:pPr>
              <w:pStyle w:val="NoSpacing"/>
              <w:jc w:val="right"/>
            </w:pPr>
            <w:r>
              <w:t>(126)</w:t>
            </w:r>
          </w:p>
        </w:tc>
        <w:tc>
          <w:tcPr>
            <w:tcW w:w="1276" w:type="dxa"/>
          </w:tcPr>
          <w:p w:rsidR="001776C5" w:rsidRDefault="001776C5" w:rsidP="002E022F">
            <w:pPr>
              <w:pStyle w:val="NoSpacing"/>
              <w:jc w:val="right"/>
            </w:pPr>
            <w:r>
              <w:t>(135)</w:t>
            </w:r>
          </w:p>
        </w:tc>
        <w:tc>
          <w:tcPr>
            <w:tcW w:w="1134" w:type="dxa"/>
          </w:tcPr>
          <w:p w:rsidR="001776C5" w:rsidRDefault="001776C5" w:rsidP="002E022F">
            <w:pPr>
              <w:pStyle w:val="NoSpacing"/>
              <w:jc w:val="right"/>
            </w:pPr>
            <w:r>
              <w:t>(126)</w:t>
            </w:r>
          </w:p>
        </w:tc>
      </w:tr>
      <w:tr w:rsidR="001776C5" w:rsidTr="002E022F">
        <w:tc>
          <w:tcPr>
            <w:tcW w:w="8784" w:type="dxa"/>
          </w:tcPr>
          <w:p w:rsidR="001776C5" w:rsidRDefault="001776C5" w:rsidP="002E022F">
            <w:pPr>
              <w:pStyle w:val="NoSpacing"/>
            </w:pPr>
            <w:r>
              <w:t>Reversal of unused provision recognised net result</w:t>
            </w:r>
          </w:p>
        </w:tc>
        <w:tc>
          <w:tcPr>
            <w:tcW w:w="1417" w:type="dxa"/>
          </w:tcPr>
          <w:p w:rsidR="001776C5" w:rsidRDefault="001776C5" w:rsidP="002E022F">
            <w:pPr>
              <w:pStyle w:val="NoSpacing"/>
              <w:jc w:val="right"/>
            </w:pPr>
            <w:r>
              <w:t>8</w:t>
            </w:r>
          </w:p>
        </w:tc>
        <w:tc>
          <w:tcPr>
            <w:tcW w:w="1276" w:type="dxa"/>
          </w:tcPr>
          <w:p w:rsidR="001776C5" w:rsidRDefault="001776C5" w:rsidP="002E022F">
            <w:pPr>
              <w:pStyle w:val="NoSpacing"/>
              <w:jc w:val="right"/>
            </w:pPr>
            <w:r>
              <w:t>20</w:t>
            </w:r>
          </w:p>
        </w:tc>
        <w:tc>
          <w:tcPr>
            <w:tcW w:w="1276" w:type="dxa"/>
          </w:tcPr>
          <w:p w:rsidR="001776C5" w:rsidRDefault="001776C5" w:rsidP="002E022F">
            <w:pPr>
              <w:pStyle w:val="NoSpacing"/>
              <w:jc w:val="right"/>
            </w:pPr>
            <w:r>
              <w:t>8</w:t>
            </w:r>
          </w:p>
        </w:tc>
        <w:tc>
          <w:tcPr>
            <w:tcW w:w="1134" w:type="dxa"/>
          </w:tcPr>
          <w:p w:rsidR="001776C5" w:rsidRDefault="001776C5" w:rsidP="002E022F">
            <w:pPr>
              <w:pStyle w:val="NoSpacing"/>
              <w:jc w:val="right"/>
            </w:pPr>
            <w:r>
              <w:t>20</w:t>
            </w:r>
          </w:p>
        </w:tc>
      </w:tr>
      <w:tr w:rsidR="001776C5" w:rsidTr="002E022F">
        <w:tc>
          <w:tcPr>
            <w:tcW w:w="8784" w:type="dxa"/>
          </w:tcPr>
          <w:p w:rsidR="001776C5" w:rsidRDefault="001776C5" w:rsidP="002E022F">
            <w:pPr>
              <w:pStyle w:val="NoSpacing"/>
            </w:pPr>
            <w:r>
              <w:t xml:space="preserve">Increase in provision recognised in net result </w:t>
            </w:r>
          </w:p>
        </w:tc>
        <w:tc>
          <w:tcPr>
            <w:tcW w:w="1417" w:type="dxa"/>
          </w:tcPr>
          <w:p w:rsidR="001776C5" w:rsidRDefault="001776C5" w:rsidP="002E022F">
            <w:pPr>
              <w:pStyle w:val="NoSpacing"/>
              <w:jc w:val="right"/>
            </w:pPr>
            <w:r>
              <w:t>(353)</w:t>
            </w:r>
          </w:p>
        </w:tc>
        <w:tc>
          <w:tcPr>
            <w:tcW w:w="1276" w:type="dxa"/>
          </w:tcPr>
          <w:p w:rsidR="001776C5" w:rsidRDefault="001776C5" w:rsidP="002E022F">
            <w:pPr>
              <w:pStyle w:val="NoSpacing"/>
              <w:jc w:val="right"/>
            </w:pPr>
            <w:r>
              <w:t>(134)</w:t>
            </w:r>
          </w:p>
        </w:tc>
        <w:tc>
          <w:tcPr>
            <w:tcW w:w="1276" w:type="dxa"/>
          </w:tcPr>
          <w:p w:rsidR="001776C5" w:rsidRDefault="001776C5" w:rsidP="002E022F">
            <w:pPr>
              <w:pStyle w:val="NoSpacing"/>
              <w:jc w:val="right"/>
            </w:pPr>
            <w:r>
              <w:t>(353)</w:t>
            </w:r>
          </w:p>
        </w:tc>
        <w:tc>
          <w:tcPr>
            <w:tcW w:w="1134" w:type="dxa"/>
          </w:tcPr>
          <w:p w:rsidR="001776C5" w:rsidRDefault="001776C5" w:rsidP="002E022F">
            <w:pPr>
              <w:pStyle w:val="NoSpacing"/>
              <w:jc w:val="right"/>
            </w:pPr>
            <w:r>
              <w:t>(134)</w:t>
            </w:r>
          </w:p>
        </w:tc>
      </w:tr>
      <w:tr w:rsidR="001776C5" w:rsidTr="002E022F">
        <w:tc>
          <w:tcPr>
            <w:tcW w:w="8784" w:type="dxa"/>
          </w:tcPr>
          <w:p w:rsidR="001776C5" w:rsidRDefault="001776C5" w:rsidP="002E022F">
            <w:pPr>
              <w:pStyle w:val="NoSpacing"/>
            </w:pPr>
            <w:r>
              <w:t>Reversal of provision for uncollectable receivables written off during the year</w:t>
            </w:r>
          </w:p>
        </w:tc>
        <w:tc>
          <w:tcPr>
            <w:tcW w:w="1417" w:type="dxa"/>
          </w:tcPr>
          <w:p w:rsidR="001776C5" w:rsidRDefault="001776C5" w:rsidP="002E022F">
            <w:pPr>
              <w:pStyle w:val="NoSpacing"/>
              <w:jc w:val="right"/>
            </w:pPr>
            <w:r>
              <w:t>127</w:t>
            </w:r>
          </w:p>
        </w:tc>
        <w:tc>
          <w:tcPr>
            <w:tcW w:w="1276" w:type="dxa"/>
          </w:tcPr>
          <w:p w:rsidR="001776C5" w:rsidRDefault="001776C5" w:rsidP="002E022F">
            <w:pPr>
              <w:pStyle w:val="NoSpacing"/>
              <w:jc w:val="right"/>
            </w:pPr>
            <w:r>
              <w:t>105</w:t>
            </w:r>
          </w:p>
        </w:tc>
        <w:tc>
          <w:tcPr>
            <w:tcW w:w="1276" w:type="dxa"/>
          </w:tcPr>
          <w:p w:rsidR="001776C5" w:rsidRDefault="001776C5" w:rsidP="002E022F">
            <w:pPr>
              <w:pStyle w:val="NoSpacing"/>
              <w:jc w:val="right"/>
            </w:pPr>
            <w:r>
              <w:t>127</w:t>
            </w:r>
          </w:p>
        </w:tc>
        <w:tc>
          <w:tcPr>
            <w:tcW w:w="1134" w:type="dxa"/>
          </w:tcPr>
          <w:p w:rsidR="001776C5" w:rsidRDefault="001776C5" w:rsidP="002E022F">
            <w:pPr>
              <w:pStyle w:val="NoSpacing"/>
              <w:jc w:val="right"/>
            </w:pPr>
            <w:r>
              <w:t>105</w:t>
            </w:r>
          </w:p>
        </w:tc>
      </w:tr>
      <w:tr w:rsidR="001776C5" w:rsidTr="002E022F">
        <w:tc>
          <w:tcPr>
            <w:tcW w:w="8784" w:type="dxa"/>
          </w:tcPr>
          <w:p w:rsidR="001776C5" w:rsidRDefault="001776C5" w:rsidP="002E022F">
            <w:pPr>
              <w:pStyle w:val="NoSpacing"/>
            </w:pPr>
            <w:r>
              <w:t>Balance at the end of the year</w:t>
            </w:r>
          </w:p>
        </w:tc>
        <w:tc>
          <w:tcPr>
            <w:tcW w:w="1417" w:type="dxa"/>
          </w:tcPr>
          <w:p w:rsidR="001776C5" w:rsidRDefault="001776C5" w:rsidP="002E022F">
            <w:pPr>
              <w:pStyle w:val="NoSpacing"/>
              <w:jc w:val="right"/>
            </w:pPr>
            <w:r>
              <w:t>(353)</w:t>
            </w:r>
          </w:p>
        </w:tc>
        <w:tc>
          <w:tcPr>
            <w:tcW w:w="1276" w:type="dxa"/>
          </w:tcPr>
          <w:p w:rsidR="001776C5" w:rsidRDefault="001776C5" w:rsidP="002E022F">
            <w:pPr>
              <w:pStyle w:val="NoSpacing"/>
              <w:jc w:val="right"/>
            </w:pPr>
            <w:r>
              <w:t>(135)</w:t>
            </w:r>
          </w:p>
        </w:tc>
        <w:tc>
          <w:tcPr>
            <w:tcW w:w="1276" w:type="dxa"/>
          </w:tcPr>
          <w:p w:rsidR="001776C5" w:rsidRDefault="001776C5" w:rsidP="002E022F">
            <w:pPr>
              <w:pStyle w:val="NoSpacing"/>
              <w:jc w:val="right"/>
            </w:pPr>
            <w:r>
              <w:t>(353)</w:t>
            </w:r>
          </w:p>
        </w:tc>
        <w:tc>
          <w:tcPr>
            <w:tcW w:w="1134" w:type="dxa"/>
          </w:tcPr>
          <w:p w:rsidR="001776C5" w:rsidRDefault="001776C5" w:rsidP="002E022F">
            <w:pPr>
              <w:pStyle w:val="NoSpacing"/>
              <w:jc w:val="right"/>
            </w:pPr>
            <w:r>
              <w:t>(135)</w:t>
            </w:r>
          </w:p>
        </w:tc>
      </w:tr>
    </w:tbl>
    <w:p w:rsidR="001776C5" w:rsidRDefault="001776C5" w:rsidP="001776C5">
      <w:pPr>
        <w:pStyle w:val="NoSpacing"/>
      </w:pPr>
    </w:p>
    <w:p w:rsidR="001776C5" w:rsidRDefault="001776C5" w:rsidP="008421BC">
      <w:pPr>
        <w:pStyle w:val="NoSpacing"/>
      </w:pPr>
      <w:r>
        <w:t>&lt;pp&gt;63</w:t>
      </w:r>
    </w:p>
    <w:p w:rsidR="001776C5" w:rsidRDefault="001776C5" w:rsidP="008421BC">
      <w:pPr>
        <w:pStyle w:val="NoSpacing"/>
      </w:pPr>
    </w:p>
    <w:p w:rsidR="001776C5" w:rsidRDefault="001776C5" w:rsidP="00D36BB2">
      <w:pPr>
        <w:pStyle w:val="Heading3"/>
      </w:pPr>
      <w:r w:rsidRPr="00D814AC">
        <w:t>5. Balances from operations</w:t>
      </w:r>
      <w:r>
        <w:t xml:space="preserve"> (continued)</w:t>
      </w:r>
    </w:p>
    <w:p w:rsidR="001776C5" w:rsidRDefault="001776C5" w:rsidP="001776C5">
      <w:pPr>
        <w:pStyle w:val="NoSpacing"/>
        <w:rPr>
          <w:rFonts w:cstheme="minorHAnsi"/>
          <w:caps/>
        </w:rPr>
      </w:pPr>
    </w:p>
    <w:p w:rsidR="001776C5" w:rsidRDefault="001776C5" w:rsidP="00D36BB2">
      <w:pPr>
        <w:pStyle w:val="Heading4"/>
      </w:pPr>
      <w:r>
        <w:rPr>
          <w:caps/>
        </w:rPr>
        <w:t xml:space="preserve">5.1 </w:t>
      </w:r>
      <w:r>
        <w:t>Receivables (continued)</w:t>
      </w:r>
    </w:p>
    <w:p w:rsidR="001776C5" w:rsidRDefault="001776C5" w:rsidP="001776C5">
      <w:pPr>
        <w:pStyle w:val="NoSpacing"/>
        <w:rPr>
          <w:rFonts w:cstheme="minorHAnsi"/>
        </w:rPr>
      </w:pPr>
    </w:p>
    <w:p w:rsidR="001776C5" w:rsidRDefault="001776C5" w:rsidP="001776C5">
      <w:pPr>
        <w:pStyle w:val="NoSpacing"/>
        <w:rPr>
          <w:rFonts w:cstheme="minorHAnsi"/>
        </w:rPr>
      </w:pPr>
      <w:r>
        <w:rPr>
          <w:rFonts w:cstheme="minorHAnsi"/>
        </w:rPr>
        <w:t>Ageing analysis of contractual receivables</w:t>
      </w:r>
    </w:p>
    <w:p w:rsidR="001776C5" w:rsidRDefault="001776C5" w:rsidP="001776C5">
      <w:pPr>
        <w:pStyle w:val="NoSpacing"/>
        <w:rPr>
          <w:rFonts w:cstheme="minorHAnsi"/>
        </w:rPr>
      </w:pPr>
    </w:p>
    <w:tbl>
      <w:tblPr>
        <w:tblStyle w:val="TableGrid"/>
        <w:tblW w:w="0" w:type="auto"/>
        <w:tblInd w:w="5949" w:type="dxa"/>
        <w:tblLook w:val="04A0" w:firstRow="1" w:lastRow="0" w:firstColumn="1" w:lastColumn="0" w:noHBand="0" w:noVBand="1"/>
      </w:tblPr>
      <w:tblGrid>
        <w:gridCol w:w="1417"/>
        <w:gridCol w:w="1418"/>
        <w:gridCol w:w="1417"/>
        <w:gridCol w:w="1276"/>
        <w:gridCol w:w="1276"/>
        <w:gridCol w:w="1195"/>
      </w:tblGrid>
      <w:tr w:rsidR="001776C5" w:rsidTr="002E022F">
        <w:tc>
          <w:tcPr>
            <w:tcW w:w="1417" w:type="dxa"/>
            <w:vAlign w:val="bottom"/>
          </w:tcPr>
          <w:p w:rsidR="001776C5" w:rsidRDefault="001776C5" w:rsidP="002E022F">
            <w:pPr>
              <w:pStyle w:val="NoSpacing"/>
              <w:jc w:val="right"/>
              <w:rPr>
                <w:rFonts w:cstheme="minorHAnsi"/>
              </w:rPr>
            </w:pPr>
            <w:r>
              <w:rPr>
                <w:rFonts w:cstheme="minorHAnsi"/>
              </w:rPr>
              <w:t>Carrying amount</w:t>
            </w:r>
          </w:p>
        </w:tc>
        <w:tc>
          <w:tcPr>
            <w:tcW w:w="1418" w:type="dxa"/>
            <w:vAlign w:val="bottom"/>
          </w:tcPr>
          <w:p w:rsidR="001776C5" w:rsidRDefault="001776C5" w:rsidP="002E022F">
            <w:pPr>
              <w:pStyle w:val="NoSpacing"/>
              <w:jc w:val="right"/>
              <w:rPr>
                <w:rFonts w:cstheme="minorHAnsi"/>
              </w:rPr>
            </w:pPr>
            <w:r>
              <w:rPr>
                <w:rFonts w:cstheme="minorHAnsi"/>
              </w:rPr>
              <w:t>Not past due and not impaired</w:t>
            </w:r>
          </w:p>
        </w:tc>
        <w:tc>
          <w:tcPr>
            <w:tcW w:w="1417" w:type="dxa"/>
            <w:vAlign w:val="bottom"/>
          </w:tcPr>
          <w:p w:rsidR="001776C5" w:rsidRDefault="001776C5" w:rsidP="002E022F">
            <w:pPr>
              <w:pStyle w:val="NoSpacing"/>
              <w:jc w:val="right"/>
              <w:rPr>
                <w:rFonts w:cstheme="minorHAnsi"/>
              </w:rPr>
            </w:pPr>
            <w:r>
              <w:rPr>
                <w:rFonts w:cstheme="minorHAnsi"/>
              </w:rPr>
              <w:t>Less than 1 month</w:t>
            </w:r>
          </w:p>
        </w:tc>
        <w:tc>
          <w:tcPr>
            <w:tcW w:w="1276" w:type="dxa"/>
            <w:vAlign w:val="bottom"/>
          </w:tcPr>
          <w:p w:rsidR="001776C5" w:rsidRDefault="001776C5" w:rsidP="002E022F">
            <w:pPr>
              <w:pStyle w:val="NoSpacing"/>
              <w:jc w:val="right"/>
              <w:rPr>
                <w:rFonts w:cstheme="minorHAnsi"/>
              </w:rPr>
            </w:pPr>
            <w:r>
              <w:rPr>
                <w:rFonts w:cstheme="minorHAnsi"/>
              </w:rPr>
              <w:t>1-3 months</w:t>
            </w:r>
          </w:p>
        </w:tc>
        <w:tc>
          <w:tcPr>
            <w:tcW w:w="1276" w:type="dxa"/>
            <w:vAlign w:val="bottom"/>
          </w:tcPr>
          <w:p w:rsidR="001776C5" w:rsidRDefault="001776C5" w:rsidP="002E022F">
            <w:pPr>
              <w:pStyle w:val="NoSpacing"/>
              <w:jc w:val="right"/>
              <w:rPr>
                <w:rFonts w:cstheme="minorHAnsi"/>
              </w:rPr>
            </w:pPr>
            <w:r>
              <w:rPr>
                <w:rFonts w:cstheme="minorHAnsi"/>
              </w:rPr>
              <w:t xml:space="preserve">3 months – 1 year </w:t>
            </w:r>
          </w:p>
        </w:tc>
        <w:tc>
          <w:tcPr>
            <w:tcW w:w="1195" w:type="dxa"/>
            <w:vAlign w:val="bottom"/>
          </w:tcPr>
          <w:p w:rsidR="001776C5" w:rsidRDefault="001776C5" w:rsidP="002E022F">
            <w:pPr>
              <w:pStyle w:val="NoSpacing"/>
              <w:jc w:val="right"/>
              <w:rPr>
                <w:rFonts w:cstheme="minorHAnsi"/>
              </w:rPr>
            </w:pPr>
            <w:r>
              <w:rPr>
                <w:rFonts w:cstheme="minorHAnsi"/>
              </w:rPr>
              <w:t>1-5 years</w:t>
            </w:r>
          </w:p>
        </w:tc>
      </w:tr>
      <w:tr w:rsidR="001776C5" w:rsidTr="002E022F">
        <w:tc>
          <w:tcPr>
            <w:tcW w:w="1417" w:type="dxa"/>
          </w:tcPr>
          <w:p w:rsidR="001776C5" w:rsidRDefault="001776C5" w:rsidP="002E022F">
            <w:pPr>
              <w:jc w:val="right"/>
            </w:pPr>
            <w:r w:rsidRPr="00FF31DA">
              <w:rPr>
                <w:rFonts w:cstheme="minorHAnsi"/>
                <w:bCs/>
                <w:w w:val="105"/>
              </w:rPr>
              <w:lastRenderedPageBreak/>
              <w:t>$’000</w:t>
            </w:r>
          </w:p>
        </w:tc>
        <w:tc>
          <w:tcPr>
            <w:tcW w:w="1418" w:type="dxa"/>
          </w:tcPr>
          <w:p w:rsidR="001776C5" w:rsidRDefault="001776C5" w:rsidP="002E022F">
            <w:pPr>
              <w:jc w:val="right"/>
            </w:pPr>
            <w:r w:rsidRPr="00FF31DA">
              <w:rPr>
                <w:rFonts w:cstheme="minorHAnsi"/>
                <w:bCs/>
                <w:w w:val="105"/>
              </w:rPr>
              <w:t>$’000</w:t>
            </w:r>
          </w:p>
        </w:tc>
        <w:tc>
          <w:tcPr>
            <w:tcW w:w="1417" w:type="dxa"/>
          </w:tcPr>
          <w:p w:rsidR="001776C5" w:rsidRDefault="001776C5" w:rsidP="002E022F">
            <w:pPr>
              <w:jc w:val="right"/>
            </w:pPr>
            <w:r w:rsidRPr="00FF31DA">
              <w:rPr>
                <w:rFonts w:cstheme="minorHAnsi"/>
                <w:bCs/>
                <w:w w:val="105"/>
              </w:rPr>
              <w:t>$’000</w:t>
            </w:r>
          </w:p>
        </w:tc>
        <w:tc>
          <w:tcPr>
            <w:tcW w:w="1276" w:type="dxa"/>
          </w:tcPr>
          <w:p w:rsidR="001776C5" w:rsidRDefault="001776C5" w:rsidP="002E022F">
            <w:pPr>
              <w:jc w:val="right"/>
            </w:pPr>
            <w:r w:rsidRPr="00FF31DA">
              <w:rPr>
                <w:rFonts w:cstheme="minorHAnsi"/>
                <w:bCs/>
                <w:w w:val="105"/>
              </w:rPr>
              <w:t>$’000</w:t>
            </w:r>
          </w:p>
        </w:tc>
        <w:tc>
          <w:tcPr>
            <w:tcW w:w="1276" w:type="dxa"/>
          </w:tcPr>
          <w:p w:rsidR="001776C5" w:rsidRDefault="001776C5" w:rsidP="002E022F">
            <w:pPr>
              <w:jc w:val="right"/>
            </w:pPr>
            <w:r w:rsidRPr="00FF31DA">
              <w:rPr>
                <w:rFonts w:cstheme="minorHAnsi"/>
                <w:bCs/>
                <w:w w:val="105"/>
              </w:rPr>
              <w:t>$’000</w:t>
            </w:r>
          </w:p>
        </w:tc>
        <w:tc>
          <w:tcPr>
            <w:tcW w:w="1195" w:type="dxa"/>
          </w:tcPr>
          <w:p w:rsidR="001776C5" w:rsidRDefault="001776C5" w:rsidP="002E022F">
            <w:pPr>
              <w:jc w:val="right"/>
            </w:pPr>
            <w:r w:rsidRPr="00FF31DA">
              <w:rPr>
                <w:rFonts w:cstheme="minorHAnsi"/>
                <w:bCs/>
                <w:w w:val="105"/>
              </w:rPr>
              <w:t>$’000</w:t>
            </w:r>
          </w:p>
        </w:tc>
      </w:tr>
    </w:tbl>
    <w:p w:rsidR="001776C5" w:rsidRDefault="001776C5" w:rsidP="001776C5">
      <w:pPr>
        <w:pStyle w:val="NoSpacing"/>
        <w:rPr>
          <w:rFonts w:cstheme="minorHAnsi"/>
        </w:rPr>
      </w:pPr>
      <w:r>
        <w:rPr>
          <w:rFonts w:cstheme="minorHAnsi"/>
        </w:rPr>
        <w:t>Consolidated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1776C5" w:rsidTr="002E022F">
        <w:tc>
          <w:tcPr>
            <w:tcW w:w="5949" w:type="dxa"/>
          </w:tcPr>
          <w:p w:rsidR="001776C5" w:rsidRDefault="001776C5" w:rsidP="002E022F">
            <w:pPr>
              <w:pStyle w:val="NoSpacing"/>
              <w:rPr>
                <w:rFonts w:cstheme="minorHAnsi"/>
              </w:rPr>
            </w:pPr>
            <w:r>
              <w:rPr>
                <w:rFonts w:cstheme="minorHAnsi"/>
              </w:rPr>
              <w:t>Trade receivables</w:t>
            </w:r>
          </w:p>
        </w:tc>
        <w:tc>
          <w:tcPr>
            <w:tcW w:w="1417" w:type="dxa"/>
          </w:tcPr>
          <w:p w:rsidR="001776C5" w:rsidRDefault="001776C5" w:rsidP="002E022F">
            <w:pPr>
              <w:pStyle w:val="NoSpacing"/>
              <w:jc w:val="right"/>
              <w:rPr>
                <w:rFonts w:cstheme="minorHAnsi"/>
              </w:rPr>
            </w:pPr>
            <w:r>
              <w:rPr>
                <w:rFonts w:cstheme="minorHAnsi"/>
              </w:rPr>
              <w:t>5,569</w:t>
            </w:r>
          </w:p>
        </w:tc>
        <w:tc>
          <w:tcPr>
            <w:tcW w:w="1418" w:type="dxa"/>
          </w:tcPr>
          <w:p w:rsidR="001776C5" w:rsidRDefault="001776C5" w:rsidP="002E022F">
            <w:pPr>
              <w:pStyle w:val="NoSpacing"/>
              <w:jc w:val="right"/>
              <w:rPr>
                <w:rFonts w:cstheme="minorHAnsi"/>
              </w:rPr>
            </w:pPr>
            <w:r>
              <w:rPr>
                <w:rFonts w:cstheme="minorHAnsi"/>
              </w:rPr>
              <w:t>3,116</w:t>
            </w:r>
          </w:p>
        </w:tc>
        <w:tc>
          <w:tcPr>
            <w:tcW w:w="1417" w:type="dxa"/>
          </w:tcPr>
          <w:p w:rsidR="001776C5" w:rsidRDefault="001776C5" w:rsidP="002E022F">
            <w:pPr>
              <w:pStyle w:val="NoSpacing"/>
              <w:jc w:val="right"/>
              <w:rPr>
                <w:rFonts w:cstheme="minorHAnsi"/>
              </w:rPr>
            </w:pPr>
            <w:r>
              <w:rPr>
                <w:rFonts w:cstheme="minorHAnsi"/>
              </w:rPr>
              <w:t>1,948</w:t>
            </w:r>
          </w:p>
        </w:tc>
        <w:tc>
          <w:tcPr>
            <w:tcW w:w="1276" w:type="dxa"/>
          </w:tcPr>
          <w:p w:rsidR="001776C5" w:rsidRDefault="001776C5" w:rsidP="002E022F">
            <w:pPr>
              <w:pStyle w:val="NoSpacing"/>
              <w:jc w:val="right"/>
              <w:rPr>
                <w:rFonts w:cstheme="minorHAnsi"/>
              </w:rPr>
            </w:pPr>
            <w:r>
              <w:rPr>
                <w:rFonts w:cstheme="minorHAnsi"/>
              </w:rPr>
              <w:t>37</w:t>
            </w:r>
          </w:p>
        </w:tc>
        <w:tc>
          <w:tcPr>
            <w:tcW w:w="1276" w:type="dxa"/>
          </w:tcPr>
          <w:p w:rsidR="001776C5" w:rsidRDefault="001776C5" w:rsidP="002E022F">
            <w:pPr>
              <w:pStyle w:val="NoSpacing"/>
              <w:jc w:val="right"/>
              <w:rPr>
                <w:rFonts w:cstheme="minorHAnsi"/>
              </w:rPr>
            </w:pPr>
            <w:r>
              <w:rPr>
                <w:rFonts w:cstheme="minorHAnsi"/>
              </w:rPr>
              <w:t>468</w:t>
            </w:r>
          </w:p>
        </w:tc>
        <w:tc>
          <w:tcPr>
            <w:tcW w:w="1195" w:type="dxa"/>
          </w:tcPr>
          <w:p w:rsidR="001776C5" w:rsidRDefault="001776C5"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Revenue receivables</w:t>
            </w:r>
          </w:p>
        </w:tc>
        <w:tc>
          <w:tcPr>
            <w:tcW w:w="1417" w:type="dxa"/>
          </w:tcPr>
          <w:p w:rsidR="001776C5" w:rsidRDefault="001776C5" w:rsidP="002E022F">
            <w:pPr>
              <w:pStyle w:val="NoSpacing"/>
              <w:jc w:val="right"/>
              <w:rPr>
                <w:rFonts w:cstheme="minorHAnsi"/>
              </w:rPr>
            </w:pPr>
            <w:r>
              <w:rPr>
                <w:rFonts w:cstheme="minorHAnsi"/>
              </w:rPr>
              <w:t>6,361</w:t>
            </w:r>
          </w:p>
        </w:tc>
        <w:tc>
          <w:tcPr>
            <w:tcW w:w="1418" w:type="dxa"/>
          </w:tcPr>
          <w:p w:rsidR="001776C5" w:rsidRDefault="001776C5" w:rsidP="002E022F">
            <w:pPr>
              <w:pStyle w:val="NoSpacing"/>
              <w:jc w:val="right"/>
              <w:rPr>
                <w:rFonts w:cstheme="minorHAnsi"/>
              </w:rPr>
            </w:pPr>
            <w:r>
              <w:rPr>
                <w:rFonts w:cstheme="minorHAnsi"/>
              </w:rPr>
              <w:t>6,361</w:t>
            </w:r>
          </w:p>
        </w:tc>
        <w:tc>
          <w:tcPr>
            <w:tcW w:w="1417" w:type="dxa"/>
          </w:tcPr>
          <w:p w:rsidR="001776C5" w:rsidRDefault="001776C5" w:rsidP="002E022F">
            <w:pPr>
              <w:pStyle w:val="NoSpacing"/>
              <w:jc w:val="right"/>
              <w:rPr>
                <w:rFonts w:cstheme="minorHAnsi"/>
              </w:rPr>
            </w:pPr>
            <w:r>
              <w:rPr>
                <w:rFonts w:cstheme="minorHAnsi"/>
              </w:rPr>
              <w:t>-</w:t>
            </w:r>
          </w:p>
        </w:tc>
        <w:tc>
          <w:tcPr>
            <w:tcW w:w="1276" w:type="dxa"/>
          </w:tcPr>
          <w:p w:rsidR="001776C5" w:rsidRDefault="001776C5" w:rsidP="002E022F">
            <w:pPr>
              <w:pStyle w:val="NoSpacing"/>
              <w:jc w:val="right"/>
              <w:rPr>
                <w:rFonts w:cstheme="minorHAnsi"/>
              </w:rPr>
            </w:pPr>
            <w:r>
              <w:rPr>
                <w:rFonts w:cstheme="minorHAnsi"/>
              </w:rPr>
              <w:t>-</w:t>
            </w:r>
          </w:p>
        </w:tc>
        <w:tc>
          <w:tcPr>
            <w:tcW w:w="1276" w:type="dxa"/>
          </w:tcPr>
          <w:p w:rsidR="001776C5" w:rsidRDefault="001776C5" w:rsidP="002E022F">
            <w:pPr>
              <w:pStyle w:val="NoSpacing"/>
              <w:jc w:val="right"/>
              <w:rPr>
                <w:rFonts w:cstheme="minorHAnsi"/>
              </w:rPr>
            </w:pPr>
            <w:r>
              <w:rPr>
                <w:rFonts w:cstheme="minorHAnsi"/>
              </w:rPr>
              <w:t>-</w:t>
            </w:r>
          </w:p>
        </w:tc>
        <w:tc>
          <w:tcPr>
            <w:tcW w:w="1195" w:type="dxa"/>
          </w:tcPr>
          <w:p w:rsidR="001776C5" w:rsidRDefault="001776C5"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Other receivables</w:t>
            </w:r>
          </w:p>
        </w:tc>
        <w:tc>
          <w:tcPr>
            <w:tcW w:w="1417" w:type="dxa"/>
          </w:tcPr>
          <w:p w:rsidR="001776C5" w:rsidRDefault="001776C5" w:rsidP="002E022F">
            <w:pPr>
              <w:pStyle w:val="NoSpacing"/>
              <w:jc w:val="right"/>
              <w:rPr>
                <w:rFonts w:cstheme="minorHAnsi"/>
              </w:rPr>
            </w:pPr>
            <w:r>
              <w:rPr>
                <w:rFonts w:cstheme="minorHAnsi"/>
              </w:rPr>
              <w:t>2,608</w:t>
            </w:r>
          </w:p>
        </w:tc>
        <w:tc>
          <w:tcPr>
            <w:tcW w:w="1418" w:type="dxa"/>
          </w:tcPr>
          <w:p w:rsidR="001776C5" w:rsidRDefault="001776C5" w:rsidP="002E022F">
            <w:pPr>
              <w:pStyle w:val="NoSpacing"/>
              <w:jc w:val="right"/>
              <w:rPr>
                <w:rFonts w:cstheme="minorHAnsi"/>
              </w:rPr>
            </w:pPr>
            <w:r>
              <w:rPr>
                <w:rFonts w:cstheme="minorHAnsi"/>
              </w:rPr>
              <w:t>2,608</w:t>
            </w:r>
          </w:p>
        </w:tc>
        <w:tc>
          <w:tcPr>
            <w:tcW w:w="1417" w:type="dxa"/>
          </w:tcPr>
          <w:p w:rsidR="001776C5" w:rsidRDefault="001776C5" w:rsidP="002E022F">
            <w:pPr>
              <w:pStyle w:val="NoSpacing"/>
              <w:jc w:val="right"/>
              <w:rPr>
                <w:rFonts w:cstheme="minorHAnsi"/>
              </w:rPr>
            </w:pPr>
            <w:r>
              <w:rPr>
                <w:rFonts w:cstheme="minorHAnsi"/>
              </w:rPr>
              <w:t>-</w:t>
            </w:r>
          </w:p>
        </w:tc>
        <w:tc>
          <w:tcPr>
            <w:tcW w:w="1276" w:type="dxa"/>
          </w:tcPr>
          <w:p w:rsidR="001776C5" w:rsidRDefault="001776C5" w:rsidP="002E022F">
            <w:pPr>
              <w:pStyle w:val="NoSpacing"/>
              <w:jc w:val="right"/>
              <w:rPr>
                <w:rFonts w:cstheme="minorHAnsi"/>
              </w:rPr>
            </w:pPr>
            <w:r>
              <w:rPr>
                <w:rFonts w:cstheme="minorHAnsi"/>
              </w:rPr>
              <w:t>-</w:t>
            </w:r>
          </w:p>
        </w:tc>
        <w:tc>
          <w:tcPr>
            <w:tcW w:w="1276" w:type="dxa"/>
          </w:tcPr>
          <w:p w:rsidR="001776C5" w:rsidRDefault="001776C5" w:rsidP="002E022F">
            <w:pPr>
              <w:pStyle w:val="NoSpacing"/>
              <w:jc w:val="right"/>
              <w:rPr>
                <w:rFonts w:cstheme="minorHAnsi"/>
              </w:rPr>
            </w:pPr>
            <w:r>
              <w:rPr>
                <w:rFonts w:cstheme="minorHAnsi"/>
              </w:rPr>
              <w:t>-</w:t>
            </w:r>
          </w:p>
        </w:tc>
        <w:tc>
          <w:tcPr>
            <w:tcW w:w="1195" w:type="dxa"/>
          </w:tcPr>
          <w:p w:rsidR="001776C5" w:rsidRDefault="001776C5"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 xml:space="preserve">Total </w:t>
            </w:r>
          </w:p>
        </w:tc>
        <w:tc>
          <w:tcPr>
            <w:tcW w:w="1417" w:type="dxa"/>
          </w:tcPr>
          <w:p w:rsidR="001776C5" w:rsidRDefault="001776C5" w:rsidP="002E022F">
            <w:pPr>
              <w:pStyle w:val="NoSpacing"/>
              <w:jc w:val="right"/>
              <w:rPr>
                <w:rFonts w:cstheme="minorHAnsi"/>
              </w:rPr>
            </w:pPr>
            <w:r>
              <w:rPr>
                <w:rFonts w:cstheme="minorHAnsi"/>
              </w:rPr>
              <w:t>14,538</w:t>
            </w:r>
          </w:p>
        </w:tc>
        <w:tc>
          <w:tcPr>
            <w:tcW w:w="1418" w:type="dxa"/>
          </w:tcPr>
          <w:p w:rsidR="001776C5" w:rsidRDefault="001776C5" w:rsidP="002E022F">
            <w:pPr>
              <w:pStyle w:val="NoSpacing"/>
              <w:jc w:val="right"/>
              <w:rPr>
                <w:rFonts w:cstheme="minorHAnsi"/>
              </w:rPr>
            </w:pPr>
            <w:r>
              <w:rPr>
                <w:rFonts w:cstheme="minorHAnsi"/>
              </w:rPr>
              <w:t>12,085</w:t>
            </w:r>
          </w:p>
        </w:tc>
        <w:tc>
          <w:tcPr>
            <w:tcW w:w="1417" w:type="dxa"/>
          </w:tcPr>
          <w:p w:rsidR="001776C5" w:rsidRDefault="001776C5" w:rsidP="002E022F">
            <w:pPr>
              <w:pStyle w:val="NoSpacing"/>
              <w:jc w:val="right"/>
              <w:rPr>
                <w:rFonts w:cstheme="minorHAnsi"/>
              </w:rPr>
            </w:pPr>
            <w:r>
              <w:rPr>
                <w:rFonts w:cstheme="minorHAnsi"/>
              </w:rPr>
              <w:t>1,948</w:t>
            </w:r>
          </w:p>
        </w:tc>
        <w:tc>
          <w:tcPr>
            <w:tcW w:w="1276" w:type="dxa"/>
          </w:tcPr>
          <w:p w:rsidR="001776C5" w:rsidRDefault="001776C5" w:rsidP="002E022F">
            <w:pPr>
              <w:pStyle w:val="NoSpacing"/>
              <w:jc w:val="right"/>
              <w:rPr>
                <w:rFonts w:cstheme="minorHAnsi"/>
              </w:rPr>
            </w:pPr>
            <w:r>
              <w:rPr>
                <w:rFonts w:cstheme="minorHAnsi"/>
              </w:rPr>
              <w:t>37</w:t>
            </w:r>
          </w:p>
        </w:tc>
        <w:tc>
          <w:tcPr>
            <w:tcW w:w="1276" w:type="dxa"/>
          </w:tcPr>
          <w:p w:rsidR="001776C5" w:rsidRDefault="001776C5" w:rsidP="002E022F">
            <w:pPr>
              <w:pStyle w:val="NoSpacing"/>
              <w:jc w:val="right"/>
              <w:rPr>
                <w:rFonts w:cstheme="minorHAnsi"/>
              </w:rPr>
            </w:pPr>
            <w:r>
              <w:rPr>
                <w:rFonts w:cstheme="minorHAnsi"/>
              </w:rPr>
              <w:t>468</w:t>
            </w:r>
          </w:p>
        </w:tc>
        <w:tc>
          <w:tcPr>
            <w:tcW w:w="1195" w:type="dxa"/>
          </w:tcPr>
          <w:p w:rsidR="001776C5" w:rsidRDefault="001776C5" w:rsidP="002E022F">
            <w:pPr>
              <w:pStyle w:val="NoSpacing"/>
              <w:jc w:val="right"/>
              <w:rPr>
                <w:rFonts w:cstheme="minorHAnsi"/>
              </w:rPr>
            </w:pPr>
            <w:r>
              <w:rPr>
                <w:rFonts w:cstheme="minorHAnsi"/>
              </w:rPr>
              <w:t>-</w:t>
            </w:r>
          </w:p>
        </w:tc>
      </w:tr>
    </w:tbl>
    <w:p w:rsidR="001776C5" w:rsidRDefault="001776C5" w:rsidP="001776C5">
      <w:pPr>
        <w:pStyle w:val="NoSpacing"/>
        <w:rPr>
          <w:rFonts w:cstheme="minorHAnsi"/>
        </w:rPr>
      </w:pPr>
    </w:p>
    <w:p w:rsidR="001776C5" w:rsidRDefault="001776C5" w:rsidP="001776C5">
      <w:pPr>
        <w:pStyle w:val="NoSpacing"/>
        <w:rPr>
          <w:rFonts w:cstheme="minorHAnsi"/>
        </w:rPr>
      </w:pPr>
      <w:r>
        <w:rPr>
          <w:rFonts w:cstheme="minorHAnsi"/>
        </w:rPr>
        <w:t>Consolidated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1776C5" w:rsidTr="002E022F">
        <w:tc>
          <w:tcPr>
            <w:tcW w:w="5949" w:type="dxa"/>
          </w:tcPr>
          <w:p w:rsidR="001776C5" w:rsidRDefault="001776C5" w:rsidP="002E022F">
            <w:pPr>
              <w:pStyle w:val="NoSpacing"/>
              <w:rPr>
                <w:rFonts w:cstheme="minorHAnsi"/>
              </w:rPr>
            </w:pPr>
            <w:r>
              <w:rPr>
                <w:rFonts w:cstheme="minorHAnsi"/>
              </w:rPr>
              <w:t>Trade receivables</w:t>
            </w:r>
          </w:p>
        </w:tc>
        <w:tc>
          <w:tcPr>
            <w:tcW w:w="1417" w:type="dxa"/>
          </w:tcPr>
          <w:p w:rsidR="001776C5" w:rsidRDefault="008435ED" w:rsidP="002E022F">
            <w:pPr>
              <w:pStyle w:val="NoSpacing"/>
              <w:jc w:val="right"/>
              <w:rPr>
                <w:rFonts w:cstheme="minorHAnsi"/>
              </w:rPr>
            </w:pPr>
            <w:r>
              <w:rPr>
                <w:rFonts w:cstheme="minorHAnsi"/>
              </w:rPr>
              <w:t>1,559</w:t>
            </w:r>
          </w:p>
        </w:tc>
        <w:tc>
          <w:tcPr>
            <w:tcW w:w="1418" w:type="dxa"/>
          </w:tcPr>
          <w:p w:rsidR="001776C5" w:rsidRDefault="008435ED" w:rsidP="002E022F">
            <w:pPr>
              <w:pStyle w:val="NoSpacing"/>
              <w:jc w:val="right"/>
              <w:rPr>
                <w:rFonts w:cstheme="minorHAnsi"/>
              </w:rPr>
            </w:pPr>
            <w:r>
              <w:rPr>
                <w:rFonts w:cstheme="minorHAnsi"/>
              </w:rPr>
              <w:t>1,134</w:t>
            </w:r>
          </w:p>
        </w:tc>
        <w:tc>
          <w:tcPr>
            <w:tcW w:w="1417" w:type="dxa"/>
          </w:tcPr>
          <w:p w:rsidR="001776C5" w:rsidRDefault="008435ED" w:rsidP="002E022F">
            <w:pPr>
              <w:pStyle w:val="NoSpacing"/>
              <w:jc w:val="right"/>
              <w:rPr>
                <w:rFonts w:cstheme="minorHAnsi"/>
              </w:rPr>
            </w:pPr>
            <w:r>
              <w:rPr>
                <w:rFonts w:cstheme="minorHAnsi"/>
              </w:rPr>
              <w:t>53</w:t>
            </w:r>
          </w:p>
        </w:tc>
        <w:tc>
          <w:tcPr>
            <w:tcW w:w="1276" w:type="dxa"/>
          </w:tcPr>
          <w:p w:rsidR="001776C5" w:rsidRDefault="008435ED" w:rsidP="002E022F">
            <w:pPr>
              <w:pStyle w:val="NoSpacing"/>
              <w:jc w:val="right"/>
              <w:rPr>
                <w:rFonts w:cstheme="minorHAnsi"/>
              </w:rPr>
            </w:pPr>
            <w:r>
              <w:rPr>
                <w:rFonts w:cstheme="minorHAnsi"/>
              </w:rPr>
              <w:t>372</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Revenue receivables</w:t>
            </w:r>
          </w:p>
        </w:tc>
        <w:tc>
          <w:tcPr>
            <w:tcW w:w="1417" w:type="dxa"/>
          </w:tcPr>
          <w:p w:rsidR="001776C5" w:rsidRDefault="008435ED" w:rsidP="002E022F">
            <w:pPr>
              <w:pStyle w:val="NoSpacing"/>
              <w:jc w:val="right"/>
              <w:rPr>
                <w:rFonts w:cstheme="minorHAnsi"/>
              </w:rPr>
            </w:pPr>
            <w:r>
              <w:rPr>
                <w:rFonts w:cstheme="minorHAnsi"/>
              </w:rPr>
              <w:t>5,714</w:t>
            </w:r>
          </w:p>
        </w:tc>
        <w:tc>
          <w:tcPr>
            <w:tcW w:w="1418" w:type="dxa"/>
          </w:tcPr>
          <w:p w:rsidR="001776C5" w:rsidRDefault="008435ED" w:rsidP="002E022F">
            <w:pPr>
              <w:pStyle w:val="NoSpacing"/>
              <w:jc w:val="right"/>
              <w:rPr>
                <w:rFonts w:cstheme="minorHAnsi"/>
              </w:rPr>
            </w:pPr>
            <w:r>
              <w:rPr>
                <w:rFonts w:cstheme="minorHAnsi"/>
              </w:rPr>
              <w:t>5,714</w:t>
            </w:r>
          </w:p>
        </w:tc>
        <w:tc>
          <w:tcPr>
            <w:tcW w:w="1417"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Other receivables</w:t>
            </w:r>
          </w:p>
        </w:tc>
        <w:tc>
          <w:tcPr>
            <w:tcW w:w="1417" w:type="dxa"/>
          </w:tcPr>
          <w:p w:rsidR="001776C5" w:rsidRDefault="008435ED" w:rsidP="002E022F">
            <w:pPr>
              <w:pStyle w:val="NoSpacing"/>
              <w:jc w:val="right"/>
              <w:rPr>
                <w:rFonts w:cstheme="minorHAnsi"/>
              </w:rPr>
            </w:pPr>
            <w:r>
              <w:rPr>
                <w:rFonts w:cstheme="minorHAnsi"/>
              </w:rPr>
              <w:t>1,357</w:t>
            </w:r>
          </w:p>
        </w:tc>
        <w:tc>
          <w:tcPr>
            <w:tcW w:w="1418" w:type="dxa"/>
          </w:tcPr>
          <w:p w:rsidR="001776C5" w:rsidRDefault="008435ED" w:rsidP="002E022F">
            <w:pPr>
              <w:pStyle w:val="NoSpacing"/>
              <w:jc w:val="right"/>
              <w:rPr>
                <w:rFonts w:cstheme="minorHAnsi"/>
              </w:rPr>
            </w:pPr>
            <w:r>
              <w:rPr>
                <w:rFonts w:cstheme="minorHAnsi"/>
              </w:rPr>
              <w:t>1,357</w:t>
            </w:r>
          </w:p>
        </w:tc>
        <w:tc>
          <w:tcPr>
            <w:tcW w:w="1417"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 xml:space="preserve">Total </w:t>
            </w:r>
          </w:p>
        </w:tc>
        <w:tc>
          <w:tcPr>
            <w:tcW w:w="1417" w:type="dxa"/>
          </w:tcPr>
          <w:p w:rsidR="001776C5" w:rsidRDefault="008435ED" w:rsidP="002E022F">
            <w:pPr>
              <w:pStyle w:val="NoSpacing"/>
              <w:jc w:val="right"/>
              <w:rPr>
                <w:rFonts w:cstheme="minorHAnsi"/>
              </w:rPr>
            </w:pPr>
            <w:r>
              <w:rPr>
                <w:rFonts w:cstheme="minorHAnsi"/>
              </w:rPr>
              <w:t>8,630</w:t>
            </w:r>
          </w:p>
        </w:tc>
        <w:tc>
          <w:tcPr>
            <w:tcW w:w="1418" w:type="dxa"/>
          </w:tcPr>
          <w:p w:rsidR="001776C5" w:rsidRDefault="008435ED" w:rsidP="002E022F">
            <w:pPr>
              <w:pStyle w:val="NoSpacing"/>
              <w:jc w:val="right"/>
              <w:rPr>
                <w:rFonts w:cstheme="minorHAnsi"/>
              </w:rPr>
            </w:pPr>
            <w:r>
              <w:rPr>
                <w:rFonts w:cstheme="minorHAnsi"/>
              </w:rPr>
              <w:t>8,205</w:t>
            </w:r>
          </w:p>
        </w:tc>
        <w:tc>
          <w:tcPr>
            <w:tcW w:w="1417" w:type="dxa"/>
          </w:tcPr>
          <w:p w:rsidR="001776C5" w:rsidRDefault="008435ED" w:rsidP="002E022F">
            <w:pPr>
              <w:pStyle w:val="NoSpacing"/>
              <w:jc w:val="right"/>
              <w:rPr>
                <w:rFonts w:cstheme="minorHAnsi"/>
              </w:rPr>
            </w:pPr>
            <w:r>
              <w:rPr>
                <w:rFonts w:cstheme="minorHAnsi"/>
              </w:rPr>
              <w:t>53</w:t>
            </w:r>
          </w:p>
        </w:tc>
        <w:tc>
          <w:tcPr>
            <w:tcW w:w="1276" w:type="dxa"/>
          </w:tcPr>
          <w:p w:rsidR="001776C5" w:rsidRDefault="008435ED" w:rsidP="002E022F">
            <w:pPr>
              <w:pStyle w:val="NoSpacing"/>
              <w:jc w:val="right"/>
              <w:rPr>
                <w:rFonts w:cstheme="minorHAnsi"/>
              </w:rPr>
            </w:pPr>
            <w:r>
              <w:rPr>
                <w:rFonts w:cstheme="minorHAnsi"/>
              </w:rPr>
              <w:t>372</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bl>
    <w:p w:rsidR="001776C5" w:rsidRDefault="001776C5" w:rsidP="008421BC">
      <w:pPr>
        <w:pStyle w:val="NoSpacing"/>
      </w:pPr>
    </w:p>
    <w:p w:rsidR="001776C5" w:rsidRDefault="001776C5" w:rsidP="001776C5">
      <w:pPr>
        <w:pStyle w:val="NoSpacing"/>
        <w:rPr>
          <w:rFonts w:cstheme="minorHAnsi"/>
        </w:rPr>
      </w:pPr>
      <w:r>
        <w:rPr>
          <w:rFonts w:cstheme="minorHAnsi"/>
        </w:rPr>
        <w:t>Chisholm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1776C5" w:rsidTr="002E022F">
        <w:tc>
          <w:tcPr>
            <w:tcW w:w="5949" w:type="dxa"/>
          </w:tcPr>
          <w:p w:rsidR="001776C5" w:rsidRDefault="001776C5" w:rsidP="002E022F">
            <w:pPr>
              <w:pStyle w:val="NoSpacing"/>
              <w:rPr>
                <w:rFonts w:cstheme="minorHAnsi"/>
              </w:rPr>
            </w:pPr>
            <w:r>
              <w:rPr>
                <w:rFonts w:cstheme="minorHAnsi"/>
              </w:rPr>
              <w:t>Trade receivables</w:t>
            </w:r>
          </w:p>
        </w:tc>
        <w:tc>
          <w:tcPr>
            <w:tcW w:w="1417" w:type="dxa"/>
          </w:tcPr>
          <w:p w:rsidR="001776C5" w:rsidRDefault="008435ED" w:rsidP="002E022F">
            <w:pPr>
              <w:pStyle w:val="NoSpacing"/>
              <w:jc w:val="right"/>
              <w:rPr>
                <w:rFonts w:cstheme="minorHAnsi"/>
              </w:rPr>
            </w:pPr>
            <w:r>
              <w:rPr>
                <w:rFonts w:cstheme="minorHAnsi"/>
              </w:rPr>
              <w:t>5,565</w:t>
            </w:r>
          </w:p>
        </w:tc>
        <w:tc>
          <w:tcPr>
            <w:tcW w:w="1418" w:type="dxa"/>
          </w:tcPr>
          <w:p w:rsidR="001776C5" w:rsidRDefault="008435ED" w:rsidP="002E022F">
            <w:pPr>
              <w:pStyle w:val="NoSpacing"/>
              <w:jc w:val="right"/>
              <w:rPr>
                <w:rFonts w:cstheme="minorHAnsi"/>
              </w:rPr>
            </w:pPr>
            <w:r>
              <w:rPr>
                <w:rFonts w:cstheme="minorHAnsi"/>
              </w:rPr>
              <w:t>3,112</w:t>
            </w:r>
          </w:p>
        </w:tc>
        <w:tc>
          <w:tcPr>
            <w:tcW w:w="1417" w:type="dxa"/>
          </w:tcPr>
          <w:p w:rsidR="001776C5" w:rsidRDefault="008435ED" w:rsidP="002E022F">
            <w:pPr>
              <w:pStyle w:val="NoSpacing"/>
              <w:jc w:val="right"/>
              <w:rPr>
                <w:rFonts w:cstheme="minorHAnsi"/>
              </w:rPr>
            </w:pPr>
            <w:r>
              <w:rPr>
                <w:rFonts w:cstheme="minorHAnsi"/>
              </w:rPr>
              <w:t>1,948</w:t>
            </w:r>
          </w:p>
        </w:tc>
        <w:tc>
          <w:tcPr>
            <w:tcW w:w="1276" w:type="dxa"/>
          </w:tcPr>
          <w:p w:rsidR="001776C5" w:rsidRDefault="008435ED" w:rsidP="002E022F">
            <w:pPr>
              <w:pStyle w:val="NoSpacing"/>
              <w:jc w:val="right"/>
              <w:rPr>
                <w:rFonts w:cstheme="minorHAnsi"/>
              </w:rPr>
            </w:pPr>
            <w:r>
              <w:rPr>
                <w:rFonts w:cstheme="minorHAnsi"/>
              </w:rPr>
              <w:t>37</w:t>
            </w:r>
          </w:p>
        </w:tc>
        <w:tc>
          <w:tcPr>
            <w:tcW w:w="1276" w:type="dxa"/>
          </w:tcPr>
          <w:p w:rsidR="001776C5" w:rsidRDefault="008435ED" w:rsidP="002E022F">
            <w:pPr>
              <w:pStyle w:val="NoSpacing"/>
              <w:jc w:val="right"/>
              <w:rPr>
                <w:rFonts w:cstheme="minorHAnsi"/>
              </w:rPr>
            </w:pPr>
            <w:r>
              <w:rPr>
                <w:rFonts w:cstheme="minorHAnsi"/>
              </w:rPr>
              <w:t>468</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Revenue receivables</w:t>
            </w:r>
          </w:p>
        </w:tc>
        <w:tc>
          <w:tcPr>
            <w:tcW w:w="1417" w:type="dxa"/>
          </w:tcPr>
          <w:p w:rsidR="001776C5" w:rsidRDefault="008435ED" w:rsidP="002E022F">
            <w:pPr>
              <w:pStyle w:val="NoSpacing"/>
              <w:jc w:val="right"/>
              <w:rPr>
                <w:rFonts w:cstheme="minorHAnsi"/>
              </w:rPr>
            </w:pPr>
            <w:r>
              <w:rPr>
                <w:rFonts w:cstheme="minorHAnsi"/>
              </w:rPr>
              <w:t>6,257</w:t>
            </w:r>
          </w:p>
        </w:tc>
        <w:tc>
          <w:tcPr>
            <w:tcW w:w="1418" w:type="dxa"/>
          </w:tcPr>
          <w:p w:rsidR="001776C5" w:rsidRDefault="008435ED" w:rsidP="002E022F">
            <w:pPr>
              <w:pStyle w:val="NoSpacing"/>
              <w:jc w:val="right"/>
              <w:rPr>
                <w:rFonts w:cstheme="minorHAnsi"/>
              </w:rPr>
            </w:pPr>
            <w:r>
              <w:rPr>
                <w:rFonts w:cstheme="minorHAnsi"/>
              </w:rPr>
              <w:t>3,257</w:t>
            </w:r>
          </w:p>
        </w:tc>
        <w:tc>
          <w:tcPr>
            <w:tcW w:w="1417"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Other receivables</w:t>
            </w:r>
          </w:p>
        </w:tc>
        <w:tc>
          <w:tcPr>
            <w:tcW w:w="1417" w:type="dxa"/>
          </w:tcPr>
          <w:p w:rsidR="001776C5" w:rsidRDefault="008435ED" w:rsidP="002E022F">
            <w:pPr>
              <w:pStyle w:val="NoSpacing"/>
              <w:jc w:val="right"/>
              <w:rPr>
                <w:rFonts w:cstheme="minorHAnsi"/>
              </w:rPr>
            </w:pPr>
            <w:r>
              <w:rPr>
                <w:rFonts w:cstheme="minorHAnsi"/>
              </w:rPr>
              <w:t>4,463</w:t>
            </w:r>
          </w:p>
        </w:tc>
        <w:tc>
          <w:tcPr>
            <w:tcW w:w="1418" w:type="dxa"/>
          </w:tcPr>
          <w:p w:rsidR="001776C5" w:rsidRDefault="008435ED" w:rsidP="002E022F">
            <w:pPr>
              <w:pStyle w:val="NoSpacing"/>
              <w:jc w:val="right"/>
              <w:rPr>
                <w:rFonts w:cstheme="minorHAnsi"/>
              </w:rPr>
            </w:pPr>
            <w:r>
              <w:rPr>
                <w:rFonts w:cstheme="minorHAnsi"/>
              </w:rPr>
              <w:t>4,463</w:t>
            </w:r>
          </w:p>
        </w:tc>
        <w:tc>
          <w:tcPr>
            <w:tcW w:w="1417"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 xml:space="preserve">Total </w:t>
            </w:r>
          </w:p>
        </w:tc>
        <w:tc>
          <w:tcPr>
            <w:tcW w:w="1417" w:type="dxa"/>
          </w:tcPr>
          <w:p w:rsidR="001776C5" w:rsidRDefault="008435ED" w:rsidP="002E022F">
            <w:pPr>
              <w:pStyle w:val="NoSpacing"/>
              <w:jc w:val="right"/>
              <w:rPr>
                <w:rFonts w:cstheme="minorHAnsi"/>
              </w:rPr>
            </w:pPr>
            <w:r>
              <w:rPr>
                <w:rFonts w:cstheme="minorHAnsi"/>
              </w:rPr>
              <w:t>16,285</w:t>
            </w:r>
          </w:p>
        </w:tc>
        <w:tc>
          <w:tcPr>
            <w:tcW w:w="1418" w:type="dxa"/>
          </w:tcPr>
          <w:p w:rsidR="001776C5" w:rsidRDefault="008435ED" w:rsidP="002E022F">
            <w:pPr>
              <w:pStyle w:val="NoSpacing"/>
              <w:jc w:val="right"/>
              <w:rPr>
                <w:rFonts w:cstheme="minorHAnsi"/>
              </w:rPr>
            </w:pPr>
            <w:r>
              <w:rPr>
                <w:rFonts w:cstheme="minorHAnsi"/>
              </w:rPr>
              <w:t>13,832</w:t>
            </w:r>
          </w:p>
        </w:tc>
        <w:tc>
          <w:tcPr>
            <w:tcW w:w="1417" w:type="dxa"/>
          </w:tcPr>
          <w:p w:rsidR="001776C5" w:rsidRDefault="008435ED" w:rsidP="002E022F">
            <w:pPr>
              <w:pStyle w:val="NoSpacing"/>
              <w:jc w:val="right"/>
              <w:rPr>
                <w:rFonts w:cstheme="minorHAnsi"/>
              </w:rPr>
            </w:pPr>
            <w:r>
              <w:rPr>
                <w:rFonts w:cstheme="minorHAnsi"/>
              </w:rPr>
              <w:t>1,948</w:t>
            </w:r>
          </w:p>
        </w:tc>
        <w:tc>
          <w:tcPr>
            <w:tcW w:w="1276" w:type="dxa"/>
          </w:tcPr>
          <w:p w:rsidR="001776C5" w:rsidRDefault="008435ED" w:rsidP="002E022F">
            <w:pPr>
              <w:pStyle w:val="NoSpacing"/>
              <w:jc w:val="right"/>
              <w:rPr>
                <w:rFonts w:cstheme="minorHAnsi"/>
              </w:rPr>
            </w:pPr>
            <w:r>
              <w:rPr>
                <w:rFonts w:cstheme="minorHAnsi"/>
              </w:rPr>
              <w:t>37</w:t>
            </w:r>
          </w:p>
        </w:tc>
        <w:tc>
          <w:tcPr>
            <w:tcW w:w="1276" w:type="dxa"/>
          </w:tcPr>
          <w:p w:rsidR="001776C5" w:rsidRDefault="008435ED" w:rsidP="002E022F">
            <w:pPr>
              <w:pStyle w:val="NoSpacing"/>
              <w:jc w:val="right"/>
              <w:rPr>
                <w:rFonts w:cstheme="minorHAnsi"/>
              </w:rPr>
            </w:pPr>
            <w:r>
              <w:rPr>
                <w:rFonts w:cstheme="minorHAnsi"/>
              </w:rPr>
              <w:t>468</w:t>
            </w:r>
          </w:p>
        </w:tc>
        <w:tc>
          <w:tcPr>
            <w:tcW w:w="1195" w:type="dxa"/>
          </w:tcPr>
          <w:p w:rsidR="001776C5" w:rsidRDefault="008435ED" w:rsidP="002E022F">
            <w:pPr>
              <w:pStyle w:val="NoSpacing"/>
              <w:jc w:val="right"/>
              <w:rPr>
                <w:rFonts w:cstheme="minorHAnsi"/>
              </w:rPr>
            </w:pPr>
            <w:r>
              <w:rPr>
                <w:rFonts w:cstheme="minorHAnsi"/>
              </w:rPr>
              <w:t>-</w:t>
            </w:r>
          </w:p>
        </w:tc>
      </w:tr>
    </w:tbl>
    <w:p w:rsidR="001776C5" w:rsidRDefault="001776C5" w:rsidP="008421BC">
      <w:pPr>
        <w:pStyle w:val="NoSpacing"/>
      </w:pPr>
    </w:p>
    <w:p w:rsidR="001776C5" w:rsidRDefault="001776C5" w:rsidP="001776C5">
      <w:pPr>
        <w:pStyle w:val="NoSpacing"/>
        <w:rPr>
          <w:rFonts w:cstheme="minorHAnsi"/>
        </w:rPr>
      </w:pPr>
      <w:r>
        <w:rPr>
          <w:rFonts w:cstheme="minorHAnsi"/>
        </w:rPr>
        <w:t>Chisholm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1776C5" w:rsidTr="002E022F">
        <w:tc>
          <w:tcPr>
            <w:tcW w:w="5949" w:type="dxa"/>
          </w:tcPr>
          <w:p w:rsidR="001776C5" w:rsidRDefault="001776C5" w:rsidP="002E022F">
            <w:pPr>
              <w:pStyle w:val="NoSpacing"/>
              <w:rPr>
                <w:rFonts w:cstheme="minorHAnsi"/>
              </w:rPr>
            </w:pPr>
            <w:r>
              <w:rPr>
                <w:rFonts w:cstheme="minorHAnsi"/>
              </w:rPr>
              <w:t>Trade receivables</w:t>
            </w:r>
          </w:p>
        </w:tc>
        <w:tc>
          <w:tcPr>
            <w:tcW w:w="1417" w:type="dxa"/>
          </w:tcPr>
          <w:p w:rsidR="001776C5" w:rsidRDefault="008435ED" w:rsidP="002E022F">
            <w:pPr>
              <w:pStyle w:val="NoSpacing"/>
              <w:jc w:val="right"/>
              <w:rPr>
                <w:rFonts w:cstheme="minorHAnsi"/>
              </w:rPr>
            </w:pPr>
            <w:r>
              <w:rPr>
                <w:rFonts w:cstheme="minorHAnsi"/>
              </w:rPr>
              <w:t>1,559</w:t>
            </w:r>
          </w:p>
        </w:tc>
        <w:tc>
          <w:tcPr>
            <w:tcW w:w="1418" w:type="dxa"/>
          </w:tcPr>
          <w:p w:rsidR="001776C5" w:rsidRDefault="008435ED" w:rsidP="002E022F">
            <w:pPr>
              <w:pStyle w:val="NoSpacing"/>
              <w:jc w:val="right"/>
              <w:rPr>
                <w:rFonts w:cstheme="minorHAnsi"/>
              </w:rPr>
            </w:pPr>
            <w:r>
              <w:rPr>
                <w:rFonts w:cstheme="minorHAnsi"/>
              </w:rPr>
              <w:t>1,134</w:t>
            </w:r>
          </w:p>
        </w:tc>
        <w:tc>
          <w:tcPr>
            <w:tcW w:w="1417" w:type="dxa"/>
          </w:tcPr>
          <w:p w:rsidR="001776C5" w:rsidRDefault="008435ED" w:rsidP="002E022F">
            <w:pPr>
              <w:pStyle w:val="NoSpacing"/>
              <w:jc w:val="right"/>
              <w:rPr>
                <w:rFonts w:cstheme="minorHAnsi"/>
              </w:rPr>
            </w:pPr>
            <w:r>
              <w:rPr>
                <w:rFonts w:cstheme="minorHAnsi"/>
              </w:rPr>
              <w:t>53</w:t>
            </w:r>
          </w:p>
        </w:tc>
        <w:tc>
          <w:tcPr>
            <w:tcW w:w="1276" w:type="dxa"/>
          </w:tcPr>
          <w:p w:rsidR="001776C5" w:rsidRDefault="008435ED" w:rsidP="002E022F">
            <w:pPr>
              <w:pStyle w:val="NoSpacing"/>
              <w:jc w:val="right"/>
              <w:rPr>
                <w:rFonts w:cstheme="minorHAnsi"/>
              </w:rPr>
            </w:pPr>
            <w:r>
              <w:rPr>
                <w:rFonts w:cstheme="minorHAnsi"/>
              </w:rPr>
              <w:t>372</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Revenue receivables</w:t>
            </w:r>
          </w:p>
        </w:tc>
        <w:tc>
          <w:tcPr>
            <w:tcW w:w="1417" w:type="dxa"/>
          </w:tcPr>
          <w:p w:rsidR="001776C5" w:rsidRDefault="008435ED" w:rsidP="002E022F">
            <w:pPr>
              <w:pStyle w:val="NoSpacing"/>
              <w:jc w:val="right"/>
              <w:rPr>
                <w:rFonts w:cstheme="minorHAnsi"/>
              </w:rPr>
            </w:pPr>
            <w:r>
              <w:rPr>
                <w:rFonts w:cstheme="minorHAnsi"/>
              </w:rPr>
              <w:t>5,585</w:t>
            </w:r>
          </w:p>
        </w:tc>
        <w:tc>
          <w:tcPr>
            <w:tcW w:w="1418" w:type="dxa"/>
          </w:tcPr>
          <w:p w:rsidR="001776C5" w:rsidRDefault="008435ED" w:rsidP="002E022F">
            <w:pPr>
              <w:pStyle w:val="NoSpacing"/>
              <w:jc w:val="right"/>
              <w:rPr>
                <w:rFonts w:cstheme="minorHAnsi"/>
              </w:rPr>
            </w:pPr>
            <w:r>
              <w:rPr>
                <w:rFonts w:cstheme="minorHAnsi"/>
              </w:rPr>
              <w:t>5,585</w:t>
            </w:r>
          </w:p>
        </w:tc>
        <w:tc>
          <w:tcPr>
            <w:tcW w:w="1417"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Other receivables</w:t>
            </w:r>
          </w:p>
        </w:tc>
        <w:tc>
          <w:tcPr>
            <w:tcW w:w="1417" w:type="dxa"/>
          </w:tcPr>
          <w:p w:rsidR="001776C5" w:rsidRDefault="008435ED" w:rsidP="002E022F">
            <w:pPr>
              <w:pStyle w:val="NoSpacing"/>
              <w:jc w:val="right"/>
              <w:rPr>
                <w:rFonts w:cstheme="minorHAnsi"/>
              </w:rPr>
            </w:pPr>
            <w:r>
              <w:rPr>
                <w:rFonts w:cstheme="minorHAnsi"/>
              </w:rPr>
              <w:t>4,769</w:t>
            </w:r>
          </w:p>
        </w:tc>
        <w:tc>
          <w:tcPr>
            <w:tcW w:w="1418" w:type="dxa"/>
          </w:tcPr>
          <w:p w:rsidR="001776C5" w:rsidRDefault="008435ED" w:rsidP="002E022F">
            <w:pPr>
              <w:pStyle w:val="NoSpacing"/>
              <w:jc w:val="right"/>
              <w:rPr>
                <w:rFonts w:cstheme="minorHAnsi"/>
              </w:rPr>
            </w:pPr>
            <w:r>
              <w:rPr>
                <w:rFonts w:cstheme="minorHAnsi"/>
              </w:rPr>
              <w:t>4,769</w:t>
            </w:r>
          </w:p>
        </w:tc>
        <w:tc>
          <w:tcPr>
            <w:tcW w:w="1417"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r w:rsidR="001776C5" w:rsidTr="002E022F">
        <w:tc>
          <w:tcPr>
            <w:tcW w:w="5949" w:type="dxa"/>
          </w:tcPr>
          <w:p w:rsidR="001776C5" w:rsidRDefault="001776C5" w:rsidP="002E022F">
            <w:pPr>
              <w:pStyle w:val="NoSpacing"/>
              <w:rPr>
                <w:rFonts w:cstheme="minorHAnsi"/>
              </w:rPr>
            </w:pPr>
            <w:r>
              <w:rPr>
                <w:rFonts w:cstheme="minorHAnsi"/>
              </w:rPr>
              <w:t xml:space="preserve">Total </w:t>
            </w:r>
          </w:p>
        </w:tc>
        <w:tc>
          <w:tcPr>
            <w:tcW w:w="1417" w:type="dxa"/>
          </w:tcPr>
          <w:p w:rsidR="001776C5" w:rsidRDefault="008435ED" w:rsidP="002E022F">
            <w:pPr>
              <w:pStyle w:val="NoSpacing"/>
              <w:jc w:val="right"/>
              <w:rPr>
                <w:rFonts w:cstheme="minorHAnsi"/>
              </w:rPr>
            </w:pPr>
            <w:r>
              <w:rPr>
                <w:rFonts w:cstheme="minorHAnsi"/>
              </w:rPr>
              <w:t>11,913</w:t>
            </w:r>
          </w:p>
        </w:tc>
        <w:tc>
          <w:tcPr>
            <w:tcW w:w="1418" w:type="dxa"/>
          </w:tcPr>
          <w:p w:rsidR="001776C5" w:rsidRDefault="008435ED" w:rsidP="002E022F">
            <w:pPr>
              <w:pStyle w:val="NoSpacing"/>
              <w:jc w:val="right"/>
              <w:rPr>
                <w:rFonts w:cstheme="minorHAnsi"/>
              </w:rPr>
            </w:pPr>
            <w:r>
              <w:rPr>
                <w:rFonts w:cstheme="minorHAnsi"/>
              </w:rPr>
              <w:t>11,488</w:t>
            </w:r>
          </w:p>
        </w:tc>
        <w:tc>
          <w:tcPr>
            <w:tcW w:w="1417" w:type="dxa"/>
          </w:tcPr>
          <w:p w:rsidR="001776C5" w:rsidRDefault="008435ED" w:rsidP="002E022F">
            <w:pPr>
              <w:pStyle w:val="NoSpacing"/>
              <w:jc w:val="right"/>
              <w:rPr>
                <w:rFonts w:cstheme="minorHAnsi"/>
              </w:rPr>
            </w:pPr>
            <w:r>
              <w:rPr>
                <w:rFonts w:cstheme="minorHAnsi"/>
              </w:rPr>
              <w:t>53</w:t>
            </w:r>
          </w:p>
        </w:tc>
        <w:tc>
          <w:tcPr>
            <w:tcW w:w="1276" w:type="dxa"/>
          </w:tcPr>
          <w:p w:rsidR="001776C5" w:rsidRDefault="008435ED" w:rsidP="002E022F">
            <w:pPr>
              <w:pStyle w:val="NoSpacing"/>
              <w:jc w:val="right"/>
              <w:rPr>
                <w:rFonts w:cstheme="minorHAnsi"/>
              </w:rPr>
            </w:pPr>
            <w:r>
              <w:rPr>
                <w:rFonts w:cstheme="minorHAnsi"/>
              </w:rPr>
              <w:t>372</w:t>
            </w:r>
          </w:p>
        </w:tc>
        <w:tc>
          <w:tcPr>
            <w:tcW w:w="1276" w:type="dxa"/>
          </w:tcPr>
          <w:p w:rsidR="001776C5" w:rsidRDefault="008435ED" w:rsidP="002E022F">
            <w:pPr>
              <w:pStyle w:val="NoSpacing"/>
              <w:jc w:val="right"/>
              <w:rPr>
                <w:rFonts w:cstheme="minorHAnsi"/>
              </w:rPr>
            </w:pPr>
            <w:r>
              <w:rPr>
                <w:rFonts w:cstheme="minorHAnsi"/>
              </w:rPr>
              <w:t>-</w:t>
            </w:r>
          </w:p>
        </w:tc>
        <w:tc>
          <w:tcPr>
            <w:tcW w:w="1195" w:type="dxa"/>
          </w:tcPr>
          <w:p w:rsidR="001776C5" w:rsidRDefault="008435ED" w:rsidP="002E022F">
            <w:pPr>
              <w:pStyle w:val="NoSpacing"/>
              <w:jc w:val="right"/>
              <w:rPr>
                <w:rFonts w:cstheme="minorHAnsi"/>
              </w:rPr>
            </w:pPr>
            <w:r>
              <w:rPr>
                <w:rFonts w:cstheme="minorHAnsi"/>
              </w:rPr>
              <w:t>-</w:t>
            </w:r>
          </w:p>
        </w:tc>
      </w:tr>
    </w:tbl>
    <w:p w:rsidR="001776C5" w:rsidRDefault="001776C5" w:rsidP="008421BC">
      <w:pPr>
        <w:pStyle w:val="NoSpacing"/>
      </w:pPr>
    </w:p>
    <w:p w:rsidR="00553A5A" w:rsidRDefault="00553A5A" w:rsidP="00553A5A">
      <w:pPr>
        <w:pStyle w:val="NoSpacing"/>
      </w:pPr>
      <w:r>
        <w:t>Note: The disclosures above excludes statutory payables (e.g., amounts arising to Victorian Government and GST taxes payable).</w:t>
      </w:r>
    </w:p>
    <w:p w:rsidR="00553A5A" w:rsidRDefault="00553A5A" w:rsidP="00553A5A">
      <w:pPr>
        <w:pStyle w:val="NoSpacing"/>
      </w:pPr>
      <w:r>
        <w:t>The average credit period on sales of goods is 21 days.</w:t>
      </w:r>
    </w:p>
    <w:p w:rsidR="00553A5A" w:rsidRDefault="00553A5A" w:rsidP="00553A5A">
      <w:pPr>
        <w:pStyle w:val="NoSpacing"/>
        <w:rPr>
          <w:rFonts w:cstheme="minorHAnsi"/>
        </w:rPr>
      </w:pPr>
      <w:r>
        <w:t>There are no financial assets that have their terms renegotiated so as to prevent them from being past due or impaired, and they are stated at the carrying amounts as indicated.</w:t>
      </w:r>
      <w:r>
        <w:rPr>
          <w:rFonts w:cstheme="minorHAnsi"/>
        </w:rPr>
        <w:t xml:space="preserve"> </w:t>
      </w:r>
    </w:p>
    <w:p w:rsidR="00553A5A" w:rsidRDefault="00553A5A" w:rsidP="00553A5A">
      <w:pPr>
        <w:pStyle w:val="NoSpacing"/>
        <w:rPr>
          <w:rFonts w:cstheme="minorHAnsi"/>
        </w:rPr>
      </w:pPr>
    </w:p>
    <w:p w:rsidR="00553A5A" w:rsidRDefault="00553A5A" w:rsidP="00553A5A">
      <w:pPr>
        <w:pStyle w:val="NoSpacing"/>
        <w:rPr>
          <w:rFonts w:cstheme="minorHAnsi"/>
        </w:rPr>
      </w:pPr>
      <w:r>
        <w:rPr>
          <w:rFonts w:cstheme="minorHAnsi"/>
        </w:rPr>
        <w:t>&lt;pp&gt;64</w:t>
      </w:r>
    </w:p>
    <w:p w:rsidR="00553A5A" w:rsidRDefault="00553A5A" w:rsidP="00553A5A">
      <w:pPr>
        <w:pStyle w:val="NoSpacing"/>
        <w:rPr>
          <w:rFonts w:cstheme="minorHAnsi"/>
        </w:rPr>
      </w:pPr>
    </w:p>
    <w:p w:rsidR="00553A5A" w:rsidRDefault="00553A5A" w:rsidP="00D36BB2">
      <w:pPr>
        <w:pStyle w:val="Heading3"/>
      </w:pPr>
      <w:r w:rsidRPr="00D814AC">
        <w:lastRenderedPageBreak/>
        <w:t>5. Balances from operations</w:t>
      </w:r>
      <w:r>
        <w:t xml:space="preserve"> (continued)</w:t>
      </w:r>
    </w:p>
    <w:p w:rsidR="00553A5A" w:rsidRDefault="00553A5A" w:rsidP="00553A5A">
      <w:pPr>
        <w:pStyle w:val="NoSpacing"/>
        <w:rPr>
          <w:rFonts w:cstheme="minorHAnsi"/>
          <w:caps/>
        </w:rPr>
      </w:pPr>
    </w:p>
    <w:p w:rsidR="00553A5A" w:rsidRDefault="00553A5A" w:rsidP="00D36BB2">
      <w:pPr>
        <w:pStyle w:val="Heading4"/>
      </w:pPr>
      <w:r>
        <w:rPr>
          <w:caps/>
        </w:rPr>
        <w:t xml:space="preserve">5.2 </w:t>
      </w:r>
      <w:r>
        <w:t>Payables</w:t>
      </w:r>
    </w:p>
    <w:p w:rsidR="00553A5A" w:rsidRDefault="00553A5A" w:rsidP="00553A5A">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553A5A" w:rsidRPr="00AE2D8D" w:rsidTr="002E022F">
        <w:tc>
          <w:tcPr>
            <w:tcW w:w="2693" w:type="dxa"/>
            <w:gridSpan w:val="2"/>
          </w:tcPr>
          <w:p w:rsidR="00553A5A" w:rsidRPr="00AE2D8D" w:rsidRDefault="00553A5A" w:rsidP="002E022F">
            <w:pPr>
              <w:pStyle w:val="NoSpacing"/>
              <w:jc w:val="center"/>
              <w:rPr>
                <w:rFonts w:cstheme="minorHAnsi"/>
                <w:bCs/>
                <w:w w:val="105"/>
              </w:rPr>
            </w:pPr>
            <w:r w:rsidRPr="00AE2D8D">
              <w:rPr>
                <w:rFonts w:cstheme="minorHAnsi"/>
                <w:bCs/>
                <w:w w:val="105"/>
              </w:rPr>
              <w:t>Consolidated</w:t>
            </w:r>
          </w:p>
        </w:tc>
        <w:tc>
          <w:tcPr>
            <w:tcW w:w="2410" w:type="dxa"/>
            <w:gridSpan w:val="2"/>
          </w:tcPr>
          <w:p w:rsidR="00553A5A" w:rsidRPr="00AE2D8D" w:rsidRDefault="00553A5A" w:rsidP="002E022F">
            <w:pPr>
              <w:pStyle w:val="NoSpacing"/>
              <w:jc w:val="center"/>
              <w:rPr>
                <w:rFonts w:cstheme="minorHAnsi"/>
                <w:bCs/>
                <w:w w:val="105"/>
              </w:rPr>
            </w:pPr>
            <w:r w:rsidRPr="00AE2D8D">
              <w:rPr>
                <w:rFonts w:cstheme="minorHAnsi"/>
                <w:bCs/>
                <w:w w:val="105"/>
              </w:rPr>
              <w:t>Chisholm</w:t>
            </w:r>
          </w:p>
        </w:tc>
      </w:tr>
      <w:tr w:rsidR="00553A5A" w:rsidRPr="00AE2D8D" w:rsidTr="002E022F">
        <w:tc>
          <w:tcPr>
            <w:tcW w:w="1417" w:type="dxa"/>
          </w:tcPr>
          <w:p w:rsidR="00553A5A" w:rsidRPr="00AE2D8D" w:rsidRDefault="00553A5A" w:rsidP="002E022F">
            <w:pPr>
              <w:pStyle w:val="NoSpacing"/>
              <w:jc w:val="right"/>
              <w:rPr>
                <w:rFonts w:cstheme="minorHAnsi"/>
                <w:bCs/>
                <w:w w:val="105"/>
              </w:rPr>
            </w:pPr>
            <w:r w:rsidRPr="00AE2D8D">
              <w:rPr>
                <w:rFonts w:cstheme="minorHAnsi"/>
                <w:bCs/>
                <w:w w:val="105"/>
              </w:rPr>
              <w:t>2017</w:t>
            </w:r>
          </w:p>
        </w:tc>
        <w:tc>
          <w:tcPr>
            <w:tcW w:w="1276" w:type="dxa"/>
          </w:tcPr>
          <w:p w:rsidR="00553A5A" w:rsidRPr="00AE2D8D" w:rsidRDefault="00553A5A" w:rsidP="002E022F">
            <w:pPr>
              <w:pStyle w:val="NoSpacing"/>
              <w:jc w:val="right"/>
              <w:rPr>
                <w:rFonts w:cstheme="minorHAnsi"/>
                <w:bCs/>
                <w:w w:val="105"/>
              </w:rPr>
            </w:pPr>
            <w:r w:rsidRPr="00AE2D8D">
              <w:rPr>
                <w:rFonts w:cstheme="minorHAnsi"/>
                <w:bCs/>
                <w:w w:val="105"/>
              </w:rPr>
              <w:t>2016</w:t>
            </w:r>
          </w:p>
        </w:tc>
        <w:tc>
          <w:tcPr>
            <w:tcW w:w="1276" w:type="dxa"/>
          </w:tcPr>
          <w:p w:rsidR="00553A5A" w:rsidRPr="00AE2D8D" w:rsidRDefault="00553A5A" w:rsidP="002E022F">
            <w:pPr>
              <w:pStyle w:val="NoSpacing"/>
              <w:jc w:val="right"/>
              <w:rPr>
                <w:rFonts w:cstheme="minorHAnsi"/>
                <w:bCs/>
                <w:w w:val="105"/>
              </w:rPr>
            </w:pPr>
            <w:r w:rsidRPr="00AE2D8D">
              <w:rPr>
                <w:rFonts w:cstheme="minorHAnsi"/>
                <w:bCs/>
                <w:w w:val="105"/>
              </w:rPr>
              <w:t>2017</w:t>
            </w:r>
          </w:p>
        </w:tc>
        <w:tc>
          <w:tcPr>
            <w:tcW w:w="1134" w:type="dxa"/>
          </w:tcPr>
          <w:p w:rsidR="00553A5A" w:rsidRPr="00AE2D8D" w:rsidRDefault="00553A5A" w:rsidP="002E022F">
            <w:pPr>
              <w:pStyle w:val="NoSpacing"/>
              <w:jc w:val="right"/>
              <w:rPr>
                <w:rFonts w:cstheme="minorHAnsi"/>
                <w:bCs/>
                <w:w w:val="105"/>
              </w:rPr>
            </w:pPr>
            <w:r w:rsidRPr="00AE2D8D">
              <w:rPr>
                <w:rFonts w:cstheme="minorHAnsi"/>
                <w:bCs/>
                <w:w w:val="105"/>
              </w:rPr>
              <w:t>2016</w:t>
            </w:r>
          </w:p>
        </w:tc>
      </w:tr>
      <w:tr w:rsidR="00553A5A" w:rsidRPr="00AE2D8D" w:rsidTr="002E022F">
        <w:tc>
          <w:tcPr>
            <w:tcW w:w="1417" w:type="dxa"/>
          </w:tcPr>
          <w:p w:rsidR="00553A5A" w:rsidRPr="00AE2D8D" w:rsidRDefault="00553A5A" w:rsidP="002E022F">
            <w:pPr>
              <w:jc w:val="right"/>
              <w:rPr>
                <w:rFonts w:cstheme="minorHAnsi"/>
              </w:rPr>
            </w:pPr>
            <w:r w:rsidRPr="00AE2D8D">
              <w:rPr>
                <w:rFonts w:cstheme="minorHAnsi"/>
                <w:bCs/>
                <w:w w:val="105"/>
              </w:rPr>
              <w:t>$’000</w:t>
            </w:r>
          </w:p>
        </w:tc>
        <w:tc>
          <w:tcPr>
            <w:tcW w:w="1276" w:type="dxa"/>
          </w:tcPr>
          <w:p w:rsidR="00553A5A" w:rsidRPr="00AE2D8D" w:rsidRDefault="00553A5A" w:rsidP="002E022F">
            <w:pPr>
              <w:jc w:val="right"/>
              <w:rPr>
                <w:rFonts w:cstheme="minorHAnsi"/>
              </w:rPr>
            </w:pPr>
            <w:r w:rsidRPr="00AE2D8D">
              <w:rPr>
                <w:rFonts w:cstheme="minorHAnsi"/>
                <w:bCs/>
                <w:w w:val="105"/>
              </w:rPr>
              <w:t>$’000</w:t>
            </w:r>
          </w:p>
        </w:tc>
        <w:tc>
          <w:tcPr>
            <w:tcW w:w="1276" w:type="dxa"/>
          </w:tcPr>
          <w:p w:rsidR="00553A5A" w:rsidRPr="00AE2D8D" w:rsidRDefault="00553A5A" w:rsidP="002E022F">
            <w:pPr>
              <w:jc w:val="right"/>
              <w:rPr>
                <w:rFonts w:cstheme="minorHAnsi"/>
              </w:rPr>
            </w:pPr>
            <w:r w:rsidRPr="00AE2D8D">
              <w:rPr>
                <w:rFonts w:cstheme="minorHAnsi"/>
                <w:bCs/>
                <w:w w:val="105"/>
              </w:rPr>
              <w:t>$’000</w:t>
            </w:r>
          </w:p>
        </w:tc>
        <w:tc>
          <w:tcPr>
            <w:tcW w:w="1134" w:type="dxa"/>
          </w:tcPr>
          <w:p w:rsidR="00553A5A" w:rsidRPr="00AE2D8D" w:rsidRDefault="00553A5A" w:rsidP="002E022F">
            <w:pPr>
              <w:pStyle w:val="NoSpacing"/>
              <w:jc w:val="right"/>
              <w:rPr>
                <w:rFonts w:cstheme="minorHAnsi"/>
                <w:bCs/>
                <w:w w:val="105"/>
              </w:rPr>
            </w:pPr>
            <w:r w:rsidRPr="00AE2D8D">
              <w:rPr>
                <w:rFonts w:cstheme="minorHAnsi"/>
                <w:bCs/>
                <w:w w:val="105"/>
              </w:rPr>
              <w:t>$’000</w:t>
            </w:r>
          </w:p>
        </w:tc>
      </w:tr>
    </w:tbl>
    <w:p w:rsidR="00553A5A" w:rsidRDefault="00553A5A" w:rsidP="00553A5A">
      <w:pPr>
        <w:pStyle w:val="NoSpacing"/>
        <w:rPr>
          <w:rFonts w:cstheme="minorHAnsi"/>
        </w:rPr>
      </w:pPr>
      <w:r>
        <w:rPr>
          <w:rFonts w:cstheme="minorHAnsi"/>
        </w:rPr>
        <w:t>Current</w:t>
      </w:r>
    </w:p>
    <w:p w:rsidR="00553A5A" w:rsidRDefault="00553A5A" w:rsidP="00553A5A">
      <w:pPr>
        <w:pStyle w:val="NoSpacing"/>
        <w:rPr>
          <w:rFonts w:cstheme="minorHAnsi"/>
        </w:rPr>
      </w:pPr>
      <w:r>
        <w:rPr>
          <w:rFonts w:cstheme="minorHAnsi"/>
        </w:rPr>
        <w:t>Contractual</w:t>
      </w:r>
    </w:p>
    <w:tbl>
      <w:tblPr>
        <w:tblStyle w:val="TableGrid"/>
        <w:tblW w:w="0" w:type="auto"/>
        <w:tblLook w:val="04A0" w:firstRow="1" w:lastRow="0" w:firstColumn="1" w:lastColumn="0" w:noHBand="0" w:noVBand="1"/>
      </w:tblPr>
      <w:tblGrid>
        <w:gridCol w:w="8784"/>
        <w:gridCol w:w="1417"/>
        <w:gridCol w:w="1276"/>
        <w:gridCol w:w="1276"/>
        <w:gridCol w:w="1134"/>
      </w:tblGrid>
      <w:tr w:rsidR="00553A5A" w:rsidTr="002E022F">
        <w:tc>
          <w:tcPr>
            <w:tcW w:w="8784" w:type="dxa"/>
          </w:tcPr>
          <w:p w:rsidR="00553A5A" w:rsidRDefault="00553A5A" w:rsidP="002E022F">
            <w:pPr>
              <w:pStyle w:val="NoSpacing"/>
            </w:pPr>
            <w:r>
              <w:t>Supplies and services</w:t>
            </w:r>
          </w:p>
        </w:tc>
        <w:tc>
          <w:tcPr>
            <w:tcW w:w="1417" w:type="dxa"/>
          </w:tcPr>
          <w:p w:rsidR="00553A5A" w:rsidRDefault="00553A5A" w:rsidP="002E022F">
            <w:pPr>
              <w:pStyle w:val="NoSpacing"/>
              <w:jc w:val="right"/>
            </w:pPr>
            <w:r>
              <w:t>8,075</w:t>
            </w:r>
          </w:p>
        </w:tc>
        <w:tc>
          <w:tcPr>
            <w:tcW w:w="1276" w:type="dxa"/>
          </w:tcPr>
          <w:p w:rsidR="00553A5A" w:rsidRDefault="00553A5A" w:rsidP="002E022F">
            <w:pPr>
              <w:pStyle w:val="NoSpacing"/>
              <w:jc w:val="right"/>
            </w:pPr>
            <w:r>
              <w:t>3,438</w:t>
            </w:r>
          </w:p>
        </w:tc>
        <w:tc>
          <w:tcPr>
            <w:tcW w:w="1276" w:type="dxa"/>
          </w:tcPr>
          <w:p w:rsidR="00553A5A" w:rsidRDefault="00553A5A" w:rsidP="002E022F">
            <w:pPr>
              <w:pStyle w:val="NoSpacing"/>
              <w:jc w:val="right"/>
            </w:pPr>
            <w:r>
              <w:t>8,211</w:t>
            </w:r>
          </w:p>
        </w:tc>
        <w:tc>
          <w:tcPr>
            <w:tcW w:w="1134" w:type="dxa"/>
          </w:tcPr>
          <w:p w:rsidR="00553A5A" w:rsidRDefault="00553A5A" w:rsidP="002E022F">
            <w:pPr>
              <w:pStyle w:val="NoSpacing"/>
              <w:jc w:val="right"/>
            </w:pPr>
            <w:r>
              <w:t>6,478</w:t>
            </w:r>
          </w:p>
        </w:tc>
      </w:tr>
      <w:tr w:rsidR="00553A5A" w:rsidTr="002E022F">
        <w:tc>
          <w:tcPr>
            <w:tcW w:w="8784" w:type="dxa"/>
          </w:tcPr>
          <w:p w:rsidR="00553A5A" w:rsidRDefault="00553A5A" w:rsidP="00553A5A">
            <w:pPr>
              <w:pStyle w:val="NoSpacing"/>
            </w:pPr>
            <w:r>
              <w:t>Total contractual payables</w:t>
            </w:r>
          </w:p>
        </w:tc>
        <w:tc>
          <w:tcPr>
            <w:tcW w:w="1417" w:type="dxa"/>
          </w:tcPr>
          <w:p w:rsidR="00553A5A" w:rsidRDefault="00553A5A" w:rsidP="00553A5A">
            <w:pPr>
              <w:pStyle w:val="NoSpacing"/>
              <w:jc w:val="right"/>
            </w:pPr>
            <w:r>
              <w:t>8,075</w:t>
            </w:r>
          </w:p>
        </w:tc>
        <w:tc>
          <w:tcPr>
            <w:tcW w:w="1276" w:type="dxa"/>
          </w:tcPr>
          <w:p w:rsidR="00553A5A" w:rsidRDefault="00553A5A" w:rsidP="00553A5A">
            <w:pPr>
              <w:pStyle w:val="NoSpacing"/>
              <w:jc w:val="right"/>
            </w:pPr>
            <w:r>
              <w:t>3,438</w:t>
            </w:r>
          </w:p>
        </w:tc>
        <w:tc>
          <w:tcPr>
            <w:tcW w:w="1276" w:type="dxa"/>
          </w:tcPr>
          <w:p w:rsidR="00553A5A" w:rsidRDefault="00553A5A" w:rsidP="00553A5A">
            <w:pPr>
              <w:pStyle w:val="NoSpacing"/>
              <w:jc w:val="right"/>
            </w:pPr>
            <w:r>
              <w:t>8,211</w:t>
            </w:r>
          </w:p>
        </w:tc>
        <w:tc>
          <w:tcPr>
            <w:tcW w:w="1134" w:type="dxa"/>
          </w:tcPr>
          <w:p w:rsidR="00553A5A" w:rsidRDefault="00553A5A" w:rsidP="00553A5A">
            <w:pPr>
              <w:pStyle w:val="NoSpacing"/>
              <w:jc w:val="right"/>
            </w:pPr>
            <w:r>
              <w:t>6,478</w:t>
            </w:r>
          </w:p>
        </w:tc>
      </w:tr>
    </w:tbl>
    <w:p w:rsidR="00553A5A" w:rsidRDefault="00553A5A" w:rsidP="00553A5A">
      <w:pPr>
        <w:pStyle w:val="NoSpacing"/>
        <w:rPr>
          <w:rFonts w:cstheme="minorHAnsi"/>
        </w:rPr>
      </w:pPr>
    </w:p>
    <w:p w:rsidR="00553A5A" w:rsidRDefault="00553A5A" w:rsidP="00553A5A">
      <w:pPr>
        <w:pStyle w:val="NoSpacing"/>
        <w:rPr>
          <w:rFonts w:cstheme="minorHAnsi"/>
        </w:rPr>
      </w:pPr>
      <w:r>
        <w:rPr>
          <w:rFonts w:cstheme="minorHAnsi"/>
        </w:rPr>
        <w:t>Statutory</w:t>
      </w:r>
    </w:p>
    <w:tbl>
      <w:tblPr>
        <w:tblStyle w:val="TableGrid"/>
        <w:tblW w:w="0" w:type="auto"/>
        <w:tblLook w:val="04A0" w:firstRow="1" w:lastRow="0" w:firstColumn="1" w:lastColumn="0" w:noHBand="0" w:noVBand="1"/>
      </w:tblPr>
      <w:tblGrid>
        <w:gridCol w:w="8784"/>
        <w:gridCol w:w="1417"/>
        <w:gridCol w:w="1276"/>
        <w:gridCol w:w="1276"/>
        <w:gridCol w:w="1134"/>
      </w:tblGrid>
      <w:tr w:rsidR="00553A5A" w:rsidTr="002E022F">
        <w:tc>
          <w:tcPr>
            <w:tcW w:w="8784" w:type="dxa"/>
          </w:tcPr>
          <w:p w:rsidR="00553A5A" w:rsidRDefault="00553A5A" w:rsidP="002E022F">
            <w:pPr>
              <w:pStyle w:val="NoSpacing"/>
            </w:pPr>
            <w:r>
              <w:t>GST payable</w:t>
            </w:r>
          </w:p>
        </w:tc>
        <w:tc>
          <w:tcPr>
            <w:tcW w:w="1417" w:type="dxa"/>
          </w:tcPr>
          <w:p w:rsidR="00553A5A" w:rsidRDefault="00553A5A" w:rsidP="002E022F">
            <w:pPr>
              <w:pStyle w:val="NoSpacing"/>
              <w:jc w:val="right"/>
            </w:pPr>
            <w:r>
              <w:t>(68)</w:t>
            </w:r>
          </w:p>
        </w:tc>
        <w:tc>
          <w:tcPr>
            <w:tcW w:w="1276" w:type="dxa"/>
          </w:tcPr>
          <w:p w:rsidR="00553A5A" w:rsidRDefault="00553A5A" w:rsidP="002E022F">
            <w:pPr>
              <w:pStyle w:val="NoSpacing"/>
              <w:jc w:val="right"/>
            </w:pPr>
            <w:r>
              <w:t>138</w:t>
            </w:r>
          </w:p>
        </w:tc>
        <w:tc>
          <w:tcPr>
            <w:tcW w:w="1276" w:type="dxa"/>
          </w:tcPr>
          <w:p w:rsidR="00553A5A" w:rsidRDefault="00553A5A" w:rsidP="002E022F">
            <w:pPr>
              <w:pStyle w:val="NoSpacing"/>
              <w:jc w:val="right"/>
            </w:pPr>
            <w:r>
              <w:t>(56)</w:t>
            </w:r>
          </w:p>
        </w:tc>
        <w:tc>
          <w:tcPr>
            <w:tcW w:w="1134" w:type="dxa"/>
          </w:tcPr>
          <w:p w:rsidR="00553A5A" w:rsidRDefault="00553A5A" w:rsidP="002E022F">
            <w:pPr>
              <w:pStyle w:val="NoSpacing"/>
              <w:jc w:val="right"/>
            </w:pPr>
            <w:r>
              <w:t>239</w:t>
            </w:r>
          </w:p>
        </w:tc>
      </w:tr>
      <w:tr w:rsidR="00553A5A" w:rsidTr="002E022F">
        <w:tc>
          <w:tcPr>
            <w:tcW w:w="8784" w:type="dxa"/>
          </w:tcPr>
          <w:p w:rsidR="00553A5A" w:rsidRDefault="00553A5A" w:rsidP="002E022F">
            <w:pPr>
              <w:pStyle w:val="NoSpacing"/>
            </w:pPr>
            <w:r>
              <w:t>FBT payable</w:t>
            </w:r>
          </w:p>
        </w:tc>
        <w:tc>
          <w:tcPr>
            <w:tcW w:w="1417" w:type="dxa"/>
          </w:tcPr>
          <w:p w:rsidR="00553A5A" w:rsidRDefault="00553A5A" w:rsidP="002E022F">
            <w:pPr>
              <w:pStyle w:val="NoSpacing"/>
              <w:jc w:val="right"/>
            </w:pPr>
            <w:r>
              <w:t>25</w:t>
            </w:r>
          </w:p>
        </w:tc>
        <w:tc>
          <w:tcPr>
            <w:tcW w:w="1276" w:type="dxa"/>
          </w:tcPr>
          <w:p w:rsidR="00553A5A" w:rsidRDefault="00553A5A" w:rsidP="002E022F">
            <w:pPr>
              <w:pStyle w:val="NoSpacing"/>
              <w:jc w:val="right"/>
            </w:pPr>
            <w:r>
              <w:t>26</w:t>
            </w:r>
          </w:p>
        </w:tc>
        <w:tc>
          <w:tcPr>
            <w:tcW w:w="1276" w:type="dxa"/>
          </w:tcPr>
          <w:p w:rsidR="00553A5A" w:rsidRDefault="00553A5A" w:rsidP="002E022F">
            <w:pPr>
              <w:pStyle w:val="NoSpacing"/>
              <w:jc w:val="right"/>
            </w:pPr>
            <w:r>
              <w:t>25</w:t>
            </w:r>
          </w:p>
        </w:tc>
        <w:tc>
          <w:tcPr>
            <w:tcW w:w="1134" w:type="dxa"/>
          </w:tcPr>
          <w:p w:rsidR="00553A5A" w:rsidRDefault="00553A5A" w:rsidP="002E022F">
            <w:pPr>
              <w:pStyle w:val="NoSpacing"/>
              <w:jc w:val="right"/>
            </w:pPr>
            <w:r>
              <w:t>26</w:t>
            </w:r>
          </w:p>
        </w:tc>
      </w:tr>
      <w:tr w:rsidR="00553A5A" w:rsidTr="002E022F">
        <w:tc>
          <w:tcPr>
            <w:tcW w:w="8784" w:type="dxa"/>
          </w:tcPr>
          <w:p w:rsidR="00553A5A" w:rsidRDefault="00553A5A" w:rsidP="002E022F">
            <w:pPr>
              <w:pStyle w:val="NoSpacing"/>
            </w:pPr>
            <w:r>
              <w:t>Other taxes payable</w:t>
            </w:r>
          </w:p>
        </w:tc>
        <w:tc>
          <w:tcPr>
            <w:tcW w:w="1417" w:type="dxa"/>
          </w:tcPr>
          <w:p w:rsidR="00553A5A" w:rsidRDefault="00553A5A" w:rsidP="002E022F">
            <w:pPr>
              <w:pStyle w:val="NoSpacing"/>
              <w:jc w:val="right"/>
            </w:pPr>
            <w:r>
              <w:t>310</w:t>
            </w:r>
          </w:p>
        </w:tc>
        <w:tc>
          <w:tcPr>
            <w:tcW w:w="1276" w:type="dxa"/>
          </w:tcPr>
          <w:p w:rsidR="00553A5A" w:rsidRDefault="00553A5A" w:rsidP="002E022F">
            <w:pPr>
              <w:pStyle w:val="NoSpacing"/>
              <w:jc w:val="right"/>
            </w:pPr>
            <w:r>
              <w:t>266</w:t>
            </w:r>
          </w:p>
        </w:tc>
        <w:tc>
          <w:tcPr>
            <w:tcW w:w="1276" w:type="dxa"/>
          </w:tcPr>
          <w:p w:rsidR="00553A5A" w:rsidRDefault="00553A5A" w:rsidP="002E022F">
            <w:pPr>
              <w:pStyle w:val="NoSpacing"/>
              <w:jc w:val="right"/>
            </w:pPr>
            <w:r>
              <w:t>297</w:t>
            </w:r>
          </w:p>
        </w:tc>
        <w:tc>
          <w:tcPr>
            <w:tcW w:w="1134" w:type="dxa"/>
          </w:tcPr>
          <w:p w:rsidR="00553A5A" w:rsidRDefault="00553A5A" w:rsidP="002E022F">
            <w:pPr>
              <w:pStyle w:val="NoSpacing"/>
              <w:jc w:val="right"/>
            </w:pPr>
            <w:r>
              <w:t>255</w:t>
            </w:r>
          </w:p>
        </w:tc>
      </w:tr>
      <w:tr w:rsidR="00553A5A" w:rsidTr="002E022F">
        <w:tc>
          <w:tcPr>
            <w:tcW w:w="8784" w:type="dxa"/>
          </w:tcPr>
          <w:p w:rsidR="00553A5A" w:rsidRDefault="00553A5A" w:rsidP="002E022F">
            <w:pPr>
              <w:pStyle w:val="NoSpacing"/>
            </w:pPr>
            <w:r>
              <w:t>Total statutory payables</w:t>
            </w:r>
          </w:p>
        </w:tc>
        <w:tc>
          <w:tcPr>
            <w:tcW w:w="1417" w:type="dxa"/>
          </w:tcPr>
          <w:p w:rsidR="00553A5A" w:rsidRDefault="00553A5A" w:rsidP="002E022F">
            <w:pPr>
              <w:pStyle w:val="NoSpacing"/>
              <w:jc w:val="right"/>
            </w:pPr>
            <w:r>
              <w:t>267</w:t>
            </w:r>
          </w:p>
        </w:tc>
        <w:tc>
          <w:tcPr>
            <w:tcW w:w="1276" w:type="dxa"/>
          </w:tcPr>
          <w:p w:rsidR="00553A5A" w:rsidRDefault="00553A5A" w:rsidP="002E022F">
            <w:pPr>
              <w:pStyle w:val="NoSpacing"/>
              <w:jc w:val="right"/>
            </w:pPr>
            <w:r>
              <w:t>430</w:t>
            </w:r>
          </w:p>
        </w:tc>
        <w:tc>
          <w:tcPr>
            <w:tcW w:w="1276" w:type="dxa"/>
          </w:tcPr>
          <w:p w:rsidR="00553A5A" w:rsidRDefault="00553A5A" w:rsidP="002E022F">
            <w:pPr>
              <w:pStyle w:val="NoSpacing"/>
              <w:jc w:val="right"/>
            </w:pPr>
            <w:r>
              <w:t>266</w:t>
            </w:r>
          </w:p>
        </w:tc>
        <w:tc>
          <w:tcPr>
            <w:tcW w:w="1134" w:type="dxa"/>
          </w:tcPr>
          <w:p w:rsidR="00553A5A" w:rsidRDefault="00553A5A" w:rsidP="002E022F">
            <w:pPr>
              <w:pStyle w:val="NoSpacing"/>
              <w:jc w:val="right"/>
            </w:pPr>
            <w:r>
              <w:t>520</w:t>
            </w:r>
          </w:p>
        </w:tc>
      </w:tr>
    </w:tbl>
    <w:p w:rsidR="00553A5A" w:rsidRDefault="00553A5A" w:rsidP="00553A5A">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276"/>
        <w:gridCol w:w="1134"/>
      </w:tblGrid>
      <w:tr w:rsidR="00553A5A" w:rsidTr="002E022F">
        <w:tc>
          <w:tcPr>
            <w:tcW w:w="8784" w:type="dxa"/>
          </w:tcPr>
          <w:p w:rsidR="00553A5A" w:rsidRDefault="00553A5A" w:rsidP="002E022F">
            <w:pPr>
              <w:pStyle w:val="NoSpacing"/>
            </w:pPr>
            <w:r>
              <w:t xml:space="preserve">Total current payables </w:t>
            </w:r>
          </w:p>
        </w:tc>
        <w:tc>
          <w:tcPr>
            <w:tcW w:w="1417" w:type="dxa"/>
          </w:tcPr>
          <w:p w:rsidR="00553A5A" w:rsidRDefault="00553A5A" w:rsidP="002E022F">
            <w:pPr>
              <w:pStyle w:val="NoSpacing"/>
              <w:jc w:val="right"/>
            </w:pPr>
            <w:r>
              <w:t>8,342</w:t>
            </w:r>
          </w:p>
        </w:tc>
        <w:tc>
          <w:tcPr>
            <w:tcW w:w="1276" w:type="dxa"/>
          </w:tcPr>
          <w:p w:rsidR="00553A5A" w:rsidRDefault="00553A5A" w:rsidP="002E022F">
            <w:pPr>
              <w:pStyle w:val="NoSpacing"/>
              <w:jc w:val="right"/>
            </w:pPr>
            <w:r>
              <w:t>6,868</w:t>
            </w:r>
          </w:p>
        </w:tc>
        <w:tc>
          <w:tcPr>
            <w:tcW w:w="1276" w:type="dxa"/>
          </w:tcPr>
          <w:p w:rsidR="00553A5A" w:rsidRDefault="00553A5A" w:rsidP="002E022F">
            <w:pPr>
              <w:pStyle w:val="NoSpacing"/>
              <w:jc w:val="right"/>
            </w:pPr>
            <w:r>
              <w:t>8,477</w:t>
            </w:r>
          </w:p>
        </w:tc>
        <w:tc>
          <w:tcPr>
            <w:tcW w:w="1134" w:type="dxa"/>
          </w:tcPr>
          <w:p w:rsidR="00553A5A" w:rsidRDefault="00553A5A" w:rsidP="002E022F">
            <w:pPr>
              <w:pStyle w:val="NoSpacing"/>
              <w:jc w:val="right"/>
            </w:pPr>
            <w:r>
              <w:t>6,998</w:t>
            </w:r>
          </w:p>
        </w:tc>
      </w:tr>
    </w:tbl>
    <w:p w:rsidR="008435ED" w:rsidRDefault="008435ED" w:rsidP="008421BC">
      <w:pPr>
        <w:pStyle w:val="NoSpacing"/>
      </w:pPr>
    </w:p>
    <w:p w:rsidR="00553A5A" w:rsidRPr="00A450BC" w:rsidRDefault="00553A5A" w:rsidP="00553A5A">
      <w:pPr>
        <w:pStyle w:val="NoSpacing"/>
        <w:rPr>
          <w:rFonts w:cstheme="minorHAnsi"/>
        </w:rPr>
      </w:pPr>
      <w:r w:rsidRPr="00A450BC">
        <w:rPr>
          <w:rFonts w:cstheme="minorHAnsi"/>
        </w:rPr>
        <w:t>Payables consist of:</w:t>
      </w:r>
    </w:p>
    <w:p w:rsidR="00553A5A" w:rsidRDefault="00553A5A" w:rsidP="00553A5A">
      <w:pPr>
        <w:pStyle w:val="NoSpacing"/>
      </w:pPr>
      <w:r>
        <w:t xml:space="preserve">• </w:t>
      </w:r>
      <w:r w:rsidR="00F54F93">
        <w:t>Contractual</w:t>
      </w:r>
      <w:r>
        <w:t xml:space="preserve"> payables, such as accounts payable, and unearned income. Accounts payable represent liabilities for goods and services provided to Chisholm prior to the end of the financial year that are unpaid, and arise when Chisholm becomes obliged to make future payments in respect of the purchase of those goods and services; and</w:t>
      </w:r>
    </w:p>
    <w:p w:rsidR="00553A5A" w:rsidRDefault="00553A5A" w:rsidP="00553A5A">
      <w:pPr>
        <w:pStyle w:val="NoSpacing"/>
      </w:pPr>
      <w:r>
        <w:t xml:space="preserve">• </w:t>
      </w:r>
      <w:r w:rsidR="00F54F93">
        <w:t>Statutory</w:t>
      </w:r>
      <w:r>
        <w:t xml:space="preserve"> payables, such as goods and services tax and fringe benefits tax payables.</w:t>
      </w:r>
    </w:p>
    <w:p w:rsidR="00553A5A" w:rsidRDefault="00553A5A" w:rsidP="00553A5A">
      <w:pPr>
        <w:pStyle w:val="NoSpacing"/>
      </w:pPr>
      <w:r>
        <w:t>Contractual payables are classified as financial instruments and categorised as financial liabilities at amortised cost.</w:t>
      </w:r>
    </w:p>
    <w:p w:rsidR="00553A5A" w:rsidRPr="00A450BC" w:rsidRDefault="00553A5A" w:rsidP="00553A5A">
      <w:pPr>
        <w:pStyle w:val="NoSpacing"/>
      </w:pPr>
      <w:r>
        <w:t>Statutory payables are recognised and measured similarly to contractual payables, but are not classified as financial instruments and not included in the category of financial liabilities at amortised cost, because they do not arise from a contract.</w:t>
      </w:r>
    </w:p>
    <w:p w:rsidR="00553A5A" w:rsidRDefault="00553A5A" w:rsidP="008421BC">
      <w:pPr>
        <w:pStyle w:val="NoSpacing"/>
      </w:pPr>
    </w:p>
    <w:p w:rsidR="00553A5A" w:rsidRDefault="00553A5A" w:rsidP="00553A5A">
      <w:pPr>
        <w:pStyle w:val="NoSpacing"/>
        <w:rPr>
          <w:rFonts w:cstheme="minorHAnsi"/>
        </w:rPr>
      </w:pPr>
      <w:r>
        <w:rPr>
          <w:rFonts w:cstheme="minorHAnsi"/>
        </w:rPr>
        <w:t>&lt;pp&gt;65</w:t>
      </w:r>
    </w:p>
    <w:p w:rsidR="00553A5A" w:rsidRDefault="00553A5A" w:rsidP="00553A5A">
      <w:pPr>
        <w:pStyle w:val="NoSpacing"/>
        <w:rPr>
          <w:rFonts w:cstheme="minorHAnsi"/>
        </w:rPr>
      </w:pPr>
    </w:p>
    <w:p w:rsidR="00553A5A" w:rsidRDefault="00553A5A" w:rsidP="00D36BB2">
      <w:pPr>
        <w:pStyle w:val="Heading3"/>
      </w:pPr>
      <w:r w:rsidRPr="00D814AC">
        <w:lastRenderedPageBreak/>
        <w:t>5. Balances from operations</w:t>
      </w:r>
      <w:r>
        <w:t xml:space="preserve"> (continued)</w:t>
      </w:r>
    </w:p>
    <w:p w:rsidR="00553A5A" w:rsidRDefault="00553A5A" w:rsidP="00553A5A">
      <w:pPr>
        <w:pStyle w:val="NoSpacing"/>
        <w:rPr>
          <w:rFonts w:cstheme="minorHAnsi"/>
        </w:rPr>
      </w:pPr>
    </w:p>
    <w:p w:rsidR="00553A5A" w:rsidRDefault="00553A5A" w:rsidP="00D36BB2">
      <w:pPr>
        <w:pStyle w:val="Heading4"/>
      </w:pPr>
      <w:r>
        <w:t>5.2 Payables (continued)</w:t>
      </w:r>
    </w:p>
    <w:p w:rsidR="00553A5A" w:rsidRDefault="00553A5A" w:rsidP="00553A5A">
      <w:pPr>
        <w:pStyle w:val="NoSpacing"/>
        <w:rPr>
          <w:rFonts w:cstheme="minorHAnsi"/>
        </w:rPr>
      </w:pPr>
    </w:p>
    <w:p w:rsidR="00553A5A" w:rsidRDefault="00553A5A" w:rsidP="00553A5A">
      <w:pPr>
        <w:pStyle w:val="NoSpacing"/>
        <w:rPr>
          <w:rFonts w:cstheme="minorHAnsi"/>
        </w:rPr>
      </w:pPr>
    </w:p>
    <w:tbl>
      <w:tblPr>
        <w:tblStyle w:val="TableGrid"/>
        <w:tblW w:w="0" w:type="auto"/>
        <w:tblInd w:w="5949" w:type="dxa"/>
        <w:tblLook w:val="04A0" w:firstRow="1" w:lastRow="0" w:firstColumn="1" w:lastColumn="0" w:noHBand="0" w:noVBand="1"/>
      </w:tblPr>
      <w:tblGrid>
        <w:gridCol w:w="1417"/>
        <w:gridCol w:w="1418"/>
        <w:gridCol w:w="1417"/>
        <w:gridCol w:w="1276"/>
        <w:gridCol w:w="1276"/>
        <w:gridCol w:w="1195"/>
      </w:tblGrid>
      <w:tr w:rsidR="00553A5A" w:rsidTr="002E022F">
        <w:tc>
          <w:tcPr>
            <w:tcW w:w="1417" w:type="dxa"/>
            <w:vAlign w:val="bottom"/>
          </w:tcPr>
          <w:p w:rsidR="00553A5A" w:rsidRDefault="00553A5A" w:rsidP="002E022F">
            <w:pPr>
              <w:pStyle w:val="NoSpacing"/>
              <w:jc w:val="right"/>
              <w:rPr>
                <w:rFonts w:cstheme="minorHAnsi"/>
              </w:rPr>
            </w:pPr>
            <w:r>
              <w:rPr>
                <w:rFonts w:cstheme="minorHAnsi"/>
              </w:rPr>
              <w:t>Carrying amount</w:t>
            </w:r>
          </w:p>
        </w:tc>
        <w:tc>
          <w:tcPr>
            <w:tcW w:w="1418" w:type="dxa"/>
            <w:vAlign w:val="bottom"/>
          </w:tcPr>
          <w:p w:rsidR="00553A5A" w:rsidRDefault="00553A5A" w:rsidP="002E022F">
            <w:pPr>
              <w:pStyle w:val="NoSpacing"/>
              <w:jc w:val="right"/>
              <w:rPr>
                <w:rFonts w:cstheme="minorHAnsi"/>
              </w:rPr>
            </w:pPr>
            <w:r>
              <w:rPr>
                <w:rFonts w:cstheme="minorHAnsi"/>
              </w:rPr>
              <w:t>Nominal amount</w:t>
            </w:r>
          </w:p>
        </w:tc>
        <w:tc>
          <w:tcPr>
            <w:tcW w:w="1417" w:type="dxa"/>
            <w:vAlign w:val="bottom"/>
          </w:tcPr>
          <w:p w:rsidR="00553A5A" w:rsidRDefault="00553A5A" w:rsidP="002E022F">
            <w:pPr>
              <w:pStyle w:val="NoSpacing"/>
              <w:jc w:val="right"/>
              <w:rPr>
                <w:rFonts w:cstheme="minorHAnsi"/>
              </w:rPr>
            </w:pPr>
            <w:r>
              <w:rPr>
                <w:rFonts w:cstheme="minorHAnsi"/>
              </w:rPr>
              <w:t>Less than 1 month</w:t>
            </w:r>
          </w:p>
        </w:tc>
        <w:tc>
          <w:tcPr>
            <w:tcW w:w="1276" w:type="dxa"/>
            <w:vAlign w:val="bottom"/>
          </w:tcPr>
          <w:p w:rsidR="00553A5A" w:rsidRDefault="00553A5A" w:rsidP="002E022F">
            <w:pPr>
              <w:pStyle w:val="NoSpacing"/>
              <w:jc w:val="right"/>
              <w:rPr>
                <w:rFonts w:cstheme="minorHAnsi"/>
              </w:rPr>
            </w:pPr>
            <w:r>
              <w:rPr>
                <w:rFonts w:cstheme="minorHAnsi"/>
              </w:rPr>
              <w:t>1-3 months</w:t>
            </w:r>
          </w:p>
        </w:tc>
        <w:tc>
          <w:tcPr>
            <w:tcW w:w="1276" w:type="dxa"/>
            <w:vAlign w:val="bottom"/>
          </w:tcPr>
          <w:p w:rsidR="00553A5A" w:rsidRDefault="00553A5A" w:rsidP="002E022F">
            <w:pPr>
              <w:pStyle w:val="NoSpacing"/>
              <w:jc w:val="right"/>
              <w:rPr>
                <w:rFonts w:cstheme="minorHAnsi"/>
              </w:rPr>
            </w:pPr>
            <w:r>
              <w:rPr>
                <w:rFonts w:cstheme="minorHAnsi"/>
              </w:rPr>
              <w:t xml:space="preserve">3 months – 1 year </w:t>
            </w:r>
          </w:p>
        </w:tc>
        <w:tc>
          <w:tcPr>
            <w:tcW w:w="1195" w:type="dxa"/>
            <w:vAlign w:val="bottom"/>
          </w:tcPr>
          <w:p w:rsidR="00553A5A" w:rsidRDefault="00553A5A" w:rsidP="002E022F">
            <w:pPr>
              <w:pStyle w:val="NoSpacing"/>
              <w:jc w:val="right"/>
              <w:rPr>
                <w:rFonts w:cstheme="minorHAnsi"/>
              </w:rPr>
            </w:pPr>
            <w:r>
              <w:rPr>
                <w:rFonts w:cstheme="minorHAnsi"/>
              </w:rPr>
              <w:t>1-5 years</w:t>
            </w:r>
          </w:p>
        </w:tc>
      </w:tr>
      <w:tr w:rsidR="00553A5A" w:rsidTr="002E022F">
        <w:tc>
          <w:tcPr>
            <w:tcW w:w="1417" w:type="dxa"/>
          </w:tcPr>
          <w:p w:rsidR="00553A5A" w:rsidRDefault="00553A5A" w:rsidP="002E022F">
            <w:pPr>
              <w:jc w:val="right"/>
            </w:pPr>
            <w:r w:rsidRPr="00FF31DA">
              <w:rPr>
                <w:rFonts w:cstheme="minorHAnsi"/>
                <w:bCs/>
                <w:w w:val="105"/>
              </w:rPr>
              <w:t>$’000</w:t>
            </w:r>
          </w:p>
        </w:tc>
        <w:tc>
          <w:tcPr>
            <w:tcW w:w="1418" w:type="dxa"/>
          </w:tcPr>
          <w:p w:rsidR="00553A5A" w:rsidRDefault="00553A5A" w:rsidP="002E022F">
            <w:pPr>
              <w:jc w:val="right"/>
            </w:pPr>
            <w:r w:rsidRPr="00FF31DA">
              <w:rPr>
                <w:rFonts w:cstheme="minorHAnsi"/>
                <w:bCs/>
                <w:w w:val="105"/>
              </w:rPr>
              <w:t>$’000</w:t>
            </w:r>
          </w:p>
        </w:tc>
        <w:tc>
          <w:tcPr>
            <w:tcW w:w="1417" w:type="dxa"/>
          </w:tcPr>
          <w:p w:rsidR="00553A5A" w:rsidRDefault="00553A5A" w:rsidP="002E022F">
            <w:pPr>
              <w:jc w:val="right"/>
            </w:pPr>
            <w:r w:rsidRPr="00FF31DA">
              <w:rPr>
                <w:rFonts w:cstheme="minorHAnsi"/>
                <w:bCs/>
                <w:w w:val="105"/>
              </w:rPr>
              <w:t>$’000</w:t>
            </w:r>
          </w:p>
        </w:tc>
        <w:tc>
          <w:tcPr>
            <w:tcW w:w="1276" w:type="dxa"/>
          </w:tcPr>
          <w:p w:rsidR="00553A5A" w:rsidRDefault="00553A5A" w:rsidP="002E022F">
            <w:pPr>
              <w:jc w:val="right"/>
            </w:pPr>
            <w:r w:rsidRPr="00FF31DA">
              <w:rPr>
                <w:rFonts w:cstheme="minorHAnsi"/>
                <w:bCs/>
                <w:w w:val="105"/>
              </w:rPr>
              <w:t>$’000</w:t>
            </w:r>
          </w:p>
        </w:tc>
        <w:tc>
          <w:tcPr>
            <w:tcW w:w="1276" w:type="dxa"/>
          </w:tcPr>
          <w:p w:rsidR="00553A5A" w:rsidRDefault="00553A5A" w:rsidP="002E022F">
            <w:pPr>
              <w:jc w:val="right"/>
            </w:pPr>
            <w:r w:rsidRPr="00FF31DA">
              <w:rPr>
                <w:rFonts w:cstheme="minorHAnsi"/>
                <w:bCs/>
                <w:w w:val="105"/>
              </w:rPr>
              <w:t>$’000</w:t>
            </w:r>
          </w:p>
        </w:tc>
        <w:tc>
          <w:tcPr>
            <w:tcW w:w="1195" w:type="dxa"/>
          </w:tcPr>
          <w:p w:rsidR="00553A5A" w:rsidRDefault="00553A5A" w:rsidP="002E022F">
            <w:pPr>
              <w:jc w:val="right"/>
            </w:pPr>
            <w:r w:rsidRPr="00FF31DA">
              <w:rPr>
                <w:rFonts w:cstheme="minorHAnsi"/>
                <w:bCs/>
                <w:w w:val="105"/>
              </w:rPr>
              <w:t>$’000</w:t>
            </w:r>
          </w:p>
        </w:tc>
      </w:tr>
    </w:tbl>
    <w:p w:rsidR="00553A5A" w:rsidRDefault="00553A5A" w:rsidP="00553A5A">
      <w:pPr>
        <w:pStyle w:val="NoSpacing"/>
        <w:rPr>
          <w:rFonts w:cstheme="minorHAnsi"/>
        </w:rPr>
      </w:pPr>
      <w:r>
        <w:rPr>
          <w:rFonts w:cstheme="minorHAnsi"/>
        </w:rPr>
        <w:t>Consolidated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553A5A" w:rsidTr="002E022F">
        <w:tc>
          <w:tcPr>
            <w:tcW w:w="5949" w:type="dxa"/>
          </w:tcPr>
          <w:p w:rsidR="00553A5A" w:rsidRDefault="002A5DBB" w:rsidP="002E022F">
            <w:pPr>
              <w:pStyle w:val="NoSpacing"/>
              <w:rPr>
                <w:rFonts w:cstheme="minorHAnsi"/>
              </w:rPr>
            </w:pPr>
            <w:r>
              <w:rPr>
                <w:rFonts w:cstheme="minorHAnsi"/>
              </w:rPr>
              <w:t>Supplies and services</w:t>
            </w:r>
          </w:p>
        </w:tc>
        <w:tc>
          <w:tcPr>
            <w:tcW w:w="1417" w:type="dxa"/>
          </w:tcPr>
          <w:p w:rsidR="00553A5A" w:rsidRDefault="002A5DBB" w:rsidP="002E022F">
            <w:pPr>
              <w:pStyle w:val="NoSpacing"/>
              <w:jc w:val="right"/>
              <w:rPr>
                <w:rFonts w:cstheme="minorHAnsi"/>
              </w:rPr>
            </w:pPr>
            <w:r>
              <w:rPr>
                <w:rFonts w:cstheme="minorHAnsi"/>
              </w:rPr>
              <w:t>8,075</w:t>
            </w:r>
          </w:p>
        </w:tc>
        <w:tc>
          <w:tcPr>
            <w:tcW w:w="1418" w:type="dxa"/>
          </w:tcPr>
          <w:p w:rsidR="00553A5A" w:rsidRDefault="002A5DBB" w:rsidP="002E022F">
            <w:pPr>
              <w:pStyle w:val="NoSpacing"/>
              <w:jc w:val="right"/>
              <w:rPr>
                <w:rFonts w:cstheme="minorHAnsi"/>
              </w:rPr>
            </w:pPr>
            <w:r>
              <w:rPr>
                <w:rFonts w:cstheme="minorHAnsi"/>
              </w:rPr>
              <w:t>8,075</w:t>
            </w:r>
          </w:p>
        </w:tc>
        <w:tc>
          <w:tcPr>
            <w:tcW w:w="1417" w:type="dxa"/>
          </w:tcPr>
          <w:p w:rsidR="00553A5A" w:rsidRDefault="002A5DBB" w:rsidP="002E022F">
            <w:pPr>
              <w:pStyle w:val="NoSpacing"/>
              <w:jc w:val="right"/>
              <w:rPr>
                <w:rFonts w:cstheme="minorHAnsi"/>
              </w:rPr>
            </w:pPr>
            <w:r>
              <w:rPr>
                <w:rFonts w:cstheme="minorHAnsi"/>
              </w:rPr>
              <w:t>7,647</w:t>
            </w:r>
          </w:p>
        </w:tc>
        <w:tc>
          <w:tcPr>
            <w:tcW w:w="1276" w:type="dxa"/>
          </w:tcPr>
          <w:p w:rsidR="00553A5A" w:rsidRDefault="002A5DBB" w:rsidP="002E022F">
            <w:pPr>
              <w:pStyle w:val="NoSpacing"/>
              <w:jc w:val="right"/>
              <w:rPr>
                <w:rFonts w:cstheme="minorHAnsi"/>
              </w:rPr>
            </w:pPr>
            <w:r>
              <w:rPr>
                <w:rFonts w:cstheme="minorHAnsi"/>
              </w:rPr>
              <w:t>428</w:t>
            </w:r>
          </w:p>
        </w:tc>
        <w:tc>
          <w:tcPr>
            <w:tcW w:w="1276" w:type="dxa"/>
          </w:tcPr>
          <w:p w:rsidR="00553A5A" w:rsidRDefault="002A5DBB" w:rsidP="002E022F">
            <w:pPr>
              <w:pStyle w:val="NoSpacing"/>
              <w:jc w:val="right"/>
              <w:rPr>
                <w:rFonts w:cstheme="minorHAnsi"/>
              </w:rPr>
            </w:pPr>
            <w:r>
              <w:rPr>
                <w:rFonts w:cstheme="minorHAnsi"/>
              </w:rPr>
              <w:t>-</w:t>
            </w:r>
          </w:p>
        </w:tc>
        <w:tc>
          <w:tcPr>
            <w:tcW w:w="1195" w:type="dxa"/>
          </w:tcPr>
          <w:p w:rsidR="00553A5A" w:rsidRDefault="002A5DBB" w:rsidP="002E022F">
            <w:pPr>
              <w:pStyle w:val="NoSpacing"/>
              <w:jc w:val="right"/>
              <w:rPr>
                <w:rFonts w:cstheme="minorHAnsi"/>
              </w:rPr>
            </w:pPr>
            <w:r>
              <w:rPr>
                <w:rFonts w:cstheme="minorHAnsi"/>
              </w:rPr>
              <w:t>-</w:t>
            </w:r>
          </w:p>
        </w:tc>
      </w:tr>
      <w:tr w:rsidR="002A5DBB" w:rsidTr="002E022F">
        <w:tc>
          <w:tcPr>
            <w:tcW w:w="5949" w:type="dxa"/>
          </w:tcPr>
          <w:p w:rsidR="002A5DBB" w:rsidRDefault="002A5DBB" w:rsidP="002A5DBB">
            <w:pPr>
              <w:pStyle w:val="NoSpacing"/>
              <w:rPr>
                <w:rFonts w:cstheme="minorHAnsi"/>
              </w:rPr>
            </w:pPr>
            <w:r>
              <w:rPr>
                <w:rFonts w:cstheme="minorHAnsi"/>
              </w:rPr>
              <w:t>Total</w:t>
            </w:r>
          </w:p>
        </w:tc>
        <w:tc>
          <w:tcPr>
            <w:tcW w:w="1417" w:type="dxa"/>
          </w:tcPr>
          <w:p w:rsidR="002A5DBB" w:rsidRDefault="002A5DBB" w:rsidP="002A5DBB">
            <w:pPr>
              <w:pStyle w:val="NoSpacing"/>
              <w:jc w:val="right"/>
              <w:rPr>
                <w:rFonts w:cstheme="minorHAnsi"/>
              </w:rPr>
            </w:pPr>
            <w:r>
              <w:rPr>
                <w:rFonts w:cstheme="minorHAnsi"/>
              </w:rPr>
              <w:t>8,075</w:t>
            </w:r>
          </w:p>
        </w:tc>
        <w:tc>
          <w:tcPr>
            <w:tcW w:w="1418" w:type="dxa"/>
          </w:tcPr>
          <w:p w:rsidR="002A5DBB" w:rsidRDefault="002A5DBB" w:rsidP="002A5DBB">
            <w:pPr>
              <w:pStyle w:val="NoSpacing"/>
              <w:jc w:val="right"/>
              <w:rPr>
                <w:rFonts w:cstheme="minorHAnsi"/>
              </w:rPr>
            </w:pPr>
            <w:r>
              <w:rPr>
                <w:rFonts w:cstheme="minorHAnsi"/>
              </w:rPr>
              <w:t>8,075</w:t>
            </w:r>
          </w:p>
        </w:tc>
        <w:tc>
          <w:tcPr>
            <w:tcW w:w="1417" w:type="dxa"/>
          </w:tcPr>
          <w:p w:rsidR="002A5DBB" w:rsidRDefault="002A5DBB" w:rsidP="002A5DBB">
            <w:pPr>
              <w:pStyle w:val="NoSpacing"/>
              <w:jc w:val="right"/>
              <w:rPr>
                <w:rFonts w:cstheme="minorHAnsi"/>
              </w:rPr>
            </w:pPr>
            <w:r>
              <w:rPr>
                <w:rFonts w:cstheme="minorHAnsi"/>
              </w:rPr>
              <w:t>7,647</w:t>
            </w:r>
          </w:p>
        </w:tc>
        <w:tc>
          <w:tcPr>
            <w:tcW w:w="1276" w:type="dxa"/>
          </w:tcPr>
          <w:p w:rsidR="002A5DBB" w:rsidRDefault="002A5DBB" w:rsidP="002A5DBB">
            <w:pPr>
              <w:pStyle w:val="NoSpacing"/>
              <w:jc w:val="right"/>
              <w:rPr>
                <w:rFonts w:cstheme="minorHAnsi"/>
              </w:rPr>
            </w:pPr>
            <w:r>
              <w:rPr>
                <w:rFonts w:cstheme="minorHAnsi"/>
              </w:rPr>
              <w:t>428</w:t>
            </w:r>
          </w:p>
        </w:tc>
        <w:tc>
          <w:tcPr>
            <w:tcW w:w="1276" w:type="dxa"/>
          </w:tcPr>
          <w:p w:rsidR="002A5DBB" w:rsidRDefault="002A5DBB" w:rsidP="002A5DBB">
            <w:pPr>
              <w:pStyle w:val="NoSpacing"/>
              <w:jc w:val="right"/>
              <w:rPr>
                <w:rFonts w:cstheme="minorHAnsi"/>
              </w:rPr>
            </w:pPr>
            <w:r>
              <w:rPr>
                <w:rFonts w:cstheme="minorHAnsi"/>
              </w:rPr>
              <w:t>-</w:t>
            </w:r>
          </w:p>
        </w:tc>
        <w:tc>
          <w:tcPr>
            <w:tcW w:w="1195" w:type="dxa"/>
          </w:tcPr>
          <w:p w:rsidR="002A5DBB" w:rsidRDefault="002A5DBB" w:rsidP="002A5DBB">
            <w:pPr>
              <w:pStyle w:val="NoSpacing"/>
              <w:jc w:val="right"/>
              <w:rPr>
                <w:rFonts w:cstheme="minorHAnsi"/>
              </w:rPr>
            </w:pPr>
            <w:r>
              <w:rPr>
                <w:rFonts w:cstheme="minorHAnsi"/>
              </w:rPr>
              <w:t>-</w:t>
            </w:r>
          </w:p>
        </w:tc>
      </w:tr>
    </w:tbl>
    <w:p w:rsidR="00553A5A" w:rsidRDefault="00553A5A" w:rsidP="00553A5A">
      <w:pPr>
        <w:pStyle w:val="NoSpacing"/>
        <w:rPr>
          <w:rFonts w:cstheme="minorHAnsi"/>
        </w:rPr>
      </w:pPr>
    </w:p>
    <w:p w:rsidR="00553A5A" w:rsidRDefault="00553A5A" w:rsidP="00553A5A">
      <w:pPr>
        <w:pStyle w:val="NoSpacing"/>
        <w:rPr>
          <w:rFonts w:cstheme="minorHAnsi"/>
        </w:rPr>
      </w:pPr>
      <w:r>
        <w:rPr>
          <w:rFonts w:cstheme="minorHAnsi"/>
        </w:rPr>
        <w:t>Consolidated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553A5A" w:rsidTr="002E022F">
        <w:tc>
          <w:tcPr>
            <w:tcW w:w="5949" w:type="dxa"/>
          </w:tcPr>
          <w:p w:rsidR="00553A5A" w:rsidRDefault="002A5DBB" w:rsidP="002E022F">
            <w:pPr>
              <w:pStyle w:val="NoSpacing"/>
              <w:rPr>
                <w:rFonts w:cstheme="minorHAnsi"/>
              </w:rPr>
            </w:pPr>
            <w:r>
              <w:rPr>
                <w:rFonts w:cstheme="minorHAnsi"/>
              </w:rPr>
              <w:t xml:space="preserve">Supplies and services </w:t>
            </w:r>
          </w:p>
        </w:tc>
        <w:tc>
          <w:tcPr>
            <w:tcW w:w="1417" w:type="dxa"/>
          </w:tcPr>
          <w:p w:rsidR="00553A5A" w:rsidRDefault="002A5DBB" w:rsidP="002E022F">
            <w:pPr>
              <w:pStyle w:val="NoSpacing"/>
              <w:jc w:val="right"/>
              <w:rPr>
                <w:rFonts w:cstheme="minorHAnsi"/>
              </w:rPr>
            </w:pPr>
            <w:r>
              <w:rPr>
                <w:rFonts w:cstheme="minorHAnsi"/>
              </w:rPr>
              <w:t>6,438</w:t>
            </w:r>
          </w:p>
        </w:tc>
        <w:tc>
          <w:tcPr>
            <w:tcW w:w="1418" w:type="dxa"/>
          </w:tcPr>
          <w:p w:rsidR="00553A5A" w:rsidRDefault="002A5DBB" w:rsidP="002E022F">
            <w:pPr>
              <w:pStyle w:val="NoSpacing"/>
              <w:jc w:val="right"/>
              <w:rPr>
                <w:rFonts w:cstheme="minorHAnsi"/>
              </w:rPr>
            </w:pPr>
            <w:r>
              <w:rPr>
                <w:rFonts w:cstheme="minorHAnsi"/>
              </w:rPr>
              <w:t>6,438</w:t>
            </w:r>
          </w:p>
        </w:tc>
        <w:tc>
          <w:tcPr>
            <w:tcW w:w="1417" w:type="dxa"/>
          </w:tcPr>
          <w:p w:rsidR="00553A5A" w:rsidRDefault="002A5DBB" w:rsidP="002E022F">
            <w:pPr>
              <w:pStyle w:val="NoSpacing"/>
              <w:jc w:val="right"/>
              <w:rPr>
                <w:rFonts w:cstheme="minorHAnsi"/>
              </w:rPr>
            </w:pPr>
            <w:r>
              <w:rPr>
                <w:rFonts w:cstheme="minorHAnsi"/>
              </w:rPr>
              <w:t>6,020</w:t>
            </w:r>
          </w:p>
        </w:tc>
        <w:tc>
          <w:tcPr>
            <w:tcW w:w="1276" w:type="dxa"/>
          </w:tcPr>
          <w:p w:rsidR="00553A5A" w:rsidRDefault="002A5DBB" w:rsidP="002E022F">
            <w:pPr>
              <w:pStyle w:val="NoSpacing"/>
              <w:jc w:val="right"/>
              <w:rPr>
                <w:rFonts w:cstheme="minorHAnsi"/>
              </w:rPr>
            </w:pPr>
            <w:r>
              <w:rPr>
                <w:rFonts w:cstheme="minorHAnsi"/>
              </w:rPr>
              <w:t>418</w:t>
            </w:r>
          </w:p>
        </w:tc>
        <w:tc>
          <w:tcPr>
            <w:tcW w:w="1276" w:type="dxa"/>
          </w:tcPr>
          <w:p w:rsidR="00553A5A" w:rsidRDefault="002A5DBB" w:rsidP="002E022F">
            <w:pPr>
              <w:pStyle w:val="NoSpacing"/>
              <w:jc w:val="right"/>
              <w:rPr>
                <w:rFonts w:cstheme="minorHAnsi"/>
              </w:rPr>
            </w:pPr>
            <w:r>
              <w:rPr>
                <w:rFonts w:cstheme="minorHAnsi"/>
              </w:rPr>
              <w:t>-</w:t>
            </w:r>
          </w:p>
        </w:tc>
        <w:tc>
          <w:tcPr>
            <w:tcW w:w="1195" w:type="dxa"/>
          </w:tcPr>
          <w:p w:rsidR="00553A5A" w:rsidRDefault="002A5DBB" w:rsidP="002E022F">
            <w:pPr>
              <w:pStyle w:val="NoSpacing"/>
              <w:jc w:val="right"/>
              <w:rPr>
                <w:rFonts w:cstheme="minorHAnsi"/>
              </w:rPr>
            </w:pPr>
            <w:r>
              <w:rPr>
                <w:rFonts w:cstheme="minorHAnsi"/>
              </w:rPr>
              <w:t>-</w:t>
            </w:r>
          </w:p>
        </w:tc>
      </w:tr>
      <w:tr w:rsidR="002A5DBB" w:rsidTr="002E022F">
        <w:tc>
          <w:tcPr>
            <w:tcW w:w="5949" w:type="dxa"/>
          </w:tcPr>
          <w:p w:rsidR="002A5DBB" w:rsidRDefault="002A5DBB" w:rsidP="002A5DBB">
            <w:pPr>
              <w:pStyle w:val="NoSpacing"/>
              <w:rPr>
                <w:rFonts w:cstheme="minorHAnsi"/>
              </w:rPr>
            </w:pPr>
            <w:r>
              <w:rPr>
                <w:rFonts w:cstheme="minorHAnsi"/>
              </w:rPr>
              <w:t xml:space="preserve">Total </w:t>
            </w:r>
          </w:p>
        </w:tc>
        <w:tc>
          <w:tcPr>
            <w:tcW w:w="1417" w:type="dxa"/>
          </w:tcPr>
          <w:p w:rsidR="002A5DBB" w:rsidRDefault="002A5DBB" w:rsidP="002A5DBB">
            <w:pPr>
              <w:pStyle w:val="NoSpacing"/>
              <w:jc w:val="right"/>
              <w:rPr>
                <w:rFonts w:cstheme="minorHAnsi"/>
              </w:rPr>
            </w:pPr>
            <w:r>
              <w:rPr>
                <w:rFonts w:cstheme="minorHAnsi"/>
              </w:rPr>
              <w:t>6,438</w:t>
            </w:r>
          </w:p>
        </w:tc>
        <w:tc>
          <w:tcPr>
            <w:tcW w:w="1418" w:type="dxa"/>
          </w:tcPr>
          <w:p w:rsidR="002A5DBB" w:rsidRDefault="002A5DBB" w:rsidP="002A5DBB">
            <w:pPr>
              <w:pStyle w:val="NoSpacing"/>
              <w:jc w:val="right"/>
              <w:rPr>
                <w:rFonts w:cstheme="minorHAnsi"/>
              </w:rPr>
            </w:pPr>
            <w:r>
              <w:rPr>
                <w:rFonts w:cstheme="minorHAnsi"/>
              </w:rPr>
              <w:t>6,438</w:t>
            </w:r>
          </w:p>
        </w:tc>
        <w:tc>
          <w:tcPr>
            <w:tcW w:w="1417" w:type="dxa"/>
          </w:tcPr>
          <w:p w:rsidR="002A5DBB" w:rsidRDefault="002A5DBB" w:rsidP="002A5DBB">
            <w:pPr>
              <w:pStyle w:val="NoSpacing"/>
              <w:jc w:val="right"/>
              <w:rPr>
                <w:rFonts w:cstheme="minorHAnsi"/>
              </w:rPr>
            </w:pPr>
            <w:r>
              <w:rPr>
                <w:rFonts w:cstheme="minorHAnsi"/>
              </w:rPr>
              <w:t>6,020</w:t>
            </w:r>
          </w:p>
        </w:tc>
        <w:tc>
          <w:tcPr>
            <w:tcW w:w="1276" w:type="dxa"/>
          </w:tcPr>
          <w:p w:rsidR="002A5DBB" w:rsidRDefault="002A5DBB" w:rsidP="002A5DBB">
            <w:pPr>
              <w:pStyle w:val="NoSpacing"/>
              <w:jc w:val="right"/>
              <w:rPr>
                <w:rFonts w:cstheme="minorHAnsi"/>
              </w:rPr>
            </w:pPr>
            <w:r>
              <w:rPr>
                <w:rFonts w:cstheme="minorHAnsi"/>
              </w:rPr>
              <w:t>418</w:t>
            </w:r>
          </w:p>
        </w:tc>
        <w:tc>
          <w:tcPr>
            <w:tcW w:w="1276" w:type="dxa"/>
          </w:tcPr>
          <w:p w:rsidR="002A5DBB" w:rsidRDefault="002A5DBB" w:rsidP="002A5DBB">
            <w:pPr>
              <w:pStyle w:val="NoSpacing"/>
              <w:jc w:val="right"/>
              <w:rPr>
                <w:rFonts w:cstheme="minorHAnsi"/>
              </w:rPr>
            </w:pPr>
            <w:r>
              <w:rPr>
                <w:rFonts w:cstheme="minorHAnsi"/>
              </w:rPr>
              <w:t>-</w:t>
            </w:r>
          </w:p>
        </w:tc>
        <w:tc>
          <w:tcPr>
            <w:tcW w:w="1195" w:type="dxa"/>
          </w:tcPr>
          <w:p w:rsidR="002A5DBB" w:rsidRDefault="002A5DBB" w:rsidP="002A5DBB">
            <w:pPr>
              <w:pStyle w:val="NoSpacing"/>
              <w:jc w:val="right"/>
              <w:rPr>
                <w:rFonts w:cstheme="minorHAnsi"/>
              </w:rPr>
            </w:pPr>
            <w:r>
              <w:rPr>
                <w:rFonts w:cstheme="minorHAnsi"/>
              </w:rPr>
              <w:t>-</w:t>
            </w:r>
          </w:p>
        </w:tc>
      </w:tr>
    </w:tbl>
    <w:p w:rsidR="00553A5A" w:rsidRDefault="00553A5A" w:rsidP="00553A5A">
      <w:pPr>
        <w:pStyle w:val="NoSpacing"/>
      </w:pPr>
    </w:p>
    <w:p w:rsidR="00553A5A" w:rsidRDefault="00553A5A" w:rsidP="00553A5A">
      <w:pPr>
        <w:pStyle w:val="NoSpacing"/>
        <w:rPr>
          <w:rFonts w:cstheme="minorHAnsi"/>
        </w:rPr>
      </w:pPr>
      <w:r>
        <w:rPr>
          <w:rFonts w:cstheme="minorHAnsi"/>
        </w:rPr>
        <w:t>Chisholm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553A5A" w:rsidTr="002E022F">
        <w:tc>
          <w:tcPr>
            <w:tcW w:w="5949" w:type="dxa"/>
          </w:tcPr>
          <w:p w:rsidR="00553A5A" w:rsidRDefault="002A5DBB" w:rsidP="002E022F">
            <w:pPr>
              <w:pStyle w:val="NoSpacing"/>
              <w:rPr>
                <w:rFonts w:cstheme="minorHAnsi"/>
              </w:rPr>
            </w:pPr>
            <w:r>
              <w:rPr>
                <w:rFonts w:cstheme="minorHAnsi"/>
              </w:rPr>
              <w:t>Supplies and services</w:t>
            </w:r>
          </w:p>
        </w:tc>
        <w:tc>
          <w:tcPr>
            <w:tcW w:w="1417" w:type="dxa"/>
          </w:tcPr>
          <w:p w:rsidR="00553A5A" w:rsidRDefault="002A5DBB" w:rsidP="002E022F">
            <w:pPr>
              <w:pStyle w:val="NoSpacing"/>
              <w:jc w:val="right"/>
              <w:rPr>
                <w:rFonts w:cstheme="minorHAnsi"/>
              </w:rPr>
            </w:pPr>
            <w:r>
              <w:rPr>
                <w:rFonts w:cstheme="minorHAnsi"/>
              </w:rPr>
              <w:t>8,211</w:t>
            </w:r>
          </w:p>
        </w:tc>
        <w:tc>
          <w:tcPr>
            <w:tcW w:w="1418" w:type="dxa"/>
          </w:tcPr>
          <w:p w:rsidR="00553A5A" w:rsidRDefault="002A5DBB" w:rsidP="002E022F">
            <w:pPr>
              <w:pStyle w:val="NoSpacing"/>
              <w:jc w:val="right"/>
              <w:rPr>
                <w:rFonts w:cstheme="minorHAnsi"/>
              </w:rPr>
            </w:pPr>
            <w:r>
              <w:rPr>
                <w:rFonts w:cstheme="minorHAnsi"/>
              </w:rPr>
              <w:t>8,211</w:t>
            </w:r>
          </w:p>
        </w:tc>
        <w:tc>
          <w:tcPr>
            <w:tcW w:w="1417" w:type="dxa"/>
          </w:tcPr>
          <w:p w:rsidR="00553A5A" w:rsidRDefault="002A5DBB" w:rsidP="002E022F">
            <w:pPr>
              <w:pStyle w:val="NoSpacing"/>
              <w:jc w:val="right"/>
              <w:rPr>
                <w:rFonts w:cstheme="minorHAnsi"/>
              </w:rPr>
            </w:pPr>
            <w:r>
              <w:rPr>
                <w:rFonts w:cstheme="minorHAnsi"/>
              </w:rPr>
              <w:t>7,704</w:t>
            </w:r>
          </w:p>
        </w:tc>
        <w:tc>
          <w:tcPr>
            <w:tcW w:w="1276" w:type="dxa"/>
          </w:tcPr>
          <w:p w:rsidR="00553A5A" w:rsidRDefault="002A5DBB" w:rsidP="002E022F">
            <w:pPr>
              <w:pStyle w:val="NoSpacing"/>
              <w:jc w:val="right"/>
              <w:rPr>
                <w:rFonts w:cstheme="minorHAnsi"/>
              </w:rPr>
            </w:pPr>
            <w:r>
              <w:rPr>
                <w:rFonts w:cstheme="minorHAnsi"/>
              </w:rPr>
              <w:t>249</w:t>
            </w:r>
          </w:p>
        </w:tc>
        <w:tc>
          <w:tcPr>
            <w:tcW w:w="1276" w:type="dxa"/>
          </w:tcPr>
          <w:p w:rsidR="00553A5A" w:rsidRDefault="002A5DBB" w:rsidP="002E022F">
            <w:pPr>
              <w:pStyle w:val="NoSpacing"/>
              <w:jc w:val="right"/>
              <w:rPr>
                <w:rFonts w:cstheme="minorHAnsi"/>
              </w:rPr>
            </w:pPr>
            <w:r>
              <w:rPr>
                <w:rFonts w:cstheme="minorHAnsi"/>
              </w:rPr>
              <w:t>-</w:t>
            </w:r>
          </w:p>
        </w:tc>
        <w:tc>
          <w:tcPr>
            <w:tcW w:w="1195" w:type="dxa"/>
          </w:tcPr>
          <w:p w:rsidR="00553A5A" w:rsidRDefault="002A5DBB" w:rsidP="002E022F">
            <w:pPr>
              <w:pStyle w:val="NoSpacing"/>
              <w:jc w:val="right"/>
              <w:rPr>
                <w:rFonts w:cstheme="minorHAnsi"/>
              </w:rPr>
            </w:pPr>
            <w:r>
              <w:rPr>
                <w:rFonts w:cstheme="minorHAnsi"/>
              </w:rPr>
              <w:t>258</w:t>
            </w:r>
          </w:p>
        </w:tc>
      </w:tr>
      <w:tr w:rsidR="002A5DBB" w:rsidTr="002E022F">
        <w:tc>
          <w:tcPr>
            <w:tcW w:w="5949" w:type="dxa"/>
          </w:tcPr>
          <w:p w:rsidR="002A5DBB" w:rsidRDefault="002A5DBB" w:rsidP="002A5DBB">
            <w:pPr>
              <w:pStyle w:val="NoSpacing"/>
              <w:rPr>
                <w:rFonts w:cstheme="minorHAnsi"/>
              </w:rPr>
            </w:pPr>
            <w:r>
              <w:rPr>
                <w:rFonts w:cstheme="minorHAnsi"/>
              </w:rPr>
              <w:t>Total</w:t>
            </w:r>
          </w:p>
        </w:tc>
        <w:tc>
          <w:tcPr>
            <w:tcW w:w="1417" w:type="dxa"/>
          </w:tcPr>
          <w:p w:rsidR="002A5DBB" w:rsidRDefault="002A5DBB" w:rsidP="002A5DBB">
            <w:pPr>
              <w:pStyle w:val="NoSpacing"/>
              <w:jc w:val="right"/>
              <w:rPr>
                <w:rFonts w:cstheme="minorHAnsi"/>
              </w:rPr>
            </w:pPr>
            <w:r>
              <w:rPr>
                <w:rFonts w:cstheme="minorHAnsi"/>
              </w:rPr>
              <w:t>8,211</w:t>
            </w:r>
          </w:p>
        </w:tc>
        <w:tc>
          <w:tcPr>
            <w:tcW w:w="1418" w:type="dxa"/>
          </w:tcPr>
          <w:p w:rsidR="002A5DBB" w:rsidRDefault="002A5DBB" w:rsidP="002A5DBB">
            <w:pPr>
              <w:pStyle w:val="NoSpacing"/>
              <w:jc w:val="right"/>
              <w:rPr>
                <w:rFonts w:cstheme="minorHAnsi"/>
              </w:rPr>
            </w:pPr>
            <w:r>
              <w:rPr>
                <w:rFonts w:cstheme="minorHAnsi"/>
              </w:rPr>
              <w:t>8,211</w:t>
            </w:r>
          </w:p>
        </w:tc>
        <w:tc>
          <w:tcPr>
            <w:tcW w:w="1417" w:type="dxa"/>
          </w:tcPr>
          <w:p w:rsidR="002A5DBB" w:rsidRDefault="002A5DBB" w:rsidP="002A5DBB">
            <w:pPr>
              <w:pStyle w:val="NoSpacing"/>
              <w:jc w:val="right"/>
              <w:rPr>
                <w:rFonts w:cstheme="minorHAnsi"/>
              </w:rPr>
            </w:pPr>
            <w:r>
              <w:rPr>
                <w:rFonts w:cstheme="minorHAnsi"/>
              </w:rPr>
              <w:t>7,704</w:t>
            </w:r>
          </w:p>
        </w:tc>
        <w:tc>
          <w:tcPr>
            <w:tcW w:w="1276" w:type="dxa"/>
          </w:tcPr>
          <w:p w:rsidR="002A5DBB" w:rsidRDefault="002A5DBB" w:rsidP="002A5DBB">
            <w:pPr>
              <w:pStyle w:val="NoSpacing"/>
              <w:jc w:val="right"/>
              <w:rPr>
                <w:rFonts w:cstheme="minorHAnsi"/>
              </w:rPr>
            </w:pPr>
            <w:r>
              <w:rPr>
                <w:rFonts w:cstheme="minorHAnsi"/>
              </w:rPr>
              <w:t>249</w:t>
            </w:r>
          </w:p>
        </w:tc>
        <w:tc>
          <w:tcPr>
            <w:tcW w:w="1276" w:type="dxa"/>
          </w:tcPr>
          <w:p w:rsidR="002A5DBB" w:rsidRDefault="002A5DBB" w:rsidP="002A5DBB">
            <w:pPr>
              <w:pStyle w:val="NoSpacing"/>
              <w:jc w:val="right"/>
              <w:rPr>
                <w:rFonts w:cstheme="minorHAnsi"/>
              </w:rPr>
            </w:pPr>
            <w:r>
              <w:rPr>
                <w:rFonts w:cstheme="minorHAnsi"/>
              </w:rPr>
              <w:t>-</w:t>
            </w:r>
          </w:p>
        </w:tc>
        <w:tc>
          <w:tcPr>
            <w:tcW w:w="1195" w:type="dxa"/>
          </w:tcPr>
          <w:p w:rsidR="002A5DBB" w:rsidRDefault="002A5DBB" w:rsidP="002A5DBB">
            <w:pPr>
              <w:pStyle w:val="NoSpacing"/>
              <w:jc w:val="right"/>
              <w:rPr>
                <w:rFonts w:cstheme="minorHAnsi"/>
              </w:rPr>
            </w:pPr>
            <w:r>
              <w:rPr>
                <w:rFonts w:cstheme="minorHAnsi"/>
              </w:rPr>
              <w:t>258</w:t>
            </w:r>
          </w:p>
        </w:tc>
      </w:tr>
    </w:tbl>
    <w:p w:rsidR="00553A5A" w:rsidRDefault="00553A5A" w:rsidP="00553A5A">
      <w:pPr>
        <w:pStyle w:val="NoSpacing"/>
      </w:pPr>
    </w:p>
    <w:p w:rsidR="00553A5A" w:rsidRDefault="00553A5A" w:rsidP="00553A5A">
      <w:pPr>
        <w:pStyle w:val="NoSpacing"/>
        <w:rPr>
          <w:rFonts w:cstheme="minorHAnsi"/>
        </w:rPr>
      </w:pPr>
      <w:r>
        <w:rPr>
          <w:rFonts w:cstheme="minorHAnsi"/>
        </w:rPr>
        <w:t>Chisholm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553A5A" w:rsidTr="002E022F">
        <w:tc>
          <w:tcPr>
            <w:tcW w:w="5949" w:type="dxa"/>
          </w:tcPr>
          <w:p w:rsidR="00553A5A" w:rsidRDefault="002A5DBB" w:rsidP="002E022F">
            <w:pPr>
              <w:pStyle w:val="NoSpacing"/>
              <w:rPr>
                <w:rFonts w:cstheme="minorHAnsi"/>
              </w:rPr>
            </w:pPr>
            <w:r>
              <w:rPr>
                <w:rFonts w:cstheme="minorHAnsi"/>
              </w:rPr>
              <w:t xml:space="preserve">Supplies and services </w:t>
            </w:r>
          </w:p>
        </w:tc>
        <w:tc>
          <w:tcPr>
            <w:tcW w:w="1417" w:type="dxa"/>
          </w:tcPr>
          <w:p w:rsidR="00553A5A" w:rsidRDefault="002A5DBB" w:rsidP="002E022F">
            <w:pPr>
              <w:pStyle w:val="NoSpacing"/>
              <w:jc w:val="right"/>
              <w:rPr>
                <w:rFonts w:cstheme="minorHAnsi"/>
              </w:rPr>
            </w:pPr>
            <w:r>
              <w:rPr>
                <w:rFonts w:cstheme="minorHAnsi"/>
              </w:rPr>
              <w:t>6,478</w:t>
            </w:r>
          </w:p>
        </w:tc>
        <w:tc>
          <w:tcPr>
            <w:tcW w:w="1418" w:type="dxa"/>
          </w:tcPr>
          <w:p w:rsidR="00553A5A" w:rsidRDefault="002A5DBB" w:rsidP="002E022F">
            <w:pPr>
              <w:pStyle w:val="NoSpacing"/>
              <w:jc w:val="right"/>
              <w:rPr>
                <w:rFonts w:cstheme="minorHAnsi"/>
              </w:rPr>
            </w:pPr>
            <w:r>
              <w:rPr>
                <w:rFonts w:cstheme="minorHAnsi"/>
              </w:rPr>
              <w:t>6,478</w:t>
            </w:r>
          </w:p>
        </w:tc>
        <w:tc>
          <w:tcPr>
            <w:tcW w:w="1417" w:type="dxa"/>
          </w:tcPr>
          <w:p w:rsidR="00553A5A" w:rsidRDefault="002A5DBB" w:rsidP="002E022F">
            <w:pPr>
              <w:pStyle w:val="NoSpacing"/>
              <w:jc w:val="right"/>
              <w:rPr>
                <w:rFonts w:cstheme="minorHAnsi"/>
              </w:rPr>
            </w:pPr>
            <w:r>
              <w:rPr>
                <w:rFonts w:cstheme="minorHAnsi"/>
              </w:rPr>
              <w:t>5,802</w:t>
            </w:r>
          </w:p>
        </w:tc>
        <w:tc>
          <w:tcPr>
            <w:tcW w:w="1276" w:type="dxa"/>
          </w:tcPr>
          <w:p w:rsidR="00553A5A" w:rsidRDefault="002A5DBB" w:rsidP="002E022F">
            <w:pPr>
              <w:pStyle w:val="NoSpacing"/>
              <w:jc w:val="right"/>
              <w:rPr>
                <w:rFonts w:cstheme="minorHAnsi"/>
              </w:rPr>
            </w:pPr>
            <w:r>
              <w:rPr>
                <w:rFonts w:cstheme="minorHAnsi"/>
              </w:rPr>
              <w:t>392</w:t>
            </w:r>
          </w:p>
        </w:tc>
        <w:tc>
          <w:tcPr>
            <w:tcW w:w="1276" w:type="dxa"/>
          </w:tcPr>
          <w:p w:rsidR="00553A5A" w:rsidRDefault="002A5DBB" w:rsidP="002E022F">
            <w:pPr>
              <w:pStyle w:val="NoSpacing"/>
              <w:jc w:val="right"/>
              <w:rPr>
                <w:rFonts w:cstheme="minorHAnsi"/>
              </w:rPr>
            </w:pPr>
            <w:r>
              <w:rPr>
                <w:rFonts w:cstheme="minorHAnsi"/>
              </w:rPr>
              <w:t>-</w:t>
            </w:r>
          </w:p>
        </w:tc>
        <w:tc>
          <w:tcPr>
            <w:tcW w:w="1195" w:type="dxa"/>
          </w:tcPr>
          <w:p w:rsidR="00553A5A" w:rsidRDefault="002A5DBB" w:rsidP="002E022F">
            <w:pPr>
              <w:pStyle w:val="NoSpacing"/>
              <w:jc w:val="right"/>
              <w:rPr>
                <w:rFonts w:cstheme="minorHAnsi"/>
              </w:rPr>
            </w:pPr>
            <w:r>
              <w:rPr>
                <w:rFonts w:cstheme="minorHAnsi"/>
              </w:rPr>
              <w:t>284</w:t>
            </w:r>
          </w:p>
        </w:tc>
      </w:tr>
      <w:tr w:rsidR="002A5DBB" w:rsidTr="002E022F">
        <w:tc>
          <w:tcPr>
            <w:tcW w:w="5949" w:type="dxa"/>
          </w:tcPr>
          <w:p w:rsidR="002A5DBB" w:rsidRDefault="002A5DBB" w:rsidP="002A5DBB">
            <w:pPr>
              <w:pStyle w:val="NoSpacing"/>
              <w:rPr>
                <w:rFonts w:cstheme="minorHAnsi"/>
              </w:rPr>
            </w:pPr>
            <w:r>
              <w:rPr>
                <w:rFonts w:cstheme="minorHAnsi"/>
              </w:rPr>
              <w:t xml:space="preserve">Total </w:t>
            </w:r>
          </w:p>
        </w:tc>
        <w:tc>
          <w:tcPr>
            <w:tcW w:w="1417" w:type="dxa"/>
          </w:tcPr>
          <w:p w:rsidR="002A5DBB" w:rsidRDefault="002A5DBB" w:rsidP="002A5DBB">
            <w:pPr>
              <w:pStyle w:val="NoSpacing"/>
              <w:jc w:val="right"/>
              <w:rPr>
                <w:rFonts w:cstheme="minorHAnsi"/>
              </w:rPr>
            </w:pPr>
            <w:r>
              <w:rPr>
                <w:rFonts w:cstheme="minorHAnsi"/>
              </w:rPr>
              <w:t>6,478</w:t>
            </w:r>
          </w:p>
        </w:tc>
        <w:tc>
          <w:tcPr>
            <w:tcW w:w="1418" w:type="dxa"/>
          </w:tcPr>
          <w:p w:rsidR="002A5DBB" w:rsidRDefault="002A5DBB" w:rsidP="002A5DBB">
            <w:pPr>
              <w:pStyle w:val="NoSpacing"/>
              <w:jc w:val="right"/>
              <w:rPr>
                <w:rFonts w:cstheme="minorHAnsi"/>
              </w:rPr>
            </w:pPr>
            <w:r>
              <w:rPr>
                <w:rFonts w:cstheme="minorHAnsi"/>
              </w:rPr>
              <w:t>6,478</w:t>
            </w:r>
          </w:p>
        </w:tc>
        <w:tc>
          <w:tcPr>
            <w:tcW w:w="1417" w:type="dxa"/>
          </w:tcPr>
          <w:p w:rsidR="002A5DBB" w:rsidRDefault="002A5DBB" w:rsidP="002A5DBB">
            <w:pPr>
              <w:pStyle w:val="NoSpacing"/>
              <w:jc w:val="right"/>
              <w:rPr>
                <w:rFonts w:cstheme="minorHAnsi"/>
              </w:rPr>
            </w:pPr>
            <w:r>
              <w:rPr>
                <w:rFonts w:cstheme="minorHAnsi"/>
              </w:rPr>
              <w:t>5,802</w:t>
            </w:r>
          </w:p>
        </w:tc>
        <w:tc>
          <w:tcPr>
            <w:tcW w:w="1276" w:type="dxa"/>
          </w:tcPr>
          <w:p w:rsidR="002A5DBB" w:rsidRDefault="002A5DBB" w:rsidP="002A5DBB">
            <w:pPr>
              <w:pStyle w:val="NoSpacing"/>
              <w:jc w:val="right"/>
              <w:rPr>
                <w:rFonts w:cstheme="minorHAnsi"/>
              </w:rPr>
            </w:pPr>
            <w:r>
              <w:rPr>
                <w:rFonts w:cstheme="minorHAnsi"/>
              </w:rPr>
              <w:t>392</w:t>
            </w:r>
          </w:p>
        </w:tc>
        <w:tc>
          <w:tcPr>
            <w:tcW w:w="1276" w:type="dxa"/>
          </w:tcPr>
          <w:p w:rsidR="002A5DBB" w:rsidRDefault="002A5DBB" w:rsidP="002A5DBB">
            <w:pPr>
              <w:pStyle w:val="NoSpacing"/>
              <w:jc w:val="right"/>
              <w:rPr>
                <w:rFonts w:cstheme="minorHAnsi"/>
              </w:rPr>
            </w:pPr>
            <w:r>
              <w:rPr>
                <w:rFonts w:cstheme="minorHAnsi"/>
              </w:rPr>
              <w:t>-</w:t>
            </w:r>
          </w:p>
        </w:tc>
        <w:tc>
          <w:tcPr>
            <w:tcW w:w="1195" w:type="dxa"/>
          </w:tcPr>
          <w:p w:rsidR="002A5DBB" w:rsidRDefault="002A5DBB" w:rsidP="002A5DBB">
            <w:pPr>
              <w:pStyle w:val="NoSpacing"/>
              <w:jc w:val="right"/>
              <w:rPr>
                <w:rFonts w:cstheme="minorHAnsi"/>
              </w:rPr>
            </w:pPr>
            <w:r>
              <w:rPr>
                <w:rFonts w:cstheme="minorHAnsi"/>
              </w:rPr>
              <w:t>284</w:t>
            </w:r>
          </w:p>
        </w:tc>
      </w:tr>
    </w:tbl>
    <w:p w:rsidR="00553A5A" w:rsidRDefault="00553A5A" w:rsidP="00553A5A">
      <w:pPr>
        <w:pStyle w:val="NoSpacing"/>
      </w:pPr>
    </w:p>
    <w:p w:rsidR="002A5DBB" w:rsidRPr="00A450BC" w:rsidRDefault="002A5DBB" w:rsidP="002A5DBB">
      <w:pPr>
        <w:autoSpaceDE w:val="0"/>
        <w:autoSpaceDN w:val="0"/>
        <w:adjustRightInd w:val="0"/>
        <w:spacing w:after="0" w:line="240" w:lineRule="auto"/>
        <w:rPr>
          <w:rFonts w:cstheme="minorHAnsi"/>
        </w:rPr>
      </w:pPr>
      <w:r w:rsidRPr="00A450BC">
        <w:rPr>
          <w:rFonts w:cstheme="minorHAnsi"/>
        </w:rPr>
        <w:t>Note: The disclosures above excludes statutory payables (e.g., amounts arising to Victorian Government and GST taxes payable).</w:t>
      </w:r>
    </w:p>
    <w:p w:rsidR="002A5DBB" w:rsidRPr="00A450BC" w:rsidRDefault="002A5DBB" w:rsidP="002A5DBB">
      <w:pPr>
        <w:autoSpaceDE w:val="0"/>
        <w:autoSpaceDN w:val="0"/>
        <w:adjustRightInd w:val="0"/>
        <w:spacing w:after="0" w:line="240" w:lineRule="auto"/>
        <w:rPr>
          <w:rFonts w:cstheme="minorHAnsi"/>
        </w:rPr>
      </w:pPr>
      <w:r w:rsidRPr="00A450BC">
        <w:rPr>
          <w:rFonts w:cstheme="minorHAnsi"/>
        </w:rPr>
        <w:t>Note: The average credit period is 30 days. No interest is charged on the other payables.</w:t>
      </w:r>
    </w:p>
    <w:p w:rsidR="002A5DBB" w:rsidRPr="00A450BC" w:rsidRDefault="002A5DBB" w:rsidP="002A5DBB">
      <w:pPr>
        <w:pStyle w:val="NoSpacing"/>
        <w:rPr>
          <w:rFonts w:cstheme="minorHAnsi"/>
        </w:rPr>
      </w:pPr>
      <w:r w:rsidRPr="00A450BC">
        <w:rPr>
          <w:rFonts w:cstheme="minorHAnsi"/>
        </w:rPr>
        <w:t>Terms and conditions of amounts payable to other government agencies vary according to a particular agreement with that agency.</w:t>
      </w:r>
    </w:p>
    <w:p w:rsidR="00553A5A" w:rsidRDefault="00553A5A" w:rsidP="00553A5A">
      <w:pPr>
        <w:pStyle w:val="NoSpacing"/>
        <w:rPr>
          <w:rFonts w:cstheme="minorHAnsi"/>
        </w:rPr>
      </w:pPr>
    </w:p>
    <w:p w:rsidR="002A5DBB" w:rsidRDefault="002A5DBB" w:rsidP="00D36BB2">
      <w:pPr>
        <w:pStyle w:val="Heading3"/>
      </w:pPr>
      <w:r>
        <w:t xml:space="preserve">5.3 Other liabilities </w:t>
      </w:r>
    </w:p>
    <w:p w:rsidR="002A5DBB" w:rsidRDefault="002A5DBB" w:rsidP="00553A5A">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2A5DBB" w:rsidRPr="00AE2D8D" w:rsidTr="002E022F">
        <w:tc>
          <w:tcPr>
            <w:tcW w:w="2693" w:type="dxa"/>
            <w:gridSpan w:val="2"/>
          </w:tcPr>
          <w:p w:rsidR="002A5DBB" w:rsidRPr="00AE2D8D" w:rsidRDefault="002A5DBB" w:rsidP="002E022F">
            <w:pPr>
              <w:pStyle w:val="NoSpacing"/>
              <w:jc w:val="center"/>
              <w:rPr>
                <w:rFonts w:cstheme="minorHAnsi"/>
                <w:bCs/>
                <w:w w:val="105"/>
              </w:rPr>
            </w:pPr>
            <w:r w:rsidRPr="00AE2D8D">
              <w:rPr>
                <w:rFonts w:cstheme="minorHAnsi"/>
                <w:bCs/>
                <w:w w:val="105"/>
              </w:rPr>
              <w:t>Consolidated</w:t>
            </w:r>
          </w:p>
        </w:tc>
        <w:tc>
          <w:tcPr>
            <w:tcW w:w="2410" w:type="dxa"/>
            <w:gridSpan w:val="2"/>
          </w:tcPr>
          <w:p w:rsidR="002A5DBB" w:rsidRPr="00AE2D8D" w:rsidRDefault="002A5DBB" w:rsidP="002E022F">
            <w:pPr>
              <w:pStyle w:val="NoSpacing"/>
              <w:jc w:val="center"/>
              <w:rPr>
                <w:rFonts w:cstheme="minorHAnsi"/>
                <w:bCs/>
                <w:w w:val="105"/>
              </w:rPr>
            </w:pPr>
            <w:r w:rsidRPr="00AE2D8D">
              <w:rPr>
                <w:rFonts w:cstheme="minorHAnsi"/>
                <w:bCs/>
                <w:w w:val="105"/>
              </w:rPr>
              <w:t>Chisholm</w:t>
            </w:r>
          </w:p>
        </w:tc>
      </w:tr>
      <w:tr w:rsidR="002A5DBB" w:rsidRPr="00AE2D8D" w:rsidTr="002E022F">
        <w:tc>
          <w:tcPr>
            <w:tcW w:w="1417" w:type="dxa"/>
          </w:tcPr>
          <w:p w:rsidR="002A5DBB" w:rsidRPr="00AE2D8D" w:rsidRDefault="002A5DBB" w:rsidP="002E022F">
            <w:pPr>
              <w:pStyle w:val="NoSpacing"/>
              <w:jc w:val="right"/>
              <w:rPr>
                <w:rFonts w:cstheme="minorHAnsi"/>
                <w:bCs/>
                <w:w w:val="105"/>
              </w:rPr>
            </w:pPr>
            <w:r w:rsidRPr="00AE2D8D">
              <w:rPr>
                <w:rFonts w:cstheme="minorHAnsi"/>
                <w:bCs/>
                <w:w w:val="105"/>
              </w:rPr>
              <w:t>2017</w:t>
            </w:r>
          </w:p>
        </w:tc>
        <w:tc>
          <w:tcPr>
            <w:tcW w:w="1276" w:type="dxa"/>
          </w:tcPr>
          <w:p w:rsidR="002A5DBB" w:rsidRPr="00AE2D8D" w:rsidRDefault="002A5DBB" w:rsidP="002E022F">
            <w:pPr>
              <w:pStyle w:val="NoSpacing"/>
              <w:jc w:val="right"/>
              <w:rPr>
                <w:rFonts w:cstheme="minorHAnsi"/>
                <w:bCs/>
                <w:w w:val="105"/>
              </w:rPr>
            </w:pPr>
            <w:r w:rsidRPr="00AE2D8D">
              <w:rPr>
                <w:rFonts w:cstheme="minorHAnsi"/>
                <w:bCs/>
                <w:w w:val="105"/>
              </w:rPr>
              <w:t>2016</w:t>
            </w:r>
          </w:p>
        </w:tc>
        <w:tc>
          <w:tcPr>
            <w:tcW w:w="1276" w:type="dxa"/>
          </w:tcPr>
          <w:p w:rsidR="002A5DBB" w:rsidRPr="00AE2D8D" w:rsidRDefault="002A5DBB" w:rsidP="002E022F">
            <w:pPr>
              <w:pStyle w:val="NoSpacing"/>
              <w:jc w:val="right"/>
              <w:rPr>
                <w:rFonts w:cstheme="minorHAnsi"/>
                <w:bCs/>
                <w:w w:val="105"/>
              </w:rPr>
            </w:pPr>
            <w:r w:rsidRPr="00AE2D8D">
              <w:rPr>
                <w:rFonts w:cstheme="minorHAnsi"/>
                <w:bCs/>
                <w:w w:val="105"/>
              </w:rPr>
              <w:t>2017</w:t>
            </w:r>
          </w:p>
        </w:tc>
        <w:tc>
          <w:tcPr>
            <w:tcW w:w="1134" w:type="dxa"/>
          </w:tcPr>
          <w:p w:rsidR="002A5DBB" w:rsidRPr="00AE2D8D" w:rsidRDefault="002A5DBB" w:rsidP="002E022F">
            <w:pPr>
              <w:pStyle w:val="NoSpacing"/>
              <w:jc w:val="right"/>
              <w:rPr>
                <w:rFonts w:cstheme="minorHAnsi"/>
                <w:bCs/>
                <w:w w:val="105"/>
              </w:rPr>
            </w:pPr>
            <w:r w:rsidRPr="00AE2D8D">
              <w:rPr>
                <w:rFonts w:cstheme="minorHAnsi"/>
                <w:bCs/>
                <w:w w:val="105"/>
              </w:rPr>
              <w:t>2016</w:t>
            </w:r>
          </w:p>
        </w:tc>
      </w:tr>
      <w:tr w:rsidR="002A5DBB" w:rsidRPr="00AE2D8D" w:rsidTr="002E022F">
        <w:tc>
          <w:tcPr>
            <w:tcW w:w="1417" w:type="dxa"/>
          </w:tcPr>
          <w:p w:rsidR="002A5DBB" w:rsidRPr="00AE2D8D" w:rsidRDefault="002A5DBB" w:rsidP="002E022F">
            <w:pPr>
              <w:jc w:val="right"/>
              <w:rPr>
                <w:rFonts w:cstheme="minorHAnsi"/>
              </w:rPr>
            </w:pPr>
            <w:r w:rsidRPr="00AE2D8D">
              <w:rPr>
                <w:rFonts w:cstheme="minorHAnsi"/>
                <w:bCs/>
                <w:w w:val="105"/>
              </w:rPr>
              <w:lastRenderedPageBreak/>
              <w:t>$’000</w:t>
            </w:r>
          </w:p>
        </w:tc>
        <w:tc>
          <w:tcPr>
            <w:tcW w:w="1276" w:type="dxa"/>
          </w:tcPr>
          <w:p w:rsidR="002A5DBB" w:rsidRPr="00AE2D8D" w:rsidRDefault="002A5DBB" w:rsidP="002E022F">
            <w:pPr>
              <w:jc w:val="right"/>
              <w:rPr>
                <w:rFonts w:cstheme="minorHAnsi"/>
              </w:rPr>
            </w:pPr>
            <w:r w:rsidRPr="00AE2D8D">
              <w:rPr>
                <w:rFonts w:cstheme="minorHAnsi"/>
                <w:bCs/>
                <w:w w:val="105"/>
              </w:rPr>
              <w:t>$’000</w:t>
            </w:r>
          </w:p>
        </w:tc>
        <w:tc>
          <w:tcPr>
            <w:tcW w:w="1276" w:type="dxa"/>
          </w:tcPr>
          <w:p w:rsidR="002A5DBB" w:rsidRPr="00AE2D8D" w:rsidRDefault="002A5DBB" w:rsidP="002E022F">
            <w:pPr>
              <w:jc w:val="right"/>
              <w:rPr>
                <w:rFonts w:cstheme="minorHAnsi"/>
              </w:rPr>
            </w:pPr>
            <w:r w:rsidRPr="00AE2D8D">
              <w:rPr>
                <w:rFonts w:cstheme="minorHAnsi"/>
                <w:bCs/>
                <w:w w:val="105"/>
              </w:rPr>
              <w:t>$’000</w:t>
            </w:r>
          </w:p>
        </w:tc>
        <w:tc>
          <w:tcPr>
            <w:tcW w:w="1134" w:type="dxa"/>
          </w:tcPr>
          <w:p w:rsidR="002A5DBB" w:rsidRPr="00AE2D8D" w:rsidRDefault="002A5DBB" w:rsidP="002E022F">
            <w:pPr>
              <w:pStyle w:val="NoSpacing"/>
              <w:jc w:val="right"/>
              <w:rPr>
                <w:rFonts w:cstheme="minorHAnsi"/>
                <w:bCs/>
                <w:w w:val="105"/>
              </w:rPr>
            </w:pPr>
            <w:r w:rsidRPr="00AE2D8D">
              <w:rPr>
                <w:rFonts w:cstheme="minorHAnsi"/>
                <w:bCs/>
                <w:w w:val="105"/>
              </w:rPr>
              <w:t>$’000</w:t>
            </w:r>
          </w:p>
        </w:tc>
      </w:tr>
    </w:tbl>
    <w:p w:rsidR="002A5DBB" w:rsidRDefault="002A5DBB" w:rsidP="00553A5A">
      <w:pPr>
        <w:pStyle w:val="NoSpacing"/>
        <w:rPr>
          <w:rFonts w:cstheme="minorHAnsi"/>
        </w:rPr>
      </w:pPr>
      <w:r>
        <w:rPr>
          <w:rFonts w:cstheme="minorHAnsi"/>
        </w:rPr>
        <w:t>Current</w:t>
      </w:r>
    </w:p>
    <w:tbl>
      <w:tblPr>
        <w:tblStyle w:val="TableGrid"/>
        <w:tblW w:w="0" w:type="auto"/>
        <w:tblLook w:val="04A0" w:firstRow="1" w:lastRow="0" w:firstColumn="1" w:lastColumn="0" w:noHBand="0" w:noVBand="1"/>
      </w:tblPr>
      <w:tblGrid>
        <w:gridCol w:w="8784"/>
        <w:gridCol w:w="1417"/>
        <w:gridCol w:w="1276"/>
        <w:gridCol w:w="1276"/>
        <w:gridCol w:w="1134"/>
      </w:tblGrid>
      <w:tr w:rsidR="002A5DBB" w:rsidTr="002E022F">
        <w:tc>
          <w:tcPr>
            <w:tcW w:w="8784" w:type="dxa"/>
          </w:tcPr>
          <w:p w:rsidR="002A5DBB" w:rsidRDefault="002A5DBB" w:rsidP="002E022F">
            <w:pPr>
              <w:pStyle w:val="NoSpacing"/>
            </w:pPr>
            <w:r>
              <w:t>Revenue in advance</w:t>
            </w:r>
          </w:p>
        </w:tc>
        <w:tc>
          <w:tcPr>
            <w:tcW w:w="1417" w:type="dxa"/>
          </w:tcPr>
          <w:p w:rsidR="002A5DBB" w:rsidRDefault="002A5DBB" w:rsidP="002E022F">
            <w:pPr>
              <w:pStyle w:val="NoSpacing"/>
              <w:jc w:val="right"/>
            </w:pPr>
            <w:r>
              <w:t>3,099</w:t>
            </w:r>
          </w:p>
        </w:tc>
        <w:tc>
          <w:tcPr>
            <w:tcW w:w="1276" w:type="dxa"/>
          </w:tcPr>
          <w:p w:rsidR="002A5DBB" w:rsidRDefault="002A5DBB" w:rsidP="002E022F">
            <w:pPr>
              <w:pStyle w:val="NoSpacing"/>
              <w:jc w:val="right"/>
            </w:pPr>
            <w:r>
              <w:t>3,038</w:t>
            </w:r>
          </w:p>
        </w:tc>
        <w:tc>
          <w:tcPr>
            <w:tcW w:w="1276" w:type="dxa"/>
          </w:tcPr>
          <w:p w:rsidR="002A5DBB" w:rsidRDefault="002A5DBB" w:rsidP="002E022F">
            <w:pPr>
              <w:pStyle w:val="NoSpacing"/>
              <w:jc w:val="right"/>
            </w:pPr>
            <w:r>
              <w:t>3,044</w:t>
            </w:r>
          </w:p>
        </w:tc>
        <w:tc>
          <w:tcPr>
            <w:tcW w:w="1134" w:type="dxa"/>
          </w:tcPr>
          <w:p w:rsidR="002A5DBB" w:rsidRDefault="002A5DBB" w:rsidP="002E022F">
            <w:pPr>
              <w:pStyle w:val="NoSpacing"/>
              <w:jc w:val="right"/>
            </w:pPr>
            <w:r>
              <w:t>3,031</w:t>
            </w:r>
          </w:p>
        </w:tc>
      </w:tr>
      <w:tr w:rsidR="002A5DBB" w:rsidTr="002E022F">
        <w:tc>
          <w:tcPr>
            <w:tcW w:w="8784" w:type="dxa"/>
          </w:tcPr>
          <w:p w:rsidR="002A5DBB" w:rsidRDefault="002A5DBB" w:rsidP="002A5DBB">
            <w:pPr>
              <w:pStyle w:val="NoSpacing"/>
            </w:pPr>
            <w:r>
              <w:t xml:space="preserve">Total current liabilities </w:t>
            </w:r>
          </w:p>
        </w:tc>
        <w:tc>
          <w:tcPr>
            <w:tcW w:w="1417" w:type="dxa"/>
          </w:tcPr>
          <w:p w:rsidR="002A5DBB" w:rsidRDefault="002A5DBB" w:rsidP="002A5DBB">
            <w:pPr>
              <w:pStyle w:val="NoSpacing"/>
              <w:jc w:val="right"/>
            </w:pPr>
            <w:r>
              <w:t>3,099</w:t>
            </w:r>
          </w:p>
        </w:tc>
        <w:tc>
          <w:tcPr>
            <w:tcW w:w="1276" w:type="dxa"/>
          </w:tcPr>
          <w:p w:rsidR="002A5DBB" w:rsidRDefault="002A5DBB" w:rsidP="002A5DBB">
            <w:pPr>
              <w:pStyle w:val="NoSpacing"/>
              <w:jc w:val="right"/>
            </w:pPr>
            <w:r>
              <w:t>3,038</w:t>
            </w:r>
          </w:p>
        </w:tc>
        <w:tc>
          <w:tcPr>
            <w:tcW w:w="1276" w:type="dxa"/>
          </w:tcPr>
          <w:p w:rsidR="002A5DBB" w:rsidRDefault="002A5DBB" w:rsidP="002A5DBB">
            <w:pPr>
              <w:pStyle w:val="NoSpacing"/>
              <w:jc w:val="right"/>
            </w:pPr>
            <w:r>
              <w:t>3,044</w:t>
            </w:r>
          </w:p>
        </w:tc>
        <w:tc>
          <w:tcPr>
            <w:tcW w:w="1134" w:type="dxa"/>
          </w:tcPr>
          <w:p w:rsidR="002A5DBB" w:rsidRDefault="002A5DBB" w:rsidP="002A5DBB">
            <w:pPr>
              <w:pStyle w:val="NoSpacing"/>
              <w:jc w:val="right"/>
            </w:pPr>
            <w:r>
              <w:t>3,031</w:t>
            </w:r>
          </w:p>
        </w:tc>
      </w:tr>
    </w:tbl>
    <w:p w:rsidR="002A5DBB" w:rsidRDefault="002A5DBB" w:rsidP="00553A5A">
      <w:pPr>
        <w:pStyle w:val="NoSpacing"/>
        <w:rPr>
          <w:rFonts w:cstheme="minorHAnsi"/>
        </w:rPr>
      </w:pPr>
    </w:p>
    <w:p w:rsidR="002A5DBB" w:rsidRPr="00A450BC" w:rsidRDefault="002A5DBB" w:rsidP="002A5DBB">
      <w:pPr>
        <w:pStyle w:val="NoSpacing"/>
        <w:rPr>
          <w:rFonts w:cstheme="minorHAnsi"/>
        </w:rPr>
      </w:pPr>
      <w:r w:rsidRPr="00A450BC">
        <w:rPr>
          <w:rFonts w:cstheme="minorHAnsi"/>
        </w:rPr>
        <w:t>Revenue received in advance</w:t>
      </w:r>
    </w:p>
    <w:p w:rsidR="002A5DBB" w:rsidRDefault="002A5DBB" w:rsidP="002A5DBB">
      <w:pPr>
        <w:pStyle w:val="NoSpacing"/>
        <w:rPr>
          <w:rFonts w:cstheme="minorHAnsi"/>
        </w:rPr>
      </w:pPr>
      <w:r w:rsidRPr="00A450BC">
        <w:rPr>
          <w:rFonts w:cstheme="minorHAnsi"/>
        </w:rPr>
        <w:t>Any fees received by Chisholm during the current financial year in respect of services to be p</w:t>
      </w:r>
      <w:r>
        <w:rPr>
          <w:rFonts w:cstheme="minorHAnsi"/>
        </w:rPr>
        <w:t xml:space="preserve">rovided in the following </w:t>
      </w:r>
      <w:r w:rsidRPr="00A450BC">
        <w:rPr>
          <w:rFonts w:cstheme="minorHAnsi"/>
        </w:rPr>
        <w:t>financial year are classified as liability and recognised as revenue received in advance.</w:t>
      </w:r>
    </w:p>
    <w:p w:rsidR="002A5DBB" w:rsidRDefault="002A5DBB" w:rsidP="002A5DBB">
      <w:pPr>
        <w:pStyle w:val="NoSpacing"/>
        <w:rPr>
          <w:rFonts w:cstheme="minorHAnsi"/>
        </w:rPr>
      </w:pPr>
    </w:p>
    <w:p w:rsidR="002A5DBB" w:rsidRDefault="002A5DBB" w:rsidP="002A5DBB">
      <w:pPr>
        <w:pStyle w:val="NoSpacing"/>
        <w:rPr>
          <w:rFonts w:cstheme="minorHAnsi"/>
        </w:rPr>
      </w:pPr>
      <w:r>
        <w:rPr>
          <w:rFonts w:cstheme="minorHAnsi"/>
        </w:rPr>
        <w:t>&lt;pp&gt;66</w:t>
      </w:r>
    </w:p>
    <w:p w:rsidR="002A5DBB" w:rsidRDefault="002A5DBB" w:rsidP="002A5DBB">
      <w:pPr>
        <w:pStyle w:val="NoSpacing"/>
        <w:rPr>
          <w:rFonts w:cstheme="minorHAnsi"/>
        </w:rPr>
      </w:pPr>
    </w:p>
    <w:p w:rsidR="00FE17B2" w:rsidRPr="00A450BC" w:rsidRDefault="00FE17B2" w:rsidP="00D36BB2">
      <w:pPr>
        <w:pStyle w:val="Heading3"/>
      </w:pPr>
      <w:r w:rsidRPr="00A450BC">
        <w:t xml:space="preserve">6. How we financed our operations </w:t>
      </w:r>
    </w:p>
    <w:p w:rsidR="00FE17B2" w:rsidRDefault="00FE17B2" w:rsidP="00FE17B2">
      <w:pPr>
        <w:pStyle w:val="NoSpacing"/>
        <w:rPr>
          <w:rFonts w:cstheme="minorHAnsi"/>
        </w:rPr>
      </w:pPr>
    </w:p>
    <w:p w:rsidR="00FE17B2" w:rsidRDefault="00FE17B2" w:rsidP="00D36BB2">
      <w:pPr>
        <w:pStyle w:val="Heading4"/>
      </w:pPr>
      <w:r>
        <w:t>6.1 Cash and deposit</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FE17B2" w:rsidRPr="00AE2D8D" w:rsidTr="002E022F">
        <w:tc>
          <w:tcPr>
            <w:tcW w:w="2693" w:type="dxa"/>
            <w:gridSpan w:val="2"/>
          </w:tcPr>
          <w:p w:rsidR="00FE17B2" w:rsidRPr="00AE2D8D" w:rsidRDefault="00FE17B2" w:rsidP="002E022F">
            <w:pPr>
              <w:pStyle w:val="NoSpacing"/>
              <w:jc w:val="center"/>
              <w:rPr>
                <w:rFonts w:cstheme="minorHAnsi"/>
                <w:bCs/>
                <w:w w:val="105"/>
              </w:rPr>
            </w:pPr>
            <w:r w:rsidRPr="00AE2D8D">
              <w:rPr>
                <w:rFonts w:cstheme="minorHAnsi"/>
                <w:bCs/>
                <w:w w:val="105"/>
              </w:rPr>
              <w:t>Consolidated</w:t>
            </w:r>
          </w:p>
        </w:tc>
        <w:tc>
          <w:tcPr>
            <w:tcW w:w="2410" w:type="dxa"/>
            <w:gridSpan w:val="2"/>
          </w:tcPr>
          <w:p w:rsidR="00FE17B2" w:rsidRPr="00AE2D8D" w:rsidRDefault="00FE17B2" w:rsidP="002E022F">
            <w:pPr>
              <w:pStyle w:val="NoSpacing"/>
              <w:jc w:val="center"/>
              <w:rPr>
                <w:rFonts w:cstheme="minorHAnsi"/>
                <w:bCs/>
                <w:w w:val="105"/>
              </w:rPr>
            </w:pPr>
            <w:r w:rsidRPr="00AE2D8D">
              <w:rPr>
                <w:rFonts w:cstheme="minorHAnsi"/>
                <w:bCs/>
                <w:w w:val="105"/>
              </w:rPr>
              <w:t>Chisholm</w:t>
            </w:r>
          </w:p>
        </w:tc>
      </w:tr>
      <w:tr w:rsidR="00FE17B2" w:rsidRPr="00AE2D8D" w:rsidTr="002E022F">
        <w:tc>
          <w:tcPr>
            <w:tcW w:w="1417" w:type="dxa"/>
          </w:tcPr>
          <w:p w:rsidR="00FE17B2" w:rsidRPr="00AE2D8D" w:rsidRDefault="00FE17B2" w:rsidP="002E022F">
            <w:pPr>
              <w:pStyle w:val="NoSpacing"/>
              <w:jc w:val="right"/>
              <w:rPr>
                <w:rFonts w:cstheme="minorHAnsi"/>
                <w:bCs/>
                <w:w w:val="105"/>
              </w:rPr>
            </w:pPr>
            <w:r w:rsidRPr="00AE2D8D">
              <w:rPr>
                <w:rFonts w:cstheme="minorHAnsi"/>
                <w:bCs/>
                <w:w w:val="105"/>
              </w:rPr>
              <w:t>2017</w:t>
            </w:r>
          </w:p>
        </w:tc>
        <w:tc>
          <w:tcPr>
            <w:tcW w:w="1276" w:type="dxa"/>
          </w:tcPr>
          <w:p w:rsidR="00FE17B2" w:rsidRPr="00AE2D8D" w:rsidRDefault="00FE17B2" w:rsidP="002E022F">
            <w:pPr>
              <w:pStyle w:val="NoSpacing"/>
              <w:jc w:val="right"/>
              <w:rPr>
                <w:rFonts w:cstheme="minorHAnsi"/>
                <w:bCs/>
                <w:w w:val="105"/>
              </w:rPr>
            </w:pPr>
            <w:r w:rsidRPr="00AE2D8D">
              <w:rPr>
                <w:rFonts w:cstheme="minorHAnsi"/>
                <w:bCs/>
                <w:w w:val="105"/>
              </w:rPr>
              <w:t>2016</w:t>
            </w:r>
          </w:p>
        </w:tc>
        <w:tc>
          <w:tcPr>
            <w:tcW w:w="1276" w:type="dxa"/>
          </w:tcPr>
          <w:p w:rsidR="00FE17B2" w:rsidRPr="00AE2D8D" w:rsidRDefault="00FE17B2" w:rsidP="002E022F">
            <w:pPr>
              <w:pStyle w:val="NoSpacing"/>
              <w:jc w:val="right"/>
              <w:rPr>
                <w:rFonts w:cstheme="minorHAnsi"/>
                <w:bCs/>
                <w:w w:val="105"/>
              </w:rPr>
            </w:pPr>
            <w:r w:rsidRPr="00AE2D8D">
              <w:rPr>
                <w:rFonts w:cstheme="minorHAnsi"/>
                <w:bCs/>
                <w:w w:val="105"/>
              </w:rPr>
              <w:t>2017</w:t>
            </w:r>
          </w:p>
        </w:tc>
        <w:tc>
          <w:tcPr>
            <w:tcW w:w="1134" w:type="dxa"/>
          </w:tcPr>
          <w:p w:rsidR="00FE17B2" w:rsidRPr="00AE2D8D" w:rsidRDefault="00FE17B2" w:rsidP="002E022F">
            <w:pPr>
              <w:pStyle w:val="NoSpacing"/>
              <w:jc w:val="right"/>
              <w:rPr>
                <w:rFonts w:cstheme="minorHAnsi"/>
                <w:bCs/>
                <w:w w:val="105"/>
              </w:rPr>
            </w:pPr>
            <w:r w:rsidRPr="00AE2D8D">
              <w:rPr>
                <w:rFonts w:cstheme="minorHAnsi"/>
                <w:bCs/>
                <w:w w:val="105"/>
              </w:rPr>
              <w:t>2016</w:t>
            </w:r>
          </w:p>
        </w:tc>
      </w:tr>
      <w:tr w:rsidR="00FE17B2" w:rsidRPr="00AE2D8D" w:rsidTr="002E022F">
        <w:tc>
          <w:tcPr>
            <w:tcW w:w="1417" w:type="dxa"/>
          </w:tcPr>
          <w:p w:rsidR="00FE17B2" w:rsidRPr="00AE2D8D" w:rsidRDefault="00FE17B2" w:rsidP="002E022F">
            <w:pPr>
              <w:jc w:val="right"/>
              <w:rPr>
                <w:rFonts w:cstheme="minorHAnsi"/>
              </w:rPr>
            </w:pPr>
            <w:r w:rsidRPr="00AE2D8D">
              <w:rPr>
                <w:rFonts w:cstheme="minorHAnsi"/>
                <w:bCs/>
                <w:w w:val="105"/>
              </w:rPr>
              <w:t>$’000</w:t>
            </w:r>
          </w:p>
        </w:tc>
        <w:tc>
          <w:tcPr>
            <w:tcW w:w="1276" w:type="dxa"/>
          </w:tcPr>
          <w:p w:rsidR="00FE17B2" w:rsidRPr="00AE2D8D" w:rsidRDefault="00FE17B2" w:rsidP="002E022F">
            <w:pPr>
              <w:jc w:val="right"/>
              <w:rPr>
                <w:rFonts w:cstheme="minorHAnsi"/>
              </w:rPr>
            </w:pPr>
            <w:r w:rsidRPr="00AE2D8D">
              <w:rPr>
                <w:rFonts w:cstheme="minorHAnsi"/>
                <w:bCs/>
                <w:w w:val="105"/>
              </w:rPr>
              <w:t>$’000</w:t>
            </w:r>
          </w:p>
        </w:tc>
        <w:tc>
          <w:tcPr>
            <w:tcW w:w="1276" w:type="dxa"/>
          </w:tcPr>
          <w:p w:rsidR="00FE17B2" w:rsidRPr="00AE2D8D" w:rsidRDefault="00FE17B2" w:rsidP="002E022F">
            <w:pPr>
              <w:jc w:val="right"/>
              <w:rPr>
                <w:rFonts w:cstheme="minorHAnsi"/>
              </w:rPr>
            </w:pPr>
            <w:r w:rsidRPr="00AE2D8D">
              <w:rPr>
                <w:rFonts w:cstheme="minorHAnsi"/>
                <w:bCs/>
                <w:w w:val="105"/>
              </w:rPr>
              <w:t>$’000</w:t>
            </w:r>
          </w:p>
        </w:tc>
        <w:tc>
          <w:tcPr>
            <w:tcW w:w="1134" w:type="dxa"/>
          </w:tcPr>
          <w:p w:rsidR="00FE17B2" w:rsidRPr="00AE2D8D" w:rsidRDefault="00FE17B2" w:rsidP="002E022F">
            <w:pPr>
              <w:pStyle w:val="NoSpacing"/>
              <w:jc w:val="right"/>
              <w:rPr>
                <w:rFonts w:cstheme="minorHAnsi"/>
                <w:bCs/>
                <w:w w:val="105"/>
              </w:rPr>
            </w:pPr>
            <w:r w:rsidRPr="00AE2D8D">
              <w:rPr>
                <w:rFonts w:cstheme="minorHAnsi"/>
                <w:bCs/>
                <w:w w:val="105"/>
              </w:rPr>
              <w:t>$’000</w:t>
            </w:r>
          </w:p>
        </w:tc>
      </w:tr>
    </w:tbl>
    <w:p w:rsidR="00FE17B2" w:rsidRDefault="00FE17B2" w:rsidP="00FE17B2">
      <w:pPr>
        <w:pStyle w:val="NoSpacing"/>
        <w:rPr>
          <w:rFonts w:cstheme="minorHAnsi"/>
        </w:rPr>
      </w:pPr>
    </w:p>
    <w:tbl>
      <w:tblPr>
        <w:tblStyle w:val="TableGrid"/>
        <w:tblW w:w="0" w:type="auto"/>
        <w:tblLook w:val="04A0" w:firstRow="1" w:lastRow="0" w:firstColumn="1" w:lastColumn="0" w:noHBand="0" w:noVBand="1"/>
      </w:tblPr>
      <w:tblGrid>
        <w:gridCol w:w="8784"/>
        <w:gridCol w:w="1417"/>
        <w:gridCol w:w="1276"/>
        <w:gridCol w:w="1276"/>
        <w:gridCol w:w="1134"/>
      </w:tblGrid>
      <w:tr w:rsidR="00FE17B2" w:rsidTr="002E022F">
        <w:tc>
          <w:tcPr>
            <w:tcW w:w="8784" w:type="dxa"/>
          </w:tcPr>
          <w:p w:rsidR="00FE17B2" w:rsidRDefault="00FE17B2" w:rsidP="002E022F">
            <w:pPr>
              <w:pStyle w:val="NoSpacing"/>
            </w:pPr>
            <w:r>
              <w:t>Cash at bank and on hand</w:t>
            </w:r>
          </w:p>
        </w:tc>
        <w:tc>
          <w:tcPr>
            <w:tcW w:w="1417" w:type="dxa"/>
          </w:tcPr>
          <w:p w:rsidR="00FE17B2" w:rsidRDefault="00FE17B2" w:rsidP="002E022F">
            <w:pPr>
              <w:pStyle w:val="NoSpacing"/>
              <w:jc w:val="right"/>
            </w:pPr>
            <w:r>
              <w:t>9,526</w:t>
            </w:r>
          </w:p>
        </w:tc>
        <w:tc>
          <w:tcPr>
            <w:tcW w:w="1276" w:type="dxa"/>
          </w:tcPr>
          <w:p w:rsidR="00FE17B2" w:rsidRDefault="00FE17B2" w:rsidP="002E022F">
            <w:pPr>
              <w:pStyle w:val="NoSpacing"/>
              <w:jc w:val="right"/>
            </w:pPr>
            <w:r>
              <w:t>4,929</w:t>
            </w:r>
          </w:p>
        </w:tc>
        <w:tc>
          <w:tcPr>
            <w:tcW w:w="1276" w:type="dxa"/>
          </w:tcPr>
          <w:p w:rsidR="00FE17B2" w:rsidRDefault="00FE17B2" w:rsidP="002E022F">
            <w:pPr>
              <w:pStyle w:val="NoSpacing"/>
              <w:jc w:val="right"/>
            </w:pPr>
            <w:r>
              <w:t>8,780</w:t>
            </w:r>
          </w:p>
        </w:tc>
        <w:tc>
          <w:tcPr>
            <w:tcW w:w="1134" w:type="dxa"/>
          </w:tcPr>
          <w:p w:rsidR="00FE17B2" w:rsidRDefault="00FE17B2" w:rsidP="002E022F">
            <w:pPr>
              <w:pStyle w:val="NoSpacing"/>
              <w:jc w:val="right"/>
            </w:pPr>
            <w:r>
              <w:t>4,053</w:t>
            </w:r>
          </w:p>
        </w:tc>
      </w:tr>
      <w:tr w:rsidR="00FE17B2" w:rsidTr="002E022F">
        <w:tc>
          <w:tcPr>
            <w:tcW w:w="8784" w:type="dxa"/>
          </w:tcPr>
          <w:p w:rsidR="00FE17B2" w:rsidRDefault="00FE17B2" w:rsidP="002E022F">
            <w:pPr>
              <w:pStyle w:val="NoSpacing"/>
            </w:pPr>
            <w:r>
              <w:t>Deposits at call</w:t>
            </w:r>
          </w:p>
        </w:tc>
        <w:tc>
          <w:tcPr>
            <w:tcW w:w="1417" w:type="dxa"/>
          </w:tcPr>
          <w:p w:rsidR="00FE17B2" w:rsidRDefault="00FE17B2" w:rsidP="002E022F">
            <w:pPr>
              <w:pStyle w:val="NoSpacing"/>
              <w:jc w:val="right"/>
            </w:pPr>
            <w:r>
              <w:t>36,911</w:t>
            </w:r>
          </w:p>
        </w:tc>
        <w:tc>
          <w:tcPr>
            <w:tcW w:w="1276" w:type="dxa"/>
          </w:tcPr>
          <w:p w:rsidR="00FE17B2" w:rsidRDefault="00FE17B2" w:rsidP="002E022F">
            <w:pPr>
              <w:pStyle w:val="NoSpacing"/>
              <w:jc w:val="right"/>
            </w:pPr>
            <w:r>
              <w:t>52,232</w:t>
            </w:r>
          </w:p>
        </w:tc>
        <w:tc>
          <w:tcPr>
            <w:tcW w:w="1276" w:type="dxa"/>
          </w:tcPr>
          <w:p w:rsidR="00FE17B2" w:rsidRDefault="00FE17B2" w:rsidP="002E022F">
            <w:pPr>
              <w:pStyle w:val="NoSpacing"/>
              <w:jc w:val="right"/>
            </w:pPr>
            <w:r>
              <w:t>36,911</w:t>
            </w:r>
          </w:p>
        </w:tc>
        <w:tc>
          <w:tcPr>
            <w:tcW w:w="1134" w:type="dxa"/>
          </w:tcPr>
          <w:p w:rsidR="00FE17B2" w:rsidRDefault="00FE17B2" w:rsidP="002E022F">
            <w:pPr>
              <w:pStyle w:val="NoSpacing"/>
              <w:jc w:val="right"/>
            </w:pPr>
            <w:r>
              <w:t>52,232</w:t>
            </w:r>
          </w:p>
        </w:tc>
      </w:tr>
      <w:tr w:rsidR="00FE17B2" w:rsidTr="002E022F">
        <w:tc>
          <w:tcPr>
            <w:tcW w:w="8784" w:type="dxa"/>
          </w:tcPr>
          <w:p w:rsidR="00FE17B2" w:rsidRDefault="00FE17B2" w:rsidP="002E022F">
            <w:pPr>
              <w:pStyle w:val="NoSpacing"/>
            </w:pPr>
            <w:r>
              <w:t xml:space="preserve">Total cash and deposits </w:t>
            </w:r>
          </w:p>
        </w:tc>
        <w:tc>
          <w:tcPr>
            <w:tcW w:w="1417" w:type="dxa"/>
          </w:tcPr>
          <w:p w:rsidR="00FE17B2" w:rsidRDefault="00FE17B2" w:rsidP="002E022F">
            <w:pPr>
              <w:pStyle w:val="NoSpacing"/>
              <w:jc w:val="right"/>
            </w:pPr>
            <w:r>
              <w:t>46,437</w:t>
            </w:r>
          </w:p>
        </w:tc>
        <w:tc>
          <w:tcPr>
            <w:tcW w:w="1276" w:type="dxa"/>
          </w:tcPr>
          <w:p w:rsidR="00FE17B2" w:rsidRDefault="00FE17B2" w:rsidP="002E022F">
            <w:pPr>
              <w:pStyle w:val="NoSpacing"/>
              <w:jc w:val="right"/>
            </w:pPr>
            <w:r>
              <w:t>57,161</w:t>
            </w:r>
          </w:p>
        </w:tc>
        <w:tc>
          <w:tcPr>
            <w:tcW w:w="1276" w:type="dxa"/>
          </w:tcPr>
          <w:p w:rsidR="00FE17B2" w:rsidRDefault="00FE17B2" w:rsidP="002E022F">
            <w:pPr>
              <w:pStyle w:val="NoSpacing"/>
              <w:jc w:val="right"/>
            </w:pPr>
            <w:r>
              <w:t>45,691</w:t>
            </w:r>
          </w:p>
        </w:tc>
        <w:tc>
          <w:tcPr>
            <w:tcW w:w="1134" w:type="dxa"/>
          </w:tcPr>
          <w:p w:rsidR="00FE17B2" w:rsidRDefault="00FE17B2" w:rsidP="002E022F">
            <w:pPr>
              <w:pStyle w:val="NoSpacing"/>
              <w:jc w:val="right"/>
            </w:pPr>
            <w:r>
              <w:t>56,285</w:t>
            </w:r>
          </w:p>
        </w:tc>
      </w:tr>
    </w:tbl>
    <w:p w:rsidR="00FE17B2" w:rsidRDefault="00FE17B2" w:rsidP="00FE17B2">
      <w:pPr>
        <w:pStyle w:val="NoSpacing"/>
        <w:rPr>
          <w:rFonts w:cstheme="minorHAnsi"/>
        </w:rPr>
      </w:pPr>
    </w:p>
    <w:p w:rsidR="00FE17B2" w:rsidRDefault="00FE17B2" w:rsidP="00FE17B2">
      <w:pPr>
        <w:pStyle w:val="NoSpacing"/>
        <w:rPr>
          <w:rFonts w:cstheme="minorHAnsi"/>
        </w:rPr>
      </w:pPr>
      <w:r w:rsidRPr="00A450BC">
        <w:t>Cash and deposits, including cash equivalents, comprise cash on hand and cash at bank, deposits at call and those</w:t>
      </w:r>
      <w:r>
        <w:t xml:space="preserve"> </w:t>
      </w:r>
      <w:r w:rsidRPr="00A450BC">
        <w:t xml:space="preserve">highly liquid investments with an original maturity of three months or less, which are </w:t>
      </w:r>
      <w:r>
        <w:t xml:space="preserve">held for the purpose of meeting </w:t>
      </w:r>
      <w:r w:rsidRPr="00A450BC">
        <w:t>short term cash commitments rather than for investment purposes, and which a</w:t>
      </w:r>
      <w:r>
        <w:t xml:space="preserve">re readily convertible to known </w:t>
      </w:r>
      <w:r w:rsidRPr="00A450BC">
        <w:t>amounts of cash and are subject to an insignificant risk of changes in value.</w:t>
      </w:r>
    </w:p>
    <w:p w:rsidR="002A5DBB" w:rsidRDefault="002A5DBB" w:rsidP="00553A5A">
      <w:pPr>
        <w:pStyle w:val="NoSpacing"/>
        <w:rPr>
          <w:rFonts w:cstheme="minorHAnsi"/>
        </w:rPr>
      </w:pPr>
    </w:p>
    <w:p w:rsidR="00FE17B2" w:rsidRDefault="00FE17B2" w:rsidP="00D36BB2">
      <w:pPr>
        <w:pStyle w:val="Heading4"/>
      </w:pPr>
      <w:r w:rsidRPr="00A450BC">
        <w:t xml:space="preserve">6.1.1 Reconciliation of operating result to net cash flows from operating activities </w:t>
      </w:r>
    </w:p>
    <w:p w:rsidR="00FE17B2" w:rsidRDefault="00FE17B2" w:rsidP="00553A5A">
      <w:pPr>
        <w:pStyle w:val="NoSpacing"/>
        <w:rPr>
          <w:rFonts w:cstheme="minorHAnsi"/>
        </w:rPr>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FE17B2" w:rsidRPr="00AE2D8D" w:rsidTr="002E022F">
        <w:tc>
          <w:tcPr>
            <w:tcW w:w="2693" w:type="dxa"/>
            <w:gridSpan w:val="2"/>
          </w:tcPr>
          <w:p w:rsidR="00FE17B2" w:rsidRPr="00AE2D8D" w:rsidRDefault="00FE17B2" w:rsidP="002E022F">
            <w:pPr>
              <w:pStyle w:val="NoSpacing"/>
              <w:jc w:val="center"/>
              <w:rPr>
                <w:rFonts w:cstheme="minorHAnsi"/>
                <w:bCs/>
                <w:w w:val="105"/>
              </w:rPr>
            </w:pPr>
            <w:r w:rsidRPr="00AE2D8D">
              <w:rPr>
                <w:rFonts w:cstheme="minorHAnsi"/>
                <w:bCs/>
                <w:w w:val="105"/>
              </w:rPr>
              <w:t>Consolidated</w:t>
            </w:r>
          </w:p>
        </w:tc>
        <w:tc>
          <w:tcPr>
            <w:tcW w:w="2410" w:type="dxa"/>
            <w:gridSpan w:val="2"/>
          </w:tcPr>
          <w:p w:rsidR="00FE17B2" w:rsidRPr="00AE2D8D" w:rsidRDefault="00FE17B2" w:rsidP="002E022F">
            <w:pPr>
              <w:pStyle w:val="NoSpacing"/>
              <w:jc w:val="center"/>
              <w:rPr>
                <w:rFonts w:cstheme="minorHAnsi"/>
                <w:bCs/>
                <w:w w:val="105"/>
              </w:rPr>
            </w:pPr>
            <w:r w:rsidRPr="00AE2D8D">
              <w:rPr>
                <w:rFonts w:cstheme="minorHAnsi"/>
                <w:bCs/>
                <w:w w:val="105"/>
              </w:rPr>
              <w:t>Chisholm</w:t>
            </w:r>
          </w:p>
        </w:tc>
      </w:tr>
      <w:tr w:rsidR="00FE17B2" w:rsidRPr="00AE2D8D" w:rsidTr="002E022F">
        <w:tc>
          <w:tcPr>
            <w:tcW w:w="1417" w:type="dxa"/>
          </w:tcPr>
          <w:p w:rsidR="00FE17B2" w:rsidRPr="00AE2D8D" w:rsidRDefault="00FE17B2" w:rsidP="002E022F">
            <w:pPr>
              <w:pStyle w:val="NoSpacing"/>
              <w:jc w:val="right"/>
              <w:rPr>
                <w:rFonts w:cstheme="minorHAnsi"/>
                <w:bCs/>
                <w:w w:val="105"/>
              </w:rPr>
            </w:pPr>
            <w:r w:rsidRPr="00AE2D8D">
              <w:rPr>
                <w:rFonts w:cstheme="minorHAnsi"/>
                <w:bCs/>
                <w:w w:val="105"/>
              </w:rPr>
              <w:t>2017</w:t>
            </w:r>
          </w:p>
        </w:tc>
        <w:tc>
          <w:tcPr>
            <w:tcW w:w="1276" w:type="dxa"/>
          </w:tcPr>
          <w:p w:rsidR="00FE17B2" w:rsidRPr="00AE2D8D" w:rsidRDefault="00FE17B2" w:rsidP="002E022F">
            <w:pPr>
              <w:pStyle w:val="NoSpacing"/>
              <w:jc w:val="right"/>
              <w:rPr>
                <w:rFonts w:cstheme="minorHAnsi"/>
                <w:bCs/>
                <w:w w:val="105"/>
              </w:rPr>
            </w:pPr>
            <w:r w:rsidRPr="00AE2D8D">
              <w:rPr>
                <w:rFonts w:cstheme="minorHAnsi"/>
                <w:bCs/>
                <w:w w:val="105"/>
              </w:rPr>
              <w:t>2016</w:t>
            </w:r>
          </w:p>
        </w:tc>
        <w:tc>
          <w:tcPr>
            <w:tcW w:w="1276" w:type="dxa"/>
          </w:tcPr>
          <w:p w:rsidR="00FE17B2" w:rsidRPr="00AE2D8D" w:rsidRDefault="00FE17B2" w:rsidP="002E022F">
            <w:pPr>
              <w:pStyle w:val="NoSpacing"/>
              <w:jc w:val="right"/>
              <w:rPr>
                <w:rFonts w:cstheme="minorHAnsi"/>
                <w:bCs/>
                <w:w w:val="105"/>
              </w:rPr>
            </w:pPr>
            <w:r w:rsidRPr="00AE2D8D">
              <w:rPr>
                <w:rFonts w:cstheme="minorHAnsi"/>
                <w:bCs/>
                <w:w w:val="105"/>
              </w:rPr>
              <w:t>2017</w:t>
            </w:r>
          </w:p>
        </w:tc>
        <w:tc>
          <w:tcPr>
            <w:tcW w:w="1134" w:type="dxa"/>
          </w:tcPr>
          <w:p w:rsidR="00FE17B2" w:rsidRPr="00AE2D8D" w:rsidRDefault="00FE17B2" w:rsidP="002E022F">
            <w:pPr>
              <w:pStyle w:val="NoSpacing"/>
              <w:jc w:val="right"/>
              <w:rPr>
                <w:rFonts w:cstheme="minorHAnsi"/>
                <w:bCs/>
                <w:w w:val="105"/>
              </w:rPr>
            </w:pPr>
            <w:r w:rsidRPr="00AE2D8D">
              <w:rPr>
                <w:rFonts w:cstheme="minorHAnsi"/>
                <w:bCs/>
                <w:w w:val="105"/>
              </w:rPr>
              <w:t>2016</w:t>
            </w:r>
          </w:p>
        </w:tc>
      </w:tr>
      <w:tr w:rsidR="00FE17B2" w:rsidRPr="00AE2D8D" w:rsidTr="002E022F">
        <w:tc>
          <w:tcPr>
            <w:tcW w:w="1417" w:type="dxa"/>
          </w:tcPr>
          <w:p w:rsidR="00FE17B2" w:rsidRPr="00AE2D8D" w:rsidRDefault="00FE17B2" w:rsidP="002E022F">
            <w:pPr>
              <w:jc w:val="right"/>
              <w:rPr>
                <w:rFonts w:cstheme="minorHAnsi"/>
              </w:rPr>
            </w:pPr>
            <w:r w:rsidRPr="00AE2D8D">
              <w:rPr>
                <w:rFonts w:cstheme="minorHAnsi"/>
                <w:bCs/>
                <w:w w:val="105"/>
              </w:rPr>
              <w:t>$’000</w:t>
            </w:r>
          </w:p>
        </w:tc>
        <w:tc>
          <w:tcPr>
            <w:tcW w:w="1276" w:type="dxa"/>
          </w:tcPr>
          <w:p w:rsidR="00FE17B2" w:rsidRPr="00AE2D8D" w:rsidRDefault="00FE17B2" w:rsidP="002E022F">
            <w:pPr>
              <w:jc w:val="right"/>
              <w:rPr>
                <w:rFonts w:cstheme="minorHAnsi"/>
              </w:rPr>
            </w:pPr>
            <w:r w:rsidRPr="00AE2D8D">
              <w:rPr>
                <w:rFonts w:cstheme="minorHAnsi"/>
                <w:bCs/>
                <w:w w:val="105"/>
              </w:rPr>
              <w:t>$’000</w:t>
            </w:r>
          </w:p>
        </w:tc>
        <w:tc>
          <w:tcPr>
            <w:tcW w:w="1276" w:type="dxa"/>
          </w:tcPr>
          <w:p w:rsidR="00FE17B2" w:rsidRPr="00AE2D8D" w:rsidRDefault="00FE17B2" w:rsidP="002E022F">
            <w:pPr>
              <w:jc w:val="right"/>
              <w:rPr>
                <w:rFonts w:cstheme="minorHAnsi"/>
              </w:rPr>
            </w:pPr>
            <w:r w:rsidRPr="00AE2D8D">
              <w:rPr>
                <w:rFonts w:cstheme="minorHAnsi"/>
                <w:bCs/>
                <w:w w:val="105"/>
              </w:rPr>
              <w:t>$’000</w:t>
            </w:r>
          </w:p>
        </w:tc>
        <w:tc>
          <w:tcPr>
            <w:tcW w:w="1134" w:type="dxa"/>
          </w:tcPr>
          <w:p w:rsidR="00FE17B2" w:rsidRPr="00AE2D8D" w:rsidRDefault="00FE17B2" w:rsidP="002E022F">
            <w:pPr>
              <w:pStyle w:val="NoSpacing"/>
              <w:jc w:val="right"/>
              <w:rPr>
                <w:rFonts w:cstheme="minorHAnsi"/>
                <w:bCs/>
                <w:w w:val="105"/>
              </w:rPr>
            </w:pPr>
            <w:r w:rsidRPr="00AE2D8D">
              <w:rPr>
                <w:rFonts w:cstheme="minorHAnsi"/>
                <w:bCs/>
                <w:w w:val="105"/>
              </w:rPr>
              <w:t>$’000</w:t>
            </w:r>
          </w:p>
        </w:tc>
      </w:tr>
    </w:tbl>
    <w:p w:rsidR="008435ED" w:rsidRDefault="00FE17B2" w:rsidP="008421BC">
      <w:pPr>
        <w:pStyle w:val="NoSpacing"/>
      </w:pPr>
      <w:r>
        <w:t>Reconciliation of operating result after income tax to net cash flows from operating activities</w:t>
      </w:r>
    </w:p>
    <w:tbl>
      <w:tblPr>
        <w:tblStyle w:val="TableGrid"/>
        <w:tblW w:w="0" w:type="auto"/>
        <w:tblLook w:val="04A0" w:firstRow="1" w:lastRow="0" w:firstColumn="1" w:lastColumn="0" w:noHBand="0" w:noVBand="1"/>
      </w:tblPr>
      <w:tblGrid>
        <w:gridCol w:w="8784"/>
        <w:gridCol w:w="1417"/>
        <w:gridCol w:w="1276"/>
        <w:gridCol w:w="1276"/>
        <w:gridCol w:w="1134"/>
      </w:tblGrid>
      <w:tr w:rsidR="00FE17B2" w:rsidTr="002E022F">
        <w:tc>
          <w:tcPr>
            <w:tcW w:w="8784" w:type="dxa"/>
          </w:tcPr>
          <w:p w:rsidR="00FE17B2" w:rsidRDefault="00FE17B2" w:rsidP="002E022F">
            <w:pPr>
              <w:pStyle w:val="NoSpacing"/>
            </w:pPr>
            <w:r>
              <w:lastRenderedPageBreak/>
              <w:t>Net result for the year</w:t>
            </w:r>
          </w:p>
        </w:tc>
        <w:tc>
          <w:tcPr>
            <w:tcW w:w="1417" w:type="dxa"/>
          </w:tcPr>
          <w:p w:rsidR="00FE17B2" w:rsidRDefault="00FE17B2" w:rsidP="002E022F">
            <w:pPr>
              <w:pStyle w:val="NoSpacing"/>
              <w:jc w:val="right"/>
            </w:pPr>
            <w:r>
              <w:t>33,192</w:t>
            </w:r>
          </w:p>
        </w:tc>
        <w:tc>
          <w:tcPr>
            <w:tcW w:w="1276" w:type="dxa"/>
          </w:tcPr>
          <w:p w:rsidR="00FE17B2" w:rsidRDefault="00FE17B2" w:rsidP="002E022F">
            <w:pPr>
              <w:pStyle w:val="NoSpacing"/>
              <w:jc w:val="right"/>
            </w:pPr>
            <w:r>
              <w:t>13,445</w:t>
            </w:r>
          </w:p>
        </w:tc>
        <w:tc>
          <w:tcPr>
            <w:tcW w:w="1276" w:type="dxa"/>
          </w:tcPr>
          <w:p w:rsidR="00FE17B2" w:rsidRDefault="00FE17B2" w:rsidP="002E022F">
            <w:pPr>
              <w:pStyle w:val="NoSpacing"/>
              <w:jc w:val="right"/>
            </w:pPr>
            <w:r>
              <w:t>32,357</w:t>
            </w:r>
          </w:p>
        </w:tc>
        <w:tc>
          <w:tcPr>
            <w:tcW w:w="1134" w:type="dxa"/>
          </w:tcPr>
          <w:p w:rsidR="00FE17B2" w:rsidRDefault="00FE17B2" w:rsidP="002E022F">
            <w:pPr>
              <w:pStyle w:val="NoSpacing"/>
              <w:jc w:val="right"/>
            </w:pPr>
            <w:r>
              <w:t>15,888</w:t>
            </w:r>
          </w:p>
        </w:tc>
      </w:tr>
    </w:tbl>
    <w:p w:rsidR="00FE17B2" w:rsidRDefault="00FE17B2" w:rsidP="008421BC">
      <w:pPr>
        <w:pStyle w:val="NoSpacing"/>
      </w:pPr>
    </w:p>
    <w:p w:rsidR="00FE17B2" w:rsidRDefault="00FE17B2" w:rsidP="008421BC">
      <w:pPr>
        <w:pStyle w:val="NoSpacing"/>
      </w:pPr>
      <w:r>
        <w:t xml:space="preserve">Non cash movements </w:t>
      </w:r>
    </w:p>
    <w:tbl>
      <w:tblPr>
        <w:tblStyle w:val="TableGrid"/>
        <w:tblW w:w="0" w:type="auto"/>
        <w:tblLook w:val="04A0" w:firstRow="1" w:lastRow="0" w:firstColumn="1" w:lastColumn="0" w:noHBand="0" w:noVBand="1"/>
      </w:tblPr>
      <w:tblGrid>
        <w:gridCol w:w="8784"/>
        <w:gridCol w:w="1417"/>
        <w:gridCol w:w="1276"/>
        <w:gridCol w:w="1276"/>
        <w:gridCol w:w="1134"/>
      </w:tblGrid>
      <w:tr w:rsidR="00FE17B2" w:rsidTr="002E022F">
        <w:tc>
          <w:tcPr>
            <w:tcW w:w="8784" w:type="dxa"/>
          </w:tcPr>
          <w:p w:rsidR="00FE17B2" w:rsidRDefault="00A83BEE" w:rsidP="002E022F">
            <w:pPr>
              <w:pStyle w:val="NoSpacing"/>
            </w:pPr>
            <w:r>
              <w:t>Depreciation and amortisation of non-financial assets</w:t>
            </w:r>
          </w:p>
        </w:tc>
        <w:tc>
          <w:tcPr>
            <w:tcW w:w="1417" w:type="dxa"/>
          </w:tcPr>
          <w:p w:rsidR="00FE17B2" w:rsidRDefault="00A83BEE" w:rsidP="002E022F">
            <w:pPr>
              <w:pStyle w:val="NoSpacing"/>
              <w:jc w:val="right"/>
            </w:pPr>
            <w:r>
              <w:t>8,213</w:t>
            </w:r>
          </w:p>
        </w:tc>
        <w:tc>
          <w:tcPr>
            <w:tcW w:w="1276" w:type="dxa"/>
          </w:tcPr>
          <w:p w:rsidR="00FE17B2" w:rsidRDefault="00A83BEE" w:rsidP="002E022F">
            <w:pPr>
              <w:pStyle w:val="NoSpacing"/>
              <w:jc w:val="right"/>
            </w:pPr>
            <w:r>
              <w:t>8,344</w:t>
            </w:r>
          </w:p>
        </w:tc>
        <w:tc>
          <w:tcPr>
            <w:tcW w:w="1276" w:type="dxa"/>
          </w:tcPr>
          <w:p w:rsidR="00FE17B2" w:rsidRDefault="00A83BEE" w:rsidP="002E022F">
            <w:pPr>
              <w:pStyle w:val="NoSpacing"/>
              <w:jc w:val="right"/>
            </w:pPr>
            <w:r>
              <w:t>7,593</w:t>
            </w:r>
          </w:p>
        </w:tc>
        <w:tc>
          <w:tcPr>
            <w:tcW w:w="1134" w:type="dxa"/>
          </w:tcPr>
          <w:p w:rsidR="00FE17B2" w:rsidRDefault="00A83BEE" w:rsidP="002E022F">
            <w:pPr>
              <w:pStyle w:val="NoSpacing"/>
              <w:jc w:val="right"/>
            </w:pPr>
            <w:r>
              <w:t>7,872</w:t>
            </w:r>
          </w:p>
        </w:tc>
      </w:tr>
      <w:tr w:rsidR="00FE17B2" w:rsidTr="002E022F">
        <w:tc>
          <w:tcPr>
            <w:tcW w:w="8784" w:type="dxa"/>
          </w:tcPr>
          <w:p w:rsidR="00FE17B2" w:rsidRDefault="00A83BEE" w:rsidP="002E022F">
            <w:pPr>
              <w:pStyle w:val="NoSpacing"/>
            </w:pPr>
            <w:r>
              <w:t>Net (gain)/ loss on sale of non-financial assets</w:t>
            </w:r>
          </w:p>
        </w:tc>
        <w:tc>
          <w:tcPr>
            <w:tcW w:w="1417" w:type="dxa"/>
          </w:tcPr>
          <w:p w:rsidR="00FE17B2" w:rsidRDefault="00A83BEE" w:rsidP="002E022F">
            <w:pPr>
              <w:pStyle w:val="NoSpacing"/>
              <w:jc w:val="right"/>
            </w:pPr>
            <w:r>
              <w:t>58</w:t>
            </w:r>
          </w:p>
        </w:tc>
        <w:tc>
          <w:tcPr>
            <w:tcW w:w="1276" w:type="dxa"/>
          </w:tcPr>
          <w:p w:rsidR="00FE17B2" w:rsidRDefault="00A83BEE" w:rsidP="002E022F">
            <w:pPr>
              <w:pStyle w:val="NoSpacing"/>
              <w:jc w:val="right"/>
            </w:pPr>
            <w:r>
              <w:t>4,390</w:t>
            </w:r>
          </w:p>
        </w:tc>
        <w:tc>
          <w:tcPr>
            <w:tcW w:w="1276" w:type="dxa"/>
          </w:tcPr>
          <w:p w:rsidR="00FE17B2" w:rsidRDefault="00A83BEE" w:rsidP="002E022F">
            <w:pPr>
              <w:pStyle w:val="NoSpacing"/>
              <w:jc w:val="right"/>
            </w:pPr>
            <w:r>
              <w:t>58</w:t>
            </w:r>
          </w:p>
        </w:tc>
        <w:tc>
          <w:tcPr>
            <w:tcW w:w="1134" w:type="dxa"/>
          </w:tcPr>
          <w:p w:rsidR="00FE17B2" w:rsidRDefault="00A83BEE" w:rsidP="002E022F">
            <w:pPr>
              <w:pStyle w:val="NoSpacing"/>
              <w:jc w:val="right"/>
            </w:pPr>
            <w:r>
              <w:t>4,390</w:t>
            </w:r>
          </w:p>
        </w:tc>
      </w:tr>
      <w:tr w:rsidR="00FE17B2" w:rsidTr="002E022F">
        <w:tc>
          <w:tcPr>
            <w:tcW w:w="8784" w:type="dxa"/>
          </w:tcPr>
          <w:p w:rsidR="00FE17B2" w:rsidRDefault="00A83BEE" w:rsidP="002E022F">
            <w:pPr>
              <w:pStyle w:val="NoSpacing"/>
            </w:pPr>
            <w:r>
              <w:t>Greener Government loan discount</w:t>
            </w:r>
          </w:p>
        </w:tc>
        <w:tc>
          <w:tcPr>
            <w:tcW w:w="1417" w:type="dxa"/>
          </w:tcPr>
          <w:p w:rsidR="00FE17B2" w:rsidRDefault="00A83BEE" w:rsidP="002E022F">
            <w:pPr>
              <w:pStyle w:val="NoSpacing"/>
              <w:jc w:val="right"/>
            </w:pPr>
            <w:r>
              <w:t>55</w:t>
            </w:r>
          </w:p>
        </w:tc>
        <w:tc>
          <w:tcPr>
            <w:tcW w:w="1276" w:type="dxa"/>
          </w:tcPr>
          <w:p w:rsidR="00FE17B2" w:rsidRDefault="00A83BEE" w:rsidP="002E022F">
            <w:pPr>
              <w:pStyle w:val="NoSpacing"/>
              <w:jc w:val="right"/>
            </w:pPr>
            <w:r>
              <w:t>64</w:t>
            </w:r>
          </w:p>
        </w:tc>
        <w:tc>
          <w:tcPr>
            <w:tcW w:w="1276" w:type="dxa"/>
          </w:tcPr>
          <w:p w:rsidR="00FE17B2" w:rsidRDefault="00A83BEE" w:rsidP="002E022F">
            <w:pPr>
              <w:pStyle w:val="NoSpacing"/>
              <w:jc w:val="right"/>
            </w:pPr>
            <w:r>
              <w:t>55</w:t>
            </w:r>
          </w:p>
        </w:tc>
        <w:tc>
          <w:tcPr>
            <w:tcW w:w="1134" w:type="dxa"/>
          </w:tcPr>
          <w:p w:rsidR="00FE17B2" w:rsidRDefault="00A83BEE" w:rsidP="002E022F">
            <w:pPr>
              <w:pStyle w:val="NoSpacing"/>
              <w:jc w:val="right"/>
            </w:pPr>
            <w:r>
              <w:t>64</w:t>
            </w:r>
          </w:p>
        </w:tc>
      </w:tr>
    </w:tbl>
    <w:p w:rsidR="008421BC" w:rsidRDefault="008421BC" w:rsidP="008421BC">
      <w:pPr>
        <w:pStyle w:val="NoSpacing"/>
      </w:pPr>
    </w:p>
    <w:p w:rsidR="008421BC" w:rsidRDefault="00A83BEE" w:rsidP="008421BC">
      <w:pPr>
        <w:pStyle w:val="NoSpacing"/>
      </w:pPr>
      <w:r>
        <w:t xml:space="preserve">Movements in assets and liabilities </w:t>
      </w:r>
    </w:p>
    <w:tbl>
      <w:tblPr>
        <w:tblStyle w:val="TableGrid"/>
        <w:tblW w:w="0" w:type="auto"/>
        <w:tblLook w:val="04A0" w:firstRow="1" w:lastRow="0" w:firstColumn="1" w:lastColumn="0" w:noHBand="0" w:noVBand="1"/>
      </w:tblPr>
      <w:tblGrid>
        <w:gridCol w:w="8784"/>
        <w:gridCol w:w="1417"/>
        <w:gridCol w:w="1276"/>
        <w:gridCol w:w="1276"/>
        <w:gridCol w:w="1134"/>
      </w:tblGrid>
      <w:tr w:rsidR="00A83BEE" w:rsidTr="002E022F">
        <w:tc>
          <w:tcPr>
            <w:tcW w:w="8784" w:type="dxa"/>
          </w:tcPr>
          <w:p w:rsidR="00A83BEE" w:rsidRDefault="00A83BEE" w:rsidP="002E022F">
            <w:pPr>
              <w:pStyle w:val="NoSpacing"/>
            </w:pPr>
            <w:r>
              <w:t xml:space="preserve">Decrease/ (increase) in receivables </w:t>
            </w:r>
          </w:p>
        </w:tc>
        <w:tc>
          <w:tcPr>
            <w:tcW w:w="1417" w:type="dxa"/>
          </w:tcPr>
          <w:p w:rsidR="00A83BEE" w:rsidRDefault="00A83BEE" w:rsidP="002E022F">
            <w:pPr>
              <w:pStyle w:val="NoSpacing"/>
              <w:jc w:val="right"/>
            </w:pPr>
            <w:r>
              <w:t>(3,461)</w:t>
            </w:r>
          </w:p>
        </w:tc>
        <w:tc>
          <w:tcPr>
            <w:tcW w:w="1276" w:type="dxa"/>
          </w:tcPr>
          <w:p w:rsidR="00A83BEE" w:rsidRDefault="00A83BEE" w:rsidP="002E022F">
            <w:pPr>
              <w:pStyle w:val="NoSpacing"/>
              <w:jc w:val="right"/>
            </w:pPr>
            <w:r>
              <w:t>1,338</w:t>
            </w:r>
          </w:p>
        </w:tc>
        <w:tc>
          <w:tcPr>
            <w:tcW w:w="1276" w:type="dxa"/>
          </w:tcPr>
          <w:p w:rsidR="00A83BEE" w:rsidRDefault="00A83BEE" w:rsidP="002E022F">
            <w:pPr>
              <w:pStyle w:val="NoSpacing"/>
              <w:jc w:val="right"/>
            </w:pPr>
            <w:r>
              <w:t>(5,393)</w:t>
            </w:r>
          </w:p>
        </w:tc>
        <w:tc>
          <w:tcPr>
            <w:tcW w:w="1134" w:type="dxa"/>
          </w:tcPr>
          <w:p w:rsidR="00A83BEE" w:rsidRDefault="00A83BEE" w:rsidP="002E022F">
            <w:pPr>
              <w:pStyle w:val="NoSpacing"/>
              <w:jc w:val="right"/>
            </w:pPr>
            <w:r>
              <w:t>(1,051)</w:t>
            </w:r>
          </w:p>
        </w:tc>
      </w:tr>
      <w:tr w:rsidR="00A83BEE" w:rsidTr="002E022F">
        <w:tc>
          <w:tcPr>
            <w:tcW w:w="8784" w:type="dxa"/>
          </w:tcPr>
          <w:p w:rsidR="00A83BEE" w:rsidRDefault="00A83BEE" w:rsidP="002E022F">
            <w:pPr>
              <w:pStyle w:val="NoSpacing"/>
            </w:pPr>
            <w:r>
              <w:t>Decrease/ (increase) in inventories</w:t>
            </w:r>
          </w:p>
        </w:tc>
        <w:tc>
          <w:tcPr>
            <w:tcW w:w="1417" w:type="dxa"/>
          </w:tcPr>
          <w:p w:rsidR="00A83BEE" w:rsidRDefault="00A83BEE" w:rsidP="002E022F">
            <w:pPr>
              <w:pStyle w:val="NoSpacing"/>
              <w:jc w:val="right"/>
            </w:pPr>
            <w:r>
              <w:t>(43)</w:t>
            </w:r>
          </w:p>
        </w:tc>
        <w:tc>
          <w:tcPr>
            <w:tcW w:w="1276" w:type="dxa"/>
          </w:tcPr>
          <w:p w:rsidR="00A83BEE" w:rsidRDefault="00A83BEE" w:rsidP="002E022F">
            <w:pPr>
              <w:pStyle w:val="NoSpacing"/>
              <w:jc w:val="right"/>
            </w:pPr>
            <w:r>
              <w:t>(38)</w:t>
            </w:r>
          </w:p>
        </w:tc>
        <w:tc>
          <w:tcPr>
            <w:tcW w:w="1276" w:type="dxa"/>
          </w:tcPr>
          <w:p w:rsidR="00A83BEE" w:rsidRDefault="00A83BEE" w:rsidP="002E022F">
            <w:pPr>
              <w:pStyle w:val="NoSpacing"/>
              <w:jc w:val="right"/>
            </w:pPr>
            <w:r>
              <w:t>(43)</w:t>
            </w:r>
          </w:p>
        </w:tc>
        <w:tc>
          <w:tcPr>
            <w:tcW w:w="1134" w:type="dxa"/>
          </w:tcPr>
          <w:p w:rsidR="00A83BEE" w:rsidRDefault="00A83BEE" w:rsidP="002E022F">
            <w:pPr>
              <w:pStyle w:val="NoSpacing"/>
              <w:jc w:val="right"/>
            </w:pPr>
            <w:r>
              <w:t>(15)</w:t>
            </w:r>
          </w:p>
        </w:tc>
      </w:tr>
      <w:tr w:rsidR="00A83BEE" w:rsidTr="002E022F">
        <w:tc>
          <w:tcPr>
            <w:tcW w:w="8784" w:type="dxa"/>
          </w:tcPr>
          <w:p w:rsidR="00A83BEE" w:rsidRDefault="00A83BEE" w:rsidP="002E022F">
            <w:pPr>
              <w:pStyle w:val="NoSpacing"/>
            </w:pPr>
            <w:r>
              <w:t>Decrease/ (increase) in payables</w:t>
            </w:r>
          </w:p>
        </w:tc>
        <w:tc>
          <w:tcPr>
            <w:tcW w:w="1417" w:type="dxa"/>
          </w:tcPr>
          <w:p w:rsidR="00A83BEE" w:rsidRDefault="00A83BEE" w:rsidP="002E022F">
            <w:pPr>
              <w:pStyle w:val="NoSpacing"/>
              <w:jc w:val="right"/>
            </w:pPr>
            <w:r>
              <w:t>(727</w:t>
            </w:r>
          </w:p>
        </w:tc>
        <w:tc>
          <w:tcPr>
            <w:tcW w:w="1276" w:type="dxa"/>
          </w:tcPr>
          <w:p w:rsidR="00A83BEE" w:rsidRDefault="00A83BEE" w:rsidP="002E022F">
            <w:pPr>
              <w:pStyle w:val="NoSpacing"/>
              <w:jc w:val="right"/>
            </w:pPr>
            <w:r>
              <w:t>2,437</w:t>
            </w:r>
          </w:p>
        </w:tc>
        <w:tc>
          <w:tcPr>
            <w:tcW w:w="1276" w:type="dxa"/>
          </w:tcPr>
          <w:p w:rsidR="00A83BEE" w:rsidRDefault="00A83BEE" w:rsidP="002E022F">
            <w:pPr>
              <w:pStyle w:val="NoSpacing"/>
              <w:jc w:val="right"/>
            </w:pPr>
            <w:r>
              <w:t>2,500</w:t>
            </w:r>
          </w:p>
        </w:tc>
        <w:tc>
          <w:tcPr>
            <w:tcW w:w="1134" w:type="dxa"/>
          </w:tcPr>
          <w:p w:rsidR="00A83BEE" w:rsidRDefault="00A83BEE" w:rsidP="002E022F">
            <w:pPr>
              <w:pStyle w:val="NoSpacing"/>
              <w:jc w:val="right"/>
            </w:pPr>
            <w:r>
              <w:t>2,766</w:t>
            </w:r>
          </w:p>
        </w:tc>
      </w:tr>
      <w:tr w:rsidR="00A83BEE" w:rsidTr="002E022F">
        <w:tc>
          <w:tcPr>
            <w:tcW w:w="8784" w:type="dxa"/>
          </w:tcPr>
          <w:p w:rsidR="00A83BEE" w:rsidRDefault="00A83BEE" w:rsidP="002E022F">
            <w:pPr>
              <w:pStyle w:val="NoSpacing"/>
            </w:pPr>
            <w:r>
              <w:t>Decrease/ (increase) in provisions</w:t>
            </w:r>
          </w:p>
        </w:tc>
        <w:tc>
          <w:tcPr>
            <w:tcW w:w="1417" w:type="dxa"/>
          </w:tcPr>
          <w:p w:rsidR="00A83BEE" w:rsidRDefault="00A83BEE" w:rsidP="002E022F">
            <w:pPr>
              <w:pStyle w:val="NoSpacing"/>
              <w:jc w:val="right"/>
            </w:pPr>
            <w:r>
              <w:t>(631)</w:t>
            </w:r>
          </w:p>
        </w:tc>
        <w:tc>
          <w:tcPr>
            <w:tcW w:w="1276" w:type="dxa"/>
          </w:tcPr>
          <w:p w:rsidR="00A83BEE" w:rsidRDefault="00A83BEE" w:rsidP="002E022F">
            <w:pPr>
              <w:pStyle w:val="NoSpacing"/>
              <w:jc w:val="right"/>
            </w:pPr>
            <w:r>
              <w:t>332</w:t>
            </w:r>
          </w:p>
        </w:tc>
        <w:tc>
          <w:tcPr>
            <w:tcW w:w="1276" w:type="dxa"/>
          </w:tcPr>
          <w:p w:rsidR="00A83BEE" w:rsidRDefault="00A83BEE" w:rsidP="002E022F">
            <w:pPr>
              <w:pStyle w:val="NoSpacing"/>
              <w:jc w:val="right"/>
            </w:pPr>
            <w:r>
              <w:t>(628)</w:t>
            </w:r>
          </w:p>
        </w:tc>
        <w:tc>
          <w:tcPr>
            <w:tcW w:w="1134" w:type="dxa"/>
          </w:tcPr>
          <w:p w:rsidR="00A83BEE" w:rsidRDefault="00A83BEE" w:rsidP="002E022F">
            <w:pPr>
              <w:pStyle w:val="NoSpacing"/>
              <w:jc w:val="right"/>
            </w:pPr>
            <w:r>
              <w:t>320</w:t>
            </w:r>
          </w:p>
        </w:tc>
      </w:tr>
      <w:tr w:rsidR="00A83BEE" w:rsidTr="002E022F">
        <w:tc>
          <w:tcPr>
            <w:tcW w:w="8784" w:type="dxa"/>
          </w:tcPr>
          <w:p w:rsidR="00A83BEE" w:rsidRDefault="00A83BEE" w:rsidP="002E022F">
            <w:pPr>
              <w:pStyle w:val="NoSpacing"/>
            </w:pPr>
            <w:r>
              <w:t>Decrease/ (increase) in other assets</w:t>
            </w:r>
          </w:p>
        </w:tc>
        <w:tc>
          <w:tcPr>
            <w:tcW w:w="1417" w:type="dxa"/>
          </w:tcPr>
          <w:p w:rsidR="00A83BEE" w:rsidRDefault="00A83BEE" w:rsidP="002E022F">
            <w:pPr>
              <w:pStyle w:val="NoSpacing"/>
              <w:jc w:val="right"/>
            </w:pPr>
            <w:r>
              <w:t>(220)</w:t>
            </w:r>
          </w:p>
        </w:tc>
        <w:tc>
          <w:tcPr>
            <w:tcW w:w="1276" w:type="dxa"/>
          </w:tcPr>
          <w:p w:rsidR="00A83BEE" w:rsidRDefault="00A83BEE" w:rsidP="002E022F">
            <w:pPr>
              <w:pStyle w:val="NoSpacing"/>
              <w:jc w:val="right"/>
            </w:pPr>
            <w:r>
              <w:t>(701)</w:t>
            </w:r>
          </w:p>
        </w:tc>
        <w:tc>
          <w:tcPr>
            <w:tcW w:w="1276" w:type="dxa"/>
          </w:tcPr>
          <w:p w:rsidR="00A83BEE" w:rsidRDefault="00A83BEE" w:rsidP="002E022F">
            <w:pPr>
              <w:pStyle w:val="NoSpacing"/>
              <w:jc w:val="right"/>
            </w:pPr>
            <w:r>
              <w:t>(85)</w:t>
            </w:r>
          </w:p>
        </w:tc>
        <w:tc>
          <w:tcPr>
            <w:tcW w:w="1134" w:type="dxa"/>
          </w:tcPr>
          <w:p w:rsidR="00A83BEE" w:rsidRDefault="00A83BEE" w:rsidP="002E022F">
            <w:pPr>
              <w:pStyle w:val="NoSpacing"/>
              <w:jc w:val="right"/>
            </w:pPr>
            <w:r>
              <w:t>(691)</w:t>
            </w:r>
          </w:p>
        </w:tc>
      </w:tr>
      <w:tr w:rsidR="00A83BEE" w:rsidTr="002E022F">
        <w:tc>
          <w:tcPr>
            <w:tcW w:w="8784" w:type="dxa"/>
          </w:tcPr>
          <w:p w:rsidR="00A83BEE" w:rsidRDefault="00A83BEE" w:rsidP="002E022F">
            <w:pPr>
              <w:pStyle w:val="NoSpacing"/>
            </w:pPr>
            <w:r>
              <w:t>Decrease/ (increase) in other liabilities</w:t>
            </w:r>
          </w:p>
        </w:tc>
        <w:tc>
          <w:tcPr>
            <w:tcW w:w="1417" w:type="dxa"/>
          </w:tcPr>
          <w:p w:rsidR="00A83BEE" w:rsidRDefault="00A83BEE" w:rsidP="002E022F">
            <w:pPr>
              <w:pStyle w:val="NoSpacing"/>
              <w:jc w:val="right"/>
            </w:pPr>
            <w:r>
              <w:t>64</w:t>
            </w:r>
          </w:p>
        </w:tc>
        <w:tc>
          <w:tcPr>
            <w:tcW w:w="1276" w:type="dxa"/>
          </w:tcPr>
          <w:p w:rsidR="00A83BEE" w:rsidRDefault="00A83BEE" w:rsidP="002E022F">
            <w:pPr>
              <w:pStyle w:val="NoSpacing"/>
              <w:jc w:val="right"/>
            </w:pPr>
            <w:r>
              <w:t>(132)</w:t>
            </w:r>
          </w:p>
        </w:tc>
        <w:tc>
          <w:tcPr>
            <w:tcW w:w="1276" w:type="dxa"/>
          </w:tcPr>
          <w:p w:rsidR="00A83BEE" w:rsidRDefault="00A83BEE" w:rsidP="002E022F">
            <w:pPr>
              <w:pStyle w:val="NoSpacing"/>
              <w:jc w:val="right"/>
            </w:pPr>
            <w:r>
              <w:t>13</w:t>
            </w:r>
          </w:p>
        </w:tc>
        <w:tc>
          <w:tcPr>
            <w:tcW w:w="1134" w:type="dxa"/>
          </w:tcPr>
          <w:p w:rsidR="00A83BEE" w:rsidRDefault="00A83BEE" w:rsidP="002E022F">
            <w:pPr>
              <w:pStyle w:val="NoSpacing"/>
              <w:jc w:val="right"/>
            </w:pPr>
            <w:r>
              <w:t>(138)</w:t>
            </w:r>
          </w:p>
        </w:tc>
      </w:tr>
      <w:tr w:rsidR="00A83BEE" w:rsidTr="002E022F">
        <w:tc>
          <w:tcPr>
            <w:tcW w:w="8784" w:type="dxa"/>
          </w:tcPr>
          <w:p w:rsidR="00A83BEE" w:rsidRDefault="00A83BEE" w:rsidP="002E022F">
            <w:pPr>
              <w:pStyle w:val="NoSpacing"/>
            </w:pPr>
            <w:r>
              <w:t xml:space="preserve">Net cash flows from/ (used in) operating activities </w:t>
            </w:r>
          </w:p>
        </w:tc>
        <w:tc>
          <w:tcPr>
            <w:tcW w:w="1417" w:type="dxa"/>
          </w:tcPr>
          <w:p w:rsidR="00A83BEE" w:rsidRDefault="00A83BEE" w:rsidP="002E022F">
            <w:pPr>
              <w:pStyle w:val="NoSpacing"/>
              <w:jc w:val="right"/>
            </w:pPr>
            <w:r>
              <w:t>36,500</w:t>
            </w:r>
          </w:p>
        </w:tc>
        <w:tc>
          <w:tcPr>
            <w:tcW w:w="1276" w:type="dxa"/>
          </w:tcPr>
          <w:p w:rsidR="00A83BEE" w:rsidRDefault="00A83BEE" w:rsidP="002E022F">
            <w:pPr>
              <w:pStyle w:val="NoSpacing"/>
              <w:jc w:val="right"/>
            </w:pPr>
            <w:r>
              <w:t>29,479</w:t>
            </w:r>
          </w:p>
        </w:tc>
        <w:tc>
          <w:tcPr>
            <w:tcW w:w="1276" w:type="dxa"/>
          </w:tcPr>
          <w:p w:rsidR="00A83BEE" w:rsidRDefault="00A83BEE" w:rsidP="002E022F">
            <w:pPr>
              <w:pStyle w:val="NoSpacing"/>
              <w:jc w:val="right"/>
            </w:pPr>
            <w:r>
              <w:t>36,427</w:t>
            </w:r>
          </w:p>
        </w:tc>
        <w:tc>
          <w:tcPr>
            <w:tcW w:w="1134" w:type="dxa"/>
          </w:tcPr>
          <w:p w:rsidR="00A83BEE" w:rsidRDefault="00A83BEE" w:rsidP="002E022F">
            <w:pPr>
              <w:pStyle w:val="NoSpacing"/>
              <w:jc w:val="right"/>
            </w:pPr>
            <w:r>
              <w:t>29,405</w:t>
            </w:r>
          </w:p>
        </w:tc>
      </w:tr>
    </w:tbl>
    <w:p w:rsidR="00A83BEE" w:rsidRDefault="00A83BEE" w:rsidP="008421BC">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A83BEE" w:rsidTr="002E022F">
        <w:tc>
          <w:tcPr>
            <w:tcW w:w="8784" w:type="dxa"/>
          </w:tcPr>
          <w:p w:rsidR="00A83BEE" w:rsidRDefault="00A83BEE" w:rsidP="002E022F">
            <w:pPr>
              <w:pStyle w:val="NoSpacing"/>
            </w:pPr>
            <w:r>
              <w:t>Per cash flow statement</w:t>
            </w:r>
          </w:p>
        </w:tc>
        <w:tc>
          <w:tcPr>
            <w:tcW w:w="1417" w:type="dxa"/>
          </w:tcPr>
          <w:p w:rsidR="00A83BEE" w:rsidRDefault="00A83BEE" w:rsidP="002E022F">
            <w:pPr>
              <w:pStyle w:val="NoSpacing"/>
              <w:jc w:val="right"/>
            </w:pPr>
            <w:r>
              <w:t>36,500</w:t>
            </w:r>
          </w:p>
        </w:tc>
        <w:tc>
          <w:tcPr>
            <w:tcW w:w="1276" w:type="dxa"/>
          </w:tcPr>
          <w:p w:rsidR="00A83BEE" w:rsidRDefault="00A83BEE" w:rsidP="002E022F">
            <w:pPr>
              <w:pStyle w:val="NoSpacing"/>
              <w:jc w:val="right"/>
            </w:pPr>
            <w:r>
              <w:t>29,479</w:t>
            </w:r>
          </w:p>
        </w:tc>
        <w:tc>
          <w:tcPr>
            <w:tcW w:w="1276" w:type="dxa"/>
          </w:tcPr>
          <w:p w:rsidR="00A83BEE" w:rsidRDefault="00A83BEE" w:rsidP="002E022F">
            <w:pPr>
              <w:pStyle w:val="NoSpacing"/>
              <w:jc w:val="right"/>
            </w:pPr>
            <w:r>
              <w:t>36,427</w:t>
            </w:r>
          </w:p>
        </w:tc>
        <w:tc>
          <w:tcPr>
            <w:tcW w:w="1134" w:type="dxa"/>
          </w:tcPr>
          <w:p w:rsidR="00A83BEE" w:rsidRDefault="00A83BEE" w:rsidP="002E022F">
            <w:pPr>
              <w:pStyle w:val="NoSpacing"/>
              <w:jc w:val="right"/>
            </w:pPr>
            <w:r>
              <w:t>29,405</w:t>
            </w:r>
          </w:p>
        </w:tc>
      </w:tr>
    </w:tbl>
    <w:p w:rsidR="00A83BEE" w:rsidRDefault="00A83BEE" w:rsidP="008421BC">
      <w:pPr>
        <w:pStyle w:val="NoSpacing"/>
      </w:pPr>
    </w:p>
    <w:p w:rsidR="008421BC" w:rsidRDefault="000F1ACC" w:rsidP="008421BC">
      <w:pPr>
        <w:pStyle w:val="NoSpacing"/>
      </w:pPr>
      <w:r>
        <w:t>Cash flows are included in the cash flow statement on a gross basis. The GST component of cash flows arising from investing and financing activities which is recoverable from, or payable to, the taxation authority are presented as operating cash flows.</w:t>
      </w:r>
    </w:p>
    <w:p w:rsidR="000F1ACC" w:rsidRDefault="000F1ACC" w:rsidP="008421BC">
      <w:pPr>
        <w:pStyle w:val="NoSpacing"/>
      </w:pPr>
    </w:p>
    <w:p w:rsidR="000F1ACC" w:rsidRDefault="000F1ACC" w:rsidP="000F1ACC">
      <w:pPr>
        <w:pStyle w:val="NoSpacing"/>
      </w:pPr>
      <w:r>
        <w:t>&lt;pp&gt;67</w:t>
      </w:r>
    </w:p>
    <w:p w:rsidR="000F1ACC" w:rsidRDefault="000F1ACC" w:rsidP="008421BC">
      <w:pPr>
        <w:pStyle w:val="NoSpacing"/>
      </w:pPr>
    </w:p>
    <w:p w:rsidR="002E022F" w:rsidRPr="00A450BC" w:rsidRDefault="002E022F" w:rsidP="00D36BB2">
      <w:pPr>
        <w:pStyle w:val="Heading3"/>
      </w:pPr>
      <w:r w:rsidRPr="00A450BC">
        <w:t>6. How we financed our operations</w:t>
      </w:r>
      <w:r>
        <w:t xml:space="preserve"> (continued)</w:t>
      </w:r>
      <w:r w:rsidRPr="00A450BC">
        <w:t xml:space="preserve"> </w:t>
      </w:r>
    </w:p>
    <w:p w:rsidR="002E022F" w:rsidRDefault="002E022F" w:rsidP="002E022F">
      <w:pPr>
        <w:pStyle w:val="NoSpacing"/>
      </w:pPr>
    </w:p>
    <w:p w:rsidR="002E022F" w:rsidRDefault="002E022F" w:rsidP="00D36BB2">
      <w:pPr>
        <w:pStyle w:val="Heading4"/>
      </w:pPr>
      <w:r>
        <w:t>6.1 Cash and deposits (continued)</w:t>
      </w:r>
    </w:p>
    <w:p w:rsidR="002E022F" w:rsidRDefault="002E022F" w:rsidP="00D36BB2">
      <w:pPr>
        <w:pStyle w:val="Heading4"/>
      </w:pPr>
    </w:p>
    <w:p w:rsidR="002E022F" w:rsidRDefault="002E022F" w:rsidP="00D36BB2">
      <w:pPr>
        <w:pStyle w:val="Heading4"/>
      </w:pPr>
      <w:r>
        <w:t>6.1.2 Interest income</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014AE0" w:rsidRPr="00AE2D8D" w:rsidTr="00A31F01">
        <w:tc>
          <w:tcPr>
            <w:tcW w:w="2693" w:type="dxa"/>
            <w:gridSpan w:val="2"/>
          </w:tcPr>
          <w:p w:rsidR="00014AE0" w:rsidRPr="00AE2D8D" w:rsidRDefault="00014AE0" w:rsidP="00A31F01">
            <w:pPr>
              <w:pStyle w:val="NoSpacing"/>
              <w:jc w:val="center"/>
              <w:rPr>
                <w:rFonts w:cstheme="minorHAnsi"/>
                <w:bCs/>
                <w:w w:val="105"/>
              </w:rPr>
            </w:pPr>
            <w:r w:rsidRPr="00AE2D8D">
              <w:rPr>
                <w:rFonts w:cstheme="minorHAnsi"/>
                <w:bCs/>
                <w:w w:val="105"/>
              </w:rPr>
              <w:t>Consolidated</w:t>
            </w:r>
          </w:p>
        </w:tc>
        <w:tc>
          <w:tcPr>
            <w:tcW w:w="2410" w:type="dxa"/>
            <w:gridSpan w:val="2"/>
          </w:tcPr>
          <w:p w:rsidR="00014AE0" w:rsidRPr="00AE2D8D" w:rsidRDefault="00014AE0" w:rsidP="00A31F01">
            <w:pPr>
              <w:pStyle w:val="NoSpacing"/>
              <w:jc w:val="center"/>
              <w:rPr>
                <w:rFonts w:cstheme="minorHAnsi"/>
                <w:bCs/>
                <w:w w:val="105"/>
              </w:rPr>
            </w:pPr>
            <w:r w:rsidRPr="00AE2D8D">
              <w:rPr>
                <w:rFonts w:cstheme="minorHAnsi"/>
                <w:bCs/>
                <w:w w:val="105"/>
              </w:rPr>
              <w:t>Chisholm</w:t>
            </w:r>
          </w:p>
        </w:tc>
      </w:tr>
      <w:tr w:rsidR="00014AE0" w:rsidRPr="00AE2D8D" w:rsidTr="00A31F01">
        <w:tc>
          <w:tcPr>
            <w:tcW w:w="1417" w:type="dxa"/>
          </w:tcPr>
          <w:p w:rsidR="00014AE0" w:rsidRPr="00AE2D8D" w:rsidRDefault="00014AE0" w:rsidP="00A31F01">
            <w:pPr>
              <w:pStyle w:val="NoSpacing"/>
              <w:jc w:val="right"/>
              <w:rPr>
                <w:rFonts w:cstheme="minorHAnsi"/>
                <w:bCs/>
                <w:w w:val="105"/>
              </w:rPr>
            </w:pPr>
            <w:r w:rsidRPr="00AE2D8D">
              <w:rPr>
                <w:rFonts w:cstheme="minorHAnsi"/>
                <w:bCs/>
                <w:w w:val="105"/>
              </w:rPr>
              <w:t>2017</w:t>
            </w:r>
          </w:p>
        </w:tc>
        <w:tc>
          <w:tcPr>
            <w:tcW w:w="1276" w:type="dxa"/>
          </w:tcPr>
          <w:p w:rsidR="00014AE0" w:rsidRPr="00AE2D8D" w:rsidRDefault="00014AE0" w:rsidP="00A31F01">
            <w:pPr>
              <w:pStyle w:val="NoSpacing"/>
              <w:jc w:val="right"/>
              <w:rPr>
                <w:rFonts w:cstheme="minorHAnsi"/>
                <w:bCs/>
                <w:w w:val="105"/>
              </w:rPr>
            </w:pPr>
            <w:r w:rsidRPr="00AE2D8D">
              <w:rPr>
                <w:rFonts w:cstheme="minorHAnsi"/>
                <w:bCs/>
                <w:w w:val="105"/>
              </w:rPr>
              <w:t>2016</w:t>
            </w:r>
          </w:p>
        </w:tc>
        <w:tc>
          <w:tcPr>
            <w:tcW w:w="1276" w:type="dxa"/>
          </w:tcPr>
          <w:p w:rsidR="00014AE0" w:rsidRPr="00AE2D8D" w:rsidRDefault="00014AE0" w:rsidP="00A31F01">
            <w:pPr>
              <w:pStyle w:val="NoSpacing"/>
              <w:jc w:val="right"/>
              <w:rPr>
                <w:rFonts w:cstheme="minorHAnsi"/>
                <w:bCs/>
                <w:w w:val="105"/>
              </w:rPr>
            </w:pPr>
            <w:r w:rsidRPr="00AE2D8D">
              <w:rPr>
                <w:rFonts w:cstheme="minorHAnsi"/>
                <w:bCs/>
                <w:w w:val="105"/>
              </w:rPr>
              <w:t>2017</w:t>
            </w:r>
          </w:p>
        </w:tc>
        <w:tc>
          <w:tcPr>
            <w:tcW w:w="1134" w:type="dxa"/>
          </w:tcPr>
          <w:p w:rsidR="00014AE0" w:rsidRPr="00AE2D8D" w:rsidRDefault="00014AE0" w:rsidP="00A31F01">
            <w:pPr>
              <w:pStyle w:val="NoSpacing"/>
              <w:jc w:val="right"/>
              <w:rPr>
                <w:rFonts w:cstheme="minorHAnsi"/>
                <w:bCs/>
                <w:w w:val="105"/>
              </w:rPr>
            </w:pPr>
            <w:r w:rsidRPr="00AE2D8D">
              <w:rPr>
                <w:rFonts w:cstheme="minorHAnsi"/>
                <w:bCs/>
                <w:w w:val="105"/>
              </w:rPr>
              <w:t>2016</w:t>
            </w:r>
          </w:p>
        </w:tc>
      </w:tr>
      <w:tr w:rsidR="00014AE0" w:rsidRPr="00AE2D8D" w:rsidTr="00A31F01">
        <w:tc>
          <w:tcPr>
            <w:tcW w:w="1417" w:type="dxa"/>
          </w:tcPr>
          <w:p w:rsidR="00014AE0" w:rsidRPr="00AE2D8D" w:rsidRDefault="00014AE0" w:rsidP="00A31F01">
            <w:pPr>
              <w:jc w:val="right"/>
              <w:rPr>
                <w:rFonts w:cstheme="minorHAnsi"/>
              </w:rPr>
            </w:pPr>
            <w:r w:rsidRPr="00AE2D8D">
              <w:rPr>
                <w:rFonts w:cstheme="minorHAnsi"/>
                <w:bCs/>
                <w:w w:val="105"/>
              </w:rPr>
              <w:t>$’000</w:t>
            </w:r>
          </w:p>
        </w:tc>
        <w:tc>
          <w:tcPr>
            <w:tcW w:w="1276" w:type="dxa"/>
          </w:tcPr>
          <w:p w:rsidR="00014AE0" w:rsidRPr="00AE2D8D" w:rsidRDefault="00014AE0" w:rsidP="00A31F01">
            <w:pPr>
              <w:jc w:val="right"/>
              <w:rPr>
                <w:rFonts w:cstheme="minorHAnsi"/>
              </w:rPr>
            </w:pPr>
            <w:r w:rsidRPr="00AE2D8D">
              <w:rPr>
                <w:rFonts w:cstheme="minorHAnsi"/>
                <w:bCs/>
                <w:w w:val="105"/>
              </w:rPr>
              <w:t>$’000</w:t>
            </w:r>
          </w:p>
        </w:tc>
        <w:tc>
          <w:tcPr>
            <w:tcW w:w="1276" w:type="dxa"/>
          </w:tcPr>
          <w:p w:rsidR="00014AE0" w:rsidRPr="00AE2D8D" w:rsidRDefault="00014AE0" w:rsidP="00A31F01">
            <w:pPr>
              <w:jc w:val="right"/>
              <w:rPr>
                <w:rFonts w:cstheme="minorHAnsi"/>
              </w:rPr>
            </w:pPr>
            <w:r w:rsidRPr="00AE2D8D">
              <w:rPr>
                <w:rFonts w:cstheme="minorHAnsi"/>
                <w:bCs/>
                <w:w w:val="105"/>
              </w:rPr>
              <w:t>$’000</w:t>
            </w:r>
          </w:p>
        </w:tc>
        <w:tc>
          <w:tcPr>
            <w:tcW w:w="1134" w:type="dxa"/>
          </w:tcPr>
          <w:p w:rsidR="00014AE0" w:rsidRPr="00AE2D8D" w:rsidRDefault="00014AE0" w:rsidP="00A31F01">
            <w:pPr>
              <w:pStyle w:val="NoSpacing"/>
              <w:jc w:val="right"/>
              <w:rPr>
                <w:rFonts w:cstheme="minorHAnsi"/>
                <w:bCs/>
                <w:w w:val="105"/>
              </w:rPr>
            </w:pPr>
            <w:r w:rsidRPr="00AE2D8D">
              <w:rPr>
                <w:rFonts w:cstheme="minorHAnsi"/>
                <w:bCs/>
                <w:w w:val="105"/>
              </w:rPr>
              <w:t>$’000</w:t>
            </w:r>
          </w:p>
        </w:tc>
      </w:tr>
    </w:tbl>
    <w:p w:rsidR="00014AE0" w:rsidRDefault="00014AE0" w:rsidP="002E022F">
      <w:pPr>
        <w:pStyle w:val="NoSpacing"/>
      </w:pPr>
      <w:r>
        <w:lastRenderedPageBreak/>
        <w:t>Interest from financial assets not at fair value through profit and loss</w:t>
      </w:r>
    </w:p>
    <w:tbl>
      <w:tblPr>
        <w:tblStyle w:val="TableGrid"/>
        <w:tblW w:w="0" w:type="auto"/>
        <w:tblLook w:val="04A0" w:firstRow="1" w:lastRow="0" w:firstColumn="1" w:lastColumn="0" w:noHBand="0" w:noVBand="1"/>
      </w:tblPr>
      <w:tblGrid>
        <w:gridCol w:w="8784"/>
        <w:gridCol w:w="1417"/>
        <w:gridCol w:w="1276"/>
        <w:gridCol w:w="1276"/>
        <w:gridCol w:w="1134"/>
      </w:tblGrid>
      <w:tr w:rsidR="00014AE0" w:rsidTr="00A31F01">
        <w:tc>
          <w:tcPr>
            <w:tcW w:w="8784" w:type="dxa"/>
          </w:tcPr>
          <w:p w:rsidR="00014AE0" w:rsidRDefault="00014AE0" w:rsidP="00A31F01">
            <w:pPr>
              <w:pStyle w:val="NoSpacing"/>
            </w:pPr>
            <w:r>
              <w:t>Interest on bank deposits</w:t>
            </w:r>
          </w:p>
        </w:tc>
        <w:tc>
          <w:tcPr>
            <w:tcW w:w="1417" w:type="dxa"/>
          </w:tcPr>
          <w:p w:rsidR="00014AE0" w:rsidRDefault="00014AE0" w:rsidP="00A31F01">
            <w:pPr>
              <w:pStyle w:val="NoSpacing"/>
              <w:jc w:val="right"/>
            </w:pPr>
            <w:r>
              <w:t>1,367</w:t>
            </w:r>
          </w:p>
        </w:tc>
        <w:tc>
          <w:tcPr>
            <w:tcW w:w="1276" w:type="dxa"/>
          </w:tcPr>
          <w:p w:rsidR="00014AE0" w:rsidRDefault="00014AE0" w:rsidP="00A31F01">
            <w:pPr>
              <w:pStyle w:val="NoSpacing"/>
              <w:jc w:val="right"/>
            </w:pPr>
            <w:r>
              <w:t>1,161</w:t>
            </w:r>
          </w:p>
        </w:tc>
        <w:tc>
          <w:tcPr>
            <w:tcW w:w="1276" w:type="dxa"/>
          </w:tcPr>
          <w:p w:rsidR="00014AE0" w:rsidRDefault="00014AE0" w:rsidP="00A31F01">
            <w:pPr>
              <w:pStyle w:val="NoSpacing"/>
              <w:jc w:val="right"/>
            </w:pPr>
            <w:r>
              <w:t>1,334</w:t>
            </w:r>
          </w:p>
        </w:tc>
        <w:tc>
          <w:tcPr>
            <w:tcW w:w="1134" w:type="dxa"/>
          </w:tcPr>
          <w:p w:rsidR="00014AE0" w:rsidRDefault="00014AE0" w:rsidP="00A31F01">
            <w:pPr>
              <w:pStyle w:val="NoSpacing"/>
              <w:jc w:val="right"/>
            </w:pPr>
            <w:r>
              <w:t>1,134</w:t>
            </w:r>
          </w:p>
        </w:tc>
      </w:tr>
      <w:tr w:rsidR="00014AE0" w:rsidTr="00A31F01">
        <w:tc>
          <w:tcPr>
            <w:tcW w:w="8784" w:type="dxa"/>
          </w:tcPr>
          <w:p w:rsidR="00014AE0" w:rsidRDefault="00014AE0" w:rsidP="00014AE0">
            <w:pPr>
              <w:pStyle w:val="NoSpacing"/>
            </w:pPr>
            <w:r>
              <w:t>Total interest income</w:t>
            </w:r>
          </w:p>
        </w:tc>
        <w:tc>
          <w:tcPr>
            <w:tcW w:w="1417" w:type="dxa"/>
          </w:tcPr>
          <w:p w:rsidR="00014AE0" w:rsidRDefault="00014AE0" w:rsidP="00014AE0">
            <w:pPr>
              <w:pStyle w:val="NoSpacing"/>
              <w:jc w:val="right"/>
            </w:pPr>
            <w:r>
              <w:t>1,367</w:t>
            </w:r>
          </w:p>
        </w:tc>
        <w:tc>
          <w:tcPr>
            <w:tcW w:w="1276" w:type="dxa"/>
          </w:tcPr>
          <w:p w:rsidR="00014AE0" w:rsidRDefault="00014AE0" w:rsidP="00014AE0">
            <w:pPr>
              <w:pStyle w:val="NoSpacing"/>
              <w:jc w:val="right"/>
            </w:pPr>
            <w:r>
              <w:t>1,161</w:t>
            </w:r>
          </w:p>
        </w:tc>
        <w:tc>
          <w:tcPr>
            <w:tcW w:w="1276" w:type="dxa"/>
          </w:tcPr>
          <w:p w:rsidR="00014AE0" w:rsidRDefault="00014AE0" w:rsidP="00014AE0">
            <w:pPr>
              <w:pStyle w:val="NoSpacing"/>
              <w:jc w:val="right"/>
            </w:pPr>
            <w:r>
              <w:t>1,334</w:t>
            </w:r>
          </w:p>
        </w:tc>
        <w:tc>
          <w:tcPr>
            <w:tcW w:w="1134" w:type="dxa"/>
          </w:tcPr>
          <w:p w:rsidR="00014AE0" w:rsidRDefault="00014AE0" w:rsidP="00014AE0">
            <w:pPr>
              <w:pStyle w:val="NoSpacing"/>
              <w:jc w:val="right"/>
            </w:pPr>
            <w:r>
              <w:t>1,134</w:t>
            </w:r>
          </w:p>
        </w:tc>
      </w:tr>
    </w:tbl>
    <w:p w:rsidR="00014AE0" w:rsidRDefault="00014AE0" w:rsidP="002E022F">
      <w:pPr>
        <w:pStyle w:val="NoSpacing"/>
      </w:pPr>
    </w:p>
    <w:p w:rsidR="00014AE0" w:rsidRDefault="00014AE0" w:rsidP="00014AE0">
      <w:pPr>
        <w:pStyle w:val="NoSpacing"/>
      </w:pPr>
      <w:r>
        <w:t>Interest income includes interest received on bank term deposits and other investments and the unwinding over time of the discount on financial assets. Interest income is recognised using the effective interest method which allocates the interest over the relevant period.</w:t>
      </w:r>
    </w:p>
    <w:p w:rsidR="00014AE0" w:rsidRDefault="00014AE0" w:rsidP="002E022F">
      <w:pPr>
        <w:pStyle w:val="NoSpacing"/>
      </w:pPr>
    </w:p>
    <w:p w:rsidR="00014AE0" w:rsidRDefault="00014AE0" w:rsidP="00D36BB2">
      <w:pPr>
        <w:pStyle w:val="Heading4"/>
      </w:pPr>
      <w:r>
        <w:t>6.2 Borrowings</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014AE0" w:rsidRPr="00AE2D8D" w:rsidTr="00A31F01">
        <w:tc>
          <w:tcPr>
            <w:tcW w:w="2693" w:type="dxa"/>
            <w:gridSpan w:val="2"/>
          </w:tcPr>
          <w:p w:rsidR="00014AE0" w:rsidRPr="00AE2D8D" w:rsidRDefault="00014AE0" w:rsidP="00A31F01">
            <w:pPr>
              <w:pStyle w:val="NoSpacing"/>
              <w:jc w:val="center"/>
              <w:rPr>
                <w:rFonts w:cstheme="minorHAnsi"/>
                <w:bCs/>
                <w:w w:val="105"/>
              </w:rPr>
            </w:pPr>
            <w:r w:rsidRPr="00AE2D8D">
              <w:rPr>
                <w:rFonts w:cstheme="minorHAnsi"/>
                <w:bCs/>
                <w:w w:val="105"/>
              </w:rPr>
              <w:t>Consolidated</w:t>
            </w:r>
          </w:p>
        </w:tc>
        <w:tc>
          <w:tcPr>
            <w:tcW w:w="2410" w:type="dxa"/>
            <w:gridSpan w:val="2"/>
          </w:tcPr>
          <w:p w:rsidR="00014AE0" w:rsidRPr="00AE2D8D" w:rsidRDefault="00014AE0" w:rsidP="00A31F01">
            <w:pPr>
              <w:pStyle w:val="NoSpacing"/>
              <w:jc w:val="center"/>
              <w:rPr>
                <w:rFonts w:cstheme="minorHAnsi"/>
                <w:bCs/>
                <w:w w:val="105"/>
              </w:rPr>
            </w:pPr>
            <w:r w:rsidRPr="00AE2D8D">
              <w:rPr>
                <w:rFonts w:cstheme="minorHAnsi"/>
                <w:bCs/>
                <w:w w:val="105"/>
              </w:rPr>
              <w:t>Chisholm</w:t>
            </w:r>
          </w:p>
        </w:tc>
      </w:tr>
      <w:tr w:rsidR="00014AE0" w:rsidRPr="00AE2D8D" w:rsidTr="00A31F01">
        <w:tc>
          <w:tcPr>
            <w:tcW w:w="1417" w:type="dxa"/>
          </w:tcPr>
          <w:p w:rsidR="00014AE0" w:rsidRPr="00AE2D8D" w:rsidRDefault="00014AE0" w:rsidP="00A31F01">
            <w:pPr>
              <w:pStyle w:val="NoSpacing"/>
              <w:jc w:val="right"/>
              <w:rPr>
                <w:rFonts w:cstheme="minorHAnsi"/>
                <w:bCs/>
                <w:w w:val="105"/>
              </w:rPr>
            </w:pPr>
            <w:r w:rsidRPr="00AE2D8D">
              <w:rPr>
                <w:rFonts w:cstheme="minorHAnsi"/>
                <w:bCs/>
                <w:w w:val="105"/>
              </w:rPr>
              <w:t>2017</w:t>
            </w:r>
          </w:p>
        </w:tc>
        <w:tc>
          <w:tcPr>
            <w:tcW w:w="1276" w:type="dxa"/>
          </w:tcPr>
          <w:p w:rsidR="00014AE0" w:rsidRPr="00AE2D8D" w:rsidRDefault="00014AE0" w:rsidP="00A31F01">
            <w:pPr>
              <w:pStyle w:val="NoSpacing"/>
              <w:jc w:val="right"/>
              <w:rPr>
                <w:rFonts w:cstheme="minorHAnsi"/>
                <w:bCs/>
                <w:w w:val="105"/>
              </w:rPr>
            </w:pPr>
            <w:r w:rsidRPr="00AE2D8D">
              <w:rPr>
                <w:rFonts w:cstheme="minorHAnsi"/>
                <w:bCs/>
                <w:w w:val="105"/>
              </w:rPr>
              <w:t>2016</w:t>
            </w:r>
          </w:p>
        </w:tc>
        <w:tc>
          <w:tcPr>
            <w:tcW w:w="1276" w:type="dxa"/>
          </w:tcPr>
          <w:p w:rsidR="00014AE0" w:rsidRPr="00AE2D8D" w:rsidRDefault="00014AE0" w:rsidP="00A31F01">
            <w:pPr>
              <w:pStyle w:val="NoSpacing"/>
              <w:jc w:val="right"/>
              <w:rPr>
                <w:rFonts w:cstheme="minorHAnsi"/>
                <w:bCs/>
                <w:w w:val="105"/>
              </w:rPr>
            </w:pPr>
            <w:r w:rsidRPr="00AE2D8D">
              <w:rPr>
                <w:rFonts w:cstheme="minorHAnsi"/>
                <w:bCs/>
                <w:w w:val="105"/>
              </w:rPr>
              <w:t>2017</w:t>
            </w:r>
          </w:p>
        </w:tc>
        <w:tc>
          <w:tcPr>
            <w:tcW w:w="1134" w:type="dxa"/>
          </w:tcPr>
          <w:p w:rsidR="00014AE0" w:rsidRPr="00AE2D8D" w:rsidRDefault="00014AE0" w:rsidP="00A31F01">
            <w:pPr>
              <w:pStyle w:val="NoSpacing"/>
              <w:jc w:val="right"/>
              <w:rPr>
                <w:rFonts w:cstheme="minorHAnsi"/>
                <w:bCs/>
                <w:w w:val="105"/>
              </w:rPr>
            </w:pPr>
            <w:r w:rsidRPr="00AE2D8D">
              <w:rPr>
                <w:rFonts w:cstheme="minorHAnsi"/>
                <w:bCs/>
                <w:w w:val="105"/>
              </w:rPr>
              <w:t>2016</w:t>
            </w:r>
          </w:p>
        </w:tc>
      </w:tr>
      <w:tr w:rsidR="00014AE0" w:rsidRPr="00AE2D8D" w:rsidTr="00A31F01">
        <w:tc>
          <w:tcPr>
            <w:tcW w:w="1417" w:type="dxa"/>
          </w:tcPr>
          <w:p w:rsidR="00014AE0" w:rsidRPr="00AE2D8D" w:rsidRDefault="00014AE0" w:rsidP="00A31F01">
            <w:pPr>
              <w:jc w:val="right"/>
              <w:rPr>
                <w:rFonts w:cstheme="minorHAnsi"/>
              </w:rPr>
            </w:pPr>
            <w:r w:rsidRPr="00AE2D8D">
              <w:rPr>
                <w:rFonts w:cstheme="minorHAnsi"/>
                <w:bCs/>
                <w:w w:val="105"/>
              </w:rPr>
              <w:t>$’000</w:t>
            </w:r>
          </w:p>
        </w:tc>
        <w:tc>
          <w:tcPr>
            <w:tcW w:w="1276" w:type="dxa"/>
          </w:tcPr>
          <w:p w:rsidR="00014AE0" w:rsidRPr="00AE2D8D" w:rsidRDefault="00014AE0" w:rsidP="00A31F01">
            <w:pPr>
              <w:jc w:val="right"/>
              <w:rPr>
                <w:rFonts w:cstheme="minorHAnsi"/>
              </w:rPr>
            </w:pPr>
            <w:r w:rsidRPr="00AE2D8D">
              <w:rPr>
                <w:rFonts w:cstheme="minorHAnsi"/>
                <w:bCs/>
                <w:w w:val="105"/>
              </w:rPr>
              <w:t>$’000</w:t>
            </w:r>
          </w:p>
        </w:tc>
        <w:tc>
          <w:tcPr>
            <w:tcW w:w="1276" w:type="dxa"/>
          </w:tcPr>
          <w:p w:rsidR="00014AE0" w:rsidRPr="00AE2D8D" w:rsidRDefault="00014AE0" w:rsidP="00A31F01">
            <w:pPr>
              <w:jc w:val="right"/>
              <w:rPr>
                <w:rFonts w:cstheme="minorHAnsi"/>
              </w:rPr>
            </w:pPr>
            <w:r w:rsidRPr="00AE2D8D">
              <w:rPr>
                <w:rFonts w:cstheme="minorHAnsi"/>
                <w:bCs/>
                <w:w w:val="105"/>
              </w:rPr>
              <w:t>$’000</w:t>
            </w:r>
          </w:p>
        </w:tc>
        <w:tc>
          <w:tcPr>
            <w:tcW w:w="1134" w:type="dxa"/>
          </w:tcPr>
          <w:p w:rsidR="00014AE0" w:rsidRPr="00AE2D8D" w:rsidRDefault="00014AE0" w:rsidP="00A31F01">
            <w:pPr>
              <w:pStyle w:val="NoSpacing"/>
              <w:jc w:val="right"/>
              <w:rPr>
                <w:rFonts w:cstheme="minorHAnsi"/>
                <w:bCs/>
                <w:w w:val="105"/>
              </w:rPr>
            </w:pPr>
            <w:r w:rsidRPr="00AE2D8D">
              <w:rPr>
                <w:rFonts w:cstheme="minorHAnsi"/>
                <w:bCs/>
                <w:w w:val="105"/>
              </w:rPr>
              <w:t>$’000</w:t>
            </w:r>
          </w:p>
        </w:tc>
      </w:tr>
    </w:tbl>
    <w:p w:rsidR="00014AE0" w:rsidRDefault="00014AE0" w:rsidP="00014AE0">
      <w:pPr>
        <w:pStyle w:val="NoSpacing"/>
      </w:pPr>
      <w:r>
        <w:t>Current</w:t>
      </w:r>
    </w:p>
    <w:tbl>
      <w:tblPr>
        <w:tblStyle w:val="TableGrid"/>
        <w:tblW w:w="0" w:type="auto"/>
        <w:tblLook w:val="04A0" w:firstRow="1" w:lastRow="0" w:firstColumn="1" w:lastColumn="0" w:noHBand="0" w:noVBand="1"/>
      </w:tblPr>
      <w:tblGrid>
        <w:gridCol w:w="8784"/>
        <w:gridCol w:w="1417"/>
        <w:gridCol w:w="1276"/>
        <w:gridCol w:w="1276"/>
        <w:gridCol w:w="1134"/>
      </w:tblGrid>
      <w:tr w:rsidR="00014AE0" w:rsidTr="00A31F01">
        <w:tc>
          <w:tcPr>
            <w:tcW w:w="8784" w:type="dxa"/>
          </w:tcPr>
          <w:p w:rsidR="00014AE0" w:rsidRDefault="00014AE0" w:rsidP="00A31F01">
            <w:pPr>
              <w:pStyle w:val="NoSpacing"/>
            </w:pPr>
            <w:r>
              <w:t xml:space="preserve">Advances from Government </w:t>
            </w:r>
          </w:p>
        </w:tc>
        <w:tc>
          <w:tcPr>
            <w:tcW w:w="1417" w:type="dxa"/>
          </w:tcPr>
          <w:p w:rsidR="00014AE0" w:rsidRDefault="00014AE0" w:rsidP="00A31F01">
            <w:pPr>
              <w:pStyle w:val="NoSpacing"/>
              <w:jc w:val="right"/>
            </w:pPr>
            <w:r>
              <w:t>351</w:t>
            </w:r>
          </w:p>
        </w:tc>
        <w:tc>
          <w:tcPr>
            <w:tcW w:w="1276" w:type="dxa"/>
          </w:tcPr>
          <w:p w:rsidR="00014AE0" w:rsidRDefault="00014AE0" w:rsidP="00A31F01">
            <w:pPr>
              <w:pStyle w:val="NoSpacing"/>
              <w:jc w:val="right"/>
            </w:pPr>
            <w:r>
              <w:t>351</w:t>
            </w:r>
          </w:p>
        </w:tc>
        <w:tc>
          <w:tcPr>
            <w:tcW w:w="1276" w:type="dxa"/>
          </w:tcPr>
          <w:p w:rsidR="00014AE0" w:rsidRDefault="00014AE0" w:rsidP="00A31F01">
            <w:pPr>
              <w:pStyle w:val="NoSpacing"/>
              <w:jc w:val="right"/>
            </w:pPr>
            <w:r>
              <w:t>351</w:t>
            </w:r>
          </w:p>
        </w:tc>
        <w:tc>
          <w:tcPr>
            <w:tcW w:w="1134" w:type="dxa"/>
          </w:tcPr>
          <w:p w:rsidR="00014AE0" w:rsidRDefault="00014AE0" w:rsidP="00A31F01">
            <w:pPr>
              <w:pStyle w:val="NoSpacing"/>
              <w:jc w:val="right"/>
            </w:pPr>
            <w:r>
              <w:t>351</w:t>
            </w:r>
          </w:p>
        </w:tc>
      </w:tr>
    </w:tbl>
    <w:p w:rsidR="00014AE0" w:rsidRDefault="00014AE0" w:rsidP="00014AE0">
      <w:pPr>
        <w:pStyle w:val="NoSpacing"/>
      </w:pPr>
    </w:p>
    <w:p w:rsidR="00014AE0" w:rsidRDefault="00014AE0" w:rsidP="00014AE0">
      <w:pPr>
        <w:pStyle w:val="NoSpacing"/>
      </w:pPr>
      <w:r>
        <w:t>Non-current</w:t>
      </w:r>
    </w:p>
    <w:tbl>
      <w:tblPr>
        <w:tblStyle w:val="TableGrid"/>
        <w:tblW w:w="0" w:type="auto"/>
        <w:tblLook w:val="04A0" w:firstRow="1" w:lastRow="0" w:firstColumn="1" w:lastColumn="0" w:noHBand="0" w:noVBand="1"/>
      </w:tblPr>
      <w:tblGrid>
        <w:gridCol w:w="8784"/>
        <w:gridCol w:w="1417"/>
        <w:gridCol w:w="1276"/>
        <w:gridCol w:w="1276"/>
        <w:gridCol w:w="1134"/>
      </w:tblGrid>
      <w:tr w:rsidR="00014AE0" w:rsidTr="00A31F01">
        <w:tc>
          <w:tcPr>
            <w:tcW w:w="8784" w:type="dxa"/>
          </w:tcPr>
          <w:p w:rsidR="00014AE0" w:rsidRDefault="00014AE0" w:rsidP="00A31F01">
            <w:pPr>
              <w:pStyle w:val="NoSpacing"/>
            </w:pPr>
            <w:r>
              <w:t xml:space="preserve">Advances from Government </w:t>
            </w:r>
          </w:p>
        </w:tc>
        <w:tc>
          <w:tcPr>
            <w:tcW w:w="1417" w:type="dxa"/>
          </w:tcPr>
          <w:p w:rsidR="00014AE0" w:rsidRDefault="00014AE0" w:rsidP="00A31F01">
            <w:pPr>
              <w:pStyle w:val="NoSpacing"/>
              <w:jc w:val="right"/>
            </w:pPr>
            <w:r>
              <w:t>1,279</w:t>
            </w:r>
          </w:p>
        </w:tc>
        <w:tc>
          <w:tcPr>
            <w:tcW w:w="1276" w:type="dxa"/>
          </w:tcPr>
          <w:p w:rsidR="00014AE0" w:rsidRDefault="00014AE0" w:rsidP="00A31F01">
            <w:pPr>
              <w:pStyle w:val="NoSpacing"/>
              <w:jc w:val="right"/>
            </w:pPr>
            <w:r>
              <w:t>1,575</w:t>
            </w:r>
          </w:p>
        </w:tc>
        <w:tc>
          <w:tcPr>
            <w:tcW w:w="1276" w:type="dxa"/>
          </w:tcPr>
          <w:p w:rsidR="00014AE0" w:rsidRDefault="00014AE0" w:rsidP="00A31F01">
            <w:pPr>
              <w:pStyle w:val="NoSpacing"/>
              <w:jc w:val="right"/>
            </w:pPr>
            <w:r>
              <w:t>1,279</w:t>
            </w:r>
          </w:p>
        </w:tc>
        <w:tc>
          <w:tcPr>
            <w:tcW w:w="1134" w:type="dxa"/>
          </w:tcPr>
          <w:p w:rsidR="00014AE0" w:rsidRDefault="00014AE0" w:rsidP="00A31F01">
            <w:pPr>
              <w:pStyle w:val="NoSpacing"/>
              <w:jc w:val="right"/>
            </w:pPr>
            <w:r>
              <w:t>1,575</w:t>
            </w:r>
          </w:p>
        </w:tc>
      </w:tr>
      <w:tr w:rsidR="00014AE0" w:rsidTr="00A31F01">
        <w:tc>
          <w:tcPr>
            <w:tcW w:w="8784" w:type="dxa"/>
          </w:tcPr>
          <w:p w:rsidR="00014AE0" w:rsidRDefault="00014AE0" w:rsidP="00A31F01">
            <w:pPr>
              <w:pStyle w:val="NoSpacing"/>
            </w:pPr>
            <w:r>
              <w:t xml:space="preserve">Total borrowings </w:t>
            </w:r>
          </w:p>
        </w:tc>
        <w:tc>
          <w:tcPr>
            <w:tcW w:w="1417" w:type="dxa"/>
          </w:tcPr>
          <w:p w:rsidR="00014AE0" w:rsidRDefault="00014AE0" w:rsidP="00A31F01">
            <w:pPr>
              <w:pStyle w:val="NoSpacing"/>
              <w:jc w:val="right"/>
            </w:pPr>
            <w:r>
              <w:t>1,630</w:t>
            </w:r>
          </w:p>
        </w:tc>
        <w:tc>
          <w:tcPr>
            <w:tcW w:w="1276" w:type="dxa"/>
          </w:tcPr>
          <w:p w:rsidR="00014AE0" w:rsidRDefault="00014AE0" w:rsidP="00A31F01">
            <w:pPr>
              <w:pStyle w:val="NoSpacing"/>
              <w:jc w:val="right"/>
            </w:pPr>
            <w:r>
              <w:t>1,926</w:t>
            </w:r>
          </w:p>
        </w:tc>
        <w:tc>
          <w:tcPr>
            <w:tcW w:w="1276" w:type="dxa"/>
          </w:tcPr>
          <w:p w:rsidR="00014AE0" w:rsidRDefault="00014AE0" w:rsidP="00A31F01">
            <w:pPr>
              <w:pStyle w:val="NoSpacing"/>
              <w:jc w:val="right"/>
            </w:pPr>
            <w:r>
              <w:t>1,630</w:t>
            </w:r>
          </w:p>
        </w:tc>
        <w:tc>
          <w:tcPr>
            <w:tcW w:w="1134" w:type="dxa"/>
          </w:tcPr>
          <w:p w:rsidR="00014AE0" w:rsidRDefault="00014AE0" w:rsidP="00A31F01">
            <w:pPr>
              <w:pStyle w:val="NoSpacing"/>
              <w:jc w:val="right"/>
            </w:pPr>
            <w:r>
              <w:t>1,926</w:t>
            </w:r>
          </w:p>
        </w:tc>
      </w:tr>
    </w:tbl>
    <w:p w:rsidR="00577475" w:rsidRDefault="00577475" w:rsidP="00577475">
      <w:pPr>
        <w:pStyle w:val="NoSpacing"/>
        <w:rPr>
          <w:rFonts w:cstheme="minorHAnsi"/>
        </w:rPr>
      </w:pPr>
    </w:p>
    <w:p w:rsidR="00577475" w:rsidRPr="00A450BC" w:rsidRDefault="00577475" w:rsidP="00D36BB2">
      <w:pPr>
        <w:pStyle w:val="Heading4"/>
      </w:pPr>
      <w:r w:rsidRPr="00A450BC">
        <w:t>Borrowings</w:t>
      </w:r>
    </w:p>
    <w:p w:rsidR="00577475" w:rsidRDefault="00577475" w:rsidP="00577475">
      <w:pPr>
        <w:pStyle w:val="NoSpacing"/>
        <w:rPr>
          <w:rFonts w:cstheme="minorHAnsi"/>
        </w:rPr>
      </w:pPr>
    </w:p>
    <w:p w:rsidR="00577475" w:rsidRPr="00A450BC" w:rsidRDefault="00577475" w:rsidP="00577475">
      <w:pPr>
        <w:pStyle w:val="NoSpacing"/>
        <w:rPr>
          <w:rFonts w:cstheme="minorHAnsi"/>
        </w:rPr>
      </w:pPr>
      <w:r w:rsidRPr="00A450BC">
        <w:rPr>
          <w:rFonts w:cstheme="minorHAnsi"/>
        </w:rPr>
        <w:t>Borrowings are initially measured at fair value, being the cost of the interest bearing liabilities, net of transaction costs.</w:t>
      </w:r>
    </w:p>
    <w:p w:rsidR="00577475" w:rsidRPr="00A450BC" w:rsidRDefault="00577475" w:rsidP="00577475">
      <w:pPr>
        <w:pStyle w:val="NoSpacing"/>
        <w:rPr>
          <w:rFonts w:cstheme="minorHAnsi"/>
        </w:rPr>
      </w:pPr>
      <w:r w:rsidRPr="00A450BC">
        <w:rPr>
          <w:rFonts w:cstheme="minorHAnsi"/>
        </w:rPr>
        <w:t>The measurement basis subsequent to initial recognition depends on whether the Institute has categorised its interest</w:t>
      </w:r>
      <w:r>
        <w:rPr>
          <w:rFonts w:cstheme="minorHAnsi"/>
        </w:rPr>
        <w:t xml:space="preserve"> bearing </w:t>
      </w:r>
      <w:r w:rsidRPr="00A450BC">
        <w:rPr>
          <w:rFonts w:cstheme="minorHAnsi"/>
        </w:rPr>
        <w:t>liabilities as either financial liabilities designated at fair value through the profit and lo</w:t>
      </w:r>
      <w:r>
        <w:rPr>
          <w:rFonts w:cstheme="minorHAnsi"/>
        </w:rPr>
        <w:t xml:space="preserve">ss, or financial liabilities at </w:t>
      </w:r>
      <w:r w:rsidRPr="00A450BC">
        <w:rPr>
          <w:rFonts w:cstheme="minorHAnsi"/>
        </w:rPr>
        <w:t>amortised cost.</w:t>
      </w:r>
    </w:p>
    <w:p w:rsidR="00577475" w:rsidRPr="00A450BC" w:rsidRDefault="00577475" w:rsidP="00577475">
      <w:pPr>
        <w:pStyle w:val="NoSpacing"/>
        <w:rPr>
          <w:rFonts w:cstheme="minorHAnsi"/>
        </w:rPr>
      </w:pPr>
      <w:r w:rsidRPr="00A450BC">
        <w:rPr>
          <w:rFonts w:cstheme="minorHAnsi"/>
        </w:rPr>
        <w:t>Any difference between the initial recognised amount and the redemption value is recognised i</w:t>
      </w:r>
      <w:r>
        <w:rPr>
          <w:rFonts w:cstheme="minorHAnsi"/>
        </w:rPr>
        <w:t xml:space="preserve">n net result over the period of </w:t>
      </w:r>
      <w:r w:rsidRPr="00A450BC">
        <w:rPr>
          <w:rFonts w:cstheme="minorHAnsi"/>
        </w:rPr>
        <w:t>the borrowing using the effective interest method.</w:t>
      </w:r>
    </w:p>
    <w:p w:rsidR="00577475" w:rsidRPr="00A450BC" w:rsidRDefault="00577475" w:rsidP="00577475">
      <w:pPr>
        <w:pStyle w:val="NoSpacing"/>
        <w:rPr>
          <w:rFonts w:cstheme="minorHAnsi"/>
        </w:rPr>
      </w:pPr>
      <w:r w:rsidRPr="00A450BC">
        <w:rPr>
          <w:rFonts w:cstheme="minorHAnsi"/>
        </w:rPr>
        <w:t>The classification depends on the nature and purpose of the interest bearing liabilitie</w:t>
      </w:r>
      <w:r>
        <w:rPr>
          <w:rFonts w:cstheme="minorHAnsi"/>
        </w:rPr>
        <w:t xml:space="preserve">s. The Institute determines the </w:t>
      </w:r>
      <w:r w:rsidRPr="00A450BC">
        <w:rPr>
          <w:rFonts w:cstheme="minorHAnsi"/>
        </w:rPr>
        <w:t>classification of its interest bearing liabilities at initial recognition.</w:t>
      </w:r>
    </w:p>
    <w:p w:rsidR="00014AE0" w:rsidRDefault="00014AE0" w:rsidP="00014AE0">
      <w:pPr>
        <w:pStyle w:val="NoSpacing"/>
      </w:pPr>
    </w:p>
    <w:p w:rsidR="00577475" w:rsidRDefault="00577475" w:rsidP="00577475">
      <w:pPr>
        <w:pStyle w:val="NoSpacing"/>
      </w:pPr>
      <w:r>
        <w:t>&lt;pp&gt;68</w:t>
      </w:r>
    </w:p>
    <w:p w:rsidR="00014AE0" w:rsidRDefault="00014AE0" w:rsidP="00014AE0">
      <w:pPr>
        <w:pStyle w:val="NoSpacing"/>
      </w:pPr>
    </w:p>
    <w:p w:rsidR="00577475" w:rsidRPr="00A450BC" w:rsidRDefault="00577475" w:rsidP="00D36BB2">
      <w:pPr>
        <w:pStyle w:val="Heading3"/>
      </w:pPr>
      <w:r w:rsidRPr="00A450BC">
        <w:t>6. How we financed our operations</w:t>
      </w:r>
      <w:r>
        <w:t xml:space="preserve"> (continued)</w:t>
      </w:r>
      <w:r w:rsidRPr="00A450BC">
        <w:t xml:space="preserve"> </w:t>
      </w:r>
    </w:p>
    <w:p w:rsidR="00577475" w:rsidRDefault="00577475" w:rsidP="00577475">
      <w:pPr>
        <w:pStyle w:val="NoSpacing"/>
      </w:pPr>
    </w:p>
    <w:p w:rsidR="00577475" w:rsidRDefault="00577475" w:rsidP="00D36BB2">
      <w:pPr>
        <w:pStyle w:val="Heading4"/>
      </w:pPr>
      <w:r>
        <w:lastRenderedPageBreak/>
        <w:t>6.2 Borrowings (continued)</w:t>
      </w:r>
    </w:p>
    <w:p w:rsidR="00577475" w:rsidRDefault="00577475" w:rsidP="00D36BB2">
      <w:pPr>
        <w:pStyle w:val="Heading4"/>
      </w:pPr>
    </w:p>
    <w:p w:rsidR="00577475" w:rsidRDefault="00577475" w:rsidP="00D36BB2">
      <w:pPr>
        <w:pStyle w:val="Heading4"/>
      </w:pPr>
      <w:r>
        <w:t>Maturity analysis of borrowings</w:t>
      </w:r>
    </w:p>
    <w:p w:rsidR="00577475" w:rsidRDefault="00577475" w:rsidP="00577475">
      <w:pPr>
        <w:pStyle w:val="NoSpacing"/>
      </w:pPr>
    </w:p>
    <w:tbl>
      <w:tblPr>
        <w:tblStyle w:val="TableGrid"/>
        <w:tblW w:w="0" w:type="auto"/>
        <w:tblInd w:w="5949" w:type="dxa"/>
        <w:tblLook w:val="04A0" w:firstRow="1" w:lastRow="0" w:firstColumn="1" w:lastColumn="0" w:noHBand="0" w:noVBand="1"/>
      </w:tblPr>
      <w:tblGrid>
        <w:gridCol w:w="1417"/>
        <w:gridCol w:w="1418"/>
        <w:gridCol w:w="1417"/>
        <w:gridCol w:w="1276"/>
        <w:gridCol w:w="1276"/>
        <w:gridCol w:w="1195"/>
      </w:tblGrid>
      <w:tr w:rsidR="00577475" w:rsidTr="00A31F01">
        <w:tc>
          <w:tcPr>
            <w:tcW w:w="1417" w:type="dxa"/>
            <w:vAlign w:val="bottom"/>
          </w:tcPr>
          <w:p w:rsidR="00577475" w:rsidRDefault="00577475" w:rsidP="00A31F01">
            <w:pPr>
              <w:pStyle w:val="NoSpacing"/>
              <w:jc w:val="right"/>
              <w:rPr>
                <w:rFonts w:cstheme="minorHAnsi"/>
              </w:rPr>
            </w:pPr>
            <w:r>
              <w:rPr>
                <w:rFonts w:cstheme="minorHAnsi"/>
              </w:rPr>
              <w:t>Carrying amount</w:t>
            </w:r>
          </w:p>
        </w:tc>
        <w:tc>
          <w:tcPr>
            <w:tcW w:w="1418" w:type="dxa"/>
            <w:vAlign w:val="bottom"/>
          </w:tcPr>
          <w:p w:rsidR="00577475" w:rsidRDefault="00577475" w:rsidP="00A31F01">
            <w:pPr>
              <w:pStyle w:val="NoSpacing"/>
              <w:jc w:val="right"/>
              <w:rPr>
                <w:rFonts w:cstheme="minorHAnsi"/>
              </w:rPr>
            </w:pPr>
            <w:r>
              <w:rPr>
                <w:rFonts w:cstheme="minorHAnsi"/>
              </w:rPr>
              <w:t>Nominal amount</w:t>
            </w:r>
          </w:p>
        </w:tc>
        <w:tc>
          <w:tcPr>
            <w:tcW w:w="1417" w:type="dxa"/>
            <w:vAlign w:val="bottom"/>
          </w:tcPr>
          <w:p w:rsidR="00577475" w:rsidRDefault="00577475" w:rsidP="00A31F01">
            <w:pPr>
              <w:pStyle w:val="NoSpacing"/>
              <w:jc w:val="right"/>
              <w:rPr>
                <w:rFonts w:cstheme="minorHAnsi"/>
              </w:rPr>
            </w:pPr>
            <w:r>
              <w:rPr>
                <w:rFonts w:cstheme="minorHAnsi"/>
              </w:rPr>
              <w:t>Less than 1 month</w:t>
            </w:r>
          </w:p>
        </w:tc>
        <w:tc>
          <w:tcPr>
            <w:tcW w:w="1276" w:type="dxa"/>
            <w:vAlign w:val="bottom"/>
          </w:tcPr>
          <w:p w:rsidR="00577475" w:rsidRDefault="00577475" w:rsidP="00A31F01">
            <w:pPr>
              <w:pStyle w:val="NoSpacing"/>
              <w:jc w:val="right"/>
              <w:rPr>
                <w:rFonts w:cstheme="minorHAnsi"/>
              </w:rPr>
            </w:pPr>
            <w:r>
              <w:rPr>
                <w:rFonts w:cstheme="minorHAnsi"/>
              </w:rPr>
              <w:t>1-3 months</w:t>
            </w:r>
          </w:p>
        </w:tc>
        <w:tc>
          <w:tcPr>
            <w:tcW w:w="1276" w:type="dxa"/>
            <w:vAlign w:val="bottom"/>
          </w:tcPr>
          <w:p w:rsidR="00577475" w:rsidRDefault="00577475" w:rsidP="00A31F01">
            <w:pPr>
              <w:pStyle w:val="NoSpacing"/>
              <w:jc w:val="right"/>
              <w:rPr>
                <w:rFonts w:cstheme="minorHAnsi"/>
              </w:rPr>
            </w:pPr>
            <w:r>
              <w:rPr>
                <w:rFonts w:cstheme="minorHAnsi"/>
              </w:rPr>
              <w:t xml:space="preserve">3 months – 1 year </w:t>
            </w:r>
          </w:p>
        </w:tc>
        <w:tc>
          <w:tcPr>
            <w:tcW w:w="1195" w:type="dxa"/>
            <w:vAlign w:val="bottom"/>
          </w:tcPr>
          <w:p w:rsidR="00577475" w:rsidRDefault="00577475" w:rsidP="00A31F01">
            <w:pPr>
              <w:pStyle w:val="NoSpacing"/>
              <w:jc w:val="right"/>
              <w:rPr>
                <w:rFonts w:cstheme="minorHAnsi"/>
              </w:rPr>
            </w:pPr>
            <w:r>
              <w:rPr>
                <w:rFonts w:cstheme="minorHAnsi"/>
              </w:rPr>
              <w:t>1-5 years</w:t>
            </w:r>
          </w:p>
        </w:tc>
      </w:tr>
      <w:tr w:rsidR="00577475" w:rsidTr="00A31F01">
        <w:tc>
          <w:tcPr>
            <w:tcW w:w="1417" w:type="dxa"/>
          </w:tcPr>
          <w:p w:rsidR="00577475" w:rsidRDefault="00577475" w:rsidP="00A31F01">
            <w:pPr>
              <w:jc w:val="right"/>
            </w:pPr>
            <w:r w:rsidRPr="00FF31DA">
              <w:rPr>
                <w:rFonts w:cstheme="minorHAnsi"/>
                <w:bCs/>
                <w:w w:val="105"/>
              </w:rPr>
              <w:t>$’000</w:t>
            </w:r>
          </w:p>
        </w:tc>
        <w:tc>
          <w:tcPr>
            <w:tcW w:w="1418" w:type="dxa"/>
          </w:tcPr>
          <w:p w:rsidR="00577475" w:rsidRDefault="00577475" w:rsidP="00A31F01">
            <w:pPr>
              <w:jc w:val="right"/>
            </w:pPr>
            <w:r w:rsidRPr="00FF31DA">
              <w:rPr>
                <w:rFonts w:cstheme="minorHAnsi"/>
                <w:bCs/>
                <w:w w:val="105"/>
              </w:rPr>
              <w:t>$’000</w:t>
            </w:r>
          </w:p>
        </w:tc>
        <w:tc>
          <w:tcPr>
            <w:tcW w:w="1417" w:type="dxa"/>
          </w:tcPr>
          <w:p w:rsidR="00577475" w:rsidRDefault="00577475" w:rsidP="00A31F01">
            <w:pPr>
              <w:jc w:val="right"/>
            </w:pPr>
            <w:r w:rsidRPr="00FF31DA">
              <w:rPr>
                <w:rFonts w:cstheme="minorHAnsi"/>
                <w:bCs/>
                <w:w w:val="105"/>
              </w:rPr>
              <w:t>$’000</w:t>
            </w:r>
          </w:p>
        </w:tc>
        <w:tc>
          <w:tcPr>
            <w:tcW w:w="1276" w:type="dxa"/>
          </w:tcPr>
          <w:p w:rsidR="00577475" w:rsidRDefault="00577475" w:rsidP="00A31F01">
            <w:pPr>
              <w:jc w:val="right"/>
            </w:pPr>
            <w:r w:rsidRPr="00FF31DA">
              <w:rPr>
                <w:rFonts w:cstheme="minorHAnsi"/>
                <w:bCs/>
                <w:w w:val="105"/>
              </w:rPr>
              <w:t>$’000</w:t>
            </w:r>
          </w:p>
        </w:tc>
        <w:tc>
          <w:tcPr>
            <w:tcW w:w="1276" w:type="dxa"/>
          </w:tcPr>
          <w:p w:rsidR="00577475" w:rsidRDefault="00577475" w:rsidP="00A31F01">
            <w:pPr>
              <w:jc w:val="right"/>
            </w:pPr>
            <w:r w:rsidRPr="00FF31DA">
              <w:rPr>
                <w:rFonts w:cstheme="minorHAnsi"/>
                <w:bCs/>
                <w:w w:val="105"/>
              </w:rPr>
              <w:t>$’000</w:t>
            </w:r>
          </w:p>
        </w:tc>
        <w:tc>
          <w:tcPr>
            <w:tcW w:w="1195" w:type="dxa"/>
          </w:tcPr>
          <w:p w:rsidR="00577475" w:rsidRDefault="00577475" w:rsidP="00A31F01">
            <w:pPr>
              <w:jc w:val="right"/>
            </w:pPr>
            <w:r w:rsidRPr="00FF31DA">
              <w:rPr>
                <w:rFonts w:cstheme="minorHAnsi"/>
                <w:bCs/>
                <w:w w:val="105"/>
              </w:rPr>
              <w:t>$’000</w:t>
            </w:r>
          </w:p>
        </w:tc>
      </w:tr>
    </w:tbl>
    <w:p w:rsidR="00CC6BC6" w:rsidRDefault="00CC6BC6" w:rsidP="00CC6BC6">
      <w:pPr>
        <w:pStyle w:val="NoSpacing"/>
        <w:rPr>
          <w:rFonts w:cstheme="minorHAnsi"/>
        </w:rPr>
      </w:pPr>
      <w:r>
        <w:rPr>
          <w:rFonts w:cstheme="minorHAnsi"/>
        </w:rPr>
        <w:t>Consolidated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CC6BC6" w:rsidTr="00A31F01">
        <w:tc>
          <w:tcPr>
            <w:tcW w:w="5949" w:type="dxa"/>
          </w:tcPr>
          <w:p w:rsidR="00CC6BC6" w:rsidRDefault="00CC6BC6" w:rsidP="00A31F01">
            <w:pPr>
              <w:pStyle w:val="NoSpacing"/>
              <w:rPr>
                <w:rFonts w:cstheme="minorHAnsi"/>
              </w:rPr>
            </w:pPr>
            <w:r>
              <w:rPr>
                <w:rFonts w:cstheme="minorHAnsi"/>
              </w:rPr>
              <w:t xml:space="preserve">Advances from Government </w:t>
            </w:r>
          </w:p>
        </w:tc>
        <w:tc>
          <w:tcPr>
            <w:tcW w:w="1417" w:type="dxa"/>
          </w:tcPr>
          <w:p w:rsidR="00CC6BC6" w:rsidRDefault="00CC6BC6" w:rsidP="00A31F01">
            <w:pPr>
              <w:pStyle w:val="NoSpacing"/>
              <w:jc w:val="right"/>
              <w:rPr>
                <w:rFonts w:cstheme="minorHAnsi"/>
              </w:rPr>
            </w:pPr>
            <w:r>
              <w:rPr>
                <w:rFonts w:cstheme="minorHAnsi"/>
              </w:rPr>
              <w:t>1,630</w:t>
            </w:r>
          </w:p>
        </w:tc>
        <w:tc>
          <w:tcPr>
            <w:tcW w:w="1418" w:type="dxa"/>
          </w:tcPr>
          <w:p w:rsidR="00CC6BC6" w:rsidRDefault="00CC6BC6" w:rsidP="00A31F01">
            <w:pPr>
              <w:pStyle w:val="NoSpacing"/>
              <w:jc w:val="right"/>
              <w:rPr>
                <w:rFonts w:cstheme="minorHAnsi"/>
              </w:rPr>
            </w:pPr>
            <w:r>
              <w:rPr>
                <w:rFonts w:cstheme="minorHAnsi"/>
              </w:rPr>
              <w:t>1,630</w:t>
            </w:r>
          </w:p>
        </w:tc>
        <w:tc>
          <w:tcPr>
            <w:tcW w:w="1417" w:type="dxa"/>
          </w:tcPr>
          <w:p w:rsidR="00CC6BC6" w:rsidRDefault="00CC6BC6" w:rsidP="00A31F01">
            <w:pPr>
              <w:pStyle w:val="NoSpacing"/>
              <w:jc w:val="right"/>
              <w:rPr>
                <w:rFonts w:cstheme="minorHAnsi"/>
              </w:rPr>
            </w:pPr>
            <w:r>
              <w:rPr>
                <w:rFonts w:cstheme="minorHAnsi"/>
              </w:rPr>
              <w:t>-</w:t>
            </w:r>
          </w:p>
        </w:tc>
        <w:tc>
          <w:tcPr>
            <w:tcW w:w="1276" w:type="dxa"/>
          </w:tcPr>
          <w:p w:rsidR="00CC6BC6" w:rsidRDefault="00CC6BC6" w:rsidP="00A31F01">
            <w:pPr>
              <w:pStyle w:val="NoSpacing"/>
              <w:jc w:val="right"/>
              <w:rPr>
                <w:rFonts w:cstheme="minorHAnsi"/>
              </w:rPr>
            </w:pPr>
            <w:r>
              <w:rPr>
                <w:rFonts w:cstheme="minorHAnsi"/>
              </w:rPr>
              <w:t>-</w:t>
            </w:r>
          </w:p>
        </w:tc>
        <w:tc>
          <w:tcPr>
            <w:tcW w:w="1276" w:type="dxa"/>
          </w:tcPr>
          <w:p w:rsidR="00CC6BC6" w:rsidRDefault="00CC6BC6" w:rsidP="00A31F01">
            <w:pPr>
              <w:pStyle w:val="NoSpacing"/>
              <w:jc w:val="right"/>
              <w:rPr>
                <w:rFonts w:cstheme="minorHAnsi"/>
              </w:rPr>
            </w:pPr>
            <w:r>
              <w:rPr>
                <w:rFonts w:cstheme="minorHAnsi"/>
              </w:rPr>
              <w:t>351</w:t>
            </w:r>
          </w:p>
        </w:tc>
        <w:tc>
          <w:tcPr>
            <w:tcW w:w="1195" w:type="dxa"/>
          </w:tcPr>
          <w:p w:rsidR="00CC6BC6" w:rsidRDefault="00CC6BC6" w:rsidP="00A31F01">
            <w:pPr>
              <w:pStyle w:val="NoSpacing"/>
              <w:jc w:val="right"/>
              <w:rPr>
                <w:rFonts w:cstheme="minorHAnsi"/>
              </w:rPr>
            </w:pPr>
            <w:r>
              <w:rPr>
                <w:rFonts w:cstheme="minorHAnsi"/>
              </w:rPr>
              <w:t>1,279</w:t>
            </w:r>
          </w:p>
        </w:tc>
      </w:tr>
      <w:tr w:rsidR="00CC6BC6" w:rsidTr="00A31F01">
        <w:tc>
          <w:tcPr>
            <w:tcW w:w="5949" w:type="dxa"/>
          </w:tcPr>
          <w:p w:rsidR="00CC6BC6" w:rsidRDefault="00CC6BC6" w:rsidP="00CC6BC6">
            <w:pPr>
              <w:pStyle w:val="NoSpacing"/>
              <w:rPr>
                <w:rFonts w:cstheme="minorHAnsi"/>
              </w:rPr>
            </w:pPr>
            <w:r>
              <w:rPr>
                <w:rFonts w:cstheme="minorHAnsi"/>
              </w:rPr>
              <w:t>Total</w:t>
            </w:r>
          </w:p>
        </w:tc>
        <w:tc>
          <w:tcPr>
            <w:tcW w:w="1417" w:type="dxa"/>
          </w:tcPr>
          <w:p w:rsidR="00CC6BC6" w:rsidRDefault="00CC6BC6" w:rsidP="00CC6BC6">
            <w:pPr>
              <w:pStyle w:val="NoSpacing"/>
              <w:jc w:val="right"/>
              <w:rPr>
                <w:rFonts w:cstheme="minorHAnsi"/>
              </w:rPr>
            </w:pPr>
            <w:r>
              <w:rPr>
                <w:rFonts w:cstheme="minorHAnsi"/>
              </w:rPr>
              <w:t>1,630</w:t>
            </w:r>
          </w:p>
        </w:tc>
        <w:tc>
          <w:tcPr>
            <w:tcW w:w="1418" w:type="dxa"/>
          </w:tcPr>
          <w:p w:rsidR="00CC6BC6" w:rsidRDefault="00CC6BC6" w:rsidP="00CC6BC6">
            <w:pPr>
              <w:pStyle w:val="NoSpacing"/>
              <w:jc w:val="right"/>
              <w:rPr>
                <w:rFonts w:cstheme="minorHAnsi"/>
              </w:rPr>
            </w:pPr>
            <w:r>
              <w:rPr>
                <w:rFonts w:cstheme="minorHAnsi"/>
              </w:rPr>
              <w:t>1,630</w:t>
            </w:r>
          </w:p>
        </w:tc>
        <w:tc>
          <w:tcPr>
            <w:tcW w:w="1417"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351</w:t>
            </w:r>
          </w:p>
        </w:tc>
        <w:tc>
          <w:tcPr>
            <w:tcW w:w="1195" w:type="dxa"/>
          </w:tcPr>
          <w:p w:rsidR="00CC6BC6" w:rsidRDefault="00CC6BC6" w:rsidP="00CC6BC6">
            <w:pPr>
              <w:pStyle w:val="NoSpacing"/>
              <w:jc w:val="right"/>
              <w:rPr>
                <w:rFonts w:cstheme="minorHAnsi"/>
              </w:rPr>
            </w:pPr>
            <w:r>
              <w:rPr>
                <w:rFonts w:cstheme="minorHAnsi"/>
              </w:rPr>
              <w:t>1,279</w:t>
            </w:r>
          </w:p>
        </w:tc>
      </w:tr>
    </w:tbl>
    <w:p w:rsidR="00CC6BC6" w:rsidRDefault="00CC6BC6" w:rsidP="00CC6BC6">
      <w:pPr>
        <w:pStyle w:val="NoSpacing"/>
        <w:rPr>
          <w:rFonts w:cstheme="minorHAnsi"/>
        </w:rPr>
      </w:pPr>
    </w:p>
    <w:p w:rsidR="00CC6BC6" w:rsidRDefault="00CC6BC6" w:rsidP="00CC6BC6">
      <w:pPr>
        <w:pStyle w:val="NoSpacing"/>
        <w:rPr>
          <w:rFonts w:cstheme="minorHAnsi"/>
        </w:rPr>
      </w:pPr>
      <w:r>
        <w:rPr>
          <w:rFonts w:cstheme="minorHAnsi"/>
        </w:rPr>
        <w:t>Consolidated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CC6BC6" w:rsidTr="00A31F01">
        <w:tc>
          <w:tcPr>
            <w:tcW w:w="5949" w:type="dxa"/>
          </w:tcPr>
          <w:p w:rsidR="00CC6BC6" w:rsidRDefault="00CC6BC6" w:rsidP="00A31F01">
            <w:pPr>
              <w:pStyle w:val="NoSpacing"/>
              <w:rPr>
                <w:rFonts w:cstheme="minorHAnsi"/>
              </w:rPr>
            </w:pPr>
            <w:r>
              <w:rPr>
                <w:rFonts w:cstheme="minorHAnsi"/>
              </w:rPr>
              <w:t xml:space="preserve">Advances from Government </w:t>
            </w:r>
          </w:p>
        </w:tc>
        <w:tc>
          <w:tcPr>
            <w:tcW w:w="1417" w:type="dxa"/>
          </w:tcPr>
          <w:p w:rsidR="00CC6BC6" w:rsidRDefault="00CC6BC6" w:rsidP="00A31F01">
            <w:pPr>
              <w:pStyle w:val="NoSpacing"/>
              <w:jc w:val="right"/>
              <w:rPr>
                <w:rFonts w:cstheme="minorHAnsi"/>
              </w:rPr>
            </w:pPr>
            <w:r>
              <w:rPr>
                <w:rFonts w:cstheme="minorHAnsi"/>
              </w:rPr>
              <w:t>1,926</w:t>
            </w:r>
          </w:p>
        </w:tc>
        <w:tc>
          <w:tcPr>
            <w:tcW w:w="1418" w:type="dxa"/>
          </w:tcPr>
          <w:p w:rsidR="00CC6BC6" w:rsidRDefault="00CC6BC6" w:rsidP="00A31F01">
            <w:pPr>
              <w:pStyle w:val="NoSpacing"/>
              <w:jc w:val="right"/>
              <w:rPr>
                <w:rFonts w:cstheme="minorHAnsi"/>
              </w:rPr>
            </w:pPr>
            <w:r>
              <w:rPr>
                <w:rFonts w:cstheme="minorHAnsi"/>
              </w:rPr>
              <w:t>1,926</w:t>
            </w:r>
          </w:p>
        </w:tc>
        <w:tc>
          <w:tcPr>
            <w:tcW w:w="1417" w:type="dxa"/>
          </w:tcPr>
          <w:p w:rsidR="00CC6BC6" w:rsidRDefault="00CC6BC6" w:rsidP="00A31F01">
            <w:pPr>
              <w:pStyle w:val="NoSpacing"/>
              <w:jc w:val="right"/>
              <w:rPr>
                <w:rFonts w:cstheme="minorHAnsi"/>
              </w:rPr>
            </w:pPr>
            <w:r>
              <w:rPr>
                <w:rFonts w:cstheme="minorHAnsi"/>
              </w:rPr>
              <w:t>-</w:t>
            </w:r>
          </w:p>
        </w:tc>
        <w:tc>
          <w:tcPr>
            <w:tcW w:w="1276" w:type="dxa"/>
          </w:tcPr>
          <w:p w:rsidR="00CC6BC6" w:rsidRDefault="00CC6BC6" w:rsidP="00A31F01">
            <w:pPr>
              <w:pStyle w:val="NoSpacing"/>
              <w:jc w:val="right"/>
              <w:rPr>
                <w:rFonts w:cstheme="minorHAnsi"/>
              </w:rPr>
            </w:pPr>
            <w:r>
              <w:rPr>
                <w:rFonts w:cstheme="minorHAnsi"/>
              </w:rPr>
              <w:t>-</w:t>
            </w:r>
          </w:p>
        </w:tc>
        <w:tc>
          <w:tcPr>
            <w:tcW w:w="1276" w:type="dxa"/>
          </w:tcPr>
          <w:p w:rsidR="00CC6BC6" w:rsidRDefault="00CC6BC6" w:rsidP="00A31F01">
            <w:pPr>
              <w:pStyle w:val="NoSpacing"/>
              <w:jc w:val="right"/>
              <w:rPr>
                <w:rFonts w:cstheme="minorHAnsi"/>
              </w:rPr>
            </w:pPr>
            <w:r>
              <w:rPr>
                <w:rFonts w:cstheme="minorHAnsi"/>
              </w:rPr>
              <w:t>351</w:t>
            </w:r>
          </w:p>
        </w:tc>
        <w:tc>
          <w:tcPr>
            <w:tcW w:w="1195" w:type="dxa"/>
          </w:tcPr>
          <w:p w:rsidR="00CC6BC6" w:rsidRDefault="00CC6BC6" w:rsidP="00A31F01">
            <w:pPr>
              <w:pStyle w:val="NoSpacing"/>
              <w:jc w:val="right"/>
              <w:rPr>
                <w:rFonts w:cstheme="minorHAnsi"/>
              </w:rPr>
            </w:pPr>
            <w:r>
              <w:rPr>
                <w:rFonts w:cstheme="minorHAnsi"/>
              </w:rPr>
              <w:t>1,575</w:t>
            </w:r>
          </w:p>
        </w:tc>
      </w:tr>
      <w:tr w:rsidR="00CC6BC6" w:rsidTr="00A31F01">
        <w:tc>
          <w:tcPr>
            <w:tcW w:w="5949" w:type="dxa"/>
          </w:tcPr>
          <w:p w:rsidR="00CC6BC6" w:rsidRDefault="00CC6BC6" w:rsidP="00CC6BC6">
            <w:pPr>
              <w:pStyle w:val="NoSpacing"/>
              <w:rPr>
                <w:rFonts w:cstheme="minorHAnsi"/>
              </w:rPr>
            </w:pPr>
            <w:r>
              <w:rPr>
                <w:rFonts w:cstheme="minorHAnsi"/>
              </w:rPr>
              <w:t xml:space="preserve">Total </w:t>
            </w:r>
          </w:p>
        </w:tc>
        <w:tc>
          <w:tcPr>
            <w:tcW w:w="1417" w:type="dxa"/>
          </w:tcPr>
          <w:p w:rsidR="00CC6BC6" w:rsidRDefault="00CC6BC6" w:rsidP="00CC6BC6">
            <w:pPr>
              <w:pStyle w:val="NoSpacing"/>
              <w:jc w:val="right"/>
              <w:rPr>
                <w:rFonts w:cstheme="minorHAnsi"/>
              </w:rPr>
            </w:pPr>
            <w:r>
              <w:rPr>
                <w:rFonts w:cstheme="minorHAnsi"/>
              </w:rPr>
              <w:t>1,926</w:t>
            </w:r>
          </w:p>
        </w:tc>
        <w:tc>
          <w:tcPr>
            <w:tcW w:w="1418" w:type="dxa"/>
          </w:tcPr>
          <w:p w:rsidR="00CC6BC6" w:rsidRDefault="00CC6BC6" w:rsidP="00CC6BC6">
            <w:pPr>
              <w:pStyle w:val="NoSpacing"/>
              <w:jc w:val="right"/>
              <w:rPr>
                <w:rFonts w:cstheme="minorHAnsi"/>
              </w:rPr>
            </w:pPr>
            <w:r>
              <w:rPr>
                <w:rFonts w:cstheme="minorHAnsi"/>
              </w:rPr>
              <w:t>1,926</w:t>
            </w:r>
          </w:p>
        </w:tc>
        <w:tc>
          <w:tcPr>
            <w:tcW w:w="1417"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351</w:t>
            </w:r>
          </w:p>
        </w:tc>
        <w:tc>
          <w:tcPr>
            <w:tcW w:w="1195" w:type="dxa"/>
          </w:tcPr>
          <w:p w:rsidR="00CC6BC6" w:rsidRDefault="00CC6BC6" w:rsidP="00CC6BC6">
            <w:pPr>
              <w:pStyle w:val="NoSpacing"/>
              <w:jc w:val="right"/>
              <w:rPr>
                <w:rFonts w:cstheme="minorHAnsi"/>
              </w:rPr>
            </w:pPr>
            <w:r>
              <w:rPr>
                <w:rFonts w:cstheme="minorHAnsi"/>
              </w:rPr>
              <w:t>1,575</w:t>
            </w:r>
          </w:p>
        </w:tc>
      </w:tr>
    </w:tbl>
    <w:p w:rsidR="00CC6BC6" w:rsidRDefault="00CC6BC6" w:rsidP="00CC6BC6">
      <w:pPr>
        <w:pStyle w:val="NoSpacing"/>
      </w:pPr>
    </w:p>
    <w:p w:rsidR="00CC6BC6" w:rsidRDefault="00CC6BC6" w:rsidP="00CC6BC6">
      <w:pPr>
        <w:pStyle w:val="NoSpacing"/>
        <w:rPr>
          <w:rFonts w:cstheme="minorHAnsi"/>
        </w:rPr>
      </w:pPr>
      <w:r>
        <w:rPr>
          <w:rFonts w:cstheme="minorHAnsi"/>
        </w:rPr>
        <w:t>Chisholm 2017</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CC6BC6" w:rsidTr="00A31F01">
        <w:tc>
          <w:tcPr>
            <w:tcW w:w="5949" w:type="dxa"/>
          </w:tcPr>
          <w:p w:rsidR="00CC6BC6" w:rsidRDefault="00CC6BC6" w:rsidP="00A31F01">
            <w:pPr>
              <w:pStyle w:val="NoSpacing"/>
              <w:rPr>
                <w:rFonts w:cstheme="minorHAnsi"/>
              </w:rPr>
            </w:pPr>
            <w:r>
              <w:rPr>
                <w:rFonts w:cstheme="minorHAnsi"/>
              </w:rPr>
              <w:t xml:space="preserve">Advances from Government </w:t>
            </w:r>
          </w:p>
        </w:tc>
        <w:tc>
          <w:tcPr>
            <w:tcW w:w="1417" w:type="dxa"/>
          </w:tcPr>
          <w:p w:rsidR="00CC6BC6" w:rsidRDefault="00CC6BC6" w:rsidP="00A31F01">
            <w:pPr>
              <w:pStyle w:val="NoSpacing"/>
              <w:jc w:val="right"/>
              <w:rPr>
                <w:rFonts w:cstheme="minorHAnsi"/>
              </w:rPr>
            </w:pPr>
            <w:r>
              <w:rPr>
                <w:rFonts w:cstheme="minorHAnsi"/>
              </w:rPr>
              <w:t>1,630</w:t>
            </w:r>
          </w:p>
        </w:tc>
        <w:tc>
          <w:tcPr>
            <w:tcW w:w="1418" w:type="dxa"/>
          </w:tcPr>
          <w:p w:rsidR="00CC6BC6" w:rsidRDefault="00CC6BC6" w:rsidP="00A31F01">
            <w:pPr>
              <w:pStyle w:val="NoSpacing"/>
              <w:jc w:val="right"/>
              <w:rPr>
                <w:rFonts w:cstheme="minorHAnsi"/>
              </w:rPr>
            </w:pPr>
            <w:r>
              <w:rPr>
                <w:rFonts w:cstheme="minorHAnsi"/>
              </w:rPr>
              <w:t>1,630</w:t>
            </w:r>
          </w:p>
        </w:tc>
        <w:tc>
          <w:tcPr>
            <w:tcW w:w="1417" w:type="dxa"/>
          </w:tcPr>
          <w:p w:rsidR="00CC6BC6" w:rsidRDefault="00CC6BC6" w:rsidP="00A31F01">
            <w:pPr>
              <w:pStyle w:val="NoSpacing"/>
              <w:jc w:val="right"/>
              <w:rPr>
                <w:rFonts w:cstheme="minorHAnsi"/>
              </w:rPr>
            </w:pPr>
            <w:r>
              <w:rPr>
                <w:rFonts w:cstheme="minorHAnsi"/>
              </w:rPr>
              <w:t>-</w:t>
            </w:r>
          </w:p>
        </w:tc>
        <w:tc>
          <w:tcPr>
            <w:tcW w:w="1276" w:type="dxa"/>
          </w:tcPr>
          <w:p w:rsidR="00CC6BC6" w:rsidRDefault="00CC6BC6" w:rsidP="00A31F01">
            <w:pPr>
              <w:pStyle w:val="NoSpacing"/>
              <w:jc w:val="right"/>
              <w:rPr>
                <w:rFonts w:cstheme="minorHAnsi"/>
              </w:rPr>
            </w:pPr>
            <w:r>
              <w:rPr>
                <w:rFonts w:cstheme="minorHAnsi"/>
              </w:rPr>
              <w:t>-</w:t>
            </w:r>
          </w:p>
        </w:tc>
        <w:tc>
          <w:tcPr>
            <w:tcW w:w="1276" w:type="dxa"/>
          </w:tcPr>
          <w:p w:rsidR="00CC6BC6" w:rsidRDefault="00CC6BC6" w:rsidP="00A31F01">
            <w:pPr>
              <w:pStyle w:val="NoSpacing"/>
              <w:jc w:val="right"/>
              <w:rPr>
                <w:rFonts w:cstheme="minorHAnsi"/>
              </w:rPr>
            </w:pPr>
            <w:r>
              <w:rPr>
                <w:rFonts w:cstheme="minorHAnsi"/>
              </w:rPr>
              <w:t>351</w:t>
            </w:r>
          </w:p>
        </w:tc>
        <w:tc>
          <w:tcPr>
            <w:tcW w:w="1195" w:type="dxa"/>
          </w:tcPr>
          <w:p w:rsidR="00CC6BC6" w:rsidRDefault="00CC6BC6" w:rsidP="00A31F01">
            <w:pPr>
              <w:pStyle w:val="NoSpacing"/>
              <w:jc w:val="right"/>
              <w:rPr>
                <w:rFonts w:cstheme="minorHAnsi"/>
              </w:rPr>
            </w:pPr>
            <w:r>
              <w:rPr>
                <w:rFonts w:cstheme="minorHAnsi"/>
              </w:rPr>
              <w:t>1,279</w:t>
            </w:r>
          </w:p>
        </w:tc>
      </w:tr>
      <w:tr w:rsidR="00CC6BC6" w:rsidTr="00A31F01">
        <w:tc>
          <w:tcPr>
            <w:tcW w:w="5949" w:type="dxa"/>
          </w:tcPr>
          <w:p w:rsidR="00CC6BC6" w:rsidRDefault="00CC6BC6" w:rsidP="00CC6BC6">
            <w:pPr>
              <w:pStyle w:val="NoSpacing"/>
              <w:rPr>
                <w:rFonts w:cstheme="minorHAnsi"/>
              </w:rPr>
            </w:pPr>
            <w:r>
              <w:rPr>
                <w:rFonts w:cstheme="minorHAnsi"/>
              </w:rPr>
              <w:t>Total</w:t>
            </w:r>
          </w:p>
        </w:tc>
        <w:tc>
          <w:tcPr>
            <w:tcW w:w="1417" w:type="dxa"/>
          </w:tcPr>
          <w:p w:rsidR="00CC6BC6" w:rsidRDefault="00CC6BC6" w:rsidP="00CC6BC6">
            <w:pPr>
              <w:pStyle w:val="NoSpacing"/>
              <w:jc w:val="right"/>
              <w:rPr>
                <w:rFonts w:cstheme="minorHAnsi"/>
              </w:rPr>
            </w:pPr>
            <w:r>
              <w:rPr>
                <w:rFonts w:cstheme="minorHAnsi"/>
              </w:rPr>
              <w:t>1,630</w:t>
            </w:r>
          </w:p>
        </w:tc>
        <w:tc>
          <w:tcPr>
            <w:tcW w:w="1418" w:type="dxa"/>
          </w:tcPr>
          <w:p w:rsidR="00CC6BC6" w:rsidRDefault="00CC6BC6" w:rsidP="00CC6BC6">
            <w:pPr>
              <w:pStyle w:val="NoSpacing"/>
              <w:jc w:val="right"/>
              <w:rPr>
                <w:rFonts w:cstheme="minorHAnsi"/>
              </w:rPr>
            </w:pPr>
            <w:r>
              <w:rPr>
                <w:rFonts w:cstheme="minorHAnsi"/>
              </w:rPr>
              <w:t>1,630</w:t>
            </w:r>
          </w:p>
        </w:tc>
        <w:tc>
          <w:tcPr>
            <w:tcW w:w="1417"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351</w:t>
            </w:r>
          </w:p>
        </w:tc>
        <w:tc>
          <w:tcPr>
            <w:tcW w:w="1195" w:type="dxa"/>
          </w:tcPr>
          <w:p w:rsidR="00CC6BC6" w:rsidRDefault="00CC6BC6" w:rsidP="00CC6BC6">
            <w:pPr>
              <w:pStyle w:val="NoSpacing"/>
              <w:jc w:val="right"/>
              <w:rPr>
                <w:rFonts w:cstheme="minorHAnsi"/>
              </w:rPr>
            </w:pPr>
            <w:r>
              <w:rPr>
                <w:rFonts w:cstheme="minorHAnsi"/>
              </w:rPr>
              <w:t>1,279</w:t>
            </w:r>
          </w:p>
        </w:tc>
      </w:tr>
    </w:tbl>
    <w:p w:rsidR="00CC6BC6" w:rsidRDefault="00CC6BC6" w:rsidP="00CC6BC6">
      <w:pPr>
        <w:pStyle w:val="NoSpacing"/>
      </w:pPr>
    </w:p>
    <w:p w:rsidR="00CC6BC6" w:rsidRDefault="00CC6BC6" w:rsidP="00CC6BC6">
      <w:pPr>
        <w:pStyle w:val="NoSpacing"/>
        <w:rPr>
          <w:rFonts w:cstheme="minorHAnsi"/>
        </w:rPr>
      </w:pPr>
      <w:r>
        <w:rPr>
          <w:rFonts w:cstheme="minorHAnsi"/>
        </w:rPr>
        <w:t>Chisholm 2016</w:t>
      </w:r>
    </w:p>
    <w:tbl>
      <w:tblPr>
        <w:tblStyle w:val="TableGrid"/>
        <w:tblW w:w="0" w:type="auto"/>
        <w:tblLook w:val="04A0" w:firstRow="1" w:lastRow="0" w:firstColumn="1" w:lastColumn="0" w:noHBand="0" w:noVBand="1"/>
      </w:tblPr>
      <w:tblGrid>
        <w:gridCol w:w="5949"/>
        <w:gridCol w:w="1417"/>
        <w:gridCol w:w="1418"/>
        <w:gridCol w:w="1417"/>
        <w:gridCol w:w="1276"/>
        <w:gridCol w:w="1276"/>
        <w:gridCol w:w="1195"/>
      </w:tblGrid>
      <w:tr w:rsidR="00CC6BC6" w:rsidTr="00A31F01">
        <w:tc>
          <w:tcPr>
            <w:tcW w:w="5949" w:type="dxa"/>
          </w:tcPr>
          <w:p w:rsidR="00CC6BC6" w:rsidRDefault="00CC6BC6" w:rsidP="00CC6BC6">
            <w:pPr>
              <w:pStyle w:val="NoSpacing"/>
              <w:rPr>
                <w:rFonts w:cstheme="minorHAnsi"/>
              </w:rPr>
            </w:pPr>
            <w:r>
              <w:rPr>
                <w:rFonts w:cstheme="minorHAnsi"/>
              </w:rPr>
              <w:t xml:space="preserve">Advances from Government  </w:t>
            </w:r>
          </w:p>
        </w:tc>
        <w:tc>
          <w:tcPr>
            <w:tcW w:w="1417" w:type="dxa"/>
          </w:tcPr>
          <w:p w:rsidR="00CC6BC6" w:rsidRDefault="00CC6BC6" w:rsidP="00CC6BC6">
            <w:pPr>
              <w:pStyle w:val="NoSpacing"/>
              <w:jc w:val="right"/>
              <w:rPr>
                <w:rFonts w:cstheme="minorHAnsi"/>
              </w:rPr>
            </w:pPr>
            <w:r>
              <w:rPr>
                <w:rFonts w:cstheme="minorHAnsi"/>
              </w:rPr>
              <w:t>1,926</w:t>
            </w:r>
          </w:p>
        </w:tc>
        <w:tc>
          <w:tcPr>
            <w:tcW w:w="1418" w:type="dxa"/>
          </w:tcPr>
          <w:p w:rsidR="00CC6BC6" w:rsidRDefault="00CC6BC6" w:rsidP="00CC6BC6">
            <w:pPr>
              <w:pStyle w:val="NoSpacing"/>
              <w:jc w:val="right"/>
              <w:rPr>
                <w:rFonts w:cstheme="minorHAnsi"/>
              </w:rPr>
            </w:pPr>
            <w:r>
              <w:rPr>
                <w:rFonts w:cstheme="minorHAnsi"/>
              </w:rPr>
              <w:t>1,926</w:t>
            </w:r>
          </w:p>
        </w:tc>
        <w:tc>
          <w:tcPr>
            <w:tcW w:w="1417"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351</w:t>
            </w:r>
          </w:p>
        </w:tc>
        <w:tc>
          <w:tcPr>
            <w:tcW w:w="1195" w:type="dxa"/>
          </w:tcPr>
          <w:p w:rsidR="00CC6BC6" w:rsidRDefault="00CC6BC6" w:rsidP="00CC6BC6">
            <w:pPr>
              <w:pStyle w:val="NoSpacing"/>
              <w:jc w:val="right"/>
              <w:rPr>
                <w:rFonts w:cstheme="minorHAnsi"/>
              </w:rPr>
            </w:pPr>
            <w:r>
              <w:rPr>
                <w:rFonts w:cstheme="minorHAnsi"/>
              </w:rPr>
              <w:t>1,575</w:t>
            </w:r>
          </w:p>
        </w:tc>
      </w:tr>
      <w:tr w:rsidR="00CC6BC6" w:rsidTr="00A31F01">
        <w:tc>
          <w:tcPr>
            <w:tcW w:w="5949" w:type="dxa"/>
          </w:tcPr>
          <w:p w:rsidR="00CC6BC6" w:rsidRDefault="00CC6BC6" w:rsidP="00CC6BC6">
            <w:pPr>
              <w:pStyle w:val="NoSpacing"/>
              <w:rPr>
                <w:rFonts w:cstheme="minorHAnsi"/>
              </w:rPr>
            </w:pPr>
            <w:r>
              <w:rPr>
                <w:rFonts w:cstheme="minorHAnsi"/>
              </w:rPr>
              <w:t xml:space="preserve">Total </w:t>
            </w:r>
          </w:p>
        </w:tc>
        <w:tc>
          <w:tcPr>
            <w:tcW w:w="1417" w:type="dxa"/>
          </w:tcPr>
          <w:p w:rsidR="00CC6BC6" w:rsidRDefault="00CC6BC6" w:rsidP="00CC6BC6">
            <w:pPr>
              <w:pStyle w:val="NoSpacing"/>
              <w:jc w:val="right"/>
              <w:rPr>
                <w:rFonts w:cstheme="minorHAnsi"/>
              </w:rPr>
            </w:pPr>
            <w:r>
              <w:rPr>
                <w:rFonts w:cstheme="minorHAnsi"/>
              </w:rPr>
              <w:t>1,926</w:t>
            </w:r>
          </w:p>
        </w:tc>
        <w:tc>
          <w:tcPr>
            <w:tcW w:w="1418" w:type="dxa"/>
          </w:tcPr>
          <w:p w:rsidR="00CC6BC6" w:rsidRDefault="00CC6BC6" w:rsidP="00CC6BC6">
            <w:pPr>
              <w:pStyle w:val="NoSpacing"/>
              <w:jc w:val="right"/>
              <w:rPr>
                <w:rFonts w:cstheme="minorHAnsi"/>
              </w:rPr>
            </w:pPr>
            <w:r>
              <w:rPr>
                <w:rFonts w:cstheme="minorHAnsi"/>
              </w:rPr>
              <w:t>1,926</w:t>
            </w:r>
          </w:p>
        </w:tc>
        <w:tc>
          <w:tcPr>
            <w:tcW w:w="1417"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w:t>
            </w:r>
          </w:p>
        </w:tc>
        <w:tc>
          <w:tcPr>
            <w:tcW w:w="1276" w:type="dxa"/>
          </w:tcPr>
          <w:p w:rsidR="00CC6BC6" w:rsidRDefault="00CC6BC6" w:rsidP="00CC6BC6">
            <w:pPr>
              <w:pStyle w:val="NoSpacing"/>
              <w:jc w:val="right"/>
              <w:rPr>
                <w:rFonts w:cstheme="minorHAnsi"/>
              </w:rPr>
            </w:pPr>
            <w:r>
              <w:rPr>
                <w:rFonts w:cstheme="minorHAnsi"/>
              </w:rPr>
              <w:t>351</w:t>
            </w:r>
          </w:p>
        </w:tc>
        <w:tc>
          <w:tcPr>
            <w:tcW w:w="1195" w:type="dxa"/>
          </w:tcPr>
          <w:p w:rsidR="00CC6BC6" w:rsidRDefault="00CC6BC6" w:rsidP="00CC6BC6">
            <w:pPr>
              <w:pStyle w:val="NoSpacing"/>
              <w:jc w:val="right"/>
              <w:rPr>
                <w:rFonts w:cstheme="minorHAnsi"/>
              </w:rPr>
            </w:pPr>
            <w:r>
              <w:rPr>
                <w:rFonts w:cstheme="minorHAnsi"/>
              </w:rPr>
              <w:t>1,575</w:t>
            </w:r>
          </w:p>
        </w:tc>
      </w:tr>
    </w:tbl>
    <w:p w:rsidR="00577475" w:rsidRDefault="00577475" w:rsidP="00577475">
      <w:pPr>
        <w:pStyle w:val="NoSpacing"/>
      </w:pPr>
    </w:p>
    <w:p w:rsidR="00CC6BC6" w:rsidRDefault="00CC6BC6" w:rsidP="00D36BB2">
      <w:pPr>
        <w:pStyle w:val="Heading4"/>
      </w:pPr>
      <w:r>
        <w:t>6.3 Contributed capital</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CC6BC6" w:rsidRPr="00AE2D8D" w:rsidTr="00A31F01">
        <w:tc>
          <w:tcPr>
            <w:tcW w:w="2693" w:type="dxa"/>
            <w:gridSpan w:val="2"/>
          </w:tcPr>
          <w:p w:rsidR="00CC6BC6" w:rsidRPr="00AE2D8D" w:rsidRDefault="00CC6BC6" w:rsidP="00A31F01">
            <w:pPr>
              <w:pStyle w:val="NoSpacing"/>
              <w:jc w:val="center"/>
              <w:rPr>
                <w:rFonts w:cstheme="minorHAnsi"/>
                <w:bCs/>
                <w:w w:val="105"/>
              </w:rPr>
            </w:pPr>
            <w:r w:rsidRPr="00AE2D8D">
              <w:rPr>
                <w:rFonts w:cstheme="minorHAnsi"/>
                <w:bCs/>
                <w:w w:val="105"/>
              </w:rPr>
              <w:t>Consolidated</w:t>
            </w:r>
          </w:p>
        </w:tc>
        <w:tc>
          <w:tcPr>
            <w:tcW w:w="2410" w:type="dxa"/>
            <w:gridSpan w:val="2"/>
          </w:tcPr>
          <w:p w:rsidR="00CC6BC6" w:rsidRPr="00AE2D8D" w:rsidRDefault="00CC6BC6" w:rsidP="00A31F01">
            <w:pPr>
              <w:pStyle w:val="NoSpacing"/>
              <w:jc w:val="center"/>
              <w:rPr>
                <w:rFonts w:cstheme="minorHAnsi"/>
                <w:bCs/>
                <w:w w:val="105"/>
              </w:rPr>
            </w:pPr>
            <w:r w:rsidRPr="00AE2D8D">
              <w:rPr>
                <w:rFonts w:cstheme="minorHAnsi"/>
                <w:bCs/>
                <w:w w:val="105"/>
              </w:rPr>
              <w:t>Chisholm</w:t>
            </w:r>
          </w:p>
        </w:tc>
      </w:tr>
      <w:tr w:rsidR="00CC6BC6" w:rsidRPr="00AE2D8D" w:rsidTr="00A31F01">
        <w:tc>
          <w:tcPr>
            <w:tcW w:w="1417" w:type="dxa"/>
          </w:tcPr>
          <w:p w:rsidR="00CC6BC6" w:rsidRPr="00AE2D8D" w:rsidRDefault="00CC6BC6" w:rsidP="00A31F01">
            <w:pPr>
              <w:pStyle w:val="NoSpacing"/>
              <w:jc w:val="right"/>
              <w:rPr>
                <w:rFonts w:cstheme="minorHAnsi"/>
                <w:bCs/>
                <w:w w:val="105"/>
              </w:rPr>
            </w:pPr>
            <w:r w:rsidRPr="00AE2D8D">
              <w:rPr>
                <w:rFonts w:cstheme="minorHAnsi"/>
                <w:bCs/>
                <w:w w:val="105"/>
              </w:rPr>
              <w:t>2017</w:t>
            </w:r>
          </w:p>
        </w:tc>
        <w:tc>
          <w:tcPr>
            <w:tcW w:w="1276" w:type="dxa"/>
          </w:tcPr>
          <w:p w:rsidR="00CC6BC6" w:rsidRPr="00AE2D8D" w:rsidRDefault="00CC6BC6" w:rsidP="00A31F01">
            <w:pPr>
              <w:pStyle w:val="NoSpacing"/>
              <w:jc w:val="right"/>
              <w:rPr>
                <w:rFonts w:cstheme="minorHAnsi"/>
                <w:bCs/>
                <w:w w:val="105"/>
              </w:rPr>
            </w:pPr>
            <w:r w:rsidRPr="00AE2D8D">
              <w:rPr>
                <w:rFonts w:cstheme="minorHAnsi"/>
                <w:bCs/>
                <w:w w:val="105"/>
              </w:rPr>
              <w:t>2016</w:t>
            </w:r>
          </w:p>
        </w:tc>
        <w:tc>
          <w:tcPr>
            <w:tcW w:w="1276" w:type="dxa"/>
          </w:tcPr>
          <w:p w:rsidR="00CC6BC6" w:rsidRPr="00AE2D8D" w:rsidRDefault="00CC6BC6" w:rsidP="00A31F01">
            <w:pPr>
              <w:pStyle w:val="NoSpacing"/>
              <w:jc w:val="right"/>
              <w:rPr>
                <w:rFonts w:cstheme="minorHAnsi"/>
                <w:bCs/>
                <w:w w:val="105"/>
              </w:rPr>
            </w:pPr>
            <w:r w:rsidRPr="00AE2D8D">
              <w:rPr>
                <w:rFonts w:cstheme="minorHAnsi"/>
                <w:bCs/>
                <w:w w:val="105"/>
              </w:rPr>
              <w:t>2017</w:t>
            </w:r>
          </w:p>
        </w:tc>
        <w:tc>
          <w:tcPr>
            <w:tcW w:w="1134" w:type="dxa"/>
          </w:tcPr>
          <w:p w:rsidR="00CC6BC6" w:rsidRPr="00AE2D8D" w:rsidRDefault="00CC6BC6" w:rsidP="00A31F01">
            <w:pPr>
              <w:pStyle w:val="NoSpacing"/>
              <w:jc w:val="right"/>
              <w:rPr>
                <w:rFonts w:cstheme="minorHAnsi"/>
                <w:bCs/>
                <w:w w:val="105"/>
              </w:rPr>
            </w:pPr>
            <w:r w:rsidRPr="00AE2D8D">
              <w:rPr>
                <w:rFonts w:cstheme="minorHAnsi"/>
                <w:bCs/>
                <w:w w:val="105"/>
              </w:rPr>
              <w:t>2016</w:t>
            </w:r>
          </w:p>
        </w:tc>
      </w:tr>
      <w:tr w:rsidR="00CC6BC6" w:rsidRPr="00AE2D8D" w:rsidTr="00A31F01">
        <w:tc>
          <w:tcPr>
            <w:tcW w:w="1417" w:type="dxa"/>
          </w:tcPr>
          <w:p w:rsidR="00CC6BC6" w:rsidRPr="00AE2D8D" w:rsidRDefault="00CC6BC6" w:rsidP="00A31F01">
            <w:pPr>
              <w:jc w:val="right"/>
              <w:rPr>
                <w:rFonts w:cstheme="minorHAnsi"/>
              </w:rPr>
            </w:pPr>
            <w:r w:rsidRPr="00AE2D8D">
              <w:rPr>
                <w:rFonts w:cstheme="minorHAnsi"/>
                <w:bCs/>
                <w:w w:val="105"/>
              </w:rPr>
              <w:t>$’000</w:t>
            </w:r>
          </w:p>
        </w:tc>
        <w:tc>
          <w:tcPr>
            <w:tcW w:w="1276" w:type="dxa"/>
          </w:tcPr>
          <w:p w:rsidR="00CC6BC6" w:rsidRPr="00AE2D8D" w:rsidRDefault="00CC6BC6" w:rsidP="00A31F01">
            <w:pPr>
              <w:jc w:val="right"/>
              <w:rPr>
                <w:rFonts w:cstheme="minorHAnsi"/>
              </w:rPr>
            </w:pPr>
            <w:r w:rsidRPr="00AE2D8D">
              <w:rPr>
                <w:rFonts w:cstheme="minorHAnsi"/>
                <w:bCs/>
                <w:w w:val="105"/>
              </w:rPr>
              <w:t>$’000</w:t>
            </w:r>
          </w:p>
        </w:tc>
        <w:tc>
          <w:tcPr>
            <w:tcW w:w="1276" w:type="dxa"/>
          </w:tcPr>
          <w:p w:rsidR="00CC6BC6" w:rsidRPr="00AE2D8D" w:rsidRDefault="00CC6BC6" w:rsidP="00A31F01">
            <w:pPr>
              <w:jc w:val="right"/>
              <w:rPr>
                <w:rFonts w:cstheme="minorHAnsi"/>
              </w:rPr>
            </w:pPr>
            <w:r w:rsidRPr="00AE2D8D">
              <w:rPr>
                <w:rFonts w:cstheme="minorHAnsi"/>
                <w:bCs/>
                <w:w w:val="105"/>
              </w:rPr>
              <w:t>$’000</w:t>
            </w:r>
          </w:p>
        </w:tc>
        <w:tc>
          <w:tcPr>
            <w:tcW w:w="1134" w:type="dxa"/>
          </w:tcPr>
          <w:p w:rsidR="00CC6BC6" w:rsidRPr="00AE2D8D" w:rsidRDefault="00CC6BC6" w:rsidP="00A31F01">
            <w:pPr>
              <w:pStyle w:val="NoSpacing"/>
              <w:jc w:val="right"/>
              <w:rPr>
                <w:rFonts w:cstheme="minorHAnsi"/>
                <w:bCs/>
                <w:w w:val="105"/>
              </w:rPr>
            </w:pPr>
            <w:r w:rsidRPr="00AE2D8D">
              <w:rPr>
                <w:rFonts w:cstheme="minorHAnsi"/>
                <w:bCs/>
                <w:w w:val="105"/>
              </w:rPr>
              <w:t>$’000</w:t>
            </w:r>
          </w:p>
        </w:tc>
      </w:tr>
    </w:tbl>
    <w:p w:rsidR="00577475" w:rsidRDefault="00577475" w:rsidP="00014AE0">
      <w:pPr>
        <w:pStyle w:val="NoSpacing"/>
      </w:pPr>
    </w:p>
    <w:tbl>
      <w:tblPr>
        <w:tblStyle w:val="TableGrid"/>
        <w:tblW w:w="0" w:type="auto"/>
        <w:tblLook w:val="04A0" w:firstRow="1" w:lastRow="0" w:firstColumn="1" w:lastColumn="0" w:noHBand="0" w:noVBand="1"/>
      </w:tblPr>
      <w:tblGrid>
        <w:gridCol w:w="8784"/>
        <w:gridCol w:w="1417"/>
        <w:gridCol w:w="1276"/>
        <w:gridCol w:w="1276"/>
        <w:gridCol w:w="1134"/>
      </w:tblGrid>
      <w:tr w:rsidR="00CC6BC6" w:rsidTr="00A31F01">
        <w:tc>
          <w:tcPr>
            <w:tcW w:w="8784" w:type="dxa"/>
          </w:tcPr>
          <w:p w:rsidR="00CC6BC6" w:rsidRDefault="00CC6BC6" w:rsidP="00CC6BC6">
            <w:pPr>
              <w:pStyle w:val="NoSpacing"/>
            </w:pPr>
            <w:r>
              <w:t xml:space="preserve">Balance at 1 January </w:t>
            </w:r>
          </w:p>
        </w:tc>
        <w:tc>
          <w:tcPr>
            <w:tcW w:w="1417" w:type="dxa"/>
          </w:tcPr>
          <w:p w:rsidR="00CC6BC6" w:rsidRDefault="00CC6BC6" w:rsidP="00CC6BC6">
            <w:pPr>
              <w:pStyle w:val="NoSpacing"/>
              <w:jc w:val="right"/>
            </w:pPr>
            <w:r>
              <w:t>85,387</w:t>
            </w:r>
          </w:p>
        </w:tc>
        <w:tc>
          <w:tcPr>
            <w:tcW w:w="1276" w:type="dxa"/>
          </w:tcPr>
          <w:p w:rsidR="00CC6BC6" w:rsidRDefault="00CC6BC6" w:rsidP="00CC6BC6">
            <w:pPr>
              <w:jc w:val="right"/>
            </w:pPr>
            <w:r w:rsidRPr="00056B7D">
              <w:t>85,387</w:t>
            </w:r>
          </w:p>
        </w:tc>
        <w:tc>
          <w:tcPr>
            <w:tcW w:w="1276" w:type="dxa"/>
          </w:tcPr>
          <w:p w:rsidR="00CC6BC6" w:rsidRDefault="00CC6BC6" w:rsidP="00CC6BC6">
            <w:pPr>
              <w:jc w:val="right"/>
            </w:pPr>
            <w:r w:rsidRPr="00056B7D">
              <w:t>85,387</w:t>
            </w:r>
          </w:p>
        </w:tc>
        <w:tc>
          <w:tcPr>
            <w:tcW w:w="1134" w:type="dxa"/>
          </w:tcPr>
          <w:p w:rsidR="00CC6BC6" w:rsidRDefault="00CC6BC6" w:rsidP="00CC6BC6">
            <w:pPr>
              <w:jc w:val="right"/>
            </w:pPr>
            <w:r w:rsidRPr="00056B7D">
              <w:t>85,387</w:t>
            </w:r>
          </w:p>
        </w:tc>
      </w:tr>
      <w:tr w:rsidR="00CC6BC6" w:rsidTr="00A31F01">
        <w:tc>
          <w:tcPr>
            <w:tcW w:w="8784" w:type="dxa"/>
          </w:tcPr>
          <w:p w:rsidR="00CC6BC6" w:rsidRDefault="00CC6BC6" w:rsidP="00CC6BC6">
            <w:pPr>
              <w:pStyle w:val="NoSpacing"/>
            </w:pPr>
            <w:r>
              <w:t xml:space="preserve">Balance at 31 December </w:t>
            </w:r>
          </w:p>
        </w:tc>
        <w:tc>
          <w:tcPr>
            <w:tcW w:w="1417" w:type="dxa"/>
          </w:tcPr>
          <w:p w:rsidR="00CC6BC6" w:rsidRDefault="00CC6BC6" w:rsidP="00CC6BC6">
            <w:pPr>
              <w:jc w:val="right"/>
            </w:pPr>
            <w:r w:rsidRPr="00FD3E39">
              <w:t>85,387</w:t>
            </w:r>
          </w:p>
        </w:tc>
        <w:tc>
          <w:tcPr>
            <w:tcW w:w="1276" w:type="dxa"/>
          </w:tcPr>
          <w:p w:rsidR="00CC6BC6" w:rsidRDefault="00CC6BC6" w:rsidP="00CC6BC6">
            <w:pPr>
              <w:jc w:val="right"/>
            </w:pPr>
            <w:r w:rsidRPr="00FD3E39">
              <w:t>85,387</w:t>
            </w:r>
          </w:p>
        </w:tc>
        <w:tc>
          <w:tcPr>
            <w:tcW w:w="1276" w:type="dxa"/>
          </w:tcPr>
          <w:p w:rsidR="00CC6BC6" w:rsidRDefault="00CC6BC6" w:rsidP="00CC6BC6">
            <w:pPr>
              <w:jc w:val="right"/>
            </w:pPr>
            <w:r w:rsidRPr="00FD3E39">
              <w:t>85,387</w:t>
            </w:r>
          </w:p>
        </w:tc>
        <w:tc>
          <w:tcPr>
            <w:tcW w:w="1134" w:type="dxa"/>
          </w:tcPr>
          <w:p w:rsidR="00CC6BC6" w:rsidRDefault="00CC6BC6" w:rsidP="00CC6BC6">
            <w:pPr>
              <w:jc w:val="right"/>
            </w:pPr>
            <w:r w:rsidRPr="00FD3E39">
              <w:t>85,387</w:t>
            </w:r>
          </w:p>
        </w:tc>
      </w:tr>
    </w:tbl>
    <w:p w:rsidR="00CC6BC6" w:rsidRDefault="00CC6BC6" w:rsidP="00014AE0">
      <w:pPr>
        <w:pStyle w:val="NoSpacing"/>
      </w:pPr>
    </w:p>
    <w:p w:rsidR="008C167C" w:rsidRDefault="008C167C" w:rsidP="00D36BB2">
      <w:pPr>
        <w:pStyle w:val="Heading4"/>
      </w:pPr>
      <w:r>
        <w:lastRenderedPageBreak/>
        <w:t>Contributed capital</w:t>
      </w:r>
    </w:p>
    <w:p w:rsidR="008C167C" w:rsidRDefault="008C167C" w:rsidP="008C167C">
      <w:pPr>
        <w:pStyle w:val="NoSpacing"/>
      </w:pPr>
    </w:p>
    <w:p w:rsidR="008C167C" w:rsidRDefault="008C167C" w:rsidP="008C167C">
      <w:pPr>
        <w:pStyle w:val="NoSpacing"/>
      </w:pPr>
      <w:r w:rsidRPr="00CA7020">
        <w:t>Funding that are in the nature of contributions by the Victorian State Government are treated as contributed capital when designated in accordance with UIG Interpretation 1038 Contribution by Owners Made to Wholly-Owned Public Sector Entities. Commonwealth capital funds are not affected and are treated as income.</w:t>
      </w:r>
    </w:p>
    <w:p w:rsidR="008C167C" w:rsidRDefault="008C167C" w:rsidP="008C167C">
      <w:pPr>
        <w:pStyle w:val="NoSpacing"/>
      </w:pPr>
    </w:p>
    <w:p w:rsidR="008C167C" w:rsidRDefault="008C167C" w:rsidP="008C167C">
      <w:pPr>
        <w:pStyle w:val="NoSpacing"/>
      </w:pPr>
      <w:r>
        <w:t>&lt;pp&gt;69</w:t>
      </w:r>
    </w:p>
    <w:p w:rsidR="008C167C" w:rsidRDefault="008C167C" w:rsidP="008C167C">
      <w:pPr>
        <w:pStyle w:val="NoSpacing"/>
      </w:pPr>
    </w:p>
    <w:p w:rsidR="008C167C" w:rsidRPr="00CA7020" w:rsidRDefault="008C167C" w:rsidP="00D36BB2">
      <w:pPr>
        <w:pStyle w:val="Heading3"/>
      </w:pPr>
      <w:r w:rsidRPr="00CA7020">
        <w:t xml:space="preserve">7. </w:t>
      </w:r>
      <w:proofErr w:type="gramStart"/>
      <w:r w:rsidRPr="00CA7020">
        <w:t>managing</w:t>
      </w:r>
      <w:proofErr w:type="gramEnd"/>
      <w:r w:rsidRPr="00CA7020">
        <w:t xml:space="preserve"> risks and uncertainties</w:t>
      </w:r>
    </w:p>
    <w:p w:rsidR="008C167C" w:rsidRDefault="008C167C" w:rsidP="008C167C">
      <w:pPr>
        <w:pStyle w:val="NoSpacing"/>
      </w:pPr>
    </w:p>
    <w:p w:rsidR="008C167C" w:rsidRDefault="008C167C" w:rsidP="00D36BB2">
      <w:pPr>
        <w:pStyle w:val="Heading4"/>
      </w:pPr>
      <w:r>
        <w:t>7.1 Financial instruments</w:t>
      </w:r>
    </w:p>
    <w:p w:rsidR="008C167C" w:rsidRDefault="008C167C" w:rsidP="008C167C">
      <w:pPr>
        <w:pStyle w:val="NoSpacing"/>
      </w:pPr>
    </w:p>
    <w:p w:rsidR="008C167C" w:rsidRDefault="008C167C" w:rsidP="008C167C">
      <w:pPr>
        <w:pStyle w:val="NoSpacing"/>
      </w:pPr>
      <w:r>
        <w:t>Financial instruments arise out of contractual agreements that give rise to a financial asset of one entity and a financial liability or equity instrument of another entity.</w:t>
      </w:r>
    </w:p>
    <w:p w:rsidR="008C167C" w:rsidRDefault="008C167C" w:rsidP="008C167C">
      <w:pPr>
        <w:pStyle w:val="NoSpacing"/>
      </w:pPr>
    </w:p>
    <w:p w:rsidR="008C167C" w:rsidRDefault="008C167C" w:rsidP="008C167C">
      <w:pPr>
        <w:pStyle w:val="NoSpacing"/>
      </w:pPr>
      <w:r>
        <w:t>Categories of financial instruments</w:t>
      </w:r>
    </w:p>
    <w:p w:rsidR="008C167C" w:rsidRDefault="008C167C" w:rsidP="008C167C">
      <w:pPr>
        <w:pStyle w:val="NoSpacing"/>
      </w:pP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8C167C" w:rsidRPr="00AE2D8D" w:rsidTr="00A31F01">
        <w:tc>
          <w:tcPr>
            <w:tcW w:w="2693" w:type="dxa"/>
            <w:gridSpan w:val="2"/>
          </w:tcPr>
          <w:p w:rsidR="008C167C" w:rsidRPr="00AE2D8D" w:rsidRDefault="008C167C" w:rsidP="00A31F01">
            <w:pPr>
              <w:pStyle w:val="NoSpacing"/>
              <w:jc w:val="center"/>
              <w:rPr>
                <w:rFonts w:cstheme="minorHAnsi"/>
                <w:bCs/>
                <w:w w:val="105"/>
              </w:rPr>
            </w:pPr>
            <w:r w:rsidRPr="00AE2D8D">
              <w:rPr>
                <w:rFonts w:cstheme="minorHAnsi"/>
                <w:bCs/>
                <w:w w:val="105"/>
              </w:rPr>
              <w:t>Consolidated</w:t>
            </w:r>
          </w:p>
        </w:tc>
        <w:tc>
          <w:tcPr>
            <w:tcW w:w="2410" w:type="dxa"/>
            <w:gridSpan w:val="2"/>
          </w:tcPr>
          <w:p w:rsidR="008C167C" w:rsidRPr="00AE2D8D" w:rsidRDefault="008C167C" w:rsidP="00A31F01">
            <w:pPr>
              <w:pStyle w:val="NoSpacing"/>
              <w:jc w:val="center"/>
              <w:rPr>
                <w:rFonts w:cstheme="minorHAnsi"/>
                <w:bCs/>
                <w:w w:val="105"/>
              </w:rPr>
            </w:pPr>
            <w:r w:rsidRPr="00AE2D8D">
              <w:rPr>
                <w:rFonts w:cstheme="minorHAnsi"/>
                <w:bCs/>
                <w:w w:val="105"/>
              </w:rPr>
              <w:t>Chisholm</w:t>
            </w:r>
          </w:p>
        </w:tc>
      </w:tr>
      <w:tr w:rsidR="008C167C" w:rsidRPr="00AE2D8D" w:rsidTr="00A31F01">
        <w:tc>
          <w:tcPr>
            <w:tcW w:w="1417" w:type="dxa"/>
          </w:tcPr>
          <w:p w:rsidR="008C167C" w:rsidRPr="00AE2D8D" w:rsidRDefault="008C167C" w:rsidP="00A31F01">
            <w:pPr>
              <w:pStyle w:val="NoSpacing"/>
              <w:jc w:val="right"/>
              <w:rPr>
                <w:rFonts w:cstheme="minorHAnsi"/>
                <w:bCs/>
                <w:w w:val="105"/>
              </w:rPr>
            </w:pPr>
            <w:r w:rsidRPr="00AE2D8D">
              <w:rPr>
                <w:rFonts w:cstheme="minorHAnsi"/>
                <w:bCs/>
                <w:w w:val="105"/>
              </w:rPr>
              <w:t>2017</w:t>
            </w:r>
          </w:p>
        </w:tc>
        <w:tc>
          <w:tcPr>
            <w:tcW w:w="1276" w:type="dxa"/>
          </w:tcPr>
          <w:p w:rsidR="008C167C" w:rsidRPr="00AE2D8D" w:rsidRDefault="008C167C" w:rsidP="00A31F01">
            <w:pPr>
              <w:pStyle w:val="NoSpacing"/>
              <w:jc w:val="right"/>
              <w:rPr>
                <w:rFonts w:cstheme="minorHAnsi"/>
                <w:bCs/>
                <w:w w:val="105"/>
              </w:rPr>
            </w:pPr>
            <w:r w:rsidRPr="00AE2D8D">
              <w:rPr>
                <w:rFonts w:cstheme="minorHAnsi"/>
                <w:bCs/>
                <w:w w:val="105"/>
              </w:rPr>
              <w:t>2016</w:t>
            </w:r>
          </w:p>
        </w:tc>
        <w:tc>
          <w:tcPr>
            <w:tcW w:w="1276" w:type="dxa"/>
          </w:tcPr>
          <w:p w:rsidR="008C167C" w:rsidRPr="00AE2D8D" w:rsidRDefault="008C167C" w:rsidP="00A31F01">
            <w:pPr>
              <w:pStyle w:val="NoSpacing"/>
              <w:jc w:val="right"/>
              <w:rPr>
                <w:rFonts w:cstheme="minorHAnsi"/>
                <w:bCs/>
                <w:w w:val="105"/>
              </w:rPr>
            </w:pPr>
            <w:r w:rsidRPr="00AE2D8D">
              <w:rPr>
                <w:rFonts w:cstheme="minorHAnsi"/>
                <w:bCs/>
                <w:w w:val="105"/>
              </w:rPr>
              <w:t>2017</w:t>
            </w:r>
          </w:p>
        </w:tc>
        <w:tc>
          <w:tcPr>
            <w:tcW w:w="1134" w:type="dxa"/>
          </w:tcPr>
          <w:p w:rsidR="008C167C" w:rsidRPr="00AE2D8D" w:rsidRDefault="008C167C" w:rsidP="00A31F01">
            <w:pPr>
              <w:pStyle w:val="NoSpacing"/>
              <w:jc w:val="right"/>
              <w:rPr>
                <w:rFonts w:cstheme="minorHAnsi"/>
                <w:bCs/>
                <w:w w:val="105"/>
              </w:rPr>
            </w:pPr>
            <w:r w:rsidRPr="00AE2D8D">
              <w:rPr>
                <w:rFonts w:cstheme="minorHAnsi"/>
                <w:bCs/>
                <w:w w:val="105"/>
              </w:rPr>
              <w:t>2016</w:t>
            </w:r>
          </w:p>
        </w:tc>
      </w:tr>
      <w:tr w:rsidR="008C167C" w:rsidRPr="00AE2D8D" w:rsidTr="00A31F01">
        <w:tc>
          <w:tcPr>
            <w:tcW w:w="1417" w:type="dxa"/>
          </w:tcPr>
          <w:p w:rsidR="008C167C" w:rsidRPr="00AE2D8D" w:rsidRDefault="008C167C" w:rsidP="00A31F01">
            <w:pPr>
              <w:jc w:val="right"/>
              <w:rPr>
                <w:rFonts w:cstheme="minorHAnsi"/>
              </w:rPr>
            </w:pPr>
            <w:r w:rsidRPr="00AE2D8D">
              <w:rPr>
                <w:rFonts w:cstheme="minorHAnsi"/>
                <w:bCs/>
                <w:w w:val="105"/>
              </w:rPr>
              <w:t>$’000</w:t>
            </w:r>
          </w:p>
        </w:tc>
        <w:tc>
          <w:tcPr>
            <w:tcW w:w="1276" w:type="dxa"/>
          </w:tcPr>
          <w:p w:rsidR="008C167C" w:rsidRPr="00AE2D8D" w:rsidRDefault="008C167C" w:rsidP="00A31F01">
            <w:pPr>
              <w:jc w:val="right"/>
              <w:rPr>
                <w:rFonts w:cstheme="minorHAnsi"/>
              </w:rPr>
            </w:pPr>
            <w:r w:rsidRPr="00AE2D8D">
              <w:rPr>
                <w:rFonts w:cstheme="minorHAnsi"/>
                <w:bCs/>
                <w:w w:val="105"/>
              </w:rPr>
              <w:t>$’000</w:t>
            </w:r>
          </w:p>
        </w:tc>
        <w:tc>
          <w:tcPr>
            <w:tcW w:w="1276" w:type="dxa"/>
          </w:tcPr>
          <w:p w:rsidR="008C167C" w:rsidRPr="00AE2D8D" w:rsidRDefault="008C167C" w:rsidP="00A31F01">
            <w:pPr>
              <w:jc w:val="right"/>
              <w:rPr>
                <w:rFonts w:cstheme="minorHAnsi"/>
              </w:rPr>
            </w:pPr>
            <w:r w:rsidRPr="00AE2D8D">
              <w:rPr>
                <w:rFonts w:cstheme="minorHAnsi"/>
                <w:bCs/>
                <w:w w:val="105"/>
              </w:rPr>
              <w:t>$’000</w:t>
            </w:r>
          </w:p>
        </w:tc>
        <w:tc>
          <w:tcPr>
            <w:tcW w:w="1134" w:type="dxa"/>
          </w:tcPr>
          <w:p w:rsidR="008C167C" w:rsidRPr="00AE2D8D" w:rsidRDefault="008C167C" w:rsidP="00A31F01">
            <w:pPr>
              <w:pStyle w:val="NoSpacing"/>
              <w:jc w:val="right"/>
              <w:rPr>
                <w:rFonts w:cstheme="minorHAnsi"/>
                <w:bCs/>
                <w:w w:val="105"/>
              </w:rPr>
            </w:pPr>
            <w:r w:rsidRPr="00AE2D8D">
              <w:rPr>
                <w:rFonts w:cstheme="minorHAnsi"/>
                <w:bCs/>
                <w:w w:val="105"/>
              </w:rPr>
              <w:t>$’000</w:t>
            </w:r>
          </w:p>
        </w:tc>
      </w:tr>
    </w:tbl>
    <w:p w:rsidR="008C167C" w:rsidRDefault="008C167C" w:rsidP="008C167C">
      <w:pPr>
        <w:pStyle w:val="NoSpacing"/>
      </w:pPr>
      <w:r>
        <w:t xml:space="preserve">Contractual financial instruments </w:t>
      </w:r>
    </w:p>
    <w:p w:rsidR="008C167C" w:rsidRDefault="008C167C" w:rsidP="008C167C">
      <w:pPr>
        <w:pStyle w:val="NoSpacing"/>
      </w:pPr>
    </w:p>
    <w:p w:rsidR="008C167C" w:rsidRDefault="008C167C" w:rsidP="008C167C">
      <w:pPr>
        <w:pStyle w:val="NoSpacing"/>
      </w:pPr>
      <w:r>
        <w:t>Receivables and cash</w:t>
      </w:r>
    </w:p>
    <w:tbl>
      <w:tblPr>
        <w:tblStyle w:val="TableGrid"/>
        <w:tblW w:w="0" w:type="auto"/>
        <w:tblLook w:val="04A0" w:firstRow="1" w:lastRow="0" w:firstColumn="1" w:lastColumn="0" w:noHBand="0" w:noVBand="1"/>
      </w:tblPr>
      <w:tblGrid>
        <w:gridCol w:w="8784"/>
        <w:gridCol w:w="1417"/>
        <w:gridCol w:w="1276"/>
        <w:gridCol w:w="1276"/>
        <w:gridCol w:w="1134"/>
      </w:tblGrid>
      <w:tr w:rsidR="008C167C" w:rsidTr="00A31F01">
        <w:tc>
          <w:tcPr>
            <w:tcW w:w="8784" w:type="dxa"/>
          </w:tcPr>
          <w:p w:rsidR="008C167C" w:rsidRDefault="008C167C" w:rsidP="00A31F01">
            <w:pPr>
              <w:pStyle w:val="NoSpacing"/>
            </w:pPr>
            <w:r>
              <w:t>Cash and deposits</w:t>
            </w:r>
          </w:p>
        </w:tc>
        <w:tc>
          <w:tcPr>
            <w:tcW w:w="1417" w:type="dxa"/>
          </w:tcPr>
          <w:p w:rsidR="008C167C" w:rsidRDefault="008C167C" w:rsidP="00A31F01">
            <w:pPr>
              <w:pStyle w:val="NoSpacing"/>
              <w:jc w:val="right"/>
            </w:pPr>
            <w:r>
              <w:t>46,437</w:t>
            </w:r>
          </w:p>
        </w:tc>
        <w:tc>
          <w:tcPr>
            <w:tcW w:w="1276" w:type="dxa"/>
          </w:tcPr>
          <w:p w:rsidR="008C167C" w:rsidRDefault="008C167C" w:rsidP="00A31F01">
            <w:pPr>
              <w:jc w:val="right"/>
            </w:pPr>
            <w:r>
              <w:t>57,161</w:t>
            </w:r>
          </w:p>
        </w:tc>
        <w:tc>
          <w:tcPr>
            <w:tcW w:w="1276" w:type="dxa"/>
          </w:tcPr>
          <w:p w:rsidR="008C167C" w:rsidRDefault="008C167C" w:rsidP="00A31F01">
            <w:pPr>
              <w:jc w:val="right"/>
            </w:pPr>
            <w:r>
              <w:t>45,691</w:t>
            </w:r>
          </w:p>
        </w:tc>
        <w:tc>
          <w:tcPr>
            <w:tcW w:w="1134" w:type="dxa"/>
          </w:tcPr>
          <w:p w:rsidR="008C167C" w:rsidRDefault="008C167C" w:rsidP="00A31F01">
            <w:pPr>
              <w:jc w:val="right"/>
            </w:pPr>
            <w:r>
              <w:t>56,285</w:t>
            </w:r>
          </w:p>
        </w:tc>
      </w:tr>
      <w:tr w:rsidR="008C167C" w:rsidTr="00A31F01">
        <w:tc>
          <w:tcPr>
            <w:tcW w:w="8784" w:type="dxa"/>
          </w:tcPr>
          <w:p w:rsidR="008C167C" w:rsidRDefault="008C167C" w:rsidP="00A31F01">
            <w:pPr>
              <w:pStyle w:val="NoSpacing"/>
            </w:pPr>
            <w:r>
              <w:t>Trade receivables</w:t>
            </w:r>
          </w:p>
        </w:tc>
        <w:tc>
          <w:tcPr>
            <w:tcW w:w="1417" w:type="dxa"/>
          </w:tcPr>
          <w:p w:rsidR="008C167C" w:rsidRDefault="008C167C" w:rsidP="00A31F01">
            <w:pPr>
              <w:jc w:val="right"/>
            </w:pPr>
            <w:r>
              <w:t>5,569</w:t>
            </w:r>
          </w:p>
        </w:tc>
        <w:tc>
          <w:tcPr>
            <w:tcW w:w="1276" w:type="dxa"/>
          </w:tcPr>
          <w:p w:rsidR="008C167C" w:rsidRDefault="008C167C" w:rsidP="00A31F01">
            <w:pPr>
              <w:jc w:val="right"/>
            </w:pPr>
            <w:r>
              <w:t>1,559</w:t>
            </w:r>
          </w:p>
        </w:tc>
        <w:tc>
          <w:tcPr>
            <w:tcW w:w="1276" w:type="dxa"/>
          </w:tcPr>
          <w:p w:rsidR="008C167C" w:rsidRDefault="008C167C" w:rsidP="00A31F01">
            <w:pPr>
              <w:jc w:val="right"/>
            </w:pPr>
            <w:r>
              <w:t>5,565</w:t>
            </w:r>
          </w:p>
        </w:tc>
        <w:tc>
          <w:tcPr>
            <w:tcW w:w="1134" w:type="dxa"/>
          </w:tcPr>
          <w:p w:rsidR="008C167C" w:rsidRDefault="008C167C" w:rsidP="00A31F01">
            <w:pPr>
              <w:jc w:val="right"/>
            </w:pPr>
            <w:r>
              <w:t>1,559</w:t>
            </w:r>
          </w:p>
        </w:tc>
      </w:tr>
      <w:tr w:rsidR="008C167C" w:rsidTr="00A31F01">
        <w:tc>
          <w:tcPr>
            <w:tcW w:w="8784" w:type="dxa"/>
          </w:tcPr>
          <w:p w:rsidR="008C167C" w:rsidRDefault="008C167C" w:rsidP="00A31F01">
            <w:pPr>
              <w:pStyle w:val="NoSpacing"/>
            </w:pPr>
            <w:r>
              <w:t>Revenue receivable</w:t>
            </w:r>
          </w:p>
        </w:tc>
        <w:tc>
          <w:tcPr>
            <w:tcW w:w="1417" w:type="dxa"/>
          </w:tcPr>
          <w:p w:rsidR="008C167C" w:rsidRPr="00FD3E39" w:rsidRDefault="008C167C" w:rsidP="00A31F01">
            <w:pPr>
              <w:jc w:val="right"/>
            </w:pPr>
            <w:r>
              <w:t>6,361</w:t>
            </w:r>
          </w:p>
        </w:tc>
        <w:tc>
          <w:tcPr>
            <w:tcW w:w="1276" w:type="dxa"/>
          </w:tcPr>
          <w:p w:rsidR="008C167C" w:rsidRPr="00FD3E39" w:rsidRDefault="008C167C" w:rsidP="00A31F01">
            <w:pPr>
              <w:jc w:val="right"/>
            </w:pPr>
            <w:r>
              <w:t>5,714</w:t>
            </w:r>
          </w:p>
        </w:tc>
        <w:tc>
          <w:tcPr>
            <w:tcW w:w="1276" w:type="dxa"/>
          </w:tcPr>
          <w:p w:rsidR="008C167C" w:rsidRPr="00FD3E39" w:rsidRDefault="008C167C" w:rsidP="00A31F01">
            <w:pPr>
              <w:jc w:val="right"/>
            </w:pPr>
            <w:r>
              <w:t>6,257</w:t>
            </w:r>
          </w:p>
        </w:tc>
        <w:tc>
          <w:tcPr>
            <w:tcW w:w="1134" w:type="dxa"/>
          </w:tcPr>
          <w:p w:rsidR="008C167C" w:rsidRPr="00FD3E39" w:rsidRDefault="008C167C" w:rsidP="00A31F01">
            <w:pPr>
              <w:jc w:val="right"/>
            </w:pPr>
            <w:r>
              <w:t>5,585</w:t>
            </w:r>
          </w:p>
        </w:tc>
      </w:tr>
      <w:tr w:rsidR="008C167C" w:rsidTr="00A31F01">
        <w:tc>
          <w:tcPr>
            <w:tcW w:w="8784" w:type="dxa"/>
          </w:tcPr>
          <w:p w:rsidR="008C167C" w:rsidRDefault="008C167C" w:rsidP="00A31F01">
            <w:pPr>
              <w:pStyle w:val="NoSpacing"/>
            </w:pPr>
            <w:r>
              <w:t>Other receivables</w:t>
            </w:r>
          </w:p>
        </w:tc>
        <w:tc>
          <w:tcPr>
            <w:tcW w:w="1417" w:type="dxa"/>
          </w:tcPr>
          <w:p w:rsidR="008C167C" w:rsidRPr="00FD3E39" w:rsidRDefault="008C167C" w:rsidP="00A31F01">
            <w:pPr>
              <w:jc w:val="right"/>
            </w:pPr>
            <w:r>
              <w:t>2,608</w:t>
            </w:r>
          </w:p>
        </w:tc>
        <w:tc>
          <w:tcPr>
            <w:tcW w:w="1276" w:type="dxa"/>
          </w:tcPr>
          <w:p w:rsidR="008C167C" w:rsidRPr="00FD3E39" w:rsidRDefault="008C167C" w:rsidP="00A31F01">
            <w:pPr>
              <w:jc w:val="right"/>
            </w:pPr>
            <w:r>
              <w:t>1,357</w:t>
            </w:r>
          </w:p>
        </w:tc>
        <w:tc>
          <w:tcPr>
            <w:tcW w:w="1276" w:type="dxa"/>
          </w:tcPr>
          <w:p w:rsidR="008C167C" w:rsidRPr="00FD3E39" w:rsidRDefault="008C167C" w:rsidP="00A31F01">
            <w:pPr>
              <w:jc w:val="right"/>
            </w:pPr>
            <w:r>
              <w:t>4,463</w:t>
            </w:r>
          </w:p>
        </w:tc>
        <w:tc>
          <w:tcPr>
            <w:tcW w:w="1134" w:type="dxa"/>
          </w:tcPr>
          <w:p w:rsidR="008C167C" w:rsidRPr="00FD3E39" w:rsidRDefault="008C167C" w:rsidP="00A31F01">
            <w:pPr>
              <w:jc w:val="right"/>
            </w:pPr>
            <w:r>
              <w:t>4,769</w:t>
            </w:r>
          </w:p>
        </w:tc>
      </w:tr>
      <w:tr w:rsidR="008C167C" w:rsidTr="00A31F01">
        <w:tc>
          <w:tcPr>
            <w:tcW w:w="8784" w:type="dxa"/>
          </w:tcPr>
          <w:p w:rsidR="008C167C" w:rsidRDefault="008C167C" w:rsidP="00A31F01">
            <w:pPr>
              <w:pStyle w:val="NoSpacing"/>
            </w:pPr>
            <w:r>
              <w:t xml:space="preserve">Term deposits </w:t>
            </w:r>
          </w:p>
        </w:tc>
        <w:tc>
          <w:tcPr>
            <w:tcW w:w="1417" w:type="dxa"/>
          </w:tcPr>
          <w:p w:rsidR="008C167C" w:rsidRPr="00FD3E39" w:rsidRDefault="008C167C" w:rsidP="00A31F01">
            <w:pPr>
              <w:jc w:val="right"/>
            </w:pPr>
            <w:r>
              <w:t>51,261</w:t>
            </w:r>
          </w:p>
        </w:tc>
        <w:tc>
          <w:tcPr>
            <w:tcW w:w="1276" w:type="dxa"/>
          </w:tcPr>
          <w:p w:rsidR="008C167C" w:rsidRPr="00FD3E39" w:rsidRDefault="008C167C" w:rsidP="00A31F01">
            <w:pPr>
              <w:jc w:val="right"/>
            </w:pPr>
            <w:r>
              <w:t>21,107</w:t>
            </w:r>
          </w:p>
        </w:tc>
        <w:tc>
          <w:tcPr>
            <w:tcW w:w="1276" w:type="dxa"/>
          </w:tcPr>
          <w:p w:rsidR="008C167C" w:rsidRPr="00FD3E39" w:rsidRDefault="008C167C" w:rsidP="00A31F01">
            <w:pPr>
              <w:jc w:val="right"/>
            </w:pPr>
            <w:r>
              <w:t>50,000</w:t>
            </w:r>
          </w:p>
        </w:tc>
        <w:tc>
          <w:tcPr>
            <w:tcW w:w="1134" w:type="dxa"/>
          </w:tcPr>
          <w:p w:rsidR="008C167C" w:rsidRPr="00FD3E39" w:rsidRDefault="008C167C" w:rsidP="00A31F01">
            <w:pPr>
              <w:jc w:val="right"/>
            </w:pPr>
            <w:r>
              <w:t>20,000</w:t>
            </w:r>
          </w:p>
        </w:tc>
      </w:tr>
    </w:tbl>
    <w:p w:rsidR="00014AE0" w:rsidRDefault="00014AE0" w:rsidP="002E022F">
      <w:pPr>
        <w:pStyle w:val="NoSpacing"/>
      </w:pPr>
    </w:p>
    <w:p w:rsidR="008C167C" w:rsidRDefault="008C167C" w:rsidP="002E022F">
      <w:pPr>
        <w:pStyle w:val="NoSpacing"/>
      </w:pPr>
      <w:r>
        <w:t xml:space="preserve">Investments at cost </w:t>
      </w:r>
    </w:p>
    <w:tbl>
      <w:tblPr>
        <w:tblStyle w:val="TableGrid"/>
        <w:tblW w:w="0" w:type="auto"/>
        <w:tblLook w:val="04A0" w:firstRow="1" w:lastRow="0" w:firstColumn="1" w:lastColumn="0" w:noHBand="0" w:noVBand="1"/>
      </w:tblPr>
      <w:tblGrid>
        <w:gridCol w:w="8784"/>
        <w:gridCol w:w="1417"/>
        <w:gridCol w:w="1276"/>
        <w:gridCol w:w="1276"/>
        <w:gridCol w:w="1134"/>
      </w:tblGrid>
      <w:tr w:rsidR="008C167C" w:rsidRPr="00FD3E39" w:rsidTr="00A31F01">
        <w:tc>
          <w:tcPr>
            <w:tcW w:w="8784" w:type="dxa"/>
          </w:tcPr>
          <w:p w:rsidR="008C167C" w:rsidRDefault="008C167C" w:rsidP="00A31F01">
            <w:pPr>
              <w:pStyle w:val="NoSpacing"/>
            </w:pPr>
            <w:r>
              <w:t>Investment in subsidiary</w:t>
            </w:r>
          </w:p>
        </w:tc>
        <w:tc>
          <w:tcPr>
            <w:tcW w:w="1417" w:type="dxa"/>
          </w:tcPr>
          <w:p w:rsidR="008C167C" w:rsidRPr="00FD3E39" w:rsidRDefault="008C167C" w:rsidP="00A31F01">
            <w:pPr>
              <w:jc w:val="right"/>
            </w:pPr>
            <w:r>
              <w:t>-</w:t>
            </w:r>
          </w:p>
        </w:tc>
        <w:tc>
          <w:tcPr>
            <w:tcW w:w="1276" w:type="dxa"/>
          </w:tcPr>
          <w:p w:rsidR="008C167C" w:rsidRPr="00FD3E39" w:rsidRDefault="008C167C" w:rsidP="00A31F01">
            <w:pPr>
              <w:jc w:val="right"/>
            </w:pPr>
            <w:r>
              <w:t>-</w:t>
            </w:r>
          </w:p>
        </w:tc>
        <w:tc>
          <w:tcPr>
            <w:tcW w:w="1276" w:type="dxa"/>
          </w:tcPr>
          <w:p w:rsidR="008C167C" w:rsidRPr="00FD3E39" w:rsidRDefault="008C167C" w:rsidP="00A31F01">
            <w:pPr>
              <w:jc w:val="right"/>
            </w:pPr>
            <w:r>
              <w:t>6,000</w:t>
            </w:r>
          </w:p>
        </w:tc>
        <w:tc>
          <w:tcPr>
            <w:tcW w:w="1134" w:type="dxa"/>
          </w:tcPr>
          <w:p w:rsidR="008C167C" w:rsidRPr="00FD3E39" w:rsidRDefault="008C167C" w:rsidP="00A31F01">
            <w:pPr>
              <w:jc w:val="right"/>
            </w:pPr>
            <w:r>
              <w:t>6,000</w:t>
            </w:r>
          </w:p>
        </w:tc>
      </w:tr>
      <w:tr w:rsidR="008C167C" w:rsidRPr="00FD3E39" w:rsidTr="00A31F01">
        <w:tc>
          <w:tcPr>
            <w:tcW w:w="8784" w:type="dxa"/>
          </w:tcPr>
          <w:p w:rsidR="008C167C" w:rsidRDefault="008C167C" w:rsidP="00A31F01">
            <w:pPr>
              <w:pStyle w:val="NoSpacing"/>
            </w:pPr>
            <w:r>
              <w:t>Total contractual financial assets</w:t>
            </w:r>
          </w:p>
        </w:tc>
        <w:tc>
          <w:tcPr>
            <w:tcW w:w="1417" w:type="dxa"/>
          </w:tcPr>
          <w:p w:rsidR="008C167C" w:rsidRPr="00FD3E39" w:rsidRDefault="008C167C" w:rsidP="00A31F01">
            <w:pPr>
              <w:jc w:val="right"/>
            </w:pPr>
            <w:r>
              <w:t>112,236</w:t>
            </w:r>
          </w:p>
        </w:tc>
        <w:tc>
          <w:tcPr>
            <w:tcW w:w="1276" w:type="dxa"/>
          </w:tcPr>
          <w:p w:rsidR="008C167C" w:rsidRPr="00FD3E39" w:rsidRDefault="008C167C" w:rsidP="00A31F01">
            <w:pPr>
              <w:jc w:val="right"/>
            </w:pPr>
            <w:r>
              <w:t>86,898</w:t>
            </w:r>
          </w:p>
        </w:tc>
        <w:tc>
          <w:tcPr>
            <w:tcW w:w="1276" w:type="dxa"/>
          </w:tcPr>
          <w:p w:rsidR="008C167C" w:rsidRPr="00FD3E39" w:rsidRDefault="008C167C" w:rsidP="00A31F01">
            <w:pPr>
              <w:jc w:val="right"/>
            </w:pPr>
            <w:r>
              <w:t>117,976</w:t>
            </w:r>
          </w:p>
        </w:tc>
        <w:tc>
          <w:tcPr>
            <w:tcW w:w="1134" w:type="dxa"/>
          </w:tcPr>
          <w:p w:rsidR="008C167C" w:rsidRPr="00FD3E39" w:rsidRDefault="008C167C" w:rsidP="00A31F01">
            <w:pPr>
              <w:jc w:val="right"/>
            </w:pPr>
            <w:r>
              <w:t>94,198</w:t>
            </w:r>
          </w:p>
        </w:tc>
      </w:tr>
    </w:tbl>
    <w:p w:rsidR="00014AE0" w:rsidRDefault="00014AE0" w:rsidP="002E022F">
      <w:pPr>
        <w:pStyle w:val="NoSpacing"/>
      </w:pPr>
    </w:p>
    <w:p w:rsidR="002E022F" w:rsidRDefault="008C167C" w:rsidP="002E022F">
      <w:pPr>
        <w:pStyle w:val="NoSpacing"/>
      </w:pPr>
      <w:r>
        <w:t xml:space="preserve">Contractual financial liabilities </w:t>
      </w:r>
    </w:p>
    <w:p w:rsidR="008C167C" w:rsidRDefault="008C167C" w:rsidP="002E022F">
      <w:pPr>
        <w:pStyle w:val="NoSpacing"/>
      </w:pPr>
    </w:p>
    <w:p w:rsidR="008C167C" w:rsidRDefault="008C167C" w:rsidP="002E022F">
      <w:pPr>
        <w:pStyle w:val="NoSpacing"/>
      </w:pPr>
      <w:r>
        <w:t xml:space="preserve">Loans and payables </w:t>
      </w:r>
    </w:p>
    <w:tbl>
      <w:tblPr>
        <w:tblStyle w:val="TableGrid"/>
        <w:tblW w:w="0" w:type="auto"/>
        <w:tblLook w:val="04A0" w:firstRow="1" w:lastRow="0" w:firstColumn="1" w:lastColumn="0" w:noHBand="0" w:noVBand="1"/>
      </w:tblPr>
      <w:tblGrid>
        <w:gridCol w:w="8784"/>
        <w:gridCol w:w="1417"/>
        <w:gridCol w:w="1276"/>
        <w:gridCol w:w="1276"/>
        <w:gridCol w:w="1134"/>
      </w:tblGrid>
      <w:tr w:rsidR="008C167C" w:rsidRPr="00FD3E39" w:rsidTr="00A31F01">
        <w:tc>
          <w:tcPr>
            <w:tcW w:w="8784" w:type="dxa"/>
          </w:tcPr>
          <w:p w:rsidR="008C167C" w:rsidRDefault="008C167C" w:rsidP="00A31F01">
            <w:pPr>
              <w:pStyle w:val="NoSpacing"/>
            </w:pPr>
            <w:r>
              <w:t>Supplies and services</w:t>
            </w:r>
          </w:p>
        </w:tc>
        <w:tc>
          <w:tcPr>
            <w:tcW w:w="1417" w:type="dxa"/>
          </w:tcPr>
          <w:p w:rsidR="008C167C" w:rsidRPr="00FD3E39" w:rsidRDefault="008C167C" w:rsidP="00A31F01">
            <w:pPr>
              <w:jc w:val="right"/>
            </w:pPr>
            <w:r>
              <w:t>8,075</w:t>
            </w:r>
          </w:p>
        </w:tc>
        <w:tc>
          <w:tcPr>
            <w:tcW w:w="1276" w:type="dxa"/>
          </w:tcPr>
          <w:p w:rsidR="008C167C" w:rsidRPr="00FD3E39" w:rsidRDefault="008C167C" w:rsidP="00A31F01">
            <w:pPr>
              <w:jc w:val="right"/>
            </w:pPr>
            <w:r>
              <w:t>6,438</w:t>
            </w:r>
          </w:p>
        </w:tc>
        <w:tc>
          <w:tcPr>
            <w:tcW w:w="1276" w:type="dxa"/>
          </w:tcPr>
          <w:p w:rsidR="008C167C" w:rsidRPr="00FD3E39" w:rsidRDefault="008C167C" w:rsidP="00A31F01">
            <w:pPr>
              <w:jc w:val="right"/>
            </w:pPr>
            <w:r>
              <w:t>8,211</w:t>
            </w:r>
          </w:p>
        </w:tc>
        <w:tc>
          <w:tcPr>
            <w:tcW w:w="1134" w:type="dxa"/>
          </w:tcPr>
          <w:p w:rsidR="008C167C" w:rsidRPr="00FD3E39" w:rsidRDefault="008C167C" w:rsidP="00A31F01">
            <w:pPr>
              <w:jc w:val="right"/>
            </w:pPr>
            <w:r>
              <w:t>6,478</w:t>
            </w:r>
          </w:p>
        </w:tc>
      </w:tr>
    </w:tbl>
    <w:p w:rsidR="008C167C" w:rsidRDefault="008C167C" w:rsidP="002E022F">
      <w:pPr>
        <w:pStyle w:val="NoSpacing"/>
      </w:pPr>
      <w:r>
        <w:t xml:space="preserve">At amortised cost </w:t>
      </w:r>
    </w:p>
    <w:tbl>
      <w:tblPr>
        <w:tblStyle w:val="TableGrid"/>
        <w:tblW w:w="0" w:type="auto"/>
        <w:tblLook w:val="04A0" w:firstRow="1" w:lastRow="0" w:firstColumn="1" w:lastColumn="0" w:noHBand="0" w:noVBand="1"/>
      </w:tblPr>
      <w:tblGrid>
        <w:gridCol w:w="8784"/>
        <w:gridCol w:w="1417"/>
        <w:gridCol w:w="1276"/>
        <w:gridCol w:w="1276"/>
        <w:gridCol w:w="1134"/>
      </w:tblGrid>
      <w:tr w:rsidR="008C167C" w:rsidRPr="00FD3E39" w:rsidTr="00A31F01">
        <w:tc>
          <w:tcPr>
            <w:tcW w:w="8784" w:type="dxa"/>
          </w:tcPr>
          <w:p w:rsidR="008C167C" w:rsidRDefault="008C167C" w:rsidP="00A31F01">
            <w:pPr>
              <w:pStyle w:val="NoSpacing"/>
            </w:pPr>
            <w:r>
              <w:t xml:space="preserve">Advances from Government </w:t>
            </w:r>
          </w:p>
        </w:tc>
        <w:tc>
          <w:tcPr>
            <w:tcW w:w="1417" w:type="dxa"/>
          </w:tcPr>
          <w:p w:rsidR="008C167C" w:rsidRPr="00FD3E39" w:rsidRDefault="008C167C" w:rsidP="00A31F01">
            <w:pPr>
              <w:jc w:val="right"/>
            </w:pPr>
            <w:r>
              <w:t>1,630</w:t>
            </w:r>
          </w:p>
        </w:tc>
        <w:tc>
          <w:tcPr>
            <w:tcW w:w="1276" w:type="dxa"/>
          </w:tcPr>
          <w:p w:rsidR="008C167C" w:rsidRPr="00FD3E39" w:rsidRDefault="008C167C" w:rsidP="00A31F01">
            <w:pPr>
              <w:jc w:val="right"/>
            </w:pPr>
            <w:r>
              <w:t>1,926</w:t>
            </w:r>
          </w:p>
        </w:tc>
        <w:tc>
          <w:tcPr>
            <w:tcW w:w="1276" w:type="dxa"/>
          </w:tcPr>
          <w:p w:rsidR="008C167C" w:rsidRPr="00FD3E39" w:rsidRDefault="008C167C" w:rsidP="00A31F01">
            <w:pPr>
              <w:jc w:val="right"/>
            </w:pPr>
            <w:r>
              <w:t>1,630</w:t>
            </w:r>
          </w:p>
        </w:tc>
        <w:tc>
          <w:tcPr>
            <w:tcW w:w="1134" w:type="dxa"/>
          </w:tcPr>
          <w:p w:rsidR="008C167C" w:rsidRPr="00FD3E39" w:rsidRDefault="008C167C" w:rsidP="00A31F01">
            <w:pPr>
              <w:jc w:val="right"/>
            </w:pPr>
            <w:r>
              <w:t>1,926</w:t>
            </w:r>
          </w:p>
        </w:tc>
      </w:tr>
      <w:tr w:rsidR="008C167C" w:rsidRPr="00FD3E39" w:rsidTr="00A31F01">
        <w:tc>
          <w:tcPr>
            <w:tcW w:w="8784" w:type="dxa"/>
          </w:tcPr>
          <w:p w:rsidR="008C167C" w:rsidRDefault="008C167C" w:rsidP="00A31F01">
            <w:pPr>
              <w:pStyle w:val="NoSpacing"/>
            </w:pPr>
            <w:r>
              <w:t xml:space="preserve">Total contractual financial liabilities </w:t>
            </w:r>
          </w:p>
        </w:tc>
        <w:tc>
          <w:tcPr>
            <w:tcW w:w="1417" w:type="dxa"/>
          </w:tcPr>
          <w:p w:rsidR="008C167C" w:rsidRPr="00FD3E39" w:rsidRDefault="008C167C" w:rsidP="00A31F01">
            <w:pPr>
              <w:jc w:val="right"/>
            </w:pPr>
            <w:r>
              <w:t>9,705</w:t>
            </w:r>
          </w:p>
        </w:tc>
        <w:tc>
          <w:tcPr>
            <w:tcW w:w="1276" w:type="dxa"/>
          </w:tcPr>
          <w:p w:rsidR="008C167C" w:rsidRPr="00FD3E39" w:rsidRDefault="008C167C" w:rsidP="00A31F01">
            <w:pPr>
              <w:jc w:val="right"/>
            </w:pPr>
            <w:r>
              <w:t>8,364</w:t>
            </w:r>
          </w:p>
        </w:tc>
        <w:tc>
          <w:tcPr>
            <w:tcW w:w="1276" w:type="dxa"/>
          </w:tcPr>
          <w:p w:rsidR="008C167C" w:rsidRPr="00FD3E39" w:rsidRDefault="008C167C" w:rsidP="00A31F01">
            <w:pPr>
              <w:jc w:val="right"/>
            </w:pPr>
            <w:r>
              <w:t>9,841</w:t>
            </w:r>
          </w:p>
        </w:tc>
        <w:tc>
          <w:tcPr>
            <w:tcW w:w="1134" w:type="dxa"/>
          </w:tcPr>
          <w:p w:rsidR="008C167C" w:rsidRPr="00FD3E39" w:rsidRDefault="008C167C" w:rsidP="00A31F01">
            <w:pPr>
              <w:jc w:val="right"/>
            </w:pPr>
            <w:r>
              <w:t>8,404</w:t>
            </w:r>
          </w:p>
        </w:tc>
      </w:tr>
    </w:tbl>
    <w:p w:rsidR="008421BC" w:rsidRDefault="008421BC" w:rsidP="00F809E3">
      <w:pPr>
        <w:pStyle w:val="NoSpacing"/>
        <w:rPr>
          <w:rFonts w:cstheme="minorHAnsi"/>
        </w:rPr>
      </w:pPr>
    </w:p>
    <w:p w:rsidR="00345886" w:rsidRDefault="00345886" w:rsidP="00F809E3">
      <w:pPr>
        <w:pStyle w:val="NoSpacing"/>
        <w:rPr>
          <w:rFonts w:cstheme="minorHAnsi"/>
        </w:rPr>
        <w:sectPr w:rsidR="00345886" w:rsidSect="00345886">
          <w:pgSz w:w="16838" w:h="11906" w:orient="landscape"/>
          <w:pgMar w:top="1440" w:right="1440" w:bottom="1440" w:left="1440" w:header="709" w:footer="709" w:gutter="0"/>
          <w:cols w:space="708"/>
          <w:docGrid w:linePitch="360"/>
        </w:sectPr>
      </w:pPr>
    </w:p>
    <w:p w:rsidR="00CA7020" w:rsidRDefault="00CA7020" w:rsidP="00CA7020">
      <w:pPr>
        <w:pStyle w:val="NoSpacing"/>
      </w:pPr>
    </w:p>
    <w:p w:rsidR="00CA7020" w:rsidRPr="00CA7020" w:rsidRDefault="00CA7020" w:rsidP="00CA7020">
      <w:pPr>
        <w:pStyle w:val="NoSpacing"/>
        <w:rPr>
          <w:rFonts w:cstheme="minorHAnsi"/>
        </w:rPr>
      </w:pPr>
      <w:r w:rsidRPr="00CA7020">
        <w:rPr>
          <w:rFonts w:cstheme="minorHAnsi"/>
        </w:rPr>
        <w:t>Categories of financial instruments</w:t>
      </w:r>
    </w:p>
    <w:p w:rsidR="005E5585" w:rsidRDefault="005E5585" w:rsidP="00CA7020">
      <w:pPr>
        <w:pStyle w:val="NoSpacing"/>
        <w:rPr>
          <w:rFonts w:cstheme="minorHAnsi"/>
        </w:rPr>
      </w:pPr>
    </w:p>
    <w:p w:rsidR="00CA7020" w:rsidRPr="00CA7020" w:rsidRDefault="00CA7020" w:rsidP="00CA7020">
      <w:pPr>
        <w:pStyle w:val="NoSpacing"/>
        <w:rPr>
          <w:rFonts w:cstheme="minorHAnsi"/>
        </w:rPr>
      </w:pPr>
      <w:r w:rsidRPr="00CA7020">
        <w:rPr>
          <w:rFonts w:cstheme="minorHAnsi"/>
        </w:rPr>
        <w:t>Receivables and cash are financial instrument assets with fixed and determinable pay</w:t>
      </w:r>
      <w:r>
        <w:rPr>
          <w:rFonts w:cstheme="minorHAnsi"/>
        </w:rPr>
        <w:t xml:space="preserve">ments that are not quoted on an </w:t>
      </w:r>
      <w:r w:rsidRPr="00CA7020">
        <w:rPr>
          <w:rFonts w:cstheme="minorHAnsi"/>
        </w:rPr>
        <w:t>active market. These assets and liabilities are initially recognised at fair value plus any di</w:t>
      </w:r>
      <w:r>
        <w:rPr>
          <w:rFonts w:cstheme="minorHAnsi"/>
        </w:rPr>
        <w:t xml:space="preserve">rectly attributable transaction </w:t>
      </w:r>
      <w:r w:rsidRPr="00CA7020">
        <w:rPr>
          <w:rFonts w:cstheme="minorHAnsi"/>
        </w:rPr>
        <w:t>costs. Subsequent to initial measurement, receivables are measured at amortised cost usin</w:t>
      </w:r>
      <w:r>
        <w:rPr>
          <w:rFonts w:cstheme="minorHAnsi"/>
        </w:rPr>
        <w:t xml:space="preserve">g the effective interest method </w:t>
      </w:r>
      <w:r w:rsidRPr="00CA7020">
        <w:rPr>
          <w:rFonts w:cstheme="minorHAnsi"/>
        </w:rPr>
        <w:t>(and for assets, less any impairment). Chisholm recognises the following assets in this category:</w:t>
      </w:r>
    </w:p>
    <w:p w:rsidR="00CA7020" w:rsidRPr="00CA7020" w:rsidRDefault="00CA7020" w:rsidP="00CA7020">
      <w:pPr>
        <w:pStyle w:val="NoSpacing"/>
        <w:rPr>
          <w:rFonts w:cstheme="minorHAnsi"/>
        </w:rPr>
      </w:pPr>
      <w:r w:rsidRPr="00CA7020">
        <w:rPr>
          <w:rFonts w:cstheme="minorHAnsi"/>
        </w:rPr>
        <w:t xml:space="preserve">• </w:t>
      </w:r>
      <w:r w:rsidR="001B7F5C" w:rsidRPr="00CA7020">
        <w:rPr>
          <w:rFonts w:cstheme="minorHAnsi"/>
        </w:rPr>
        <w:t>Cash</w:t>
      </w:r>
      <w:r w:rsidRPr="00CA7020">
        <w:rPr>
          <w:rFonts w:cstheme="minorHAnsi"/>
        </w:rPr>
        <w:t xml:space="preserve"> and deposits</w:t>
      </w:r>
    </w:p>
    <w:p w:rsidR="00CA7020" w:rsidRPr="00CA7020" w:rsidRDefault="00CA7020" w:rsidP="00CA7020">
      <w:pPr>
        <w:pStyle w:val="NoSpacing"/>
        <w:rPr>
          <w:rFonts w:cstheme="minorHAnsi"/>
        </w:rPr>
      </w:pPr>
      <w:r w:rsidRPr="00CA7020">
        <w:rPr>
          <w:rFonts w:cstheme="minorHAnsi"/>
        </w:rPr>
        <w:t xml:space="preserve">• </w:t>
      </w:r>
      <w:r w:rsidR="001B7F5C" w:rsidRPr="00CA7020">
        <w:rPr>
          <w:rFonts w:cstheme="minorHAnsi"/>
        </w:rPr>
        <w:t>Receivables</w:t>
      </w:r>
      <w:r w:rsidRPr="00CA7020">
        <w:rPr>
          <w:rFonts w:cstheme="minorHAnsi"/>
        </w:rPr>
        <w:t xml:space="preserve"> (excluding statutory receivables); and</w:t>
      </w:r>
    </w:p>
    <w:p w:rsidR="00CA7020" w:rsidRPr="00CA7020" w:rsidRDefault="00CA7020" w:rsidP="00CA7020">
      <w:pPr>
        <w:pStyle w:val="NoSpacing"/>
        <w:rPr>
          <w:rFonts w:cstheme="minorHAnsi"/>
        </w:rPr>
      </w:pPr>
      <w:r w:rsidRPr="00CA7020">
        <w:rPr>
          <w:rFonts w:cstheme="minorHAnsi"/>
        </w:rPr>
        <w:t xml:space="preserve">• </w:t>
      </w:r>
      <w:r w:rsidR="001B7F5C" w:rsidRPr="00CA7020">
        <w:rPr>
          <w:rFonts w:cstheme="minorHAnsi"/>
        </w:rPr>
        <w:t>Term</w:t>
      </w:r>
      <w:r w:rsidRPr="00CA7020">
        <w:rPr>
          <w:rFonts w:cstheme="minorHAnsi"/>
        </w:rPr>
        <w:t xml:space="preserve"> deposits.</w:t>
      </w:r>
    </w:p>
    <w:p w:rsidR="001B7F5C" w:rsidRDefault="001B7F5C" w:rsidP="00CA7020">
      <w:pPr>
        <w:pStyle w:val="NoSpacing"/>
        <w:rPr>
          <w:rFonts w:cstheme="minorHAnsi"/>
        </w:rPr>
      </w:pPr>
    </w:p>
    <w:p w:rsidR="00CA7020" w:rsidRDefault="00CA7020" w:rsidP="00CA7020">
      <w:pPr>
        <w:pStyle w:val="NoSpacing"/>
        <w:rPr>
          <w:rFonts w:cstheme="minorHAnsi"/>
        </w:rPr>
      </w:pPr>
      <w:r w:rsidRPr="00CA7020">
        <w:rPr>
          <w:rFonts w:cstheme="minorHAnsi"/>
        </w:rPr>
        <w:t>Held to maturity financial assets: If Chisholm has the positive intent and ability to hold nom</w:t>
      </w:r>
      <w:r>
        <w:rPr>
          <w:rFonts w:cstheme="minorHAnsi"/>
        </w:rPr>
        <w:t xml:space="preserve">inated investments to maturity, </w:t>
      </w:r>
      <w:r w:rsidRPr="00CA7020">
        <w:rPr>
          <w:rFonts w:cstheme="minorHAnsi"/>
        </w:rPr>
        <w:t>then such financial assets may be classified as held to maturity. These are recognised initially at fair value plus any</w:t>
      </w:r>
      <w:r>
        <w:rPr>
          <w:rFonts w:cstheme="minorHAnsi"/>
        </w:rPr>
        <w:t xml:space="preserve"> directly </w:t>
      </w:r>
      <w:r w:rsidRPr="00CA7020">
        <w:rPr>
          <w:rFonts w:cstheme="minorHAnsi"/>
        </w:rPr>
        <w:t>attributable transaction costs. Subsequent to initial recognition, held to maturity financial a</w:t>
      </w:r>
      <w:r>
        <w:rPr>
          <w:rFonts w:cstheme="minorHAnsi"/>
        </w:rPr>
        <w:t xml:space="preserve">ssets are measured at amortised </w:t>
      </w:r>
      <w:r w:rsidRPr="00CA7020">
        <w:rPr>
          <w:rFonts w:cstheme="minorHAnsi"/>
        </w:rPr>
        <w:t>cost using the effective interest method, less any impairment losses. Chisholm makes limited use of this classification</w:t>
      </w:r>
      <w:r>
        <w:rPr>
          <w:rFonts w:cstheme="minorHAnsi"/>
        </w:rPr>
        <w:t xml:space="preserve"> </w:t>
      </w:r>
      <w:r w:rsidRPr="00CA7020">
        <w:rPr>
          <w:rFonts w:cstheme="minorHAnsi"/>
        </w:rPr>
        <w:t>because any sale or reclassification of more than an insignificant amount of held to maturity</w:t>
      </w:r>
      <w:r>
        <w:rPr>
          <w:rFonts w:cstheme="minorHAnsi"/>
        </w:rPr>
        <w:t xml:space="preserve"> investments not close to their </w:t>
      </w:r>
      <w:r w:rsidRPr="00CA7020">
        <w:rPr>
          <w:rFonts w:cstheme="minorHAnsi"/>
        </w:rPr>
        <w:t>maturity, would result in the whole category being reclassified as available-for-sale. The hel</w:t>
      </w:r>
      <w:r>
        <w:rPr>
          <w:rFonts w:cstheme="minorHAnsi"/>
        </w:rPr>
        <w:t xml:space="preserve">d to maturity category includes </w:t>
      </w:r>
      <w:r w:rsidRPr="00CA7020">
        <w:rPr>
          <w:rFonts w:cstheme="minorHAnsi"/>
        </w:rPr>
        <w:t>certain term deposits and debt securities for which Chisholm intends to hold to maturity.</w:t>
      </w:r>
    </w:p>
    <w:p w:rsidR="00CA7020" w:rsidRDefault="00CA7020" w:rsidP="00CA7020">
      <w:pPr>
        <w:pStyle w:val="NoSpacing"/>
        <w:rPr>
          <w:rFonts w:cstheme="minorHAnsi"/>
        </w:rPr>
      </w:pPr>
    </w:p>
    <w:p w:rsidR="00CA7020" w:rsidRDefault="00CA7020" w:rsidP="00CA7020">
      <w:pPr>
        <w:pStyle w:val="NoSpacing"/>
        <w:rPr>
          <w:rFonts w:cstheme="minorHAnsi"/>
        </w:rPr>
      </w:pPr>
      <w:r>
        <w:rPr>
          <w:rFonts w:cstheme="minorHAnsi"/>
        </w:rPr>
        <w:t>&lt;pp&gt;70</w:t>
      </w:r>
    </w:p>
    <w:p w:rsidR="00CA7020" w:rsidRDefault="00CA7020" w:rsidP="00CA7020">
      <w:pPr>
        <w:pStyle w:val="NoSpacing"/>
        <w:rPr>
          <w:rFonts w:cstheme="minorHAnsi"/>
        </w:rPr>
      </w:pPr>
    </w:p>
    <w:p w:rsidR="00CA7020" w:rsidRPr="00CA7020" w:rsidRDefault="00CA7020" w:rsidP="00D36BB2">
      <w:pPr>
        <w:pStyle w:val="Heading3"/>
      </w:pPr>
      <w:r w:rsidRPr="00CA7020">
        <w:t xml:space="preserve">7. </w:t>
      </w:r>
      <w:proofErr w:type="gramStart"/>
      <w:r w:rsidRPr="00CA7020">
        <w:t>managing</w:t>
      </w:r>
      <w:proofErr w:type="gramEnd"/>
      <w:r w:rsidRPr="00CA7020">
        <w:t xml:space="preserve"> risks and uncertainties</w:t>
      </w:r>
      <w:r>
        <w:t xml:space="preserve"> (continued)</w:t>
      </w:r>
    </w:p>
    <w:p w:rsidR="00CA7020" w:rsidRPr="00CA7020" w:rsidRDefault="00CA7020" w:rsidP="00CA7020">
      <w:pPr>
        <w:pStyle w:val="NoSpacing"/>
        <w:rPr>
          <w:rFonts w:cstheme="minorHAnsi"/>
        </w:rPr>
      </w:pPr>
    </w:p>
    <w:p w:rsidR="00A450BC" w:rsidRDefault="00CA7020" w:rsidP="00D36BB2">
      <w:pPr>
        <w:pStyle w:val="Heading4"/>
      </w:pPr>
      <w:r>
        <w:t>7.1 Financial instruments (continued)</w:t>
      </w:r>
    </w:p>
    <w:p w:rsidR="00CA7020" w:rsidRDefault="00CA7020" w:rsidP="00A450BC">
      <w:pPr>
        <w:pStyle w:val="NoSpacing"/>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Financial li</w:t>
      </w:r>
      <w:r>
        <w:rPr>
          <w:rFonts w:cstheme="minorHAnsi"/>
        </w:rPr>
        <w:t xml:space="preserve">abilities at amortised cost are </w:t>
      </w:r>
      <w:r w:rsidRPr="00CA7020">
        <w:rPr>
          <w:rFonts w:cstheme="minorHAnsi"/>
        </w:rPr>
        <w:t xml:space="preserve">initially </w:t>
      </w:r>
      <w:r>
        <w:rPr>
          <w:rFonts w:cstheme="minorHAnsi"/>
        </w:rPr>
        <w:t xml:space="preserve">recognised on the date they are </w:t>
      </w:r>
      <w:r w:rsidRPr="00CA7020">
        <w:rPr>
          <w:rFonts w:cstheme="minorHAnsi"/>
        </w:rPr>
        <w:t>originat</w:t>
      </w:r>
      <w:r>
        <w:rPr>
          <w:rFonts w:cstheme="minorHAnsi"/>
        </w:rPr>
        <w:t xml:space="preserve">ed. They are initially measured </w:t>
      </w:r>
      <w:r w:rsidRPr="00CA7020">
        <w:rPr>
          <w:rFonts w:cstheme="minorHAnsi"/>
        </w:rPr>
        <w:t>at fair value plus any directly attr</w:t>
      </w:r>
      <w:r>
        <w:rPr>
          <w:rFonts w:cstheme="minorHAnsi"/>
        </w:rPr>
        <w:t xml:space="preserve">ibutable </w:t>
      </w:r>
      <w:r w:rsidRPr="00CA7020">
        <w:rPr>
          <w:rFonts w:cstheme="minorHAnsi"/>
        </w:rPr>
        <w:t>transacti</w:t>
      </w:r>
      <w:r>
        <w:rPr>
          <w:rFonts w:cstheme="minorHAnsi"/>
        </w:rPr>
        <w:t xml:space="preserve">on costs. Subsequent to initial </w:t>
      </w:r>
      <w:r w:rsidRPr="00CA7020">
        <w:rPr>
          <w:rFonts w:cstheme="minorHAnsi"/>
        </w:rPr>
        <w:t>recogniti</w:t>
      </w:r>
      <w:r>
        <w:rPr>
          <w:rFonts w:cstheme="minorHAnsi"/>
        </w:rPr>
        <w:t xml:space="preserve">on, these financial instruments </w:t>
      </w:r>
      <w:r w:rsidRPr="00CA7020">
        <w:rPr>
          <w:rFonts w:cstheme="minorHAnsi"/>
        </w:rPr>
        <w:t>are meas</w:t>
      </w:r>
      <w:r>
        <w:rPr>
          <w:rFonts w:cstheme="minorHAnsi"/>
        </w:rPr>
        <w:t xml:space="preserve">ured at amortised cost with any </w:t>
      </w:r>
      <w:r w:rsidRPr="00CA7020">
        <w:rPr>
          <w:rFonts w:cstheme="minorHAnsi"/>
        </w:rPr>
        <w:t>difference</w:t>
      </w:r>
      <w:r>
        <w:rPr>
          <w:rFonts w:cstheme="minorHAnsi"/>
        </w:rPr>
        <w:t xml:space="preserve"> between the initial recognised </w:t>
      </w:r>
      <w:r w:rsidRPr="00CA7020">
        <w:rPr>
          <w:rFonts w:cstheme="minorHAnsi"/>
        </w:rPr>
        <w:t>amount</w:t>
      </w:r>
      <w:r>
        <w:rPr>
          <w:rFonts w:cstheme="minorHAnsi"/>
        </w:rPr>
        <w:t xml:space="preserve"> and the redemption value being </w:t>
      </w:r>
      <w:r w:rsidRPr="00CA7020">
        <w:rPr>
          <w:rFonts w:cstheme="minorHAnsi"/>
        </w:rPr>
        <w:t>recogni</w:t>
      </w:r>
      <w:r>
        <w:rPr>
          <w:rFonts w:cstheme="minorHAnsi"/>
        </w:rPr>
        <w:t xml:space="preserve">sed in profit and loss over the </w:t>
      </w:r>
      <w:r w:rsidRPr="00CA7020">
        <w:rPr>
          <w:rFonts w:cstheme="minorHAnsi"/>
        </w:rPr>
        <w:t xml:space="preserve">period of </w:t>
      </w:r>
      <w:r>
        <w:rPr>
          <w:rFonts w:cstheme="minorHAnsi"/>
        </w:rPr>
        <w:t xml:space="preserve">the interest bearing liability, </w:t>
      </w:r>
      <w:r w:rsidRPr="00CA7020">
        <w:rPr>
          <w:rFonts w:cstheme="minorHAnsi"/>
        </w:rPr>
        <w:t>using the effective interest rate method.</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Ch</w:t>
      </w:r>
      <w:r>
        <w:rPr>
          <w:rFonts w:cstheme="minorHAnsi"/>
        </w:rPr>
        <w:t xml:space="preserve">isholm recognises the following </w:t>
      </w:r>
      <w:r w:rsidRPr="00CA7020">
        <w:rPr>
          <w:rFonts w:cstheme="minorHAnsi"/>
        </w:rPr>
        <w:t>liabilities in this category:</w:t>
      </w:r>
    </w:p>
    <w:p w:rsidR="00CA7020" w:rsidRPr="00CA7020" w:rsidRDefault="00CA7020" w:rsidP="00CA7020">
      <w:pPr>
        <w:autoSpaceDE w:val="0"/>
        <w:autoSpaceDN w:val="0"/>
        <w:adjustRightInd w:val="0"/>
        <w:spacing w:after="0" w:line="240" w:lineRule="auto"/>
        <w:rPr>
          <w:rFonts w:cstheme="minorHAnsi"/>
        </w:rPr>
      </w:pPr>
      <w:r>
        <w:rPr>
          <w:rFonts w:cstheme="minorHAnsi"/>
        </w:rPr>
        <w:t xml:space="preserve">• </w:t>
      </w:r>
      <w:r w:rsidR="00AE559A">
        <w:rPr>
          <w:rFonts w:cstheme="minorHAnsi"/>
        </w:rPr>
        <w:t>Payables</w:t>
      </w:r>
      <w:r>
        <w:rPr>
          <w:rFonts w:cstheme="minorHAnsi"/>
        </w:rPr>
        <w:t xml:space="preserve"> (excluding statutory </w:t>
      </w:r>
      <w:r w:rsidRPr="00CA7020">
        <w:rPr>
          <w:rFonts w:cstheme="minorHAnsi"/>
        </w:rPr>
        <w:t>payables); and</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 xml:space="preserve">• </w:t>
      </w:r>
      <w:r w:rsidR="00AE559A" w:rsidRPr="00CA7020">
        <w:rPr>
          <w:rFonts w:cstheme="minorHAnsi"/>
        </w:rPr>
        <w:t>Borrowings</w:t>
      </w:r>
      <w:r>
        <w:rPr>
          <w:rFonts w:cstheme="minorHAnsi"/>
        </w:rPr>
        <w:t xml:space="preserve"> (including finance lease </w:t>
      </w:r>
      <w:r w:rsidRPr="00CA7020">
        <w:rPr>
          <w:rFonts w:cstheme="minorHAnsi"/>
        </w:rPr>
        <w:t>liabilities).</w:t>
      </w:r>
    </w:p>
    <w:p w:rsidR="00CA7020" w:rsidRDefault="00CA7020" w:rsidP="00CA7020">
      <w:pPr>
        <w:autoSpaceDE w:val="0"/>
        <w:autoSpaceDN w:val="0"/>
        <w:adjustRightInd w:val="0"/>
        <w:spacing w:after="0" w:line="240" w:lineRule="auto"/>
        <w:rPr>
          <w:rFonts w:cstheme="minorHAnsi"/>
        </w:rPr>
      </w:pPr>
    </w:p>
    <w:p w:rsidR="00CA7020" w:rsidRPr="00CA7020" w:rsidRDefault="00CA7020" w:rsidP="00D36BB2">
      <w:pPr>
        <w:pStyle w:val="Heading4"/>
      </w:pPr>
      <w:r w:rsidRPr="00CA7020">
        <w:t>Offsetting financial instruments</w:t>
      </w:r>
    </w:p>
    <w:p w:rsidR="00562C13" w:rsidRDefault="00562C13" w:rsidP="00CA7020">
      <w:pPr>
        <w:autoSpaceDE w:val="0"/>
        <w:autoSpaceDN w:val="0"/>
        <w:adjustRightInd w:val="0"/>
        <w:spacing w:after="0" w:line="240" w:lineRule="auto"/>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Financial in</w:t>
      </w:r>
      <w:r>
        <w:rPr>
          <w:rFonts w:cstheme="minorHAnsi"/>
        </w:rPr>
        <w:t xml:space="preserve">strument assets and liabilities </w:t>
      </w:r>
      <w:r w:rsidRPr="00CA7020">
        <w:rPr>
          <w:rFonts w:cstheme="minorHAnsi"/>
        </w:rPr>
        <w:t>are offs</w:t>
      </w:r>
      <w:r>
        <w:rPr>
          <w:rFonts w:cstheme="minorHAnsi"/>
        </w:rPr>
        <w:t xml:space="preserve">et and the net amount presented </w:t>
      </w:r>
      <w:r w:rsidRPr="00CA7020">
        <w:rPr>
          <w:rFonts w:cstheme="minorHAnsi"/>
        </w:rPr>
        <w:t xml:space="preserve">in the </w:t>
      </w:r>
      <w:r>
        <w:rPr>
          <w:rFonts w:cstheme="minorHAnsi"/>
        </w:rPr>
        <w:t xml:space="preserve">consolidated balance sheet only </w:t>
      </w:r>
      <w:r w:rsidRPr="00CA7020">
        <w:rPr>
          <w:rFonts w:cstheme="minorHAnsi"/>
        </w:rPr>
        <w:t>when, Chish</w:t>
      </w:r>
      <w:r>
        <w:rPr>
          <w:rFonts w:cstheme="minorHAnsi"/>
        </w:rPr>
        <w:t xml:space="preserve">olm has a legal right to offset </w:t>
      </w:r>
      <w:r w:rsidRPr="00CA7020">
        <w:rPr>
          <w:rFonts w:cstheme="minorHAnsi"/>
        </w:rPr>
        <w:t>the amoun</w:t>
      </w:r>
      <w:r>
        <w:rPr>
          <w:rFonts w:cstheme="minorHAnsi"/>
        </w:rPr>
        <w:t xml:space="preserve">ts and intends to either settle </w:t>
      </w:r>
      <w:r w:rsidRPr="00CA7020">
        <w:rPr>
          <w:rFonts w:cstheme="minorHAnsi"/>
        </w:rPr>
        <w:t>on a net basis or realise the a</w:t>
      </w:r>
      <w:r>
        <w:rPr>
          <w:rFonts w:cstheme="minorHAnsi"/>
        </w:rPr>
        <w:t xml:space="preserve">sset and </w:t>
      </w:r>
      <w:r w:rsidRPr="00CA7020">
        <w:rPr>
          <w:rFonts w:cstheme="minorHAnsi"/>
        </w:rPr>
        <w:t>settle the liability simultaneously.</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Some</w:t>
      </w:r>
      <w:r>
        <w:rPr>
          <w:rFonts w:cstheme="minorHAnsi"/>
        </w:rPr>
        <w:t xml:space="preserve"> master netting arrangements do </w:t>
      </w:r>
      <w:r w:rsidRPr="00CA7020">
        <w:rPr>
          <w:rFonts w:cstheme="minorHAnsi"/>
        </w:rPr>
        <w:t>not resul</w:t>
      </w:r>
      <w:r>
        <w:rPr>
          <w:rFonts w:cstheme="minorHAnsi"/>
        </w:rPr>
        <w:t xml:space="preserve">t in an offset of balance sheet </w:t>
      </w:r>
      <w:r w:rsidRPr="00CA7020">
        <w:rPr>
          <w:rFonts w:cstheme="minorHAnsi"/>
        </w:rPr>
        <w:t xml:space="preserve">assets </w:t>
      </w:r>
      <w:r>
        <w:rPr>
          <w:rFonts w:cstheme="minorHAnsi"/>
        </w:rPr>
        <w:t xml:space="preserve">and liabilities. Where Chisholm </w:t>
      </w:r>
      <w:r w:rsidRPr="00CA7020">
        <w:rPr>
          <w:rFonts w:cstheme="minorHAnsi"/>
        </w:rPr>
        <w:t>does not h</w:t>
      </w:r>
      <w:r>
        <w:rPr>
          <w:rFonts w:cstheme="minorHAnsi"/>
        </w:rPr>
        <w:t xml:space="preserve">ave a legally enforceable right </w:t>
      </w:r>
      <w:r w:rsidRPr="00CA7020">
        <w:rPr>
          <w:rFonts w:cstheme="minorHAnsi"/>
        </w:rPr>
        <w:t>to off</w:t>
      </w:r>
      <w:r>
        <w:rPr>
          <w:rFonts w:cstheme="minorHAnsi"/>
        </w:rPr>
        <w:t xml:space="preserve">set recognised amounts, because </w:t>
      </w:r>
      <w:r w:rsidRPr="00CA7020">
        <w:rPr>
          <w:rFonts w:cstheme="minorHAnsi"/>
        </w:rPr>
        <w:t>the right to o</w:t>
      </w:r>
      <w:r>
        <w:rPr>
          <w:rFonts w:cstheme="minorHAnsi"/>
        </w:rPr>
        <w:t xml:space="preserve">ffset is enforceable only on </w:t>
      </w:r>
      <w:r w:rsidRPr="00CA7020">
        <w:rPr>
          <w:rFonts w:cstheme="minorHAnsi"/>
        </w:rPr>
        <w:t>the occu</w:t>
      </w:r>
      <w:r>
        <w:rPr>
          <w:rFonts w:cstheme="minorHAnsi"/>
        </w:rPr>
        <w:t xml:space="preserve">rrence of future events such as </w:t>
      </w:r>
      <w:r w:rsidRPr="00CA7020">
        <w:rPr>
          <w:rFonts w:cstheme="minorHAnsi"/>
        </w:rPr>
        <w:t>default,</w:t>
      </w:r>
      <w:r>
        <w:rPr>
          <w:rFonts w:cstheme="minorHAnsi"/>
        </w:rPr>
        <w:t xml:space="preserve"> insolvency or bankruptcy, they </w:t>
      </w:r>
      <w:r w:rsidRPr="00CA7020">
        <w:rPr>
          <w:rFonts w:cstheme="minorHAnsi"/>
        </w:rPr>
        <w:t>are reported on a gross basis.</w:t>
      </w:r>
    </w:p>
    <w:p w:rsidR="00CA7020" w:rsidRDefault="00CA7020" w:rsidP="00CA7020">
      <w:pPr>
        <w:autoSpaceDE w:val="0"/>
        <w:autoSpaceDN w:val="0"/>
        <w:adjustRightInd w:val="0"/>
        <w:spacing w:after="0" w:line="240" w:lineRule="auto"/>
        <w:rPr>
          <w:rFonts w:cstheme="minorHAnsi"/>
        </w:rPr>
      </w:pPr>
    </w:p>
    <w:p w:rsidR="00CA7020" w:rsidRPr="00CA7020" w:rsidRDefault="00CA7020" w:rsidP="00D36BB2">
      <w:pPr>
        <w:pStyle w:val="Heading4"/>
      </w:pPr>
      <w:r w:rsidRPr="00CA7020">
        <w:t>Derecognition of financial assets</w:t>
      </w:r>
    </w:p>
    <w:p w:rsidR="00562C13" w:rsidRDefault="00562C13" w:rsidP="00CA7020">
      <w:pPr>
        <w:autoSpaceDE w:val="0"/>
        <w:autoSpaceDN w:val="0"/>
        <w:adjustRightInd w:val="0"/>
        <w:spacing w:after="0" w:line="240" w:lineRule="auto"/>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lastRenderedPageBreak/>
        <w:t>A financi</w:t>
      </w:r>
      <w:r>
        <w:rPr>
          <w:rFonts w:cstheme="minorHAnsi"/>
        </w:rPr>
        <w:t xml:space="preserve">al asset (or, where applicable, </w:t>
      </w:r>
      <w:r w:rsidRPr="00CA7020">
        <w:rPr>
          <w:rFonts w:cstheme="minorHAnsi"/>
        </w:rPr>
        <w:t xml:space="preserve">a part </w:t>
      </w:r>
      <w:r>
        <w:rPr>
          <w:rFonts w:cstheme="minorHAnsi"/>
        </w:rPr>
        <w:t xml:space="preserve">of a financial asset or part of </w:t>
      </w:r>
      <w:r w:rsidRPr="00CA7020">
        <w:rPr>
          <w:rFonts w:cstheme="minorHAnsi"/>
        </w:rPr>
        <w:t xml:space="preserve">a group </w:t>
      </w:r>
      <w:r>
        <w:rPr>
          <w:rFonts w:cstheme="minorHAnsi"/>
        </w:rPr>
        <w:t xml:space="preserve">of similar financial assets) is </w:t>
      </w:r>
      <w:r w:rsidRPr="00CA7020">
        <w:rPr>
          <w:rFonts w:cstheme="minorHAnsi"/>
        </w:rPr>
        <w:t>derecognised when:</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 xml:space="preserve">• </w:t>
      </w:r>
      <w:r w:rsidR="00AE559A" w:rsidRPr="00CA7020">
        <w:rPr>
          <w:rFonts w:cstheme="minorHAnsi"/>
        </w:rPr>
        <w:t>The</w:t>
      </w:r>
      <w:r w:rsidRPr="00CA7020">
        <w:rPr>
          <w:rFonts w:cstheme="minorHAnsi"/>
        </w:rPr>
        <w:t xml:space="preserve"> ri</w:t>
      </w:r>
      <w:r>
        <w:rPr>
          <w:rFonts w:cstheme="minorHAnsi"/>
        </w:rPr>
        <w:t xml:space="preserve">ghts to receive cash flows from </w:t>
      </w:r>
      <w:r w:rsidRPr="00CA7020">
        <w:rPr>
          <w:rFonts w:cstheme="minorHAnsi"/>
        </w:rPr>
        <w:t>the asset have expired; or</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 Chisho</w:t>
      </w:r>
      <w:r>
        <w:rPr>
          <w:rFonts w:cstheme="minorHAnsi"/>
        </w:rPr>
        <w:t xml:space="preserve">lm retains the right to receive </w:t>
      </w:r>
      <w:r w:rsidRPr="00CA7020">
        <w:rPr>
          <w:rFonts w:cstheme="minorHAnsi"/>
        </w:rPr>
        <w:t>cas</w:t>
      </w:r>
      <w:r>
        <w:rPr>
          <w:rFonts w:cstheme="minorHAnsi"/>
        </w:rPr>
        <w:t xml:space="preserve">h flows from the asset, but has </w:t>
      </w:r>
      <w:r w:rsidRPr="00CA7020">
        <w:rPr>
          <w:rFonts w:cstheme="minorHAnsi"/>
        </w:rPr>
        <w:t>as</w:t>
      </w:r>
      <w:r>
        <w:rPr>
          <w:rFonts w:cstheme="minorHAnsi"/>
        </w:rPr>
        <w:t xml:space="preserve">sumed an obligation to pay them </w:t>
      </w:r>
      <w:r w:rsidRPr="00CA7020">
        <w:rPr>
          <w:rFonts w:cstheme="minorHAnsi"/>
        </w:rPr>
        <w:t>in full without materia</w:t>
      </w:r>
      <w:r>
        <w:rPr>
          <w:rFonts w:cstheme="minorHAnsi"/>
        </w:rPr>
        <w:t xml:space="preserve">l delay to a </w:t>
      </w:r>
      <w:r w:rsidRPr="00CA7020">
        <w:rPr>
          <w:rFonts w:cstheme="minorHAnsi"/>
        </w:rPr>
        <w:t>thi</w:t>
      </w:r>
      <w:r>
        <w:rPr>
          <w:rFonts w:cstheme="minorHAnsi"/>
        </w:rPr>
        <w:t xml:space="preserve">rd party under a ‘pass through’ </w:t>
      </w:r>
      <w:r w:rsidRPr="00CA7020">
        <w:rPr>
          <w:rFonts w:cstheme="minorHAnsi"/>
        </w:rPr>
        <w:t>arrangement; or</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 Chishol</w:t>
      </w:r>
      <w:r>
        <w:rPr>
          <w:rFonts w:cstheme="minorHAnsi"/>
        </w:rPr>
        <w:t xml:space="preserve">m has transferred its rights to </w:t>
      </w:r>
      <w:r w:rsidRPr="00CA7020">
        <w:rPr>
          <w:rFonts w:cstheme="minorHAnsi"/>
        </w:rPr>
        <w:t>re</w:t>
      </w:r>
      <w:r>
        <w:rPr>
          <w:rFonts w:cstheme="minorHAnsi"/>
        </w:rPr>
        <w:t xml:space="preserve">ceive cash flows from the asset </w:t>
      </w:r>
      <w:r w:rsidRPr="00CA7020">
        <w:rPr>
          <w:rFonts w:cstheme="minorHAnsi"/>
        </w:rPr>
        <w:t>and either:</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(a) has tr</w:t>
      </w:r>
      <w:r>
        <w:rPr>
          <w:rFonts w:cstheme="minorHAnsi"/>
        </w:rPr>
        <w:t xml:space="preserve">ansferred substantially all the </w:t>
      </w:r>
      <w:r w:rsidRPr="00CA7020">
        <w:rPr>
          <w:rFonts w:cstheme="minorHAnsi"/>
        </w:rPr>
        <w:t>risks and rewards of the asset, or</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(b) has transferred control of the asset.</w:t>
      </w:r>
    </w:p>
    <w:p w:rsidR="00CA7020" w:rsidRDefault="00CA7020" w:rsidP="00CA7020">
      <w:pPr>
        <w:autoSpaceDE w:val="0"/>
        <w:autoSpaceDN w:val="0"/>
        <w:adjustRightInd w:val="0"/>
        <w:spacing w:after="0" w:line="240" w:lineRule="auto"/>
        <w:rPr>
          <w:rFonts w:cstheme="minorHAnsi"/>
        </w:rPr>
      </w:pPr>
    </w:p>
    <w:p w:rsidR="00CA7020" w:rsidRPr="00CA7020" w:rsidRDefault="00CA7020" w:rsidP="00D36BB2">
      <w:pPr>
        <w:pStyle w:val="Heading4"/>
      </w:pPr>
      <w:r w:rsidRPr="00CA7020">
        <w:t>Impairment of financial assets</w:t>
      </w:r>
    </w:p>
    <w:p w:rsidR="00562C13" w:rsidRDefault="00562C13" w:rsidP="00CA7020">
      <w:pPr>
        <w:autoSpaceDE w:val="0"/>
        <w:autoSpaceDN w:val="0"/>
        <w:adjustRightInd w:val="0"/>
        <w:spacing w:after="0" w:line="240" w:lineRule="auto"/>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At th</w:t>
      </w:r>
      <w:r>
        <w:rPr>
          <w:rFonts w:cstheme="minorHAnsi"/>
        </w:rPr>
        <w:t xml:space="preserve">e end of each reporting period, </w:t>
      </w:r>
      <w:r w:rsidRPr="00CA7020">
        <w:rPr>
          <w:rFonts w:cstheme="minorHAnsi"/>
        </w:rPr>
        <w:t>Chi</w:t>
      </w:r>
      <w:r>
        <w:rPr>
          <w:rFonts w:cstheme="minorHAnsi"/>
        </w:rPr>
        <w:t xml:space="preserve">sholm assesses whether there is </w:t>
      </w:r>
      <w:r w:rsidRPr="00CA7020">
        <w:rPr>
          <w:rFonts w:cstheme="minorHAnsi"/>
        </w:rPr>
        <w:t xml:space="preserve">objective </w:t>
      </w:r>
      <w:r>
        <w:rPr>
          <w:rFonts w:cstheme="minorHAnsi"/>
        </w:rPr>
        <w:t xml:space="preserve">evidence that a financial asset </w:t>
      </w:r>
      <w:r w:rsidRPr="00CA7020">
        <w:rPr>
          <w:rFonts w:cstheme="minorHAnsi"/>
        </w:rPr>
        <w:t>or group o</w:t>
      </w:r>
      <w:r>
        <w:rPr>
          <w:rFonts w:cstheme="minorHAnsi"/>
        </w:rPr>
        <w:t xml:space="preserve">f financial assets is impaired. </w:t>
      </w:r>
      <w:r w:rsidRPr="00CA7020">
        <w:rPr>
          <w:rFonts w:cstheme="minorHAnsi"/>
        </w:rPr>
        <w:t>All fina</w:t>
      </w:r>
      <w:r>
        <w:rPr>
          <w:rFonts w:cstheme="minorHAnsi"/>
        </w:rPr>
        <w:t xml:space="preserve">ncial instrument assets, except </w:t>
      </w:r>
      <w:r w:rsidRPr="00CA7020">
        <w:rPr>
          <w:rFonts w:cstheme="minorHAnsi"/>
        </w:rPr>
        <w:t xml:space="preserve">those measured </w:t>
      </w:r>
      <w:r>
        <w:rPr>
          <w:rFonts w:cstheme="minorHAnsi"/>
        </w:rPr>
        <w:t xml:space="preserve">at fair value through </w:t>
      </w:r>
      <w:r w:rsidRPr="00CA7020">
        <w:rPr>
          <w:rFonts w:cstheme="minorHAnsi"/>
        </w:rPr>
        <w:t>profit</w:t>
      </w:r>
      <w:r>
        <w:rPr>
          <w:rFonts w:cstheme="minorHAnsi"/>
        </w:rPr>
        <w:t xml:space="preserve"> or loss, are subject to annual </w:t>
      </w:r>
      <w:r w:rsidRPr="00CA7020">
        <w:rPr>
          <w:rFonts w:cstheme="minorHAnsi"/>
        </w:rPr>
        <w:t>review for impairment.</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The allo</w:t>
      </w:r>
      <w:r>
        <w:rPr>
          <w:rFonts w:cstheme="minorHAnsi"/>
        </w:rPr>
        <w:t xml:space="preserve">wance is the difference between </w:t>
      </w:r>
      <w:r w:rsidRPr="00CA7020">
        <w:rPr>
          <w:rFonts w:cstheme="minorHAnsi"/>
        </w:rPr>
        <w:t>the fi</w:t>
      </w:r>
      <w:r>
        <w:rPr>
          <w:rFonts w:cstheme="minorHAnsi"/>
        </w:rPr>
        <w:t xml:space="preserve">nancial asset’s carrying amount </w:t>
      </w:r>
      <w:r w:rsidRPr="00CA7020">
        <w:rPr>
          <w:rFonts w:cstheme="minorHAnsi"/>
        </w:rPr>
        <w:t>and</w:t>
      </w:r>
      <w:r>
        <w:rPr>
          <w:rFonts w:cstheme="minorHAnsi"/>
        </w:rPr>
        <w:t xml:space="preserve"> the present value of estimated </w:t>
      </w:r>
      <w:r w:rsidRPr="00CA7020">
        <w:rPr>
          <w:rFonts w:cstheme="minorHAnsi"/>
        </w:rPr>
        <w:t>futur</w:t>
      </w:r>
      <w:r>
        <w:rPr>
          <w:rFonts w:cstheme="minorHAnsi"/>
        </w:rPr>
        <w:t xml:space="preserve">e cash flows, discounted at the </w:t>
      </w:r>
      <w:r w:rsidRPr="00CA7020">
        <w:rPr>
          <w:rFonts w:cstheme="minorHAnsi"/>
        </w:rPr>
        <w:t>effective interest rate</w:t>
      </w:r>
      <w:r>
        <w:rPr>
          <w:rFonts w:cstheme="minorHAnsi"/>
        </w:rPr>
        <w:t xml:space="preserve">. In assessing </w:t>
      </w:r>
      <w:r w:rsidRPr="00CA7020">
        <w:rPr>
          <w:rFonts w:cstheme="minorHAnsi"/>
        </w:rPr>
        <w:t>impairment</w:t>
      </w:r>
      <w:r>
        <w:rPr>
          <w:rFonts w:cstheme="minorHAnsi"/>
        </w:rPr>
        <w:t xml:space="preserve"> of statutory (non-contractual) </w:t>
      </w:r>
      <w:r w:rsidRPr="00CA7020">
        <w:rPr>
          <w:rFonts w:cstheme="minorHAnsi"/>
        </w:rPr>
        <w:t xml:space="preserve">financial </w:t>
      </w:r>
      <w:r>
        <w:rPr>
          <w:rFonts w:cstheme="minorHAnsi"/>
        </w:rPr>
        <w:t xml:space="preserve">assets, which are not financial </w:t>
      </w:r>
      <w:r w:rsidRPr="00CA7020">
        <w:rPr>
          <w:rFonts w:cstheme="minorHAnsi"/>
        </w:rPr>
        <w:t>inst</w:t>
      </w:r>
      <w:r>
        <w:rPr>
          <w:rFonts w:cstheme="minorHAnsi"/>
        </w:rPr>
        <w:t xml:space="preserve">ruments, professional judgement </w:t>
      </w:r>
      <w:r w:rsidRPr="00CA7020">
        <w:rPr>
          <w:rFonts w:cstheme="minorHAnsi"/>
        </w:rPr>
        <w:t>is a</w:t>
      </w:r>
      <w:r>
        <w:rPr>
          <w:rFonts w:cstheme="minorHAnsi"/>
        </w:rPr>
        <w:t xml:space="preserve">pplied in assessing materiality </w:t>
      </w:r>
      <w:r w:rsidRPr="00CA7020">
        <w:rPr>
          <w:rFonts w:cstheme="minorHAnsi"/>
        </w:rPr>
        <w:t>usin</w:t>
      </w:r>
      <w:r>
        <w:rPr>
          <w:rFonts w:cstheme="minorHAnsi"/>
        </w:rPr>
        <w:t xml:space="preserve">g estimates, averages and other </w:t>
      </w:r>
      <w:r w:rsidRPr="00CA7020">
        <w:rPr>
          <w:rFonts w:cstheme="minorHAnsi"/>
        </w:rPr>
        <w:t>comp</w:t>
      </w:r>
      <w:r>
        <w:rPr>
          <w:rFonts w:cstheme="minorHAnsi"/>
        </w:rPr>
        <w:t xml:space="preserve">utational methods in accordance </w:t>
      </w:r>
      <w:r w:rsidRPr="00CA7020">
        <w:rPr>
          <w:rFonts w:cstheme="minorHAnsi"/>
        </w:rPr>
        <w:t>with AASB 136 Impairment of Assets.</w:t>
      </w:r>
    </w:p>
    <w:p w:rsidR="00CA7020" w:rsidRDefault="00CA7020" w:rsidP="00CA7020">
      <w:pPr>
        <w:autoSpaceDE w:val="0"/>
        <w:autoSpaceDN w:val="0"/>
        <w:adjustRightInd w:val="0"/>
        <w:spacing w:after="0" w:line="240" w:lineRule="auto"/>
        <w:rPr>
          <w:rFonts w:cstheme="minorHAnsi"/>
        </w:rPr>
      </w:pPr>
    </w:p>
    <w:p w:rsidR="00CA7020" w:rsidRPr="00CA7020" w:rsidRDefault="00CA7020" w:rsidP="00D36BB2">
      <w:pPr>
        <w:pStyle w:val="Heading4"/>
      </w:pPr>
      <w:r w:rsidRPr="00CA7020">
        <w:t>Reclassification of financial instruments:</w:t>
      </w:r>
    </w:p>
    <w:p w:rsidR="00562C13" w:rsidRDefault="00562C13" w:rsidP="00CA7020">
      <w:pPr>
        <w:autoSpaceDE w:val="0"/>
        <w:autoSpaceDN w:val="0"/>
        <w:adjustRightInd w:val="0"/>
        <w:spacing w:after="0" w:line="240" w:lineRule="auto"/>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Su</w:t>
      </w:r>
      <w:r>
        <w:rPr>
          <w:rFonts w:cstheme="minorHAnsi"/>
        </w:rPr>
        <w:t xml:space="preserve">bsequent to initial recognition </w:t>
      </w:r>
      <w:r w:rsidRPr="00CA7020">
        <w:rPr>
          <w:rFonts w:cstheme="minorHAnsi"/>
        </w:rPr>
        <w:t>and under r</w:t>
      </w:r>
      <w:r>
        <w:rPr>
          <w:rFonts w:cstheme="minorHAnsi"/>
        </w:rPr>
        <w:t xml:space="preserve">are circumstances nonderivative financial instruments assets </w:t>
      </w:r>
      <w:r w:rsidRPr="00CA7020">
        <w:rPr>
          <w:rFonts w:cstheme="minorHAnsi"/>
        </w:rPr>
        <w:t>t</w:t>
      </w:r>
      <w:r>
        <w:rPr>
          <w:rFonts w:cstheme="minorHAnsi"/>
        </w:rPr>
        <w:t xml:space="preserve">hat have not been designated at </w:t>
      </w:r>
      <w:r w:rsidRPr="00CA7020">
        <w:rPr>
          <w:rFonts w:cstheme="minorHAnsi"/>
        </w:rPr>
        <w:t>fair va</w:t>
      </w:r>
      <w:r>
        <w:rPr>
          <w:rFonts w:cstheme="minorHAnsi"/>
        </w:rPr>
        <w:t xml:space="preserve">lue through profit or loss upon </w:t>
      </w:r>
      <w:r w:rsidRPr="00CA7020">
        <w:rPr>
          <w:rFonts w:cstheme="minorHAnsi"/>
        </w:rPr>
        <w:t>recognition,</w:t>
      </w:r>
      <w:r>
        <w:rPr>
          <w:rFonts w:cstheme="minorHAnsi"/>
        </w:rPr>
        <w:t xml:space="preserve"> may be reclassified out </w:t>
      </w:r>
      <w:r w:rsidRPr="00CA7020">
        <w:rPr>
          <w:rFonts w:cstheme="minorHAnsi"/>
        </w:rPr>
        <w:t>of the fa</w:t>
      </w:r>
      <w:r>
        <w:rPr>
          <w:rFonts w:cstheme="minorHAnsi"/>
        </w:rPr>
        <w:t xml:space="preserve">ir value through profit or loss </w:t>
      </w:r>
      <w:r w:rsidRPr="00CA7020">
        <w:rPr>
          <w:rFonts w:cstheme="minorHAnsi"/>
        </w:rPr>
        <w:t>category,</w:t>
      </w:r>
      <w:r>
        <w:rPr>
          <w:rFonts w:cstheme="minorHAnsi"/>
        </w:rPr>
        <w:t xml:space="preserve"> if they are no longer held for </w:t>
      </w:r>
      <w:r w:rsidRPr="00CA7020">
        <w:rPr>
          <w:rFonts w:cstheme="minorHAnsi"/>
        </w:rPr>
        <w:t>the pur</w:t>
      </w:r>
      <w:r>
        <w:rPr>
          <w:rFonts w:cstheme="minorHAnsi"/>
        </w:rPr>
        <w:t xml:space="preserve">pose of selling or repurchasing </w:t>
      </w:r>
      <w:r w:rsidR="000B7ABF">
        <w:rPr>
          <w:rFonts w:cstheme="minorHAnsi"/>
        </w:rPr>
        <w:t xml:space="preserve">in the near term. </w:t>
      </w:r>
      <w:r w:rsidRPr="00CA7020">
        <w:rPr>
          <w:rFonts w:cstheme="minorHAnsi"/>
        </w:rPr>
        <w:t>Financ</w:t>
      </w:r>
      <w:r w:rsidR="000B7ABF">
        <w:rPr>
          <w:rFonts w:cstheme="minorHAnsi"/>
        </w:rPr>
        <w:t xml:space="preserve">ial instrument assets that meet </w:t>
      </w:r>
      <w:r w:rsidRPr="00CA7020">
        <w:rPr>
          <w:rFonts w:cstheme="minorHAnsi"/>
        </w:rPr>
        <w:t>the defi</w:t>
      </w:r>
      <w:r w:rsidR="000B7ABF">
        <w:rPr>
          <w:rFonts w:cstheme="minorHAnsi"/>
        </w:rPr>
        <w:t xml:space="preserve">nition of loans and receivables </w:t>
      </w:r>
      <w:r w:rsidRPr="00CA7020">
        <w:rPr>
          <w:rFonts w:cstheme="minorHAnsi"/>
        </w:rPr>
        <w:t>may be reclass</w:t>
      </w:r>
      <w:r w:rsidR="000B7ABF">
        <w:rPr>
          <w:rFonts w:cstheme="minorHAnsi"/>
        </w:rPr>
        <w:t xml:space="preserve">ified out of the fair value </w:t>
      </w:r>
      <w:r w:rsidRPr="00CA7020">
        <w:rPr>
          <w:rFonts w:cstheme="minorHAnsi"/>
        </w:rPr>
        <w:t>throug</w:t>
      </w:r>
      <w:r w:rsidR="000B7ABF">
        <w:rPr>
          <w:rFonts w:cstheme="minorHAnsi"/>
        </w:rPr>
        <w:t xml:space="preserve">h profit and loss category into </w:t>
      </w:r>
      <w:r w:rsidRPr="00CA7020">
        <w:rPr>
          <w:rFonts w:cstheme="minorHAnsi"/>
        </w:rPr>
        <w:t xml:space="preserve">the </w:t>
      </w:r>
      <w:r w:rsidR="000B7ABF">
        <w:rPr>
          <w:rFonts w:cstheme="minorHAnsi"/>
        </w:rPr>
        <w:t xml:space="preserve">loans and receivables category, where they would have met the </w:t>
      </w:r>
      <w:r w:rsidRPr="00CA7020">
        <w:rPr>
          <w:rFonts w:cstheme="minorHAnsi"/>
        </w:rPr>
        <w:t>defi</w:t>
      </w:r>
      <w:r w:rsidR="000B7ABF">
        <w:rPr>
          <w:rFonts w:cstheme="minorHAnsi"/>
        </w:rPr>
        <w:t xml:space="preserve">nition of loans and receivables </w:t>
      </w:r>
      <w:r w:rsidRPr="00CA7020">
        <w:rPr>
          <w:rFonts w:cstheme="minorHAnsi"/>
        </w:rPr>
        <w:t>h</w:t>
      </w:r>
      <w:r w:rsidR="000B7ABF">
        <w:rPr>
          <w:rFonts w:cstheme="minorHAnsi"/>
        </w:rPr>
        <w:t xml:space="preserve">ad they not been required to be </w:t>
      </w:r>
      <w:r w:rsidRPr="00CA7020">
        <w:rPr>
          <w:rFonts w:cstheme="minorHAnsi"/>
        </w:rPr>
        <w:t>classifi</w:t>
      </w:r>
      <w:r w:rsidR="000B7ABF">
        <w:rPr>
          <w:rFonts w:cstheme="minorHAnsi"/>
        </w:rPr>
        <w:t xml:space="preserve">ed as fair value through profit </w:t>
      </w:r>
      <w:r w:rsidRPr="00CA7020">
        <w:rPr>
          <w:rFonts w:cstheme="minorHAnsi"/>
        </w:rPr>
        <w:t>and loss. In th</w:t>
      </w:r>
      <w:r w:rsidR="000B7ABF">
        <w:rPr>
          <w:rFonts w:cstheme="minorHAnsi"/>
        </w:rPr>
        <w:t xml:space="preserve">ese cases, the financial </w:t>
      </w:r>
      <w:r w:rsidRPr="00CA7020">
        <w:rPr>
          <w:rFonts w:cstheme="minorHAnsi"/>
        </w:rPr>
        <w:t>instru</w:t>
      </w:r>
      <w:r w:rsidR="000B7ABF">
        <w:rPr>
          <w:rFonts w:cstheme="minorHAnsi"/>
        </w:rPr>
        <w:t xml:space="preserve">ment assets may be reclassified </w:t>
      </w:r>
      <w:r w:rsidRPr="00CA7020">
        <w:rPr>
          <w:rFonts w:cstheme="minorHAnsi"/>
        </w:rPr>
        <w:t>out of th</w:t>
      </w:r>
      <w:r w:rsidR="000B7ABF">
        <w:rPr>
          <w:rFonts w:cstheme="minorHAnsi"/>
        </w:rPr>
        <w:t xml:space="preserve">e fair value through profit and </w:t>
      </w:r>
      <w:r w:rsidRPr="00CA7020">
        <w:rPr>
          <w:rFonts w:cstheme="minorHAnsi"/>
        </w:rPr>
        <w:t>loss cate</w:t>
      </w:r>
      <w:r w:rsidR="000B7ABF">
        <w:rPr>
          <w:rFonts w:cstheme="minorHAnsi"/>
        </w:rPr>
        <w:t xml:space="preserve">gory, if there is the intention </w:t>
      </w:r>
      <w:r w:rsidRPr="00CA7020">
        <w:rPr>
          <w:rFonts w:cstheme="minorHAnsi"/>
        </w:rPr>
        <w:t>a</w:t>
      </w:r>
      <w:r w:rsidR="000B7ABF">
        <w:rPr>
          <w:rFonts w:cstheme="minorHAnsi"/>
        </w:rPr>
        <w:t xml:space="preserve">nd ability to hold them for the </w:t>
      </w:r>
      <w:r w:rsidRPr="00CA7020">
        <w:rPr>
          <w:rFonts w:cstheme="minorHAnsi"/>
        </w:rPr>
        <w:t>foreseeable future or until maturity.</w:t>
      </w:r>
    </w:p>
    <w:p w:rsidR="00CA7020" w:rsidRDefault="00CA7020" w:rsidP="00CA7020">
      <w:pPr>
        <w:autoSpaceDE w:val="0"/>
        <w:autoSpaceDN w:val="0"/>
        <w:adjustRightInd w:val="0"/>
        <w:spacing w:after="0" w:line="240" w:lineRule="auto"/>
        <w:rPr>
          <w:rFonts w:cstheme="minorHAnsi"/>
        </w:rPr>
      </w:pPr>
    </w:p>
    <w:p w:rsidR="00CA7020" w:rsidRPr="00CA7020" w:rsidRDefault="00CA7020" w:rsidP="00D36BB2">
      <w:pPr>
        <w:pStyle w:val="Heading4"/>
      </w:pPr>
      <w:r w:rsidRPr="00CA7020">
        <w:t>Derecognition of financial liabilities</w:t>
      </w:r>
    </w:p>
    <w:p w:rsidR="00562C13" w:rsidRDefault="00562C13" w:rsidP="00CA7020">
      <w:pPr>
        <w:autoSpaceDE w:val="0"/>
        <w:autoSpaceDN w:val="0"/>
        <w:adjustRightInd w:val="0"/>
        <w:spacing w:after="0" w:line="240" w:lineRule="auto"/>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A fina</w:t>
      </w:r>
      <w:r w:rsidR="000B7ABF">
        <w:rPr>
          <w:rFonts w:cstheme="minorHAnsi"/>
        </w:rPr>
        <w:t xml:space="preserve">ncial liability is derecognised </w:t>
      </w:r>
      <w:r w:rsidRPr="00CA7020">
        <w:rPr>
          <w:rFonts w:cstheme="minorHAnsi"/>
        </w:rPr>
        <w:t>when the</w:t>
      </w:r>
      <w:r w:rsidR="000B7ABF">
        <w:rPr>
          <w:rFonts w:cstheme="minorHAnsi"/>
        </w:rPr>
        <w:t xml:space="preserve"> obligation under the liability </w:t>
      </w:r>
      <w:r w:rsidRPr="00CA7020">
        <w:rPr>
          <w:rFonts w:cstheme="minorHAnsi"/>
        </w:rPr>
        <w:t>is di</w:t>
      </w:r>
      <w:r w:rsidR="000B7ABF">
        <w:rPr>
          <w:rFonts w:cstheme="minorHAnsi"/>
        </w:rPr>
        <w:t xml:space="preserve">scharged, cancelled or expires. </w:t>
      </w:r>
      <w:r w:rsidRPr="00CA7020">
        <w:rPr>
          <w:rFonts w:cstheme="minorHAnsi"/>
        </w:rPr>
        <w:t xml:space="preserve">When an </w:t>
      </w:r>
      <w:r w:rsidR="000B7ABF">
        <w:rPr>
          <w:rFonts w:cstheme="minorHAnsi"/>
        </w:rPr>
        <w:t xml:space="preserve">existing financial liability is </w:t>
      </w:r>
      <w:r w:rsidRPr="00CA7020">
        <w:rPr>
          <w:rFonts w:cstheme="minorHAnsi"/>
        </w:rPr>
        <w:t>re</w:t>
      </w:r>
      <w:r w:rsidR="000B7ABF">
        <w:rPr>
          <w:rFonts w:cstheme="minorHAnsi"/>
        </w:rPr>
        <w:t xml:space="preserve">placed by another from the same </w:t>
      </w:r>
      <w:r w:rsidRPr="00CA7020">
        <w:rPr>
          <w:rFonts w:cstheme="minorHAnsi"/>
        </w:rPr>
        <w:t>lender on</w:t>
      </w:r>
      <w:r w:rsidR="000B7ABF">
        <w:rPr>
          <w:rFonts w:cstheme="minorHAnsi"/>
        </w:rPr>
        <w:t xml:space="preserve"> substantially different terms, </w:t>
      </w:r>
      <w:r w:rsidRPr="00CA7020">
        <w:rPr>
          <w:rFonts w:cstheme="minorHAnsi"/>
        </w:rPr>
        <w:t>or the terms of an existing</w:t>
      </w:r>
      <w:r w:rsidR="000B7ABF">
        <w:rPr>
          <w:rFonts w:cstheme="minorHAnsi"/>
        </w:rPr>
        <w:t xml:space="preserve"> liability </w:t>
      </w:r>
      <w:r w:rsidRPr="00CA7020">
        <w:rPr>
          <w:rFonts w:cstheme="minorHAnsi"/>
        </w:rPr>
        <w:t xml:space="preserve">are </w:t>
      </w:r>
      <w:r w:rsidR="000B7ABF">
        <w:rPr>
          <w:rFonts w:cstheme="minorHAnsi"/>
        </w:rPr>
        <w:t xml:space="preserve">substantially modified, such an </w:t>
      </w:r>
      <w:r w:rsidRPr="00CA7020">
        <w:rPr>
          <w:rFonts w:cstheme="minorHAnsi"/>
        </w:rPr>
        <w:t>exchang</w:t>
      </w:r>
      <w:r w:rsidR="000B7ABF">
        <w:rPr>
          <w:rFonts w:cstheme="minorHAnsi"/>
        </w:rPr>
        <w:t xml:space="preserve">e or modification is treated as </w:t>
      </w:r>
      <w:r w:rsidRPr="00CA7020">
        <w:rPr>
          <w:rFonts w:cstheme="minorHAnsi"/>
        </w:rPr>
        <w:t>a derecogn</w:t>
      </w:r>
      <w:r w:rsidR="000B7ABF">
        <w:rPr>
          <w:rFonts w:cstheme="minorHAnsi"/>
        </w:rPr>
        <w:t xml:space="preserve">ition of the original liability </w:t>
      </w:r>
      <w:r w:rsidRPr="00CA7020">
        <w:rPr>
          <w:rFonts w:cstheme="minorHAnsi"/>
        </w:rPr>
        <w:t xml:space="preserve">and the </w:t>
      </w:r>
      <w:r w:rsidR="000B7ABF">
        <w:rPr>
          <w:rFonts w:cstheme="minorHAnsi"/>
        </w:rPr>
        <w:t xml:space="preserve">recognition of a new liability. </w:t>
      </w:r>
      <w:r w:rsidRPr="00CA7020">
        <w:rPr>
          <w:rFonts w:cstheme="minorHAnsi"/>
        </w:rPr>
        <w:t>The differ</w:t>
      </w:r>
      <w:r w:rsidR="000B7ABF">
        <w:rPr>
          <w:rFonts w:cstheme="minorHAnsi"/>
        </w:rPr>
        <w:t xml:space="preserve">ence in the respective carrying </w:t>
      </w:r>
      <w:r w:rsidRPr="00CA7020">
        <w:rPr>
          <w:rFonts w:cstheme="minorHAnsi"/>
        </w:rPr>
        <w:t>amo</w:t>
      </w:r>
      <w:r w:rsidR="000B7ABF">
        <w:rPr>
          <w:rFonts w:cstheme="minorHAnsi"/>
        </w:rPr>
        <w:t xml:space="preserve">unts is recognised as an ‘other </w:t>
      </w:r>
      <w:r w:rsidRPr="00CA7020">
        <w:rPr>
          <w:rFonts w:cstheme="minorHAnsi"/>
        </w:rPr>
        <w:t>economic fl</w:t>
      </w:r>
      <w:r w:rsidR="000B7ABF">
        <w:rPr>
          <w:rFonts w:cstheme="minorHAnsi"/>
        </w:rPr>
        <w:t xml:space="preserve">ow’ in the comprehensive </w:t>
      </w:r>
      <w:r w:rsidRPr="00CA7020">
        <w:rPr>
          <w:rFonts w:cstheme="minorHAnsi"/>
        </w:rPr>
        <w:t>operating statement.</w:t>
      </w:r>
    </w:p>
    <w:p w:rsidR="000B7ABF" w:rsidRDefault="000B7ABF" w:rsidP="00CA7020">
      <w:pPr>
        <w:autoSpaceDE w:val="0"/>
        <w:autoSpaceDN w:val="0"/>
        <w:adjustRightInd w:val="0"/>
        <w:spacing w:after="0" w:line="240" w:lineRule="auto"/>
        <w:rPr>
          <w:rFonts w:cstheme="minorHAnsi"/>
        </w:rPr>
      </w:pPr>
    </w:p>
    <w:p w:rsidR="00CA7020" w:rsidRPr="00CA7020" w:rsidRDefault="000B7ABF" w:rsidP="00D36BB2">
      <w:pPr>
        <w:pStyle w:val="Heading4"/>
      </w:pPr>
      <w:r>
        <w:t xml:space="preserve">7.1.1 Financial risk management </w:t>
      </w:r>
      <w:r w:rsidR="00CA7020" w:rsidRPr="00CA7020">
        <w:t>objectives and policies</w:t>
      </w:r>
    </w:p>
    <w:p w:rsidR="00562C13" w:rsidRDefault="00562C13" w:rsidP="00CA7020">
      <w:pPr>
        <w:autoSpaceDE w:val="0"/>
        <w:autoSpaceDN w:val="0"/>
        <w:adjustRightInd w:val="0"/>
        <w:spacing w:after="0" w:line="240" w:lineRule="auto"/>
        <w:rPr>
          <w:rFonts w:cstheme="minorHAnsi"/>
        </w:rPr>
      </w:pP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Chis</w:t>
      </w:r>
      <w:r w:rsidR="000B7ABF">
        <w:rPr>
          <w:rFonts w:cstheme="minorHAnsi"/>
        </w:rPr>
        <w:t xml:space="preserve">holm is exposed to a variety of </w:t>
      </w:r>
      <w:r w:rsidRPr="00CA7020">
        <w:rPr>
          <w:rFonts w:cstheme="minorHAnsi"/>
        </w:rPr>
        <w:t>financia</w:t>
      </w:r>
      <w:r w:rsidR="000B7ABF">
        <w:rPr>
          <w:rFonts w:cstheme="minorHAnsi"/>
        </w:rPr>
        <w:t xml:space="preserve">l risks, market risk (including </w:t>
      </w:r>
      <w:r w:rsidRPr="00CA7020">
        <w:rPr>
          <w:rFonts w:cstheme="minorHAnsi"/>
        </w:rPr>
        <w:t>foreign currency risk, interest rate risk</w:t>
      </w:r>
      <w:r w:rsidR="000B7ABF">
        <w:rPr>
          <w:rFonts w:cstheme="minorHAnsi"/>
        </w:rPr>
        <w:t xml:space="preserve"> </w:t>
      </w:r>
      <w:r w:rsidRPr="00CA7020">
        <w:rPr>
          <w:rFonts w:cstheme="minorHAnsi"/>
        </w:rPr>
        <w:t>and equity price risk), credit risk and</w:t>
      </w:r>
      <w:r w:rsidR="000B7ABF">
        <w:rPr>
          <w:rFonts w:cstheme="minorHAnsi"/>
        </w:rPr>
        <w:t xml:space="preserve"> </w:t>
      </w:r>
      <w:r w:rsidRPr="00CA7020">
        <w:rPr>
          <w:rFonts w:cstheme="minorHAnsi"/>
        </w:rPr>
        <w:t>liquidity risk.</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Chish</w:t>
      </w:r>
      <w:r w:rsidR="000B7ABF">
        <w:rPr>
          <w:rFonts w:cstheme="minorHAnsi"/>
        </w:rPr>
        <w:t xml:space="preserve">olm’s financial risk management </w:t>
      </w:r>
      <w:r w:rsidRPr="00CA7020">
        <w:rPr>
          <w:rFonts w:cstheme="minorHAnsi"/>
        </w:rPr>
        <w:t>prog</w:t>
      </w:r>
      <w:r w:rsidR="000B7ABF">
        <w:rPr>
          <w:rFonts w:cstheme="minorHAnsi"/>
        </w:rPr>
        <w:t xml:space="preserve">ram seeks to manage these risks </w:t>
      </w:r>
      <w:r w:rsidRPr="00CA7020">
        <w:rPr>
          <w:rFonts w:cstheme="minorHAnsi"/>
        </w:rPr>
        <w:t>and t</w:t>
      </w:r>
      <w:r w:rsidR="000B7ABF">
        <w:rPr>
          <w:rFonts w:cstheme="minorHAnsi"/>
        </w:rPr>
        <w:t xml:space="preserve">he associated volatility of its </w:t>
      </w:r>
      <w:r w:rsidRPr="00CA7020">
        <w:rPr>
          <w:rFonts w:cstheme="minorHAnsi"/>
        </w:rPr>
        <w:t>financial performance.</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t>Chish</w:t>
      </w:r>
      <w:r w:rsidR="000B7ABF">
        <w:rPr>
          <w:rFonts w:cstheme="minorHAnsi"/>
        </w:rPr>
        <w:t xml:space="preserve">olm’s financial risk management </w:t>
      </w:r>
      <w:r w:rsidRPr="00CA7020">
        <w:rPr>
          <w:rFonts w:cstheme="minorHAnsi"/>
        </w:rPr>
        <w:t xml:space="preserve">program </w:t>
      </w:r>
      <w:r w:rsidR="000B7ABF">
        <w:rPr>
          <w:rFonts w:cstheme="minorHAnsi"/>
        </w:rPr>
        <w:t xml:space="preserve">focuses on the unpredictability </w:t>
      </w:r>
      <w:r w:rsidRPr="00CA7020">
        <w:rPr>
          <w:rFonts w:cstheme="minorHAnsi"/>
        </w:rPr>
        <w:t>of financial markets and s</w:t>
      </w:r>
      <w:r w:rsidR="000B7ABF">
        <w:rPr>
          <w:rFonts w:cstheme="minorHAnsi"/>
        </w:rPr>
        <w:t xml:space="preserve">eeks to </w:t>
      </w:r>
      <w:r w:rsidRPr="00CA7020">
        <w:rPr>
          <w:rFonts w:cstheme="minorHAnsi"/>
        </w:rPr>
        <w:t>minimi</w:t>
      </w:r>
      <w:r w:rsidR="000B7ABF">
        <w:rPr>
          <w:rFonts w:cstheme="minorHAnsi"/>
        </w:rPr>
        <w:t xml:space="preserve">se potential adverse effects on </w:t>
      </w:r>
      <w:r w:rsidRPr="00CA7020">
        <w:rPr>
          <w:rFonts w:cstheme="minorHAnsi"/>
        </w:rPr>
        <w:t>the financial performance of Chisholm.</w:t>
      </w:r>
    </w:p>
    <w:p w:rsidR="00CA7020" w:rsidRPr="00CA7020" w:rsidRDefault="00CA7020" w:rsidP="00CA7020">
      <w:pPr>
        <w:autoSpaceDE w:val="0"/>
        <w:autoSpaceDN w:val="0"/>
        <w:adjustRightInd w:val="0"/>
        <w:spacing w:after="0" w:line="240" w:lineRule="auto"/>
        <w:rPr>
          <w:rFonts w:cstheme="minorHAnsi"/>
        </w:rPr>
      </w:pPr>
      <w:r w:rsidRPr="00CA7020">
        <w:rPr>
          <w:rFonts w:cstheme="minorHAnsi"/>
        </w:rPr>
        <w:lastRenderedPageBreak/>
        <w:t>Chi</w:t>
      </w:r>
      <w:r w:rsidR="000B7ABF">
        <w:rPr>
          <w:rFonts w:cstheme="minorHAnsi"/>
        </w:rPr>
        <w:t xml:space="preserve">sholm uses different methods to </w:t>
      </w:r>
      <w:r w:rsidRPr="00CA7020">
        <w:rPr>
          <w:rFonts w:cstheme="minorHAnsi"/>
        </w:rPr>
        <w:t>measure d</w:t>
      </w:r>
      <w:r w:rsidR="000B7ABF">
        <w:rPr>
          <w:rFonts w:cstheme="minorHAnsi"/>
        </w:rPr>
        <w:t xml:space="preserve">ifferent types of risk to which </w:t>
      </w:r>
      <w:r w:rsidRPr="00CA7020">
        <w:rPr>
          <w:rFonts w:cstheme="minorHAnsi"/>
        </w:rPr>
        <w:t>it is</w:t>
      </w:r>
      <w:r w:rsidR="000B7ABF">
        <w:rPr>
          <w:rFonts w:cstheme="minorHAnsi"/>
        </w:rPr>
        <w:t xml:space="preserve"> exposed. These methods include </w:t>
      </w:r>
      <w:r w:rsidRPr="00CA7020">
        <w:rPr>
          <w:rFonts w:cstheme="minorHAnsi"/>
        </w:rPr>
        <w:t>sensitivity a</w:t>
      </w:r>
      <w:r w:rsidR="000B7ABF">
        <w:rPr>
          <w:rFonts w:cstheme="minorHAnsi"/>
        </w:rPr>
        <w:t xml:space="preserve">nalysis in the case of interest </w:t>
      </w:r>
      <w:r w:rsidRPr="00CA7020">
        <w:rPr>
          <w:rFonts w:cstheme="minorHAnsi"/>
        </w:rPr>
        <w:t>rate, foreign</w:t>
      </w:r>
      <w:r w:rsidR="000B7ABF">
        <w:rPr>
          <w:rFonts w:cstheme="minorHAnsi"/>
        </w:rPr>
        <w:t xml:space="preserve"> exchange, other price risks </w:t>
      </w:r>
      <w:r w:rsidRPr="00CA7020">
        <w:rPr>
          <w:rFonts w:cstheme="minorHAnsi"/>
        </w:rPr>
        <w:t>and ageing analysis for credit risk.</w:t>
      </w:r>
    </w:p>
    <w:p w:rsidR="00CA7020" w:rsidRDefault="00CA7020" w:rsidP="000B7ABF">
      <w:pPr>
        <w:autoSpaceDE w:val="0"/>
        <w:autoSpaceDN w:val="0"/>
        <w:adjustRightInd w:val="0"/>
        <w:spacing w:after="0" w:line="240" w:lineRule="auto"/>
        <w:rPr>
          <w:rFonts w:cstheme="minorHAnsi"/>
        </w:rPr>
      </w:pPr>
      <w:r w:rsidRPr="00CA7020">
        <w:rPr>
          <w:rFonts w:cstheme="minorHAnsi"/>
        </w:rPr>
        <w:t>Ri</w:t>
      </w:r>
      <w:r w:rsidR="000B7ABF">
        <w:rPr>
          <w:rFonts w:cstheme="minorHAnsi"/>
        </w:rPr>
        <w:t xml:space="preserve">sk management is carried out by </w:t>
      </w:r>
      <w:r w:rsidRPr="00CA7020">
        <w:rPr>
          <w:rFonts w:cstheme="minorHAnsi"/>
        </w:rPr>
        <w:t>Fi</w:t>
      </w:r>
      <w:r w:rsidR="000B7ABF">
        <w:rPr>
          <w:rFonts w:cstheme="minorHAnsi"/>
        </w:rPr>
        <w:t xml:space="preserve">nancial Services under policies </w:t>
      </w:r>
      <w:r w:rsidRPr="00CA7020">
        <w:rPr>
          <w:rFonts w:cstheme="minorHAnsi"/>
        </w:rPr>
        <w:t>a</w:t>
      </w:r>
      <w:r w:rsidR="000B7ABF">
        <w:rPr>
          <w:rFonts w:cstheme="minorHAnsi"/>
        </w:rPr>
        <w:t xml:space="preserve">pproved by the Board. The Board </w:t>
      </w:r>
      <w:r w:rsidRPr="00CA7020">
        <w:rPr>
          <w:rFonts w:cstheme="minorHAnsi"/>
        </w:rPr>
        <w:t>provides w</w:t>
      </w:r>
      <w:r w:rsidR="000B7ABF">
        <w:rPr>
          <w:rFonts w:cstheme="minorHAnsi"/>
        </w:rPr>
        <w:t xml:space="preserve">ritten principles for financial </w:t>
      </w:r>
      <w:r w:rsidRPr="00CA7020">
        <w:rPr>
          <w:rFonts w:cstheme="minorHAnsi"/>
        </w:rPr>
        <w:t xml:space="preserve">risk </w:t>
      </w:r>
      <w:r w:rsidR="000B7ABF">
        <w:rPr>
          <w:rFonts w:cstheme="minorHAnsi"/>
        </w:rPr>
        <w:t xml:space="preserve">management, as well as policies </w:t>
      </w:r>
      <w:r w:rsidRPr="00CA7020">
        <w:rPr>
          <w:rFonts w:cstheme="minorHAnsi"/>
        </w:rPr>
        <w:t>covering s</w:t>
      </w:r>
      <w:r w:rsidR="000B7ABF">
        <w:rPr>
          <w:rFonts w:cstheme="minorHAnsi"/>
        </w:rPr>
        <w:t xml:space="preserve">pecific areas, such as foreign </w:t>
      </w:r>
      <w:r w:rsidRPr="00CA7020">
        <w:rPr>
          <w:rFonts w:cstheme="minorHAnsi"/>
        </w:rPr>
        <w:t>exchan</w:t>
      </w:r>
      <w:r w:rsidR="000B7ABF">
        <w:rPr>
          <w:rFonts w:cstheme="minorHAnsi"/>
        </w:rPr>
        <w:t xml:space="preserve">ge risk, interest rate risk and </w:t>
      </w:r>
      <w:r w:rsidRPr="00CA7020">
        <w:rPr>
          <w:rFonts w:cstheme="minorHAnsi"/>
        </w:rPr>
        <w:t>credit risk</w:t>
      </w:r>
      <w:r w:rsidR="000B7ABF">
        <w:rPr>
          <w:rFonts w:cstheme="minorHAnsi"/>
        </w:rPr>
        <w:t xml:space="preserve">. There has been no significant </w:t>
      </w:r>
      <w:r w:rsidRPr="00CA7020">
        <w:rPr>
          <w:rFonts w:cstheme="minorHAnsi"/>
        </w:rPr>
        <w:t>change</w:t>
      </w:r>
      <w:r w:rsidR="000B7ABF">
        <w:rPr>
          <w:rFonts w:cstheme="minorHAnsi"/>
        </w:rPr>
        <w:t xml:space="preserve"> in Chisholm’s exposure, or its </w:t>
      </w:r>
      <w:r w:rsidRPr="00CA7020">
        <w:rPr>
          <w:rFonts w:cstheme="minorHAnsi"/>
        </w:rPr>
        <w:t>objecti</w:t>
      </w:r>
      <w:r w:rsidR="000B7ABF">
        <w:rPr>
          <w:rFonts w:cstheme="minorHAnsi"/>
        </w:rPr>
        <w:t xml:space="preserve">ves, policies and processes for </w:t>
      </w:r>
      <w:r w:rsidRPr="00CA7020">
        <w:rPr>
          <w:rFonts w:cstheme="minorHAnsi"/>
        </w:rPr>
        <w:t>managin</w:t>
      </w:r>
      <w:r w:rsidR="000B7ABF">
        <w:rPr>
          <w:rFonts w:cstheme="minorHAnsi"/>
        </w:rPr>
        <w:t xml:space="preserve">g Chisholm’s financial risks or </w:t>
      </w:r>
      <w:r w:rsidRPr="00CA7020">
        <w:rPr>
          <w:rFonts w:cstheme="minorHAnsi"/>
        </w:rPr>
        <w:t xml:space="preserve">the methods used to measure </w:t>
      </w:r>
      <w:r w:rsidR="000B7ABF">
        <w:rPr>
          <w:rFonts w:cstheme="minorHAnsi"/>
        </w:rPr>
        <w:t xml:space="preserve">the risk </w:t>
      </w:r>
      <w:r w:rsidRPr="00CA7020">
        <w:rPr>
          <w:rFonts w:cstheme="minorHAnsi"/>
        </w:rPr>
        <w:t>from the previous reporting period.</w:t>
      </w:r>
    </w:p>
    <w:p w:rsidR="000B7ABF" w:rsidRDefault="000B7ABF" w:rsidP="000B7ABF">
      <w:pPr>
        <w:autoSpaceDE w:val="0"/>
        <w:autoSpaceDN w:val="0"/>
        <w:adjustRightInd w:val="0"/>
        <w:spacing w:after="0" w:line="240" w:lineRule="auto"/>
        <w:rPr>
          <w:rFonts w:cstheme="minorHAnsi"/>
        </w:rPr>
      </w:pPr>
    </w:p>
    <w:p w:rsidR="000B7ABF" w:rsidRDefault="000B7ABF" w:rsidP="000B7ABF">
      <w:pPr>
        <w:autoSpaceDE w:val="0"/>
        <w:autoSpaceDN w:val="0"/>
        <w:adjustRightInd w:val="0"/>
        <w:spacing w:after="0" w:line="240" w:lineRule="auto"/>
        <w:rPr>
          <w:rFonts w:cstheme="minorHAnsi"/>
        </w:rPr>
      </w:pPr>
      <w:r>
        <w:rPr>
          <w:rFonts w:cstheme="minorHAnsi"/>
        </w:rPr>
        <w:t>&lt;pp&gt;71</w:t>
      </w:r>
    </w:p>
    <w:p w:rsidR="000B7ABF" w:rsidRDefault="000B7ABF" w:rsidP="000B7ABF">
      <w:pPr>
        <w:autoSpaceDE w:val="0"/>
        <w:autoSpaceDN w:val="0"/>
        <w:adjustRightInd w:val="0"/>
        <w:spacing w:after="0" w:line="240" w:lineRule="auto"/>
        <w:rPr>
          <w:rFonts w:cstheme="minorHAnsi"/>
        </w:rPr>
      </w:pPr>
    </w:p>
    <w:p w:rsidR="000B7ABF" w:rsidRPr="00CA7020" w:rsidRDefault="000B7ABF" w:rsidP="00D36BB2">
      <w:pPr>
        <w:pStyle w:val="Heading3"/>
      </w:pPr>
      <w:r w:rsidRPr="00CA7020">
        <w:t xml:space="preserve">7. </w:t>
      </w:r>
      <w:proofErr w:type="gramStart"/>
      <w:r w:rsidRPr="00CA7020">
        <w:t>managing</w:t>
      </w:r>
      <w:proofErr w:type="gramEnd"/>
      <w:r w:rsidRPr="00CA7020">
        <w:t xml:space="preserve"> risks and uncertainties</w:t>
      </w:r>
      <w:r>
        <w:t xml:space="preserve"> (continued)</w:t>
      </w:r>
    </w:p>
    <w:p w:rsidR="000B7ABF" w:rsidRDefault="000B7ABF" w:rsidP="000B7ABF">
      <w:pPr>
        <w:autoSpaceDE w:val="0"/>
        <w:autoSpaceDN w:val="0"/>
        <w:adjustRightInd w:val="0"/>
        <w:spacing w:after="0" w:line="240" w:lineRule="auto"/>
        <w:rPr>
          <w:rFonts w:cstheme="minorHAnsi"/>
        </w:rPr>
      </w:pPr>
    </w:p>
    <w:p w:rsidR="000B7ABF" w:rsidRDefault="000B7ABF" w:rsidP="00D36BB2">
      <w:pPr>
        <w:pStyle w:val="Heading4"/>
      </w:pPr>
      <w:r>
        <w:t>7.1.2 Credit risk</w:t>
      </w:r>
    </w:p>
    <w:p w:rsidR="000B7ABF" w:rsidRDefault="000B7ABF" w:rsidP="000B7ABF">
      <w:pPr>
        <w:autoSpaceDE w:val="0"/>
        <w:autoSpaceDN w:val="0"/>
        <w:adjustRightInd w:val="0"/>
        <w:spacing w:after="0" w:line="240" w:lineRule="auto"/>
        <w:rPr>
          <w:rFonts w:cstheme="minorHAnsi"/>
        </w:rPr>
      </w:pP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Credit risk</w:t>
      </w:r>
      <w:r>
        <w:rPr>
          <w:rFonts w:cstheme="minorHAnsi"/>
        </w:rPr>
        <w:t xml:space="preserve"> refers to the possibility that </w:t>
      </w:r>
      <w:r w:rsidRPr="000B7ABF">
        <w:rPr>
          <w:rFonts w:cstheme="minorHAnsi"/>
        </w:rPr>
        <w:t>a borrowe</w:t>
      </w:r>
      <w:r>
        <w:rPr>
          <w:rFonts w:cstheme="minorHAnsi"/>
        </w:rPr>
        <w:t xml:space="preserve">r will default on its financial </w:t>
      </w:r>
      <w:r w:rsidRPr="000B7ABF">
        <w:rPr>
          <w:rFonts w:cstheme="minorHAnsi"/>
        </w:rPr>
        <w:t>obligat</w:t>
      </w:r>
      <w:r>
        <w:rPr>
          <w:rFonts w:cstheme="minorHAnsi"/>
        </w:rPr>
        <w:t xml:space="preserve">ions as and when they fall due. </w:t>
      </w:r>
      <w:r w:rsidRPr="000B7ABF">
        <w:rPr>
          <w:rFonts w:cstheme="minorHAnsi"/>
        </w:rPr>
        <w:t>Credit r</w:t>
      </w:r>
      <w:r>
        <w:rPr>
          <w:rFonts w:cstheme="minorHAnsi"/>
        </w:rPr>
        <w:t xml:space="preserve">isk arises from the contractual </w:t>
      </w:r>
      <w:r w:rsidRPr="000B7ABF">
        <w:rPr>
          <w:rFonts w:cstheme="minorHAnsi"/>
        </w:rPr>
        <w:t>fina</w:t>
      </w:r>
      <w:r>
        <w:rPr>
          <w:rFonts w:cstheme="minorHAnsi"/>
        </w:rPr>
        <w:t xml:space="preserve">ncial assets of Chisholm, which </w:t>
      </w:r>
      <w:r w:rsidRPr="000B7ABF">
        <w:rPr>
          <w:rFonts w:cstheme="minorHAnsi"/>
        </w:rPr>
        <w:t>comprise cash</w:t>
      </w:r>
      <w:r>
        <w:rPr>
          <w:rFonts w:cstheme="minorHAnsi"/>
        </w:rPr>
        <w:t xml:space="preserve"> and deposits and </w:t>
      </w:r>
      <w:r w:rsidRPr="000B7ABF">
        <w:rPr>
          <w:rFonts w:cstheme="minorHAnsi"/>
        </w:rPr>
        <w:t>non-st</w:t>
      </w:r>
      <w:r>
        <w:rPr>
          <w:rFonts w:cstheme="minorHAnsi"/>
        </w:rPr>
        <w:t xml:space="preserve">atutory receivables. Chisholm’s </w:t>
      </w:r>
      <w:r w:rsidRPr="000B7ABF">
        <w:rPr>
          <w:rFonts w:cstheme="minorHAnsi"/>
        </w:rPr>
        <w:t>exposure</w:t>
      </w:r>
      <w:r>
        <w:rPr>
          <w:rFonts w:cstheme="minorHAnsi"/>
        </w:rPr>
        <w:t xml:space="preserve"> to credit risk arises from the </w:t>
      </w:r>
      <w:r w:rsidRPr="000B7ABF">
        <w:rPr>
          <w:rFonts w:cstheme="minorHAnsi"/>
        </w:rPr>
        <w:t>potentia</w:t>
      </w:r>
      <w:r>
        <w:rPr>
          <w:rFonts w:cstheme="minorHAnsi"/>
        </w:rPr>
        <w:t xml:space="preserve">l default of a counter party on </w:t>
      </w:r>
      <w:r w:rsidRPr="000B7ABF">
        <w:rPr>
          <w:rFonts w:cstheme="minorHAnsi"/>
        </w:rPr>
        <w:t>their co</w:t>
      </w:r>
      <w:r>
        <w:rPr>
          <w:rFonts w:cstheme="minorHAnsi"/>
        </w:rPr>
        <w:t xml:space="preserve">ntractual obligations resulting </w:t>
      </w:r>
      <w:r w:rsidRPr="000B7ABF">
        <w:rPr>
          <w:rFonts w:cstheme="minorHAnsi"/>
        </w:rPr>
        <w:t>in financial loss to Chisholm.</w:t>
      </w: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Credit ris</w:t>
      </w:r>
      <w:r>
        <w:rPr>
          <w:rFonts w:cstheme="minorHAnsi"/>
        </w:rPr>
        <w:t xml:space="preserve">k is measured at fair value and </w:t>
      </w:r>
      <w:r w:rsidRPr="000B7ABF">
        <w:rPr>
          <w:rFonts w:cstheme="minorHAnsi"/>
        </w:rPr>
        <w:t>is monitored on a regular basis by the</w:t>
      </w: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Audit</w:t>
      </w:r>
      <w:r>
        <w:rPr>
          <w:rFonts w:cstheme="minorHAnsi"/>
        </w:rPr>
        <w:t xml:space="preserve"> and Risk Management Committee. The Audit and Risk Management </w:t>
      </w:r>
      <w:r w:rsidRPr="000B7ABF">
        <w:rPr>
          <w:rFonts w:cstheme="minorHAnsi"/>
        </w:rPr>
        <w:t>Co</w:t>
      </w:r>
      <w:r>
        <w:rPr>
          <w:rFonts w:cstheme="minorHAnsi"/>
        </w:rPr>
        <w:t xml:space="preserve">mmittee monitors credit risk by </w:t>
      </w:r>
      <w:r w:rsidRPr="000B7ABF">
        <w:rPr>
          <w:rFonts w:cstheme="minorHAnsi"/>
        </w:rPr>
        <w:t>active</w:t>
      </w:r>
      <w:r>
        <w:rPr>
          <w:rFonts w:cstheme="minorHAnsi"/>
        </w:rPr>
        <w:t xml:space="preserve">ly assessing the rating quality </w:t>
      </w:r>
      <w:r w:rsidRPr="000B7ABF">
        <w:rPr>
          <w:rFonts w:cstheme="minorHAnsi"/>
        </w:rPr>
        <w:t>and liquidity of counterparties:</w:t>
      </w: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 xml:space="preserve">• </w:t>
      </w:r>
      <w:r w:rsidR="00F54F93" w:rsidRPr="000B7ABF">
        <w:rPr>
          <w:rFonts w:cstheme="minorHAnsi"/>
        </w:rPr>
        <w:t>All</w:t>
      </w:r>
      <w:r w:rsidRPr="000B7ABF">
        <w:rPr>
          <w:rFonts w:cstheme="minorHAnsi"/>
        </w:rPr>
        <w:t xml:space="preserve"> po</w:t>
      </w:r>
      <w:r>
        <w:rPr>
          <w:rFonts w:cstheme="minorHAnsi"/>
        </w:rPr>
        <w:t xml:space="preserve">tential customers are rated for </w:t>
      </w:r>
      <w:r w:rsidRPr="000B7ABF">
        <w:rPr>
          <w:rFonts w:cstheme="minorHAnsi"/>
        </w:rPr>
        <w:t>credit worth</w:t>
      </w:r>
      <w:r>
        <w:rPr>
          <w:rFonts w:cstheme="minorHAnsi"/>
        </w:rPr>
        <w:t xml:space="preserve">iness taking into account their size, market position and </w:t>
      </w:r>
      <w:r w:rsidRPr="000B7ABF">
        <w:rPr>
          <w:rFonts w:cstheme="minorHAnsi"/>
        </w:rPr>
        <w:t>financial standing; and</w:t>
      </w:r>
    </w:p>
    <w:p w:rsidR="000B7ABF" w:rsidRPr="000B7ABF" w:rsidRDefault="000B7ABF" w:rsidP="000B7ABF">
      <w:pPr>
        <w:autoSpaceDE w:val="0"/>
        <w:autoSpaceDN w:val="0"/>
        <w:adjustRightInd w:val="0"/>
        <w:spacing w:after="0" w:line="240" w:lineRule="auto"/>
        <w:rPr>
          <w:rFonts w:cstheme="minorHAnsi"/>
        </w:rPr>
      </w:pPr>
      <w:r>
        <w:rPr>
          <w:rFonts w:cstheme="minorHAnsi"/>
        </w:rPr>
        <w:t xml:space="preserve">• customers that do not meet </w:t>
      </w:r>
      <w:r w:rsidRPr="000B7ABF">
        <w:rPr>
          <w:rFonts w:cstheme="minorHAnsi"/>
        </w:rPr>
        <w:t>Ch</w:t>
      </w:r>
      <w:r>
        <w:rPr>
          <w:rFonts w:cstheme="minorHAnsi"/>
        </w:rPr>
        <w:t xml:space="preserve">isholm’s strict credit policies </w:t>
      </w:r>
      <w:r w:rsidRPr="000B7ABF">
        <w:rPr>
          <w:rFonts w:cstheme="minorHAnsi"/>
        </w:rPr>
        <w:t>may</w:t>
      </w:r>
      <w:r>
        <w:rPr>
          <w:rFonts w:cstheme="minorHAnsi"/>
        </w:rPr>
        <w:t xml:space="preserve"> only purchase in cash or using </w:t>
      </w:r>
      <w:r w:rsidRPr="000B7ABF">
        <w:rPr>
          <w:rFonts w:cstheme="minorHAnsi"/>
        </w:rPr>
        <w:t>recognised credit cards.</w:t>
      </w: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T</w:t>
      </w:r>
      <w:r w:rsidR="00A3505C">
        <w:rPr>
          <w:rFonts w:cstheme="minorHAnsi"/>
        </w:rPr>
        <w:t xml:space="preserve">he trade receivables balance at </w:t>
      </w:r>
      <w:r w:rsidRPr="000B7ABF">
        <w:rPr>
          <w:rFonts w:cstheme="minorHAnsi"/>
        </w:rPr>
        <w:t>31 December 2017 a</w:t>
      </w:r>
      <w:r w:rsidR="00A3505C">
        <w:rPr>
          <w:rFonts w:cstheme="minorHAnsi"/>
        </w:rPr>
        <w:t xml:space="preserve">nd 31 December </w:t>
      </w:r>
      <w:r w:rsidRPr="000B7ABF">
        <w:rPr>
          <w:rFonts w:cstheme="minorHAnsi"/>
        </w:rPr>
        <w:t>2016 do</w:t>
      </w:r>
      <w:r w:rsidR="00A3505C">
        <w:rPr>
          <w:rFonts w:cstheme="minorHAnsi"/>
        </w:rPr>
        <w:t xml:space="preserve"> not include any counterparties </w:t>
      </w:r>
      <w:r w:rsidRPr="000B7ABF">
        <w:rPr>
          <w:rFonts w:cstheme="minorHAnsi"/>
        </w:rPr>
        <w:t>with ext</w:t>
      </w:r>
      <w:r w:rsidR="00A3505C">
        <w:rPr>
          <w:rFonts w:cstheme="minorHAnsi"/>
        </w:rPr>
        <w:t xml:space="preserve">ernal credit ratings. Customers </w:t>
      </w:r>
      <w:r w:rsidRPr="000B7ABF">
        <w:rPr>
          <w:rFonts w:cstheme="minorHAnsi"/>
        </w:rPr>
        <w:t>are asses</w:t>
      </w:r>
      <w:r w:rsidR="00A3505C">
        <w:rPr>
          <w:rFonts w:cstheme="minorHAnsi"/>
        </w:rPr>
        <w:t xml:space="preserve">sed for credit worthiness using </w:t>
      </w:r>
      <w:r w:rsidRPr="000B7ABF">
        <w:rPr>
          <w:rFonts w:cstheme="minorHAnsi"/>
        </w:rPr>
        <w:t>the criteria detailed above.</w:t>
      </w: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In add</w:t>
      </w:r>
      <w:r w:rsidR="00A3505C">
        <w:rPr>
          <w:rFonts w:cstheme="minorHAnsi"/>
        </w:rPr>
        <w:t xml:space="preserve">ition, Chisholm does not engage </w:t>
      </w:r>
      <w:r w:rsidRPr="000B7ABF">
        <w:rPr>
          <w:rFonts w:cstheme="minorHAnsi"/>
        </w:rPr>
        <w:t>in hedgin</w:t>
      </w:r>
      <w:r w:rsidR="00A3505C">
        <w:rPr>
          <w:rFonts w:cstheme="minorHAnsi"/>
        </w:rPr>
        <w:t xml:space="preserve">g for its contractual financial </w:t>
      </w:r>
      <w:r w:rsidRPr="000B7ABF">
        <w:rPr>
          <w:rFonts w:cstheme="minorHAnsi"/>
        </w:rPr>
        <w:t>assets and ma</w:t>
      </w:r>
      <w:r w:rsidR="00A3505C">
        <w:rPr>
          <w:rFonts w:cstheme="minorHAnsi"/>
        </w:rPr>
        <w:t xml:space="preserve">inly obtains contractual </w:t>
      </w:r>
      <w:r w:rsidRPr="000B7ABF">
        <w:rPr>
          <w:rFonts w:cstheme="minorHAnsi"/>
        </w:rPr>
        <w:t>fin</w:t>
      </w:r>
      <w:r w:rsidR="00A3505C">
        <w:rPr>
          <w:rFonts w:cstheme="minorHAnsi"/>
        </w:rPr>
        <w:t xml:space="preserve">ancial assets that are on fixed </w:t>
      </w:r>
      <w:r w:rsidRPr="000B7ABF">
        <w:rPr>
          <w:rFonts w:cstheme="minorHAnsi"/>
        </w:rPr>
        <w:t>interest</w:t>
      </w:r>
      <w:r w:rsidR="00A3505C">
        <w:rPr>
          <w:rFonts w:cstheme="minorHAnsi"/>
        </w:rPr>
        <w:t xml:space="preserve">, except for cash assets, which </w:t>
      </w:r>
      <w:r w:rsidRPr="000B7ABF">
        <w:rPr>
          <w:rFonts w:cstheme="minorHAnsi"/>
        </w:rPr>
        <w:t xml:space="preserve">are </w:t>
      </w:r>
      <w:r w:rsidR="00A3505C">
        <w:rPr>
          <w:rFonts w:cstheme="minorHAnsi"/>
        </w:rPr>
        <w:t xml:space="preserve">mainly cash at bank. Chisholm’s </w:t>
      </w:r>
      <w:r w:rsidRPr="000B7ABF">
        <w:rPr>
          <w:rFonts w:cstheme="minorHAnsi"/>
        </w:rPr>
        <w:t xml:space="preserve">policy </w:t>
      </w:r>
      <w:r w:rsidR="00A3505C">
        <w:rPr>
          <w:rFonts w:cstheme="minorHAnsi"/>
        </w:rPr>
        <w:t xml:space="preserve">is to only deal with banks with </w:t>
      </w:r>
      <w:r w:rsidRPr="000B7ABF">
        <w:rPr>
          <w:rFonts w:cstheme="minorHAnsi"/>
        </w:rPr>
        <w:t>high credit ratings.</w:t>
      </w:r>
    </w:p>
    <w:p w:rsidR="000B7ABF" w:rsidRPr="000B7ABF" w:rsidRDefault="000B7ABF" w:rsidP="000B7ABF">
      <w:pPr>
        <w:autoSpaceDE w:val="0"/>
        <w:autoSpaceDN w:val="0"/>
        <w:adjustRightInd w:val="0"/>
        <w:spacing w:after="0" w:line="240" w:lineRule="auto"/>
        <w:rPr>
          <w:rFonts w:cstheme="minorHAnsi"/>
        </w:rPr>
      </w:pPr>
      <w:r w:rsidRPr="000B7ABF">
        <w:rPr>
          <w:rFonts w:cstheme="minorHAnsi"/>
        </w:rPr>
        <w:t>The</w:t>
      </w:r>
      <w:r w:rsidR="00A3505C">
        <w:rPr>
          <w:rFonts w:cstheme="minorHAnsi"/>
        </w:rPr>
        <w:t xml:space="preserve"> carrying amount of contractual </w:t>
      </w:r>
      <w:r w:rsidRPr="000B7ABF">
        <w:rPr>
          <w:rFonts w:cstheme="minorHAnsi"/>
        </w:rPr>
        <w:t>financial assets recorded</w:t>
      </w:r>
      <w:r w:rsidR="00A3505C">
        <w:rPr>
          <w:rFonts w:cstheme="minorHAnsi"/>
        </w:rPr>
        <w:t xml:space="preserve"> in the </w:t>
      </w:r>
      <w:r w:rsidRPr="000B7ABF">
        <w:rPr>
          <w:rFonts w:cstheme="minorHAnsi"/>
        </w:rPr>
        <w:t>f</w:t>
      </w:r>
      <w:r w:rsidR="00A3505C">
        <w:rPr>
          <w:rFonts w:cstheme="minorHAnsi"/>
        </w:rPr>
        <w:t xml:space="preserve">inancial statements, net of any </w:t>
      </w:r>
      <w:r w:rsidRPr="000B7ABF">
        <w:rPr>
          <w:rFonts w:cstheme="minorHAnsi"/>
        </w:rPr>
        <w:t>al</w:t>
      </w:r>
      <w:r w:rsidR="00A3505C">
        <w:rPr>
          <w:rFonts w:cstheme="minorHAnsi"/>
        </w:rPr>
        <w:t xml:space="preserve">lowances for losses, represents Chisholm’s maximum exposure to </w:t>
      </w:r>
      <w:r w:rsidRPr="000B7ABF">
        <w:rPr>
          <w:rFonts w:cstheme="minorHAnsi"/>
        </w:rPr>
        <w:t>credit</w:t>
      </w:r>
      <w:r w:rsidR="00A3505C">
        <w:rPr>
          <w:rFonts w:cstheme="minorHAnsi"/>
        </w:rPr>
        <w:t xml:space="preserve"> risk without taking account of </w:t>
      </w:r>
      <w:r w:rsidRPr="000B7ABF">
        <w:rPr>
          <w:rFonts w:cstheme="minorHAnsi"/>
        </w:rPr>
        <w:t>the value of any collateral obtained.</w:t>
      </w:r>
    </w:p>
    <w:p w:rsidR="000B7ABF" w:rsidRDefault="000B7ABF" w:rsidP="000B7ABF">
      <w:pPr>
        <w:autoSpaceDE w:val="0"/>
        <w:autoSpaceDN w:val="0"/>
        <w:adjustRightInd w:val="0"/>
        <w:spacing w:after="0" w:line="240" w:lineRule="auto"/>
        <w:rPr>
          <w:rFonts w:cstheme="minorHAnsi"/>
        </w:rPr>
      </w:pPr>
      <w:r w:rsidRPr="000B7ABF">
        <w:rPr>
          <w:rFonts w:cstheme="minorHAnsi"/>
        </w:rPr>
        <w:t>There a</w:t>
      </w:r>
      <w:r w:rsidR="00A3505C">
        <w:rPr>
          <w:rFonts w:cstheme="minorHAnsi"/>
        </w:rPr>
        <w:t xml:space="preserve">re no material financial assets </w:t>
      </w:r>
      <w:r w:rsidRPr="000B7ABF">
        <w:rPr>
          <w:rFonts w:cstheme="minorHAnsi"/>
        </w:rPr>
        <w:t>which are individually determined t</w:t>
      </w:r>
      <w:r w:rsidR="00A3505C">
        <w:rPr>
          <w:rFonts w:cstheme="minorHAnsi"/>
        </w:rPr>
        <w:t xml:space="preserve">o </w:t>
      </w:r>
      <w:r w:rsidRPr="000B7ABF">
        <w:rPr>
          <w:rFonts w:cstheme="minorHAnsi"/>
        </w:rPr>
        <w:t>be impaired.</w:t>
      </w:r>
    </w:p>
    <w:p w:rsidR="00D45C46" w:rsidRDefault="00D45C46" w:rsidP="000B7ABF">
      <w:pPr>
        <w:autoSpaceDE w:val="0"/>
        <w:autoSpaceDN w:val="0"/>
        <w:adjustRightInd w:val="0"/>
        <w:spacing w:after="0" w:line="240" w:lineRule="auto"/>
        <w:rPr>
          <w:rFonts w:cstheme="minorHAnsi"/>
        </w:rPr>
      </w:pPr>
    </w:p>
    <w:p w:rsidR="00AE559A" w:rsidRDefault="00AE559A" w:rsidP="000B7ABF">
      <w:pPr>
        <w:autoSpaceDE w:val="0"/>
        <w:autoSpaceDN w:val="0"/>
        <w:adjustRightInd w:val="0"/>
        <w:spacing w:after="0" w:line="240" w:lineRule="auto"/>
        <w:rPr>
          <w:rFonts w:cstheme="minorHAnsi"/>
        </w:rPr>
        <w:sectPr w:rsidR="00AE559A">
          <w:pgSz w:w="11906" w:h="16838"/>
          <w:pgMar w:top="1440" w:right="1440" w:bottom="1440" w:left="1440" w:header="708" w:footer="708" w:gutter="0"/>
          <w:cols w:space="708"/>
          <w:docGrid w:linePitch="360"/>
        </w:sectPr>
      </w:pPr>
    </w:p>
    <w:p w:rsidR="00AE559A" w:rsidRDefault="00D45C46" w:rsidP="000B7ABF">
      <w:pPr>
        <w:autoSpaceDE w:val="0"/>
        <w:autoSpaceDN w:val="0"/>
        <w:adjustRightInd w:val="0"/>
        <w:spacing w:after="0" w:line="240" w:lineRule="auto"/>
        <w:rPr>
          <w:rFonts w:cstheme="minorHAnsi"/>
        </w:rPr>
      </w:pPr>
      <w:r>
        <w:rPr>
          <w:rFonts w:cstheme="minorHAnsi"/>
        </w:rPr>
        <w:lastRenderedPageBreak/>
        <w:t>Credit quality of contractual financial assets that are neither passed due nor impaired</w:t>
      </w:r>
    </w:p>
    <w:tbl>
      <w:tblPr>
        <w:tblStyle w:val="TableGrid"/>
        <w:tblW w:w="8505" w:type="dxa"/>
        <w:tblInd w:w="5949" w:type="dxa"/>
        <w:tblLook w:val="04A0" w:firstRow="1" w:lastRow="0" w:firstColumn="1" w:lastColumn="0" w:noHBand="0" w:noVBand="1"/>
      </w:tblPr>
      <w:tblGrid>
        <w:gridCol w:w="2126"/>
        <w:gridCol w:w="2268"/>
        <w:gridCol w:w="2126"/>
        <w:gridCol w:w="1985"/>
      </w:tblGrid>
      <w:tr w:rsidR="00AE559A" w:rsidTr="00AE559A">
        <w:tc>
          <w:tcPr>
            <w:tcW w:w="2126" w:type="dxa"/>
            <w:vAlign w:val="bottom"/>
          </w:tcPr>
          <w:p w:rsidR="00AE559A" w:rsidRDefault="00AE559A" w:rsidP="00A31F01">
            <w:pPr>
              <w:pStyle w:val="NoSpacing"/>
              <w:jc w:val="right"/>
              <w:rPr>
                <w:rFonts w:cstheme="minorHAnsi"/>
              </w:rPr>
            </w:pPr>
            <w:r>
              <w:rPr>
                <w:rFonts w:cstheme="minorHAnsi"/>
              </w:rPr>
              <w:t>Financial institutions (AA-rating)</w:t>
            </w:r>
          </w:p>
        </w:tc>
        <w:tc>
          <w:tcPr>
            <w:tcW w:w="2268" w:type="dxa"/>
            <w:vAlign w:val="bottom"/>
          </w:tcPr>
          <w:p w:rsidR="00AE559A" w:rsidRDefault="00AE559A" w:rsidP="00A31F01">
            <w:pPr>
              <w:pStyle w:val="NoSpacing"/>
              <w:jc w:val="right"/>
              <w:rPr>
                <w:rFonts w:cstheme="minorHAnsi"/>
              </w:rPr>
            </w:pPr>
            <w:r>
              <w:rPr>
                <w:rFonts w:cstheme="minorHAnsi"/>
              </w:rPr>
              <w:t xml:space="preserve">Government institutions </w:t>
            </w:r>
          </w:p>
          <w:p w:rsidR="00AE559A" w:rsidRDefault="00AE559A" w:rsidP="00A31F01">
            <w:pPr>
              <w:pStyle w:val="NoSpacing"/>
              <w:jc w:val="right"/>
              <w:rPr>
                <w:rFonts w:cstheme="minorHAnsi"/>
              </w:rPr>
            </w:pPr>
            <w:r>
              <w:rPr>
                <w:rFonts w:cstheme="minorHAnsi"/>
              </w:rPr>
              <w:t>(AA-rating)</w:t>
            </w:r>
          </w:p>
        </w:tc>
        <w:tc>
          <w:tcPr>
            <w:tcW w:w="2126" w:type="dxa"/>
            <w:vAlign w:val="bottom"/>
          </w:tcPr>
          <w:p w:rsidR="00AE559A" w:rsidRDefault="00AE559A" w:rsidP="00A31F01">
            <w:pPr>
              <w:pStyle w:val="NoSpacing"/>
              <w:jc w:val="right"/>
              <w:rPr>
                <w:rFonts w:cstheme="minorHAnsi"/>
              </w:rPr>
            </w:pPr>
            <w:r>
              <w:rPr>
                <w:rFonts w:cstheme="minorHAnsi"/>
              </w:rPr>
              <w:t xml:space="preserve">Other counterparty </w:t>
            </w:r>
          </w:p>
        </w:tc>
        <w:tc>
          <w:tcPr>
            <w:tcW w:w="1985" w:type="dxa"/>
            <w:vAlign w:val="bottom"/>
          </w:tcPr>
          <w:p w:rsidR="00AE559A" w:rsidRDefault="00AE559A" w:rsidP="00A31F01">
            <w:pPr>
              <w:pStyle w:val="NoSpacing"/>
              <w:jc w:val="right"/>
              <w:rPr>
                <w:rFonts w:cstheme="minorHAnsi"/>
              </w:rPr>
            </w:pPr>
            <w:r>
              <w:rPr>
                <w:rFonts w:cstheme="minorHAnsi"/>
              </w:rPr>
              <w:t xml:space="preserve">Total </w:t>
            </w:r>
          </w:p>
        </w:tc>
      </w:tr>
      <w:tr w:rsidR="00AE559A" w:rsidTr="00AE559A">
        <w:tc>
          <w:tcPr>
            <w:tcW w:w="2126" w:type="dxa"/>
          </w:tcPr>
          <w:p w:rsidR="00AE559A" w:rsidRDefault="00AE559A" w:rsidP="00A31F01">
            <w:pPr>
              <w:jc w:val="right"/>
            </w:pPr>
            <w:r w:rsidRPr="00FF31DA">
              <w:rPr>
                <w:rFonts w:cstheme="minorHAnsi"/>
                <w:bCs/>
                <w:w w:val="105"/>
              </w:rPr>
              <w:t>$’000</w:t>
            </w:r>
          </w:p>
        </w:tc>
        <w:tc>
          <w:tcPr>
            <w:tcW w:w="2268" w:type="dxa"/>
          </w:tcPr>
          <w:p w:rsidR="00AE559A" w:rsidRDefault="00AE559A" w:rsidP="00A31F01">
            <w:pPr>
              <w:jc w:val="right"/>
            </w:pPr>
            <w:r w:rsidRPr="00FF31DA">
              <w:rPr>
                <w:rFonts w:cstheme="minorHAnsi"/>
                <w:bCs/>
                <w:w w:val="105"/>
              </w:rPr>
              <w:t>$’000</w:t>
            </w:r>
          </w:p>
        </w:tc>
        <w:tc>
          <w:tcPr>
            <w:tcW w:w="2126" w:type="dxa"/>
          </w:tcPr>
          <w:p w:rsidR="00AE559A" w:rsidRDefault="00AE559A" w:rsidP="00A31F01">
            <w:pPr>
              <w:jc w:val="right"/>
            </w:pPr>
            <w:r w:rsidRPr="00FF31DA">
              <w:rPr>
                <w:rFonts w:cstheme="minorHAnsi"/>
                <w:bCs/>
                <w:w w:val="105"/>
              </w:rPr>
              <w:t>$’000</w:t>
            </w:r>
          </w:p>
        </w:tc>
        <w:tc>
          <w:tcPr>
            <w:tcW w:w="1985" w:type="dxa"/>
          </w:tcPr>
          <w:p w:rsidR="00AE559A" w:rsidRDefault="00AE559A" w:rsidP="00A31F01">
            <w:pPr>
              <w:jc w:val="right"/>
            </w:pPr>
            <w:r w:rsidRPr="00FF31DA">
              <w:rPr>
                <w:rFonts w:cstheme="minorHAnsi"/>
                <w:bCs/>
                <w:w w:val="105"/>
              </w:rPr>
              <w:t>$’000</w:t>
            </w:r>
          </w:p>
        </w:tc>
      </w:tr>
    </w:tbl>
    <w:p w:rsidR="00AE559A" w:rsidRDefault="00AE559A" w:rsidP="000B7ABF">
      <w:pPr>
        <w:autoSpaceDE w:val="0"/>
        <w:autoSpaceDN w:val="0"/>
        <w:adjustRightInd w:val="0"/>
        <w:spacing w:after="0" w:line="240" w:lineRule="auto"/>
        <w:rPr>
          <w:rFonts w:cstheme="minorHAnsi"/>
        </w:rPr>
      </w:pPr>
      <w:r>
        <w:rPr>
          <w:rFonts w:cstheme="minorHAnsi"/>
        </w:rPr>
        <w:t>Consolidated 2017</w:t>
      </w:r>
    </w:p>
    <w:tbl>
      <w:tblPr>
        <w:tblStyle w:val="TableGrid"/>
        <w:tblW w:w="14454" w:type="dxa"/>
        <w:tblLook w:val="04A0" w:firstRow="1" w:lastRow="0" w:firstColumn="1" w:lastColumn="0" w:noHBand="0" w:noVBand="1"/>
      </w:tblPr>
      <w:tblGrid>
        <w:gridCol w:w="5949"/>
        <w:gridCol w:w="2126"/>
        <w:gridCol w:w="2268"/>
        <w:gridCol w:w="2126"/>
        <w:gridCol w:w="1985"/>
      </w:tblGrid>
      <w:tr w:rsidR="00AE559A" w:rsidTr="00AE559A">
        <w:tc>
          <w:tcPr>
            <w:tcW w:w="5949" w:type="dxa"/>
          </w:tcPr>
          <w:p w:rsidR="00AE559A" w:rsidRDefault="00AE559A" w:rsidP="000B7ABF">
            <w:pPr>
              <w:autoSpaceDE w:val="0"/>
              <w:autoSpaceDN w:val="0"/>
              <w:adjustRightInd w:val="0"/>
              <w:rPr>
                <w:rFonts w:cstheme="minorHAnsi"/>
              </w:rPr>
            </w:pPr>
            <w:r>
              <w:rPr>
                <w:rFonts w:cstheme="minorHAnsi"/>
              </w:rPr>
              <w:t xml:space="preserve">Cash and deposits </w:t>
            </w:r>
          </w:p>
        </w:tc>
        <w:tc>
          <w:tcPr>
            <w:tcW w:w="2126" w:type="dxa"/>
          </w:tcPr>
          <w:p w:rsidR="00AE559A" w:rsidRDefault="00E03D36" w:rsidP="00E03D36">
            <w:pPr>
              <w:autoSpaceDE w:val="0"/>
              <w:autoSpaceDN w:val="0"/>
              <w:adjustRightInd w:val="0"/>
              <w:jc w:val="right"/>
              <w:rPr>
                <w:rFonts w:cstheme="minorHAnsi"/>
              </w:rPr>
            </w:pPr>
            <w:r>
              <w:rPr>
                <w:rFonts w:cstheme="minorHAnsi"/>
              </w:rPr>
              <w:t>9,526</w:t>
            </w:r>
          </w:p>
        </w:tc>
        <w:tc>
          <w:tcPr>
            <w:tcW w:w="2268" w:type="dxa"/>
          </w:tcPr>
          <w:p w:rsidR="00AE559A" w:rsidRDefault="00E03D36" w:rsidP="00E03D36">
            <w:pPr>
              <w:autoSpaceDE w:val="0"/>
              <w:autoSpaceDN w:val="0"/>
              <w:adjustRightInd w:val="0"/>
              <w:jc w:val="right"/>
              <w:rPr>
                <w:rFonts w:cstheme="minorHAnsi"/>
              </w:rPr>
            </w:pPr>
            <w:r>
              <w:rPr>
                <w:rFonts w:cstheme="minorHAnsi"/>
              </w:rPr>
              <w:t>36,911</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1985" w:type="dxa"/>
          </w:tcPr>
          <w:p w:rsidR="00AE559A" w:rsidRDefault="00E03D36" w:rsidP="00E03D36">
            <w:pPr>
              <w:autoSpaceDE w:val="0"/>
              <w:autoSpaceDN w:val="0"/>
              <w:adjustRightInd w:val="0"/>
              <w:jc w:val="right"/>
              <w:rPr>
                <w:rFonts w:cstheme="minorHAnsi"/>
              </w:rPr>
            </w:pPr>
            <w:r>
              <w:rPr>
                <w:rFonts w:cstheme="minorHAnsi"/>
              </w:rPr>
              <w:t>46,437</w:t>
            </w:r>
          </w:p>
        </w:tc>
      </w:tr>
      <w:tr w:rsidR="00AE559A" w:rsidTr="00AE559A">
        <w:tc>
          <w:tcPr>
            <w:tcW w:w="5949" w:type="dxa"/>
          </w:tcPr>
          <w:p w:rsidR="00AE559A" w:rsidRDefault="00AE559A" w:rsidP="000B7ABF">
            <w:pPr>
              <w:autoSpaceDE w:val="0"/>
              <w:autoSpaceDN w:val="0"/>
              <w:adjustRightInd w:val="0"/>
              <w:rPr>
                <w:rFonts w:cstheme="minorHAnsi"/>
              </w:rPr>
            </w:pPr>
            <w:r>
              <w:rPr>
                <w:rFonts w:cstheme="minorHAnsi"/>
              </w:rPr>
              <w:t>Receivables</w:t>
            </w:r>
          </w:p>
        </w:tc>
        <w:tc>
          <w:tcPr>
            <w:tcW w:w="2126" w:type="dxa"/>
          </w:tcPr>
          <w:p w:rsidR="00AE559A" w:rsidRDefault="00E03D36" w:rsidP="00E03D36">
            <w:pPr>
              <w:autoSpaceDE w:val="0"/>
              <w:autoSpaceDN w:val="0"/>
              <w:adjustRightInd w:val="0"/>
              <w:jc w:val="right"/>
              <w:rPr>
                <w:rFonts w:cstheme="minorHAnsi"/>
              </w:rPr>
            </w:pPr>
            <w:r>
              <w:rPr>
                <w:rFonts w:cstheme="minorHAnsi"/>
              </w:rPr>
              <w:t>8</w:t>
            </w:r>
          </w:p>
        </w:tc>
        <w:tc>
          <w:tcPr>
            <w:tcW w:w="2268" w:type="dxa"/>
          </w:tcPr>
          <w:p w:rsidR="00AE559A" w:rsidRDefault="00E03D36" w:rsidP="00E03D36">
            <w:pPr>
              <w:autoSpaceDE w:val="0"/>
              <w:autoSpaceDN w:val="0"/>
              <w:adjustRightInd w:val="0"/>
              <w:jc w:val="right"/>
              <w:rPr>
                <w:rFonts w:cstheme="minorHAnsi"/>
              </w:rPr>
            </w:pPr>
            <w:r>
              <w:rPr>
                <w:rFonts w:cstheme="minorHAnsi"/>
              </w:rPr>
              <w:t>7,575</w:t>
            </w:r>
          </w:p>
        </w:tc>
        <w:tc>
          <w:tcPr>
            <w:tcW w:w="2126" w:type="dxa"/>
          </w:tcPr>
          <w:p w:rsidR="00AE559A" w:rsidRDefault="00E03D36" w:rsidP="00E03D36">
            <w:pPr>
              <w:autoSpaceDE w:val="0"/>
              <w:autoSpaceDN w:val="0"/>
              <w:adjustRightInd w:val="0"/>
              <w:jc w:val="right"/>
              <w:rPr>
                <w:rFonts w:cstheme="minorHAnsi"/>
              </w:rPr>
            </w:pPr>
            <w:r>
              <w:rPr>
                <w:rFonts w:cstheme="minorHAnsi"/>
              </w:rPr>
              <w:t>6,955</w:t>
            </w:r>
          </w:p>
        </w:tc>
        <w:tc>
          <w:tcPr>
            <w:tcW w:w="1985" w:type="dxa"/>
          </w:tcPr>
          <w:p w:rsidR="00AE559A" w:rsidRDefault="00E03D36" w:rsidP="00E03D36">
            <w:pPr>
              <w:autoSpaceDE w:val="0"/>
              <w:autoSpaceDN w:val="0"/>
              <w:adjustRightInd w:val="0"/>
              <w:jc w:val="right"/>
              <w:rPr>
                <w:rFonts w:cstheme="minorHAnsi"/>
              </w:rPr>
            </w:pPr>
            <w:r>
              <w:rPr>
                <w:rFonts w:cstheme="minorHAnsi"/>
              </w:rPr>
              <w:t>14,538</w:t>
            </w:r>
          </w:p>
        </w:tc>
      </w:tr>
      <w:tr w:rsidR="00AE559A" w:rsidTr="00AE559A">
        <w:tc>
          <w:tcPr>
            <w:tcW w:w="5949" w:type="dxa"/>
          </w:tcPr>
          <w:p w:rsidR="00AE559A" w:rsidRDefault="00AE559A" w:rsidP="000B7ABF">
            <w:pPr>
              <w:autoSpaceDE w:val="0"/>
              <w:autoSpaceDN w:val="0"/>
              <w:adjustRightInd w:val="0"/>
              <w:rPr>
                <w:rFonts w:cstheme="minorHAnsi"/>
              </w:rPr>
            </w:pPr>
            <w:r>
              <w:rPr>
                <w:rFonts w:cstheme="minorHAnsi"/>
              </w:rPr>
              <w:t>Investments and other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2268" w:type="dxa"/>
          </w:tcPr>
          <w:p w:rsidR="00AE559A" w:rsidRDefault="00E03D36" w:rsidP="00E03D36">
            <w:pPr>
              <w:autoSpaceDE w:val="0"/>
              <w:autoSpaceDN w:val="0"/>
              <w:adjustRightInd w:val="0"/>
              <w:jc w:val="right"/>
              <w:rPr>
                <w:rFonts w:cstheme="minorHAnsi"/>
              </w:rPr>
            </w:pPr>
            <w:r>
              <w:rPr>
                <w:rFonts w:cstheme="minorHAnsi"/>
              </w:rPr>
              <w:t>50,767</w:t>
            </w:r>
          </w:p>
        </w:tc>
        <w:tc>
          <w:tcPr>
            <w:tcW w:w="2126" w:type="dxa"/>
          </w:tcPr>
          <w:p w:rsidR="00AE559A" w:rsidRDefault="00E03D36" w:rsidP="00E03D36">
            <w:pPr>
              <w:autoSpaceDE w:val="0"/>
              <w:autoSpaceDN w:val="0"/>
              <w:adjustRightInd w:val="0"/>
              <w:jc w:val="right"/>
              <w:rPr>
                <w:rFonts w:cstheme="minorHAnsi"/>
              </w:rPr>
            </w:pPr>
            <w:r>
              <w:rPr>
                <w:rFonts w:cstheme="minorHAnsi"/>
              </w:rPr>
              <w:t>494</w:t>
            </w:r>
          </w:p>
        </w:tc>
        <w:tc>
          <w:tcPr>
            <w:tcW w:w="1985" w:type="dxa"/>
          </w:tcPr>
          <w:p w:rsidR="00AE559A" w:rsidRDefault="00E03D36" w:rsidP="00E03D36">
            <w:pPr>
              <w:autoSpaceDE w:val="0"/>
              <w:autoSpaceDN w:val="0"/>
              <w:adjustRightInd w:val="0"/>
              <w:jc w:val="right"/>
              <w:rPr>
                <w:rFonts w:cstheme="minorHAnsi"/>
              </w:rPr>
            </w:pPr>
            <w:r>
              <w:rPr>
                <w:rFonts w:cstheme="minorHAnsi"/>
              </w:rPr>
              <w:t>51,261</w:t>
            </w:r>
          </w:p>
        </w:tc>
      </w:tr>
      <w:tr w:rsidR="00AE559A" w:rsidTr="00AE559A">
        <w:tc>
          <w:tcPr>
            <w:tcW w:w="5949" w:type="dxa"/>
          </w:tcPr>
          <w:p w:rsidR="00AE559A" w:rsidRDefault="00AE559A" w:rsidP="000B7ABF">
            <w:pPr>
              <w:autoSpaceDE w:val="0"/>
              <w:autoSpaceDN w:val="0"/>
              <w:adjustRightInd w:val="0"/>
              <w:rPr>
                <w:rFonts w:cstheme="minorHAnsi"/>
              </w:rPr>
            </w:pPr>
            <w:r>
              <w:rPr>
                <w:rFonts w:cstheme="minorHAnsi"/>
              </w:rPr>
              <w:t>Total contractual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9,534</w:t>
            </w:r>
          </w:p>
        </w:tc>
        <w:tc>
          <w:tcPr>
            <w:tcW w:w="2268" w:type="dxa"/>
          </w:tcPr>
          <w:p w:rsidR="00AE559A" w:rsidRDefault="00E03D36" w:rsidP="00E03D36">
            <w:pPr>
              <w:autoSpaceDE w:val="0"/>
              <w:autoSpaceDN w:val="0"/>
              <w:adjustRightInd w:val="0"/>
              <w:jc w:val="right"/>
              <w:rPr>
                <w:rFonts w:cstheme="minorHAnsi"/>
              </w:rPr>
            </w:pPr>
            <w:r>
              <w:rPr>
                <w:rFonts w:cstheme="minorHAnsi"/>
              </w:rPr>
              <w:t>95,253</w:t>
            </w:r>
          </w:p>
        </w:tc>
        <w:tc>
          <w:tcPr>
            <w:tcW w:w="2126" w:type="dxa"/>
          </w:tcPr>
          <w:p w:rsidR="00AE559A" w:rsidRDefault="00E03D36" w:rsidP="00E03D36">
            <w:pPr>
              <w:autoSpaceDE w:val="0"/>
              <w:autoSpaceDN w:val="0"/>
              <w:adjustRightInd w:val="0"/>
              <w:jc w:val="right"/>
              <w:rPr>
                <w:rFonts w:cstheme="minorHAnsi"/>
              </w:rPr>
            </w:pPr>
            <w:r>
              <w:rPr>
                <w:rFonts w:cstheme="minorHAnsi"/>
              </w:rPr>
              <w:t>7,449</w:t>
            </w:r>
          </w:p>
        </w:tc>
        <w:tc>
          <w:tcPr>
            <w:tcW w:w="1985" w:type="dxa"/>
          </w:tcPr>
          <w:p w:rsidR="00AE559A" w:rsidRDefault="00E03D36" w:rsidP="00E03D36">
            <w:pPr>
              <w:autoSpaceDE w:val="0"/>
              <w:autoSpaceDN w:val="0"/>
              <w:adjustRightInd w:val="0"/>
              <w:jc w:val="right"/>
              <w:rPr>
                <w:rFonts w:cstheme="minorHAnsi"/>
              </w:rPr>
            </w:pPr>
            <w:r>
              <w:rPr>
                <w:rFonts w:cstheme="minorHAnsi"/>
              </w:rPr>
              <w:t>112,236</w:t>
            </w:r>
          </w:p>
        </w:tc>
      </w:tr>
    </w:tbl>
    <w:p w:rsidR="00AE559A" w:rsidRDefault="00AE559A" w:rsidP="000B7ABF">
      <w:pPr>
        <w:autoSpaceDE w:val="0"/>
        <w:autoSpaceDN w:val="0"/>
        <w:adjustRightInd w:val="0"/>
        <w:spacing w:after="0" w:line="240" w:lineRule="auto"/>
        <w:rPr>
          <w:rFonts w:cstheme="minorHAnsi"/>
        </w:rPr>
      </w:pPr>
    </w:p>
    <w:p w:rsidR="00AE559A" w:rsidRDefault="00AE559A" w:rsidP="00AE559A">
      <w:pPr>
        <w:autoSpaceDE w:val="0"/>
        <w:autoSpaceDN w:val="0"/>
        <w:adjustRightInd w:val="0"/>
        <w:spacing w:after="0" w:line="240" w:lineRule="auto"/>
        <w:rPr>
          <w:rFonts w:cstheme="minorHAnsi"/>
        </w:rPr>
      </w:pPr>
      <w:r>
        <w:rPr>
          <w:rFonts w:cstheme="minorHAnsi"/>
        </w:rPr>
        <w:t xml:space="preserve">Consolidated </w:t>
      </w:r>
      <w:r w:rsidR="00E03D36">
        <w:rPr>
          <w:rFonts w:cstheme="minorHAnsi"/>
        </w:rPr>
        <w:t>2016</w:t>
      </w:r>
    </w:p>
    <w:tbl>
      <w:tblPr>
        <w:tblStyle w:val="TableGrid"/>
        <w:tblW w:w="14454" w:type="dxa"/>
        <w:tblLook w:val="04A0" w:firstRow="1" w:lastRow="0" w:firstColumn="1" w:lastColumn="0" w:noHBand="0" w:noVBand="1"/>
      </w:tblPr>
      <w:tblGrid>
        <w:gridCol w:w="5949"/>
        <w:gridCol w:w="2126"/>
        <w:gridCol w:w="2268"/>
        <w:gridCol w:w="2126"/>
        <w:gridCol w:w="1985"/>
      </w:tblGrid>
      <w:tr w:rsidR="00AE559A" w:rsidTr="00A31F01">
        <w:tc>
          <w:tcPr>
            <w:tcW w:w="5949" w:type="dxa"/>
          </w:tcPr>
          <w:p w:rsidR="00AE559A" w:rsidRDefault="00AE559A" w:rsidP="00A31F01">
            <w:pPr>
              <w:autoSpaceDE w:val="0"/>
              <w:autoSpaceDN w:val="0"/>
              <w:adjustRightInd w:val="0"/>
              <w:rPr>
                <w:rFonts w:cstheme="minorHAnsi"/>
              </w:rPr>
            </w:pPr>
            <w:r>
              <w:rPr>
                <w:rFonts w:cstheme="minorHAnsi"/>
              </w:rPr>
              <w:t xml:space="preserve">Cash and deposits </w:t>
            </w:r>
          </w:p>
        </w:tc>
        <w:tc>
          <w:tcPr>
            <w:tcW w:w="2126" w:type="dxa"/>
          </w:tcPr>
          <w:p w:rsidR="00AE559A" w:rsidRDefault="00E03D36" w:rsidP="00E03D36">
            <w:pPr>
              <w:autoSpaceDE w:val="0"/>
              <w:autoSpaceDN w:val="0"/>
              <w:adjustRightInd w:val="0"/>
              <w:jc w:val="right"/>
              <w:rPr>
                <w:rFonts w:cstheme="minorHAnsi"/>
              </w:rPr>
            </w:pPr>
            <w:r>
              <w:rPr>
                <w:rFonts w:cstheme="minorHAnsi"/>
              </w:rPr>
              <w:t>4,929</w:t>
            </w:r>
          </w:p>
        </w:tc>
        <w:tc>
          <w:tcPr>
            <w:tcW w:w="2268" w:type="dxa"/>
          </w:tcPr>
          <w:p w:rsidR="00AE559A" w:rsidRDefault="00E03D36" w:rsidP="00E03D36">
            <w:pPr>
              <w:autoSpaceDE w:val="0"/>
              <w:autoSpaceDN w:val="0"/>
              <w:adjustRightInd w:val="0"/>
              <w:jc w:val="right"/>
              <w:rPr>
                <w:rFonts w:cstheme="minorHAnsi"/>
              </w:rPr>
            </w:pPr>
            <w:r>
              <w:rPr>
                <w:rFonts w:cstheme="minorHAnsi"/>
              </w:rPr>
              <w:t>52,232</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1985" w:type="dxa"/>
          </w:tcPr>
          <w:p w:rsidR="00AE559A" w:rsidRDefault="00E03D36" w:rsidP="00E03D36">
            <w:pPr>
              <w:autoSpaceDE w:val="0"/>
              <w:autoSpaceDN w:val="0"/>
              <w:adjustRightInd w:val="0"/>
              <w:jc w:val="right"/>
              <w:rPr>
                <w:rFonts w:cstheme="minorHAnsi"/>
              </w:rPr>
            </w:pPr>
            <w:r>
              <w:rPr>
                <w:rFonts w:cstheme="minorHAnsi"/>
              </w:rPr>
              <w:t>57,161</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Receivables</w:t>
            </w:r>
          </w:p>
        </w:tc>
        <w:tc>
          <w:tcPr>
            <w:tcW w:w="2126" w:type="dxa"/>
          </w:tcPr>
          <w:p w:rsidR="00AE559A" w:rsidRDefault="00E03D36" w:rsidP="00E03D36">
            <w:pPr>
              <w:autoSpaceDE w:val="0"/>
              <w:autoSpaceDN w:val="0"/>
              <w:adjustRightInd w:val="0"/>
              <w:jc w:val="right"/>
              <w:rPr>
                <w:rFonts w:cstheme="minorHAnsi"/>
              </w:rPr>
            </w:pPr>
            <w:r>
              <w:rPr>
                <w:rFonts w:cstheme="minorHAnsi"/>
              </w:rPr>
              <w:t>8</w:t>
            </w:r>
          </w:p>
        </w:tc>
        <w:tc>
          <w:tcPr>
            <w:tcW w:w="2268" w:type="dxa"/>
          </w:tcPr>
          <w:p w:rsidR="00AE559A" w:rsidRDefault="00E03D36" w:rsidP="00E03D36">
            <w:pPr>
              <w:autoSpaceDE w:val="0"/>
              <w:autoSpaceDN w:val="0"/>
              <w:adjustRightInd w:val="0"/>
              <w:jc w:val="right"/>
              <w:rPr>
                <w:rFonts w:cstheme="minorHAnsi"/>
              </w:rPr>
            </w:pPr>
            <w:r>
              <w:rPr>
                <w:rFonts w:cstheme="minorHAnsi"/>
              </w:rPr>
              <w:t>5,944</w:t>
            </w:r>
          </w:p>
        </w:tc>
        <w:tc>
          <w:tcPr>
            <w:tcW w:w="2126" w:type="dxa"/>
          </w:tcPr>
          <w:p w:rsidR="00AE559A" w:rsidRDefault="00E03D36" w:rsidP="00E03D36">
            <w:pPr>
              <w:autoSpaceDE w:val="0"/>
              <w:autoSpaceDN w:val="0"/>
              <w:adjustRightInd w:val="0"/>
              <w:jc w:val="right"/>
              <w:rPr>
                <w:rFonts w:cstheme="minorHAnsi"/>
              </w:rPr>
            </w:pPr>
            <w:r>
              <w:rPr>
                <w:rFonts w:cstheme="minorHAnsi"/>
              </w:rPr>
              <w:t>2,678</w:t>
            </w:r>
          </w:p>
        </w:tc>
        <w:tc>
          <w:tcPr>
            <w:tcW w:w="1985" w:type="dxa"/>
          </w:tcPr>
          <w:p w:rsidR="00AE559A" w:rsidRDefault="00E03D36" w:rsidP="00E03D36">
            <w:pPr>
              <w:autoSpaceDE w:val="0"/>
              <w:autoSpaceDN w:val="0"/>
              <w:adjustRightInd w:val="0"/>
              <w:jc w:val="right"/>
              <w:rPr>
                <w:rFonts w:cstheme="minorHAnsi"/>
              </w:rPr>
            </w:pPr>
            <w:r>
              <w:rPr>
                <w:rFonts w:cstheme="minorHAnsi"/>
              </w:rPr>
              <w:t>8,630</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Investments and other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2268" w:type="dxa"/>
          </w:tcPr>
          <w:p w:rsidR="00AE559A" w:rsidRDefault="00E03D36" w:rsidP="00E03D36">
            <w:pPr>
              <w:autoSpaceDE w:val="0"/>
              <w:autoSpaceDN w:val="0"/>
              <w:adjustRightInd w:val="0"/>
              <w:jc w:val="right"/>
              <w:rPr>
                <w:rFonts w:cstheme="minorHAnsi"/>
              </w:rPr>
            </w:pPr>
            <w:r>
              <w:rPr>
                <w:rFonts w:cstheme="minorHAnsi"/>
              </w:rPr>
              <w:t>20,605</w:t>
            </w:r>
          </w:p>
        </w:tc>
        <w:tc>
          <w:tcPr>
            <w:tcW w:w="2126" w:type="dxa"/>
          </w:tcPr>
          <w:p w:rsidR="00AE559A" w:rsidRDefault="00E03D36" w:rsidP="00E03D36">
            <w:pPr>
              <w:autoSpaceDE w:val="0"/>
              <w:autoSpaceDN w:val="0"/>
              <w:adjustRightInd w:val="0"/>
              <w:jc w:val="right"/>
              <w:rPr>
                <w:rFonts w:cstheme="minorHAnsi"/>
              </w:rPr>
            </w:pPr>
            <w:r>
              <w:rPr>
                <w:rFonts w:cstheme="minorHAnsi"/>
              </w:rPr>
              <w:t>502</w:t>
            </w:r>
          </w:p>
        </w:tc>
        <w:tc>
          <w:tcPr>
            <w:tcW w:w="1985" w:type="dxa"/>
          </w:tcPr>
          <w:p w:rsidR="00AE559A" w:rsidRDefault="00E03D36" w:rsidP="00E03D36">
            <w:pPr>
              <w:autoSpaceDE w:val="0"/>
              <w:autoSpaceDN w:val="0"/>
              <w:adjustRightInd w:val="0"/>
              <w:jc w:val="right"/>
              <w:rPr>
                <w:rFonts w:cstheme="minorHAnsi"/>
              </w:rPr>
            </w:pPr>
            <w:r>
              <w:rPr>
                <w:rFonts w:cstheme="minorHAnsi"/>
              </w:rPr>
              <w:t>21,107</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Total contractual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4,937</w:t>
            </w:r>
          </w:p>
        </w:tc>
        <w:tc>
          <w:tcPr>
            <w:tcW w:w="2268" w:type="dxa"/>
          </w:tcPr>
          <w:p w:rsidR="00AE559A" w:rsidRDefault="00E03D36" w:rsidP="00E03D36">
            <w:pPr>
              <w:autoSpaceDE w:val="0"/>
              <w:autoSpaceDN w:val="0"/>
              <w:adjustRightInd w:val="0"/>
              <w:jc w:val="right"/>
              <w:rPr>
                <w:rFonts w:cstheme="minorHAnsi"/>
              </w:rPr>
            </w:pPr>
            <w:r>
              <w:rPr>
                <w:rFonts w:cstheme="minorHAnsi"/>
              </w:rPr>
              <w:t>78,781</w:t>
            </w:r>
          </w:p>
        </w:tc>
        <w:tc>
          <w:tcPr>
            <w:tcW w:w="2126" w:type="dxa"/>
          </w:tcPr>
          <w:p w:rsidR="00AE559A" w:rsidRDefault="00E03D36" w:rsidP="00E03D36">
            <w:pPr>
              <w:autoSpaceDE w:val="0"/>
              <w:autoSpaceDN w:val="0"/>
              <w:adjustRightInd w:val="0"/>
              <w:jc w:val="right"/>
              <w:rPr>
                <w:rFonts w:cstheme="minorHAnsi"/>
              </w:rPr>
            </w:pPr>
            <w:r>
              <w:rPr>
                <w:rFonts w:cstheme="minorHAnsi"/>
              </w:rPr>
              <w:t>3,180</w:t>
            </w:r>
          </w:p>
        </w:tc>
        <w:tc>
          <w:tcPr>
            <w:tcW w:w="1985" w:type="dxa"/>
          </w:tcPr>
          <w:p w:rsidR="00AE559A" w:rsidRDefault="00E03D36" w:rsidP="00E03D36">
            <w:pPr>
              <w:autoSpaceDE w:val="0"/>
              <w:autoSpaceDN w:val="0"/>
              <w:adjustRightInd w:val="0"/>
              <w:jc w:val="right"/>
              <w:rPr>
                <w:rFonts w:cstheme="minorHAnsi"/>
              </w:rPr>
            </w:pPr>
            <w:r>
              <w:rPr>
                <w:rFonts w:cstheme="minorHAnsi"/>
              </w:rPr>
              <w:t>86,898</w:t>
            </w:r>
          </w:p>
        </w:tc>
      </w:tr>
    </w:tbl>
    <w:p w:rsidR="00AE559A" w:rsidRDefault="00AE559A" w:rsidP="000B7ABF">
      <w:pPr>
        <w:autoSpaceDE w:val="0"/>
        <w:autoSpaceDN w:val="0"/>
        <w:adjustRightInd w:val="0"/>
        <w:spacing w:after="0" w:line="240" w:lineRule="auto"/>
        <w:rPr>
          <w:rFonts w:cstheme="minorHAnsi"/>
        </w:rPr>
      </w:pPr>
    </w:p>
    <w:p w:rsidR="00AE559A" w:rsidRDefault="00AE559A" w:rsidP="00AE559A">
      <w:pPr>
        <w:autoSpaceDE w:val="0"/>
        <w:autoSpaceDN w:val="0"/>
        <w:adjustRightInd w:val="0"/>
        <w:spacing w:after="0" w:line="240" w:lineRule="auto"/>
        <w:rPr>
          <w:rFonts w:cstheme="minorHAnsi"/>
        </w:rPr>
      </w:pPr>
      <w:r>
        <w:rPr>
          <w:rFonts w:cstheme="minorHAnsi"/>
        </w:rPr>
        <w:t>C</w:t>
      </w:r>
      <w:r w:rsidR="00E03D36">
        <w:rPr>
          <w:rFonts w:cstheme="minorHAnsi"/>
        </w:rPr>
        <w:t>hisholm</w:t>
      </w:r>
      <w:r>
        <w:rPr>
          <w:rFonts w:cstheme="minorHAnsi"/>
        </w:rPr>
        <w:t xml:space="preserve"> 2017</w:t>
      </w:r>
    </w:p>
    <w:tbl>
      <w:tblPr>
        <w:tblStyle w:val="TableGrid"/>
        <w:tblW w:w="14454" w:type="dxa"/>
        <w:tblLook w:val="04A0" w:firstRow="1" w:lastRow="0" w:firstColumn="1" w:lastColumn="0" w:noHBand="0" w:noVBand="1"/>
      </w:tblPr>
      <w:tblGrid>
        <w:gridCol w:w="5949"/>
        <w:gridCol w:w="2126"/>
        <w:gridCol w:w="2268"/>
        <w:gridCol w:w="2126"/>
        <w:gridCol w:w="1985"/>
      </w:tblGrid>
      <w:tr w:rsidR="00AE559A" w:rsidTr="00A31F01">
        <w:tc>
          <w:tcPr>
            <w:tcW w:w="5949" w:type="dxa"/>
          </w:tcPr>
          <w:p w:rsidR="00AE559A" w:rsidRDefault="00AE559A" w:rsidP="00A31F01">
            <w:pPr>
              <w:autoSpaceDE w:val="0"/>
              <w:autoSpaceDN w:val="0"/>
              <w:adjustRightInd w:val="0"/>
              <w:rPr>
                <w:rFonts w:cstheme="minorHAnsi"/>
              </w:rPr>
            </w:pPr>
            <w:r>
              <w:rPr>
                <w:rFonts w:cstheme="minorHAnsi"/>
              </w:rPr>
              <w:t xml:space="preserve">Cash and deposits </w:t>
            </w:r>
          </w:p>
        </w:tc>
        <w:tc>
          <w:tcPr>
            <w:tcW w:w="2126" w:type="dxa"/>
          </w:tcPr>
          <w:p w:rsidR="00AE559A" w:rsidRDefault="00E03D36" w:rsidP="00E03D36">
            <w:pPr>
              <w:autoSpaceDE w:val="0"/>
              <w:autoSpaceDN w:val="0"/>
              <w:adjustRightInd w:val="0"/>
              <w:jc w:val="right"/>
              <w:rPr>
                <w:rFonts w:cstheme="minorHAnsi"/>
              </w:rPr>
            </w:pPr>
            <w:r>
              <w:rPr>
                <w:rFonts w:cstheme="minorHAnsi"/>
              </w:rPr>
              <w:t>8,780</w:t>
            </w:r>
          </w:p>
        </w:tc>
        <w:tc>
          <w:tcPr>
            <w:tcW w:w="2268" w:type="dxa"/>
          </w:tcPr>
          <w:p w:rsidR="00AE559A" w:rsidRDefault="00E03D36" w:rsidP="00E03D36">
            <w:pPr>
              <w:autoSpaceDE w:val="0"/>
              <w:autoSpaceDN w:val="0"/>
              <w:adjustRightInd w:val="0"/>
              <w:jc w:val="right"/>
              <w:rPr>
                <w:rFonts w:cstheme="minorHAnsi"/>
              </w:rPr>
            </w:pPr>
            <w:r>
              <w:rPr>
                <w:rFonts w:cstheme="minorHAnsi"/>
              </w:rPr>
              <w:t>36,911</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1985" w:type="dxa"/>
          </w:tcPr>
          <w:p w:rsidR="00AE559A" w:rsidRDefault="00E03D36" w:rsidP="00E03D36">
            <w:pPr>
              <w:autoSpaceDE w:val="0"/>
              <w:autoSpaceDN w:val="0"/>
              <w:adjustRightInd w:val="0"/>
              <w:jc w:val="right"/>
              <w:rPr>
                <w:rFonts w:cstheme="minorHAnsi"/>
              </w:rPr>
            </w:pPr>
            <w:r>
              <w:rPr>
                <w:rFonts w:cstheme="minorHAnsi"/>
              </w:rPr>
              <w:t>45,691</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Receivables</w:t>
            </w:r>
          </w:p>
        </w:tc>
        <w:tc>
          <w:tcPr>
            <w:tcW w:w="2126" w:type="dxa"/>
          </w:tcPr>
          <w:p w:rsidR="00AE559A" w:rsidRDefault="00E03D36" w:rsidP="00E03D36">
            <w:pPr>
              <w:autoSpaceDE w:val="0"/>
              <w:autoSpaceDN w:val="0"/>
              <w:adjustRightInd w:val="0"/>
              <w:jc w:val="right"/>
              <w:rPr>
                <w:rFonts w:cstheme="minorHAnsi"/>
              </w:rPr>
            </w:pPr>
            <w:r>
              <w:rPr>
                <w:rFonts w:cstheme="minorHAnsi"/>
              </w:rPr>
              <w:t>5</w:t>
            </w:r>
          </w:p>
        </w:tc>
        <w:tc>
          <w:tcPr>
            <w:tcW w:w="2268" w:type="dxa"/>
          </w:tcPr>
          <w:p w:rsidR="00AE559A" w:rsidRDefault="00E03D36" w:rsidP="00E03D36">
            <w:pPr>
              <w:autoSpaceDE w:val="0"/>
              <w:autoSpaceDN w:val="0"/>
              <w:adjustRightInd w:val="0"/>
              <w:jc w:val="right"/>
              <w:rPr>
                <w:rFonts w:cstheme="minorHAnsi"/>
              </w:rPr>
            </w:pPr>
            <w:r>
              <w:rPr>
                <w:rFonts w:cstheme="minorHAnsi"/>
              </w:rPr>
              <w:t>7,337</w:t>
            </w:r>
          </w:p>
        </w:tc>
        <w:tc>
          <w:tcPr>
            <w:tcW w:w="2126" w:type="dxa"/>
          </w:tcPr>
          <w:p w:rsidR="00AE559A" w:rsidRDefault="00E03D36" w:rsidP="00E03D36">
            <w:pPr>
              <w:autoSpaceDE w:val="0"/>
              <w:autoSpaceDN w:val="0"/>
              <w:adjustRightInd w:val="0"/>
              <w:jc w:val="right"/>
              <w:rPr>
                <w:rFonts w:cstheme="minorHAnsi"/>
              </w:rPr>
            </w:pPr>
            <w:r>
              <w:rPr>
                <w:rFonts w:cstheme="minorHAnsi"/>
              </w:rPr>
              <w:t>8,943</w:t>
            </w:r>
          </w:p>
        </w:tc>
        <w:tc>
          <w:tcPr>
            <w:tcW w:w="1985" w:type="dxa"/>
          </w:tcPr>
          <w:p w:rsidR="00AE559A" w:rsidRDefault="00E03D36" w:rsidP="00E03D36">
            <w:pPr>
              <w:autoSpaceDE w:val="0"/>
              <w:autoSpaceDN w:val="0"/>
              <w:adjustRightInd w:val="0"/>
              <w:jc w:val="right"/>
              <w:rPr>
                <w:rFonts w:cstheme="minorHAnsi"/>
              </w:rPr>
            </w:pPr>
            <w:r>
              <w:rPr>
                <w:rFonts w:cstheme="minorHAnsi"/>
              </w:rPr>
              <w:t>16,285</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Investments and other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2268" w:type="dxa"/>
          </w:tcPr>
          <w:p w:rsidR="00AE559A" w:rsidRDefault="00E03D36" w:rsidP="00E03D36">
            <w:pPr>
              <w:autoSpaceDE w:val="0"/>
              <w:autoSpaceDN w:val="0"/>
              <w:adjustRightInd w:val="0"/>
              <w:jc w:val="right"/>
              <w:rPr>
                <w:rFonts w:cstheme="minorHAnsi"/>
              </w:rPr>
            </w:pPr>
            <w:r>
              <w:rPr>
                <w:rFonts w:cstheme="minorHAnsi"/>
              </w:rPr>
              <w:t>50,000</w:t>
            </w:r>
          </w:p>
        </w:tc>
        <w:tc>
          <w:tcPr>
            <w:tcW w:w="2126" w:type="dxa"/>
          </w:tcPr>
          <w:p w:rsidR="00AE559A" w:rsidRDefault="00E03D36" w:rsidP="00E03D36">
            <w:pPr>
              <w:autoSpaceDE w:val="0"/>
              <w:autoSpaceDN w:val="0"/>
              <w:adjustRightInd w:val="0"/>
              <w:jc w:val="right"/>
              <w:rPr>
                <w:rFonts w:cstheme="minorHAnsi"/>
              </w:rPr>
            </w:pPr>
            <w:r>
              <w:rPr>
                <w:rFonts w:cstheme="minorHAnsi"/>
              </w:rPr>
              <w:t>6,000</w:t>
            </w:r>
          </w:p>
        </w:tc>
        <w:tc>
          <w:tcPr>
            <w:tcW w:w="1985" w:type="dxa"/>
          </w:tcPr>
          <w:p w:rsidR="00AE559A" w:rsidRDefault="00E03D36" w:rsidP="00E03D36">
            <w:pPr>
              <w:autoSpaceDE w:val="0"/>
              <w:autoSpaceDN w:val="0"/>
              <w:adjustRightInd w:val="0"/>
              <w:jc w:val="right"/>
              <w:rPr>
                <w:rFonts w:cstheme="minorHAnsi"/>
              </w:rPr>
            </w:pPr>
            <w:r>
              <w:rPr>
                <w:rFonts w:cstheme="minorHAnsi"/>
              </w:rPr>
              <w:t>56,000</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Total contractual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8,785</w:t>
            </w:r>
          </w:p>
        </w:tc>
        <w:tc>
          <w:tcPr>
            <w:tcW w:w="2268" w:type="dxa"/>
          </w:tcPr>
          <w:p w:rsidR="00AE559A" w:rsidRDefault="00E03D36" w:rsidP="00E03D36">
            <w:pPr>
              <w:autoSpaceDE w:val="0"/>
              <w:autoSpaceDN w:val="0"/>
              <w:adjustRightInd w:val="0"/>
              <w:jc w:val="right"/>
              <w:rPr>
                <w:rFonts w:cstheme="minorHAnsi"/>
              </w:rPr>
            </w:pPr>
            <w:r>
              <w:rPr>
                <w:rFonts w:cstheme="minorHAnsi"/>
              </w:rPr>
              <w:t>94,248</w:t>
            </w:r>
          </w:p>
        </w:tc>
        <w:tc>
          <w:tcPr>
            <w:tcW w:w="2126" w:type="dxa"/>
          </w:tcPr>
          <w:p w:rsidR="00AE559A" w:rsidRDefault="00E03D36" w:rsidP="00E03D36">
            <w:pPr>
              <w:autoSpaceDE w:val="0"/>
              <w:autoSpaceDN w:val="0"/>
              <w:adjustRightInd w:val="0"/>
              <w:jc w:val="right"/>
              <w:rPr>
                <w:rFonts w:cstheme="minorHAnsi"/>
              </w:rPr>
            </w:pPr>
            <w:r>
              <w:rPr>
                <w:rFonts w:cstheme="minorHAnsi"/>
              </w:rPr>
              <w:t>14,943</w:t>
            </w:r>
          </w:p>
        </w:tc>
        <w:tc>
          <w:tcPr>
            <w:tcW w:w="1985" w:type="dxa"/>
          </w:tcPr>
          <w:p w:rsidR="00AE559A" w:rsidRDefault="00E03D36" w:rsidP="00E03D36">
            <w:pPr>
              <w:autoSpaceDE w:val="0"/>
              <w:autoSpaceDN w:val="0"/>
              <w:adjustRightInd w:val="0"/>
              <w:jc w:val="right"/>
              <w:rPr>
                <w:rFonts w:cstheme="minorHAnsi"/>
              </w:rPr>
            </w:pPr>
            <w:r>
              <w:rPr>
                <w:rFonts w:cstheme="minorHAnsi"/>
              </w:rPr>
              <w:t>117,976</w:t>
            </w:r>
          </w:p>
        </w:tc>
      </w:tr>
    </w:tbl>
    <w:p w:rsidR="00AE559A" w:rsidRDefault="00AE559A" w:rsidP="000B7ABF">
      <w:pPr>
        <w:autoSpaceDE w:val="0"/>
        <w:autoSpaceDN w:val="0"/>
        <w:adjustRightInd w:val="0"/>
        <w:spacing w:after="0" w:line="240" w:lineRule="auto"/>
        <w:rPr>
          <w:rFonts w:cstheme="minorHAnsi"/>
        </w:rPr>
      </w:pPr>
    </w:p>
    <w:p w:rsidR="00AE559A" w:rsidRDefault="00AE559A" w:rsidP="00AE559A">
      <w:pPr>
        <w:autoSpaceDE w:val="0"/>
        <w:autoSpaceDN w:val="0"/>
        <w:adjustRightInd w:val="0"/>
        <w:spacing w:after="0" w:line="240" w:lineRule="auto"/>
        <w:rPr>
          <w:rFonts w:cstheme="minorHAnsi"/>
        </w:rPr>
      </w:pPr>
      <w:r>
        <w:rPr>
          <w:rFonts w:cstheme="minorHAnsi"/>
        </w:rPr>
        <w:t>C</w:t>
      </w:r>
      <w:r w:rsidR="00E03D36">
        <w:rPr>
          <w:rFonts w:cstheme="minorHAnsi"/>
        </w:rPr>
        <w:t>hisholm 2016</w:t>
      </w:r>
    </w:p>
    <w:tbl>
      <w:tblPr>
        <w:tblStyle w:val="TableGrid"/>
        <w:tblW w:w="14454" w:type="dxa"/>
        <w:tblLook w:val="04A0" w:firstRow="1" w:lastRow="0" w:firstColumn="1" w:lastColumn="0" w:noHBand="0" w:noVBand="1"/>
      </w:tblPr>
      <w:tblGrid>
        <w:gridCol w:w="5949"/>
        <w:gridCol w:w="2126"/>
        <w:gridCol w:w="2268"/>
        <w:gridCol w:w="2126"/>
        <w:gridCol w:w="1985"/>
      </w:tblGrid>
      <w:tr w:rsidR="00AE559A" w:rsidTr="00A31F01">
        <w:tc>
          <w:tcPr>
            <w:tcW w:w="5949" w:type="dxa"/>
          </w:tcPr>
          <w:p w:rsidR="00AE559A" w:rsidRDefault="00AE559A" w:rsidP="00A31F01">
            <w:pPr>
              <w:autoSpaceDE w:val="0"/>
              <w:autoSpaceDN w:val="0"/>
              <w:adjustRightInd w:val="0"/>
              <w:rPr>
                <w:rFonts w:cstheme="minorHAnsi"/>
              </w:rPr>
            </w:pPr>
            <w:r>
              <w:rPr>
                <w:rFonts w:cstheme="minorHAnsi"/>
              </w:rPr>
              <w:t xml:space="preserve">Cash and deposits </w:t>
            </w:r>
          </w:p>
        </w:tc>
        <w:tc>
          <w:tcPr>
            <w:tcW w:w="2126" w:type="dxa"/>
          </w:tcPr>
          <w:p w:rsidR="00AE559A" w:rsidRDefault="00E03D36" w:rsidP="00E03D36">
            <w:pPr>
              <w:autoSpaceDE w:val="0"/>
              <w:autoSpaceDN w:val="0"/>
              <w:adjustRightInd w:val="0"/>
              <w:jc w:val="right"/>
              <w:rPr>
                <w:rFonts w:cstheme="minorHAnsi"/>
              </w:rPr>
            </w:pPr>
            <w:r>
              <w:rPr>
                <w:rFonts w:cstheme="minorHAnsi"/>
              </w:rPr>
              <w:t>4,053</w:t>
            </w:r>
          </w:p>
        </w:tc>
        <w:tc>
          <w:tcPr>
            <w:tcW w:w="2268" w:type="dxa"/>
          </w:tcPr>
          <w:p w:rsidR="00AE559A" w:rsidRDefault="00E03D36" w:rsidP="00E03D36">
            <w:pPr>
              <w:autoSpaceDE w:val="0"/>
              <w:autoSpaceDN w:val="0"/>
              <w:adjustRightInd w:val="0"/>
              <w:jc w:val="right"/>
              <w:rPr>
                <w:rFonts w:cstheme="minorHAnsi"/>
              </w:rPr>
            </w:pPr>
            <w:r>
              <w:rPr>
                <w:rFonts w:cstheme="minorHAnsi"/>
              </w:rPr>
              <w:t>52,232</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1985" w:type="dxa"/>
          </w:tcPr>
          <w:p w:rsidR="00AE559A" w:rsidRDefault="00E03D36" w:rsidP="00E03D36">
            <w:pPr>
              <w:autoSpaceDE w:val="0"/>
              <w:autoSpaceDN w:val="0"/>
              <w:adjustRightInd w:val="0"/>
              <w:jc w:val="right"/>
              <w:rPr>
                <w:rFonts w:cstheme="minorHAnsi"/>
              </w:rPr>
            </w:pPr>
            <w:r>
              <w:rPr>
                <w:rFonts w:cstheme="minorHAnsi"/>
              </w:rPr>
              <w:t>56,285</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Receivables</w:t>
            </w:r>
          </w:p>
        </w:tc>
        <w:tc>
          <w:tcPr>
            <w:tcW w:w="2126" w:type="dxa"/>
          </w:tcPr>
          <w:p w:rsidR="00AE559A" w:rsidRDefault="00E03D36" w:rsidP="00E03D36">
            <w:pPr>
              <w:autoSpaceDE w:val="0"/>
              <w:autoSpaceDN w:val="0"/>
              <w:adjustRightInd w:val="0"/>
              <w:jc w:val="right"/>
              <w:rPr>
                <w:rFonts w:cstheme="minorHAnsi"/>
              </w:rPr>
            </w:pPr>
            <w:r>
              <w:rPr>
                <w:rFonts w:cstheme="minorHAnsi"/>
              </w:rPr>
              <w:t>5</w:t>
            </w:r>
          </w:p>
        </w:tc>
        <w:tc>
          <w:tcPr>
            <w:tcW w:w="2268" w:type="dxa"/>
          </w:tcPr>
          <w:p w:rsidR="00AE559A" w:rsidRDefault="00E03D36" w:rsidP="00E03D36">
            <w:pPr>
              <w:autoSpaceDE w:val="0"/>
              <w:autoSpaceDN w:val="0"/>
              <w:adjustRightInd w:val="0"/>
              <w:jc w:val="right"/>
              <w:rPr>
                <w:rFonts w:cstheme="minorHAnsi"/>
              </w:rPr>
            </w:pPr>
            <w:r>
              <w:rPr>
                <w:rFonts w:cstheme="minorHAnsi"/>
              </w:rPr>
              <w:t>5,587</w:t>
            </w:r>
          </w:p>
        </w:tc>
        <w:tc>
          <w:tcPr>
            <w:tcW w:w="2126" w:type="dxa"/>
          </w:tcPr>
          <w:p w:rsidR="00AE559A" w:rsidRDefault="00E03D36" w:rsidP="00E03D36">
            <w:pPr>
              <w:autoSpaceDE w:val="0"/>
              <w:autoSpaceDN w:val="0"/>
              <w:adjustRightInd w:val="0"/>
              <w:jc w:val="right"/>
              <w:rPr>
                <w:rFonts w:cstheme="minorHAnsi"/>
              </w:rPr>
            </w:pPr>
            <w:r>
              <w:rPr>
                <w:rFonts w:cstheme="minorHAnsi"/>
              </w:rPr>
              <w:t>6,321</w:t>
            </w:r>
          </w:p>
        </w:tc>
        <w:tc>
          <w:tcPr>
            <w:tcW w:w="1985" w:type="dxa"/>
          </w:tcPr>
          <w:p w:rsidR="00AE559A" w:rsidRDefault="00E03D36" w:rsidP="00E03D36">
            <w:pPr>
              <w:autoSpaceDE w:val="0"/>
              <w:autoSpaceDN w:val="0"/>
              <w:adjustRightInd w:val="0"/>
              <w:jc w:val="right"/>
              <w:rPr>
                <w:rFonts w:cstheme="minorHAnsi"/>
              </w:rPr>
            </w:pPr>
            <w:r>
              <w:rPr>
                <w:rFonts w:cstheme="minorHAnsi"/>
              </w:rPr>
              <w:t>11,913</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Investments and other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w:t>
            </w:r>
          </w:p>
        </w:tc>
        <w:tc>
          <w:tcPr>
            <w:tcW w:w="2268" w:type="dxa"/>
          </w:tcPr>
          <w:p w:rsidR="00AE559A" w:rsidRDefault="00E03D36" w:rsidP="00E03D36">
            <w:pPr>
              <w:autoSpaceDE w:val="0"/>
              <w:autoSpaceDN w:val="0"/>
              <w:adjustRightInd w:val="0"/>
              <w:jc w:val="right"/>
              <w:rPr>
                <w:rFonts w:cstheme="minorHAnsi"/>
              </w:rPr>
            </w:pPr>
            <w:r>
              <w:rPr>
                <w:rFonts w:cstheme="minorHAnsi"/>
              </w:rPr>
              <w:t>20,000</w:t>
            </w:r>
          </w:p>
        </w:tc>
        <w:tc>
          <w:tcPr>
            <w:tcW w:w="2126" w:type="dxa"/>
          </w:tcPr>
          <w:p w:rsidR="00AE559A" w:rsidRDefault="00E03D36" w:rsidP="00E03D36">
            <w:pPr>
              <w:autoSpaceDE w:val="0"/>
              <w:autoSpaceDN w:val="0"/>
              <w:adjustRightInd w:val="0"/>
              <w:jc w:val="right"/>
              <w:rPr>
                <w:rFonts w:cstheme="minorHAnsi"/>
              </w:rPr>
            </w:pPr>
            <w:r>
              <w:rPr>
                <w:rFonts w:cstheme="minorHAnsi"/>
              </w:rPr>
              <w:t>6,000</w:t>
            </w:r>
          </w:p>
        </w:tc>
        <w:tc>
          <w:tcPr>
            <w:tcW w:w="1985" w:type="dxa"/>
          </w:tcPr>
          <w:p w:rsidR="00AE559A" w:rsidRDefault="00E03D36" w:rsidP="00E03D36">
            <w:pPr>
              <w:autoSpaceDE w:val="0"/>
              <w:autoSpaceDN w:val="0"/>
              <w:adjustRightInd w:val="0"/>
              <w:jc w:val="right"/>
              <w:rPr>
                <w:rFonts w:cstheme="minorHAnsi"/>
              </w:rPr>
            </w:pPr>
            <w:r>
              <w:rPr>
                <w:rFonts w:cstheme="minorHAnsi"/>
              </w:rPr>
              <w:t>26,000</w:t>
            </w:r>
          </w:p>
        </w:tc>
      </w:tr>
      <w:tr w:rsidR="00AE559A" w:rsidTr="00A31F01">
        <w:tc>
          <w:tcPr>
            <w:tcW w:w="5949" w:type="dxa"/>
          </w:tcPr>
          <w:p w:rsidR="00AE559A" w:rsidRDefault="00AE559A" w:rsidP="00A31F01">
            <w:pPr>
              <w:autoSpaceDE w:val="0"/>
              <w:autoSpaceDN w:val="0"/>
              <w:adjustRightInd w:val="0"/>
              <w:rPr>
                <w:rFonts w:cstheme="minorHAnsi"/>
              </w:rPr>
            </w:pPr>
            <w:r>
              <w:rPr>
                <w:rFonts w:cstheme="minorHAnsi"/>
              </w:rPr>
              <w:t>Total contractual financial assets</w:t>
            </w:r>
          </w:p>
        </w:tc>
        <w:tc>
          <w:tcPr>
            <w:tcW w:w="2126" w:type="dxa"/>
          </w:tcPr>
          <w:p w:rsidR="00AE559A" w:rsidRDefault="00E03D36" w:rsidP="00E03D36">
            <w:pPr>
              <w:autoSpaceDE w:val="0"/>
              <w:autoSpaceDN w:val="0"/>
              <w:adjustRightInd w:val="0"/>
              <w:jc w:val="right"/>
              <w:rPr>
                <w:rFonts w:cstheme="minorHAnsi"/>
              </w:rPr>
            </w:pPr>
            <w:r>
              <w:rPr>
                <w:rFonts w:cstheme="minorHAnsi"/>
              </w:rPr>
              <w:t>4,058</w:t>
            </w:r>
          </w:p>
        </w:tc>
        <w:tc>
          <w:tcPr>
            <w:tcW w:w="2268" w:type="dxa"/>
          </w:tcPr>
          <w:p w:rsidR="00AE559A" w:rsidRDefault="00E03D36" w:rsidP="00E03D36">
            <w:pPr>
              <w:autoSpaceDE w:val="0"/>
              <w:autoSpaceDN w:val="0"/>
              <w:adjustRightInd w:val="0"/>
              <w:jc w:val="right"/>
              <w:rPr>
                <w:rFonts w:cstheme="minorHAnsi"/>
              </w:rPr>
            </w:pPr>
            <w:r>
              <w:rPr>
                <w:rFonts w:cstheme="minorHAnsi"/>
              </w:rPr>
              <w:t>77,819</w:t>
            </w:r>
          </w:p>
        </w:tc>
        <w:tc>
          <w:tcPr>
            <w:tcW w:w="2126" w:type="dxa"/>
          </w:tcPr>
          <w:p w:rsidR="00AE559A" w:rsidRDefault="00E03D36" w:rsidP="00E03D36">
            <w:pPr>
              <w:autoSpaceDE w:val="0"/>
              <w:autoSpaceDN w:val="0"/>
              <w:adjustRightInd w:val="0"/>
              <w:jc w:val="right"/>
              <w:rPr>
                <w:rFonts w:cstheme="minorHAnsi"/>
              </w:rPr>
            </w:pPr>
            <w:r>
              <w:rPr>
                <w:rFonts w:cstheme="minorHAnsi"/>
              </w:rPr>
              <w:t>12,321</w:t>
            </w:r>
          </w:p>
        </w:tc>
        <w:tc>
          <w:tcPr>
            <w:tcW w:w="1985" w:type="dxa"/>
          </w:tcPr>
          <w:p w:rsidR="00AE559A" w:rsidRDefault="00E03D36" w:rsidP="00E03D36">
            <w:pPr>
              <w:autoSpaceDE w:val="0"/>
              <w:autoSpaceDN w:val="0"/>
              <w:adjustRightInd w:val="0"/>
              <w:jc w:val="right"/>
              <w:rPr>
                <w:rFonts w:cstheme="minorHAnsi"/>
              </w:rPr>
            </w:pPr>
            <w:r>
              <w:rPr>
                <w:rFonts w:cstheme="minorHAnsi"/>
              </w:rPr>
              <w:t>94,198</w:t>
            </w:r>
          </w:p>
        </w:tc>
      </w:tr>
    </w:tbl>
    <w:p w:rsidR="00AE559A" w:rsidRDefault="00AE559A" w:rsidP="000B7ABF">
      <w:pPr>
        <w:autoSpaceDE w:val="0"/>
        <w:autoSpaceDN w:val="0"/>
        <w:adjustRightInd w:val="0"/>
        <w:spacing w:after="0" w:line="240" w:lineRule="auto"/>
        <w:rPr>
          <w:rFonts w:cstheme="minorHAnsi"/>
        </w:rPr>
      </w:pPr>
    </w:p>
    <w:p w:rsidR="00E03D36" w:rsidRDefault="00E03D36" w:rsidP="00E03D36">
      <w:pPr>
        <w:pStyle w:val="NoSpacing"/>
      </w:pPr>
      <w:r w:rsidRPr="00D45C46">
        <w:t>Note: The total amounts disclosed here exclude statutory amounts (e.g. amounts owing to/from Victorian Government, GST input tax credit recoverable and taxes payable).</w:t>
      </w:r>
    </w:p>
    <w:p w:rsidR="00AE559A" w:rsidRDefault="00AE559A" w:rsidP="000B7ABF">
      <w:pPr>
        <w:autoSpaceDE w:val="0"/>
        <w:autoSpaceDN w:val="0"/>
        <w:adjustRightInd w:val="0"/>
        <w:spacing w:after="0" w:line="240" w:lineRule="auto"/>
        <w:rPr>
          <w:rFonts w:cstheme="minorHAnsi"/>
        </w:rPr>
      </w:pPr>
    </w:p>
    <w:p w:rsidR="00AE559A" w:rsidRPr="00E03D36" w:rsidRDefault="00E03D36" w:rsidP="00E03D36">
      <w:pPr>
        <w:pStyle w:val="NoSpacing"/>
      </w:pPr>
      <w:r>
        <w:lastRenderedPageBreak/>
        <w:t>&lt;pp&gt;72</w:t>
      </w:r>
    </w:p>
    <w:p w:rsidR="00AE559A" w:rsidRDefault="00AE559A" w:rsidP="000B7ABF">
      <w:pPr>
        <w:autoSpaceDE w:val="0"/>
        <w:autoSpaceDN w:val="0"/>
        <w:adjustRightInd w:val="0"/>
        <w:spacing w:after="0" w:line="240" w:lineRule="auto"/>
        <w:rPr>
          <w:rFonts w:cstheme="minorHAnsi"/>
        </w:rPr>
      </w:pPr>
    </w:p>
    <w:p w:rsidR="00AE559A" w:rsidRDefault="00AE559A" w:rsidP="000B7ABF">
      <w:pPr>
        <w:autoSpaceDE w:val="0"/>
        <w:autoSpaceDN w:val="0"/>
        <w:adjustRightInd w:val="0"/>
        <w:spacing w:after="0" w:line="240" w:lineRule="auto"/>
        <w:rPr>
          <w:rFonts w:cstheme="minorHAnsi"/>
        </w:rPr>
        <w:sectPr w:rsidR="00AE559A" w:rsidSect="00AE559A">
          <w:pgSz w:w="16838" w:h="11906" w:orient="landscape"/>
          <w:pgMar w:top="1440" w:right="1440" w:bottom="1440" w:left="1440" w:header="709" w:footer="709" w:gutter="0"/>
          <w:cols w:space="708"/>
          <w:docGrid w:linePitch="360"/>
        </w:sectPr>
      </w:pPr>
    </w:p>
    <w:p w:rsidR="00D45C46" w:rsidRPr="00CA7020" w:rsidRDefault="00D45C46" w:rsidP="00D36BB2">
      <w:pPr>
        <w:pStyle w:val="Heading3"/>
      </w:pPr>
      <w:r w:rsidRPr="00CA7020">
        <w:lastRenderedPageBreak/>
        <w:t xml:space="preserve">7. </w:t>
      </w:r>
      <w:proofErr w:type="gramStart"/>
      <w:r w:rsidRPr="00CA7020">
        <w:t>managing</w:t>
      </w:r>
      <w:proofErr w:type="gramEnd"/>
      <w:r w:rsidRPr="00CA7020">
        <w:t xml:space="preserve"> risks and uncertainties</w:t>
      </w:r>
      <w:r>
        <w:t xml:space="preserve"> (continued)</w:t>
      </w:r>
    </w:p>
    <w:p w:rsidR="00E03D36" w:rsidRDefault="00E03D36" w:rsidP="00D45C46">
      <w:pPr>
        <w:pStyle w:val="NoSpacing"/>
      </w:pPr>
    </w:p>
    <w:p w:rsidR="00D45C46" w:rsidRDefault="00D45C46" w:rsidP="00D36BB2">
      <w:pPr>
        <w:pStyle w:val="Heading4"/>
      </w:pPr>
      <w:r>
        <w:t xml:space="preserve">7.1.3 Liquidity risk </w:t>
      </w:r>
    </w:p>
    <w:p w:rsidR="00D45C46" w:rsidRDefault="00D45C46" w:rsidP="00D45C46">
      <w:pPr>
        <w:pStyle w:val="NoSpacing"/>
      </w:pP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Liquidity</w:t>
      </w:r>
      <w:r>
        <w:rPr>
          <w:rFonts w:cstheme="minorHAnsi"/>
        </w:rPr>
        <w:t xml:space="preserve"> risk is the risk that Chisholm </w:t>
      </w:r>
      <w:r w:rsidRPr="00D45C46">
        <w:rPr>
          <w:rFonts w:cstheme="minorHAnsi"/>
        </w:rPr>
        <w:t>would be unable to meet its financ</w:t>
      </w:r>
      <w:r>
        <w:rPr>
          <w:rFonts w:cstheme="minorHAnsi"/>
        </w:rPr>
        <w:t xml:space="preserve">ial </w:t>
      </w:r>
      <w:r w:rsidRPr="00D45C46">
        <w:rPr>
          <w:rFonts w:cstheme="minorHAnsi"/>
        </w:rPr>
        <w:t>obligat</w:t>
      </w:r>
      <w:r>
        <w:rPr>
          <w:rFonts w:cstheme="minorHAnsi"/>
        </w:rPr>
        <w:t xml:space="preserve">ions as and when they fall due. </w:t>
      </w:r>
      <w:r w:rsidRPr="00D45C46">
        <w:rPr>
          <w:rFonts w:cstheme="minorHAnsi"/>
        </w:rPr>
        <w:t>C</w:t>
      </w:r>
      <w:r>
        <w:rPr>
          <w:rFonts w:cstheme="minorHAnsi"/>
        </w:rPr>
        <w:t xml:space="preserve">hisholm operates under payments </w:t>
      </w:r>
      <w:r w:rsidRPr="00D45C46">
        <w:rPr>
          <w:rFonts w:cstheme="minorHAnsi"/>
        </w:rPr>
        <w:t>policy of</w:t>
      </w:r>
      <w:r>
        <w:rPr>
          <w:rFonts w:cstheme="minorHAnsi"/>
        </w:rPr>
        <w:t xml:space="preserve"> settling financial obligations </w:t>
      </w:r>
      <w:r w:rsidRPr="00D45C46">
        <w:rPr>
          <w:rFonts w:cstheme="minorHAnsi"/>
        </w:rPr>
        <w:t>withi</w:t>
      </w:r>
      <w:r>
        <w:rPr>
          <w:rFonts w:cstheme="minorHAnsi"/>
        </w:rPr>
        <w:t xml:space="preserve">n 30 days and in the event of a </w:t>
      </w:r>
      <w:r w:rsidRPr="00D45C46">
        <w:rPr>
          <w:rFonts w:cstheme="minorHAnsi"/>
        </w:rPr>
        <w:t>dis</w:t>
      </w:r>
      <w:r>
        <w:rPr>
          <w:rFonts w:cstheme="minorHAnsi"/>
        </w:rPr>
        <w:t xml:space="preserve">pute, making payments within 30 </w:t>
      </w:r>
      <w:r w:rsidRPr="00D45C46">
        <w:rPr>
          <w:rFonts w:cstheme="minorHAnsi"/>
        </w:rPr>
        <w:t>days from the date of resolution.</w:t>
      </w:r>
    </w:p>
    <w:p w:rsidR="00D45C46" w:rsidRPr="00D45C46" w:rsidRDefault="00D45C46" w:rsidP="00D45C46">
      <w:pPr>
        <w:autoSpaceDE w:val="0"/>
        <w:autoSpaceDN w:val="0"/>
        <w:adjustRightInd w:val="0"/>
        <w:spacing w:after="0" w:line="240" w:lineRule="auto"/>
        <w:rPr>
          <w:rFonts w:cstheme="minorHAnsi"/>
        </w:rPr>
      </w:pPr>
      <w:r>
        <w:rPr>
          <w:rFonts w:cstheme="minorHAnsi"/>
        </w:rPr>
        <w:t xml:space="preserve">Chisholm’s maximum exposure to </w:t>
      </w:r>
      <w:r w:rsidRPr="00D45C46">
        <w:rPr>
          <w:rFonts w:cstheme="minorHAnsi"/>
        </w:rPr>
        <w:t xml:space="preserve">liquidity </w:t>
      </w:r>
      <w:r>
        <w:rPr>
          <w:rFonts w:cstheme="minorHAnsi"/>
        </w:rPr>
        <w:t xml:space="preserve">risk is the carrying amounts of </w:t>
      </w:r>
      <w:r w:rsidRPr="00D45C46">
        <w:rPr>
          <w:rFonts w:cstheme="minorHAnsi"/>
        </w:rPr>
        <w:t xml:space="preserve">financial </w:t>
      </w:r>
      <w:r>
        <w:rPr>
          <w:rFonts w:cstheme="minorHAnsi"/>
        </w:rPr>
        <w:t xml:space="preserve">liabilities as disclosed in the </w:t>
      </w:r>
      <w:r w:rsidRPr="00D45C46">
        <w:rPr>
          <w:rFonts w:cstheme="minorHAnsi"/>
        </w:rPr>
        <w:t>face of the balance sheet.</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Chisholm manages liquidity risk by:</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 mai</w:t>
      </w:r>
      <w:r>
        <w:rPr>
          <w:rFonts w:cstheme="minorHAnsi"/>
        </w:rPr>
        <w:t xml:space="preserve">ntaining an adequate short term </w:t>
      </w:r>
      <w:r w:rsidRPr="00D45C46">
        <w:rPr>
          <w:rFonts w:cstheme="minorHAnsi"/>
        </w:rPr>
        <w:t>reser</w:t>
      </w:r>
      <w:r>
        <w:rPr>
          <w:rFonts w:cstheme="minorHAnsi"/>
        </w:rPr>
        <w:t xml:space="preserve">ves and banking facilities that can be drawn at short notice to meet </w:t>
      </w:r>
      <w:r w:rsidRPr="00D45C46">
        <w:rPr>
          <w:rFonts w:cstheme="minorHAnsi"/>
        </w:rPr>
        <w:t>its short-term obligations;</w:t>
      </w:r>
    </w:p>
    <w:p w:rsidR="00D45C46" w:rsidRPr="00D45C46" w:rsidRDefault="00D45C46" w:rsidP="00D45C46">
      <w:pPr>
        <w:autoSpaceDE w:val="0"/>
        <w:autoSpaceDN w:val="0"/>
        <w:adjustRightInd w:val="0"/>
        <w:spacing w:after="0" w:line="240" w:lineRule="auto"/>
        <w:rPr>
          <w:rFonts w:cstheme="minorHAnsi"/>
        </w:rPr>
      </w:pPr>
      <w:r>
        <w:rPr>
          <w:rFonts w:cstheme="minorHAnsi"/>
        </w:rPr>
        <w:t xml:space="preserve">• holding investments and other </w:t>
      </w:r>
      <w:r w:rsidRPr="00D45C46">
        <w:rPr>
          <w:rFonts w:cstheme="minorHAnsi"/>
        </w:rPr>
        <w:t>contra</w:t>
      </w:r>
      <w:r>
        <w:rPr>
          <w:rFonts w:cstheme="minorHAnsi"/>
        </w:rPr>
        <w:t xml:space="preserve">ctual financial assets that are </w:t>
      </w:r>
      <w:r w:rsidRPr="00D45C46">
        <w:rPr>
          <w:rFonts w:cstheme="minorHAnsi"/>
        </w:rPr>
        <w:t>rea</w:t>
      </w:r>
      <w:r>
        <w:rPr>
          <w:rFonts w:cstheme="minorHAnsi"/>
        </w:rPr>
        <w:t xml:space="preserve">dily tradeable in the financial </w:t>
      </w:r>
      <w:r w:rsidRPr="00D45C46">
        <w:rPr>
          <w:rFonts w:cstheme="minorHAnsi"/>
        </w:rPr>
        <w:t>market; and</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 xml:space="preserve">• </w:t>
      </w:r>
      <w:r w:rsidR="00F54F93" w:rsidRPr="00D45C46">
        <w:rPr>
          <w:rFonts w:cstheme="minorHAnsi"/>
        </w:rPr>
        <w:t>Careful</w:t>
      </w:r>
      <w:r>
        <w:rPr>
          <w:rFonts w:cstheme="minorHAnsi"/>
        </w:rPr>
        <w:t xml:space="preserve"> maturity planning of its financial obligations based on </w:t>
      </w:r>
      <w:r w:rsidRPr="00D45C46">
        <w:rPr>
          <w:rFonts w:cstheme="minorHAnsi"/>
        </w:rPr>
        <w:t>forecasts of future cash flows.</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Chisholm’s ex</w:t>
      </w:r>
      <w:r>
        <w:rPr>
          <w:rFonts w:cstheme="minorHAnsi"/>
        </w:rPr>
        <w:t xml:space="preserve">posure to liquidity risk is </w:t>
      </w:r>
      <w:r w:rsidRPr="00D45C46">
        <w:rPr>
          <w:rFonts w:cstheme="minorHAnsi"/>
        </w:rPr>
        <w:t>deem</w:t>
      </w:r>
      <w:r>
        <w:rPr>
          <w:rFonts w:cstheme="minorHAnsi"/>
        </w:rPr>
        <w:t xml:space="preserve">ed insignificant based on prior </w:t>
      </w:r>
      <w:r w:rsidRPr="00D45C46">
        <w:rPr>
          <w:rFonts w:cstheme="minorHAnsi"/>
        </w:rPr>
        <w:t>perio</w:t>
      </w:r>
      <w:r>
        <w:rPr>
          <w:rFonts w:cstheme="minorHAnsi"/>
        </w:rPr>
        <w:t xml:space="preserve">ds’ data and current assessment </w:t>
      </w:r>
      <w:r w:rsidRPr="00D45C46">
        <w:rPr>
          <w:rFonts w:cstheme="minorHAnsi"/>
        </w:rPr>
        <w:t>of risk.</w:t>
      </w:r>
    </w:p>
    <w:p w:rsidR="00D45C46" w:rsidRDefault="00D45C46" w:rsidP="00D45C46">
      <w:pPr>
        <w:autoSpaceDE w:val="0"/>
        <w:autoSpaceDN w:val="0"/>
        <w:adjustRightInd w:val="0"/>
        <w:spacing w:after="0" w:line="240" w:lineRule="auto"/>
        <w:rPr>
          <w:rFonts w:cstheme="minorHAnsi"/>
        </w:rPr>
      </w:pPr>
    </w:p>
    <w:p w:rsidR="00D45C46" w:rsidRPr="00D45C46" w:rsidRDefault="00D45C46" w:rsidP="00D36BB2">
      <w:pPr>
        <w:pStyle w:val="Heading4"/>
      </w:pPr>
      <w:r w:rsidRPr="00D45C46">
        <w:t>7.1.4 Market Risk</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Chis</w:t>
      </w:r>
      <w:r w:rsidR="00B004A1">
        <w:rPr>
          <w:rFonts w:cstheme="minorHAnsi"/>
        </w:rPr>
        <w:t xml:space="preserve">holm in its daily operations is </w:t>
      </w:r>
      <w:r w:rsidRPr="00D45C46">
        <w:rPr>
          <w:rFonts w:cstheme="minorHAnsi"/>
        </w:rPr>
        <w:t>expos</w:t>
      </w:r>
      <w:r w:rsidR="00B004A1">
        <w:rPr>
          <w:rFonts w:cstheme="minorHAnsi"/>
        </w:rPr>
        <w:t xml:space="preserve">ed to a number of market risks. </w:t>
      </w:r>
      <w:r w:rsidRPr="00D45C46">
        <w:rPr>
          <w:rFonts w:cstheme="minorHAnsi"/>
        </w:rPr>
        <w:t>Marke</w:t>
      </w:r>
      <w:r w:rsidR="00B004A1">
        <w:rPr>
          <w:rFonts w:cstheme="minorHAnsi"/>
        </w:rPr>
        <w:t xml:space="preserve">t risks relate to the risk that </w:t>
      </w:r>
      <w:r w:rsidRPr="00D45C46">
        <w:rPr>
          <w:rFonts w:cstheme="minorHAnsi"/>
        </w:rPr>
        <w:t>market rates and p</w:t>
      </w:r>
      <w:r w:rsidR="00B004A1">
        <w:rPr>
          <w:rFonts w:cstheme="minorHAnsi"/>
        </w:rPr>
        <w:t xml:space="preserve">rices will change </w:t>
      </w:r>
      <w:r w:rsidRPr="00D45C46">
        <w:rPr>
          <w:rFonts w:cstheme="minorHAnsi"/>
        </w:rPr>
        <w:t>and</w:t>
      </w:r>
      <w:r w:rsidR="00B004A1">
        <w:rPr>
          <w:rFonts w:cstheme="minorHAnsi"/>
        </w:rPr>
        <w:t xml:space="preserve"> that this will have an adverse </w:t>
      </w:r>
      <w:r w:rsidRPr="00D45C46">
        <w:rPr>
          <w:rFonts w:cstheme="minorHAnsi"/>
        </w:rPr>
        <w:t xml:space="preserve">effect </w:t>
      </w:r>
      <w:r w:rsidR="00B004A1">
        <w:rPr>
          <w:rFonts w:cstheme="minorHAnsi"/>
        </w:rPr>
        <w:t xml:space="preserve">on the operating result and /or </w:t>
      </w:r>
      <w:r w:rsidRPr="00D45C46">
        <w:rPr>
          <w:rFonts w:cstheme="minorHAnsi"/>
        </w:rPr>
        <w:t xml:space="preserve">net </w:t>
      </w:r>
      <w:r w:rsidR="00B004A1">
        <w:rPr>
          <w:rFonts w:cstheme="minorHAnsi"/>
        </w:rPr>
        <w:t xml:space="preserve">worth of Chisholm. These market </w:t>
      </w:r>
      <w:r w:rsidRPr="00D45C46">
        <w:rPr>
          <w:rFonts w:cstheme="minorHAnsi"/>
        </w:rPr>
        <w:t>risks prima</w:t>
      </w:r>
      <w:r w:rsidR="00B004A1">
        <w:rPr>
          <w:rFonts w:cstheme="minorHAnsi"/>
        </w:rPr>
        <w:t xml:space="preserve">rily relate to foreign currency and interest rate risk. </w:t>
      </w:r>
      <w:r w:rsidRPr="00D45C46">
        <w:rPr>
          <w:rFonts w:cstheme="minorHAnsi"/>
        </w:rPr>
        <w:t>Chishol</w:t>
      </w:r>
      <w:r w:rsidR="00B004A1">
        <w:rPr>
          <w:rFonts w:cstheme="minorHAnsi"/>
        </w:rPr>
        <w:t xml:space="preserve">m’s exposure to market risk are </w:t>
      </w:r>
      <w:r w:rsidRPr="00D45C46">
        <w:rPr>
          <w:rFonts w:cstheme="minorHAnsi"/>
        </w:rPr>
        <w:t>primarily through fore</w:t>
      </w:r>
      <w:r w:rsidR="00B004A1">
        <w:rPr>
          <w:rFonts w:cstheme="minorHAnsi"/>
        </w:rPr>
        <w:t xml:space="preserve">ign currency risk, </w:t>
      </w:r>
      <w:r w:rsidRPr="00D45C46">
        <w:rPr>
          <w:rFonts w:cstheme="minorHAnsi"/>
        </w:rPr>
        <w:t>equity pri</w:t>
      </w:r>
      <w:r w:rsidR="00B004A1">
        <w:rPr>
          <w:rFonts w:cstheme="minorHAnsi"/>
        </w:rPr>
        <w:t xml:space="preserve">ce risk and interest rate risk. </w:t>
      </w:r>
      <w:r w:rsidRPr="00D45C46">
        <w:rPr>
          <w:rFonts w:cstheme="minorHAnsi"/>
        </w:rPr>
        <w:t>Obj</w:t>
      </w:r>
      <w:r w:rsidR="00B004A1">
        <w:rPr>
          <w:rFonts w:cstheme="minorHAnsi"/>
        </w:rPr>
        <w:t xml:space="preserve">ectives, policies and processes </w:t>
      </w:r>
      <w:r w:rsidRPr="00D45C46">
        <w:rPr>
          <w:rFonts w:cstheme="minorHAnsi"/>
        </w:rPr>
        <w:t>used to</w:t>
      </w:r>
      <w:r w:rsidR="00B004A1">
        <w:rPr>
          <w:rFonts w:cstheme="minorHAnsi"/>
        </w:rPr>
        <w:t xml:space="preserve"> manage each of these risks are </w:t>
      </w:r>
      <w:r w:rsidRPr="00D45C46">
        <w:rPr>
          <w:rFonts w:cstheme="minorHAnsi"/>
        </w:rPr>
        <w:t>disclosed below.</w:t>
      </w:r>
    </w:p>
    <w:p w:rsidR="00D45C46" w:rsidRDefault="00D45C46" w:rsidP="00D45C46">
      <w:pPr>
        <w:autoSpaceDE w:val="0"/>
        <w:autoSpaceDN w:val="0"/>
        <w:adjustRightInd w:val="0"/>
        <w:spacing w:after="0" w:line="240" w:lineRule="auto"/>
        <w:rPr>
          <w:rFonts w:cstheme="minorHAnsi"/>
        </w:rPr>
      </w:pPr>
    </w:p>
    <w:p w:rsidR="00D45C46" w:rsidRPr="00D45C46" w:rsidRDefault="00D45C46" w:rsidP="00D36BB2">
      <w:pPr>
        <w:pStyle w:val="Heading4"/>
      </w:pPr>
      <w:r w:rsidRPr="00D45C46">
        <w:t>Foreign currency risk</w:t>
      </w:r>
    </w:p>
    <w:p w:rsidR="00D45C46" w:rsidRPr="00D45C46" w:rsidRDefault="00B004A1" w:rsidP="00D45C46">
      <w:pPr>
        <w:autoSpaceDE w:val="0"/>
        <w:autoSpaceDN w:val="0"/>
        <w:adjustRightInd w:val="0"/>
        <w:spacing w:after="0" w:line="240" w:lineRule="auto"/>
        <w:rPr>
          <w:rFonts w:cstheme="minorHAnsi"/>
        </w:rPr>
      </w:pPr>
      <w:r>
        <w:rPr>
          <w:rFonts w:cstheme="minorHAnsi"/>
        </w:rPr>
        <w:t xml:space="preserve">Chisholm is exposed to foreign </w:t>
      </w:r>
      <w:r w:rsidR="00D45C46" w:rsidRPr="00D45C46">
        <w:rPr>
          <w:rFonts w:cstheme="minorHAnsi"/>
        </w:rPr>
        <w:t>c</w:t>
      </w:r>
      <w:r>
        <w:rPr>
          <w:rFonts w:cstheme="minorHAnsi"/>
        </w:rPr>
        <w:t xml:space="preserve">urrency risk mainly through the </w:t>
      </w:r>
      <w:r w:rsidR="00D45C46" w:rsidRPr="00D45C46">
        <w:rPr>
          <w:rFonts w:cstheme="minorHAnsi"/>
        </w:rPr>
        <w:t>delivery of services in currencies</w:t>
      </w:r>
      <w:r>
        <w:rPr>
          <w:rFonts w:cstheme="minorHAnsi"/>
        </w:rPr>
        <w:t xml:space="preserve"> </w:t>
      </w:r>
      <w:r w:rsidR="00D45C46" w:rsidRPr="00D45C46">
        <w:rPr>
          <w:rFonts w:cstheme="minorHAnsi"/>
        </w:rPr>
        <w:t>other than the Australian dollar,</w:t>
      </w:r>
      <w:r>
        <w:rPr>
          <w:rFonts w:cstheme="minorHAnsi"/>
        </w:rPr>
        <w:t xml:space="preserve"> </w:t>
      </w:r>
      <w:r w:rsidR="00D45C46" w:rsidRPr="00D45C46">
        <w:rPr>
          <w:rFonts w:cstheme="minorHAnsi"/>
        </w:rPr>
        <w:t>and</w:t>
      </w:r>
      <w:r>
        <w:rPr>
          <w:rFonts w:cstheme="minorHAnsi"/>
        </w:rPr>
        <w:t xml:space="preserve"> payables relating to purchases </w:t>
      </w:r>
      <w:r w:rsidR="00D45C46" w:rsidRPr="00D45C46">
        <w:rPr>
          <w:rFonts w:cstheme="minorHAnsi"/>
        </w:rPr>
        <w:t>of supplies and consumables from</w:t>
      </w:r>
      <w:r>
        <w:rPr>
          <w:rFonts w:cstheme="minorHAnsi"/>
        </w:rPr>
        <w:t xml:space="preserve"> </w:t>
      </w:r>
      <w:r w:rsidR="00D45C46" w:rsidRPr="00D45C46">
        <w:rPr>
          <w:rFonts w:cstheme="minorHAnsi"/>
        </w:rPr>
        <w:t>overseas</w:t>
      </w:r>
      <w:r>
        <w:rPr>
          <w:rFonts w:cstheme="minorHAnsi"/>
        </w:rPr>
        <w:t xml:space="preserve">. As there are a limited amount </w:t>
      </w:r>
      <w:r w:rsidR="00D45C46" w:rsidRPr="00D45C46">
        <w:rPr>
          <w:rFonts w:cstheme="minorHAnsi"/>
        </w:rPr>
        <w:t>of tran</w:t>
      </w:r>
      <w:r>
        <w:rPr>
          <w:rFonts w:cstheme="minorHAnsi"/>
        </w:rPr>
        <w:t xml:space="preserve">sactions denominated in foreign </w:t>
      </w:r>
      <w:r w:rsidR="00D45C46" w:rsidRPr="00D45C46">
        <w:rPr>
          <w:rFonts w:cstheme="minorHAnsi"/>
        </w:rPr>
        <w:t>currencies, Chisholm’s foreign currency</w:t>
      </w:r>
      <w:r>
        <w:rPr>
          <w:rFonts w:cstheme="minorHAnsi"/>
        </w:rPr>
        <w:t xml:space="preserve"> </w:t>
      </w:r>
      <w:r w:rsidR="00D45C46" w:rsidRPr="00D45C46">
        <w:rPr>
          <w:rFonts w:cstheme="minorHAnsi"/>
        </w:rPr>
        <w:t>exposure risk is l</w:t>
      </w:r>
      <w:r>
        <w:rPr>
          <w:rFonts w:cstheme="minorHAnsi"/>
        </w:rPr>
        <w:t xml:space="preserve">imited. </w:t>
      </w:r>
      <w:r w:rsidR="00D45C46" w:rsidRPr="00D45C46">
        <w:rPr>
          <w:rFonts w:cstheme="minorHAnsi"/>
        </w:rPr>
        <w:t>Chi</w:t>
      </w:r>
      <w:r>
        <w:rPr>
          <w:rFonts w:cstheme="minorHAnsi"/>
        </w:rPr>
        <w:t xml:space="preserve">sholm does not have any foreign </w:t>
      </w:r>
      <w:r w:rsidR="00D45C46" w:rsidRPr="00D45C46">
        <w:rPr>
          <w:rFonts w:cstheme="minorHAnsi"/>
        </w:rPr>
        <w:t>cur</w:t>
      </w:r>
      <w:r>
        <w:rPr>
          <w:rFonts w:cstheme="minorHAnsi"/>
        </w:rPr>
        <w:t xml:space="preserve">rency bank accounts denominated </w:t>
      </w:r>
      <w:r w:rsidR="00D45C46" w:rsidRPr="00D45C46">
        <w:rPr>
          <w:rFonts w:cstheme="minorHAnsi"/>
        </w:rPr>
        <w:t>in foreign currency at 31 December 2017.</w:t>
      </w:r>
    </w:p>
    <w:p w:rsidR="00D45C46" w:rsidRDefault="00D45C46" w:rsidP="00D45C46">
      <w:pPr>
        <w:autoSpaceDE w:val="0"/>
        <w:autoSpaceDN w:val="0"/>
        <w:adjustRightInd w:val="0"/>
        <w:spacing w:after="0" w:line="240" w:lineRule="auto"/>
        <w:rPr>
          <w:rFonts w:cstheme="minorHAnsi"/>
        </w:rPr>
      </w:pPr>
    </w:p>
    <w:p w:rsidR="00D45C46" w:rsidRPr="00D45C46" w:rsidRDefault="00D45C46" w:rsidP="00D36BB2">
      <w:pPr>
        <w:pStyle w:val="Heading4"/>
      </w:pPr>
      <w:r w:rsidRPr="00D45C46">
        <w:t>Interest rate risk</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Int</w:t>
      </w:r>
      <w:r w:rsidR="00B004A1">
        <w:rPr>
          <w:rFonts w:cstheme="minorHAnsi"/>
        </w:rPr>
        <w:t xml:space="preserve">erest rate risk arises from the </w:t>
      </w:r>
      <w:r w:rsidRPr="00D45C46">
        <w:rPr>
          <w:rFonts w:cstheme="minorHAnsi"/>
        </w:rPr>
        <w:t>potential</w:t>
      </w:r>
      <w:r w:rsidR="00B004A1">
        <w:rPr>
          <w:rFonts w:cstheme="minorHAnsi"/>
        </w:rPr>
        <w:t xml:space="preserve"> for a change in interest rates </w:t>
      </w:r>
      <w:r w:rsidRPr="00D45C46">
        <w:rPr>
          <w:rFonts w:cstheme="minorHAnsi"/>
        </w:rPr>
        <w:t>to change the expected net interest</w:t>
      </w:r>
      <w:r w:rsidR="00B004A1">
        <w:rPr>
          <w:rFonts w:cstheme="minorHAnsi"/>
        </w:rPr>
        <w:t xml:space="preserve"> </w:t>
      </w:r>
      <w:r w:rsidRPr="00D45C46">
        <w:rPr>
          <w:rFonts w:cstheme="minorHAnsi"/>
        </w:rPr>
        <w:t>earnin</w:t>
      </w:r>
      <w:r w:rsidR="00B004A1">
        <w:rPr>
          <w:rFonts w:cstheme="minorHAnsi"/>
        </w:rPr>
        <w:t xml:space="preserve">gs in the current reporting </w:t>
      </w:r>
      <w:r w:rsidRPr="00D45C46">
        <w:rPr>
          <w:rFonts w:cstheme="minorHAnsi"/>
        </w:rPr>
        <w:t>perio</w:t>
      </w:r>
      <w:r w:rsidR="00B004A1">
        <w:rPr>
          <w:rFonts w:cstheme="minorHAnsi"/>
        </w:rPr>
        <w:t xml:space="preserve">d and in future years, or cause </w:t>
      </w:r>
      <w:r w:rsidRPr="00D45C46">
        <w:rPr>
          <w:rFonts w:cstheme="minorHAnsi"/>
        </w:rPr>
        <w:t>a fluctuation in the fair value of the</w:t>
      </w:r>
      <w:r w:rsidR="00B004A1">
        <w:rPr>
          <w:rFonts w:cstheme="minorHAnsi"/>
        </w:rPr>
        <w:t xml:space="preserve"> </w:t>
      </w:r>
      <w:r w:rsidRPr="00D45C46">
        <w:rPr>
          <w:rFonts w:cstheme="minorHAnsi"/>
        </w:rPr>
        <w:t>financial instruments.</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 xml:space="preserve">Fair </w:t>
      </w:r>
      <w:r w:rsidR="00B004A1">
        <w:rPr>
          <w:rFonts w:cstheme="minorHAnsi"/>
        </w:rPr>
        <w:t xml:space="preserve">value interest rate risk is the </w:t>
      </w:r>
      <w:r w:rsidRPr="00D45C46">
        <w:rPr>
          <w:rFonts w:cstheme="minorHAnsi"/>
        </w:rPr>
        <w:t>risk tha</w:t>
      </w:r>
      <w:r w:rsidR="00B004A1">
        <w:rPr>
          <w:rFonts w:cstheme="minorHAnsi"/>
        </w:rPr>
        <w:t xml:space="preserve">t the fair value of a financial </w:t>
      </w:r>
      <w:r w:rsidRPr="00D45C46">
        <w:rPr>
          <w:rFonts w:cstheme="minorHAnsi"/>
        </w:rPr>
        <w:t>instrument will fluctuate because</w:t>
      </w:r>
      <w:r w:rsidR="00B004A1">
        <w:rPr>
          <w:rFonts w:cstheme="minorHAnsi"/>
        </w:rPr>
        <w:t xml:space="preserve"> </w:t>
      </w:r>
      <w:r w:rsidRPr="00D45C46">
        <w:rPr>
          <w:rFonts w:cstheme="minorHAnsi"/>
        </w:rPr>
        <w:t>of changes in mark</w:t>
      </w:r>
      <w:r w:rsidR="00B004A1">
        <w:rPr>
          <w:rFonts w:cstheme="minorHAnsi"/>
        </w:rPr>
        <w:t xml:space="preserve">et interest rates. </w:t>
      </w:r>
      <w:r w:rsidRPr="00D45C46">
        <w:rPr>
          <w:rFonts w:cstheme="minorHAnsi"/>
        </w:rPr>
        <w:t>Chis</w:t>
      </w:r>
      <w:r w:rsidR="00B004A1">
        <w:rPr>
          <w:rFonts w:cstheme="minorHAnsi"/>
        </w:rPr>
        <w:t xml:space="preserve">holm does not hold any interest </w:t>
      </w:r>
      <w:r w:rsidRPr="00D45C46">
        <w:rPr>
          <w:rFonts w:cstheme="minorHAnsi"/>
        </w:rPr>
        <w:t>bearing financial instruments that are</w:t>
      </w:r>
      <w:r w:rsidR="00B004A1">
        <w:rPr>
          <w:rFonts w:cstheme="minorHAnsi"/>
        </w:rPr>
        <w:t xml:space="preserve"> </w:t>
      </w:r>
      <w:r w:rsidRPr="00D45C46">
        <w:rPr>
          <w:rFonts w:cstheme="minorHAnsi"/>
        </w:rPr>
        <w:t>measur</w:t>
      </w:r>
      <w:r w:rsidR="00B004A1">
        <w:rPr>
          <w:rFonts w:cstheme="minorHAnsi"/>
        </w:rPr>
        <w:t xml:space="preserve">ed at fair value, and therefore </w:t>
      </w:r>
      <w:r w:rsidRPr="00D45C46">
        <w:rPr>
          <w:rFonts w:cstheme="minorHAnsi"/>
        </w:rPr>
        <w:t xml:space="preserve">has no </w:t>
      </w:r>
      <w:r w:rsidR="00B004A1">
        <w:rPr>
          <w:rFonts w:cstheme="minorHAnsi"/>
        </w:rPr>
        <w:t xml:space="preserve">exposure to fair value interest </w:t>
      </w:r>
      <w:r w:rsidRPr="00D45C46">
        <w:rPr>
          <w:rFonts w:cstheme="minorHAnsi"/>
        </w:rPr>
        <w:t>rate risk.</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Cash flow</w:t>
      </w:r>
      <w:r w:rsidR="00B004A1">
        <w:rPr>
          <w:rFonts w:cstheme="minorHAnsi"/>
        </w:rPr>
        <w:t xml:space="preserve"> interest rate risk is the risk </w:t>
      </w:r>
      <w:r w:rsidRPr="00D45C46">
        <w:rPr>
          <w:rFonts w:cstheme="minorHAnsi"/>
        </w:rPr>
        <w:t>that the future cash flows of a f</w:t>
      </w:r>
      <w:r w:rsidR="00B004A1">
        <w:rPr>
          <w:rFonts w:cstheme="minorHAnsi"/>
        </w:rPr>
        <w:t xml:space="preserve">inancial </w:t>
      </w:r>
      <w:r w:rsidRPr="00D45C46">
        <w:rPr>
          <w:rFonts w:cstheme="minorHAnsi"/>
        </w:rPr>
        <w:t>instrument will fluctuate because</w:t>
      </w:r>
      <w:r w:rsidR="00B004A1">
        <w:rPr>
          <w:rFonts w:cstheme="minorHAnsi"/>
        </w:rPr>
        <w:t xml:space="preserve"> </w:t>
      </w:r>
      <w:r w:rsidRPr="00D45C46">
        <w:rPr>
          <w:rFonts w:cstheme="minorHAnsi"/>
        </w:rPr>
        <w:t>of ch</w:t>
      </w:r>
      <w:r w:rsidR="00B004A1">
        <w:rPr>
          <w:rFonts w:cstheme="minorHAnsi"/>
        </w:rPr>
        <w:t xml:space="preserve">anges in market interest rates. </w:t>
      </w:r>
      <w:r w:rsidRPr="00D45C46">
        <w:rPr>
          <w:rFonts w:cstheme="minorHAnsi"/>
        </w:rPr>
        <w:t>C</w:t>
      </w:r>
      <w:r w:rsidR="00B004A1">
        <w:rPr>
          <w:rFonts w:cstheme="minorHAnsi"/>
        </w:rPr>
        <w:t xml:space="preserve">hisholm has minimal exposure to </w:t>
      </w:r>
      <w:r w:rsidRPr="00D45C46">
        <w:rPr>
          <w:rFonts w:cstheme="minorHAnsi"/>
        </w:rPr>
        <w:t>cash flow interest rate risk through</w:t>
      </w:r>
      <w:r w:rsidR="00B004A1">
        <w:rPr>
          <w:rFonts w:cstheme="minorHAnsi"/>
        </w:rPr>
        <w:t xml:space="preserve"> </w:t>
      </w:r>
      <w:r w:rsidRPr="00D45C46">
        <w:rPr>
          <w:rFonts w:cstheme="minorHAnsi"/>
        </w:rPr>
        <w:t>it</w:t>
      </w:r>
      <w:r w:rsidR="00B004A1">
        <w:rPr>
          <w:rFonts w:cstheme="minorHAnsi"/>
        </w:rPr>
        <w:t xml:space="preserve">s cash and deposits that are at </w:t>
      </w:r>
      <w:r w:rsidRPr="00D45C46">
        <w:rPr>
          <w:rFonts w:cstheme="minorHAnsi"/>
        </w:rPr>
        <w:t>floating rates.</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Chis</w:t>
      </w:r>
      <w:r w:rsidR="00B004A1">
        <w:rPr>
          <w:rFonts w:cstheme="minorHAnsi"/>
        </w:rPr>
        <w:t xml:space="preserve">holm manages cash flow interest </w:t>
      </w:r>
      <w:r w:rsidRPr="00D45C46">
        <w:rPr>
          <w:rFonts w:cstheme="minorHAnsi"/>
        </w:rPr>
        <w:t xml:space="preserve">rate risk through a </w:t>
      </w:r>
      <w:r w:rsidR="00B004A1">
        <w:rPr>
          <w:rFonts w:cstheme="minorHAnsi"/>
        </w:rPr>
        <w:t xml:space="preserve">mixture of short </w:t>
      </w:r>
      <w:r w:rsidRPr="00D45C46">
        <w:rPr>
          <w:rFonts w:cstheme="minorHAnsi"/>
        </w:rPr>
        <w:t>term and longer term investments,</w:t>
      </w:r>
      <w:r w:rsidR="00B004A1">
        <w:rPr>
          <w:rFonts w:cstheme="minorHAnsi"/>
        </w:rPr>
        <w:t xml:space="preserve"> </w:t>
      </w:r>
      <w:r w:rsidRPr="00D45C46">
        <w:rPr>
          <w:rFonts w:cstheme="minorHAnsi"/>
        </w:rPr>
        <w:t>and undert</w:t>
      </w:r>
      <w:r w:rsidR="00B004A1">
        <w:rPr>
          <w:rFonts w:cstheme="minorHAnsi"/>
        </w:rPr>
        <w:t xml:space="preserve">aking fixed rate or noninterest bearing financial instruments </w:t>
      </w:r>
      <w:r w:rsidRPr="00D45C46">
        <w:rPr>
          <w:rFonts w:cstheme="minorHAnsi"/>
        </w:rPr>
        <w:t>with relatively even maturity profiles,</w:t>
      </w:r>
      <w:r w:rsidR="00B004A1">
        <w:rPr>
          <w:rFonts w:cstheme="minorHAnsi"/>
        </w:rPr>
        <w:t xml:space="preserve"> </w:t>
      </w:r>
      <w:r w:rsidRPr="00D45C46">
        <w:rPr>
          <w:rFonts w:cstheme="minorHAnsi"/>
        </w:rPr>
        <w:t>wit</w:t>
      </w:r>
      <w:r w:rsidR="00B004A1">
        <w:rPr>
          <w:rFonts w:cstheme="minorHAnsi"/>
        </w:rPr>
        <w:t xml:space="preserve">h only insignificant amounts of </w:t>
      </w:r>
      <w:r w:rsidRPr="00D45C46">
        <w:rPr>
          <w:rFonts w:cstheme="minorHAnsi"/>
        </w:rPr>
        <w:t>financial instruments at floating rate.</w:t>
      </w:r>
    </w:p>
    <w:p w:rsidR="00D45C46" w:rsidRPr="00D45C46" w:rsidRDefault="00D45C46" w:rsidP="00D45C46">
      <w:pPr>
        <w:autoSpaceDE w:val="0"/>
        <w:autoSpaceDN w:val="0"/>
        <w:adjustRightInd w:val="0"/>
        <w:spacing w:after="0" w:line="240" w:lineRule="auto"/>
        <w:rPr>
          <w:rFonts w:cstheme="minorHAnsi"/>
        </w:rPr>
      </w:pPr>
      <w:r w:rsidRPr="00D45C46">
        <w:rPr>
          <w:rFonts w:cstheme="minorHAnsi"/>
        </w:rPr>
        <w:t>Management monitors movement in</w:t>
      </w:r>
      <w:r w:rsidR="00B004A1">
        <w:rPr>
          <w:rFonts w:cstheme="minorHAnsi"/>
        </w:rPr>
        <w:t xml:space="preserve"> </w:t>
      </w:r>
      <w:r w:rsidRPr="00D45C46">
        <w:rPr>
          <w:rFonts w:cstheme="minorHAnsi"/>
        </w:rPr>
        <w:t>in</w:t>
      </w:r>
      <w:r w:rsidR="00B004A1">
        <w:rPr>
          <w:rFonts w:cstheme="minorHAnsi"/>
        </w:rPr>
        <w:t xml:space="preserve">terest rate on a monthly basis. </w:t>
      </w:r>
      <w:r w:rsidRPr="00D45C46">
        <w:rPr>
          <w:rFonts w:cstheme="minorHAnsi"/>
        </w:rPr>
        <w:t>The carrying amounts of financial</w:t>
      </w:r>
      <w:r w:rsidR="00B004A1">
        <w:rPr>
          <w:rFonts w:cstheme="minorHAnsi"/>
        </w:rPr>
        <w:t xml:space="preserve"> </w:t>
      </w:r>
      <w:r w:rsidRPr="00D45C46">
        <w:rPr>
          <w:rFonts w:cstheme="minorHAnsi"/>
        </w:rPr>
        <w:t>assets</w:t>
      </w:r>
      <w:r w:rsidR="00B004A1">
        <w:rPr>
          <w:rFonts w:cstheme="minorHAnsi"/>
        </w:rPr>
        <w:t xml:space="preserve"> and financial liabilities that </w:t>
      </w:r>
      <w:r w:rsidRPr="00D45C46">
        <w:rPr>
          <w:rFonts w:cstheme="minorHAnsi"/>
        </w:rPr>
        <w:t>are exposed to interest rates and</w:t>
      </w:r>
    </w:p>
    <w:p w:rsidR="00D45C46" w:rsidRPr="00D45C46" w:rsidRDefault="00D45C46" w:rsidP="00B004A1">
      <w:pPr>
        <w:autoSpaceDE w:val="0"/>
        <w:autoSpaceDN w:val="0"/>
        <w:adjustRightInd w:val="0"/>
        <w:spacing w:after="0" w:line="240" w:lineRule="auto"/>
        <w:rPr>
          <w:rFonts w:cstheme="minorHAnsi"/>
        </w:rPr>
      </w:pPr>
      <w:r w:rsidRPr="00D45C46">
        <w:rPr>
          <w:rFonts w:cstheme="minorHAnsi"/>
        </w:rPr>
        <w:t>Chisholm’s sensitivity to interest rate</w:t>
      </w:r>
      <w:r w:rsidR="00B004A1">
        <w:rPr>
          <w:rFonts w:cstheme="minorHAnsi"/>
        </w:rPr>
        <w:t xml:space="preserve"> </w:t>
      </w:r>
      <w:r w:rsidRPr="00D45C46">
        <w:rPr>
          <w:rFonts w:cstheme="minorHAnsi"/>
        </w:rPr>
        <w:t>risk are set out below.</w:t>
      </w:r>
    </w:p>
    <w:p w:rsidR="00524DBE" w:rsidRDefault="00524DBE" w:rsidP="00524DBE">
      <w:pPr>
        <w:pStyle w:val="NoSpacing"/>
        <w:rPr>
          <w:b/>
        </w:rPr>
      </w:pPr>
    </w:p>
    <w:p w:rsidR="00524DBE" w:rsidRDefault="00D45C46" w:rsidP="001021C5">
      <w:r>
        <w:t>&lt;pp&gt;73</w:t>
      </w:r>
    </w:p>
    <w:p w:rsidR="00E03D36" w:rsidRDefault="00E03D36" w:rsidP="001021C5">
      <w:pPr>
        <w:rPr>
          <w:caps/>
        </w:rPr>
        <w:sectPr w:rsidR="00E03D36">
          <w:pgSz w:w="11906" w:h="16838"/>
          <w:pgMar w:top="1440" w:right="1440" w:bottom="1440" w:left="1440" w:header="708" w:footer="708" w:gutter="0"/>
          <w:cols w:space="708"/>
          <w:docGrid w:linePitch="360"/>
        </w:sectPr>
      </w:pPr>
    </w:p>
    <w:p w:rsidR="00B004A1" w:rsidRDefault="00E03D36" w:rsidP="00D36BB2">
      <w:pPr>
        <w:pStyle w:val="Heading3"/>
      </w:pPr>
      <w:r>
        <w:lastRenderedPageBreak/>
        <w:t xml:space="preserve">7. </w:t>
      </w:r>
      <w:r w:rsidRPr="00E03D36">
        <w:t>M</w:t>
      </w:r>
      <w:r w:rsidR="00B004A1" w:rsidRPr="00E03D36">
        <w:t>anaging risks and uncertainties (continued)</w:t>
      </w:r>
    </w:p>
    <w:p w:rsidR="00E03D36" w:rsidRDefault="00E03D36" w:rsidP="00E03D36">
      <w:pPr>
        <w:pStyle w:val="NoSpacing"/>
      </w:pPr>
    </w:p>
    <w:p w:rsidR="00B004A1" w:rsidRDefault="00B004A1" w:rsidP="00D36BB2">
      <w:pPr>
        <w:pStyle w:val="Heading4"/>
      </w:pPr>
      <w:r w:rsidRPr="00B004A1">
        <w:t>7.1 Financial instruments (continued)</w:t>
      </w:r>
    </w:p>
    <w:p w:rsidR="00E03D36" w:rsidRDefault="00E03D36" w:rsidP="00E03D36">
      <w:pPr>
        <w:pStyle w:val="NoSpacing"/>
      </w:pPr>
    </w:p>
    <w:p w:rsidR="00E03D36" w:rsidRDefault="00B004A1" w:rsidP="00E03D36">
      <w:pPr>
        <w:pStyle w:val="NoSpacing"/>
      </w:pPr>
      <w:r>
        <w:t xml:space="preserve">Interest rate exposure of financial instruments </w:t>
      </w:r>
    </w:p>
    <w:tbl>
      <w:tblPr>
        <w:tblStyle w:val="TableGrid"/>
        <w:tblW w:w="9356" w:type="dxa"/>
        <w:tblInd w:w="5098" w:type="dxa"/>
        <w:tblLook w:val="04A0" w:firstRow="1" w:lastRow="0" w:firstColumn="1" w:lastColumn="0" w:noHBand="0" w:noVBand="1"/>
      </w:tblPr>
      <w:tblGrid>
        <w:gridCol w:w="1823"/>
        <w:gridCol w:w="1877"/>
        <w:gridCol w:w="1886"/>
        <w:gridCol w:w="1885"/>
        <w:gridCol w:w="1885"/>
      </w:tblGrid>
      <w:tr w:rsidR="00E03D36" w:rsidTr="001D7EE6">
        <w:tc>
          <w:tcPr>
            <w:tcW w:w="1823" w:type="dxa"/>
            <w:vAlign w:val="bottom"/>
          </w:tcPr>
          <w:p w:rsidR="00E03D36" w:rsidRDefault="00E03D36" w:rsidP="00A31F01">
            <w:pPr>
              <w:pStyle w:val="NoSpacing"/>
              <w:jc w:val="right"/>
              <w:rPr>
                <w:rFonts w:cstheme="minorHAnsi"/>
              </w:rPr>
            </w:pPr>
            <w:r>
              <w:rPr>
                <w:rFonts w:cstheme="minorHAnsi"/>
              </w:rPr>
              <w:t xml:space="preserve">Weighted average </w:t>
            </w:r>
          </w:p>
          <w:p w:rsidR="00E03D36" w:rsidRDefault="00E03D36" w:rsidP="00A31F01">
            <w:pPr>
              <w:pStyle w:val="NoSpacing"/>
              <w:jc w:val="right"/>
              <w:rPr>
                <w:rFonts w:cstheme="minorHAnsi"/>
              </w:rPr>
            </w:pPr>
            <w:r>
              <w:rPr>
                <w:rFonts w:cstheme="minorHAnsi"/>
              </w:rPr>
              <w:t>effective rate</w:t>
            </w:r>
          </w:p>
        </w:tc>
        <w:tc>
          <w:tcPr>
            <w:tcW w:w="1877" w:type="dxa"/>
            <w:vAlign w:val="bottom"/>
          </w:tcPr>
          <w:p w:rsidR="00E03D36" w:rsidRDefault="00E03D36" w:rsidP="00A31F01">
            <w:pPr>
              <w:pStyle w:val="NoSpacing"/>
              <w:jc w:val="right"/>
              <w:rPr>
                <w:rFonts w:cstheme="minorHAnsi"/>
              </w:rPr>
            </w:pPr>
            <w:r>
              <w:rPr>
                <w:rFonts w:cstheme="minorHAnsi"/>
              </w:rPr>
              <w:t>Total carrying amount per balance sheet</w:t>
            </w:r>
          </w:p>
        </w:tc>
        <w:tc>
          <w:tcPr>
            <w:tcW w:w="1886" w:type="dxa"/>
            <w:vAlign w:val="bottom"/>
          </w:tcPr>
          <w:p w:rsidR="00E03D36" w:rsidRDefault="00E03D36" w:rsidP="00A31F01">
            <w:pPr>
              <w:pStyle w:val="NoSpacing"/>
              <w:jc w:val="right"/>
              <w:rPr>
                <w:rFonts w:cstheme="minorHAnsi"/>
              </w:rPr>
            </w:pPr>
            <w:r>
              <w:rPr>
                <w:rFonts w:cstheme="minorHAnsi"/>
              </w:rPr>
              <w:t xml:space="preserve">Floating </w:t>
            </w:r>
          </w:p>
          <w:p w:rsidR="00E03D36" w:rsidRDefault="00E03D36" w:rsidP="00A31F01">
            <w:pPr>
              <w:pStyle w:val="NoSpacing"/>
              <w:jc w:val="right"/>
              <w:rPr>
                <w:rFonts w:cstheme="minorHAnsi"/>
              </w:rPr>
            </w:pPr>
            <w:r>
              <w:rPr>
                <w:rFonts w:cstheme="minorHAnsi"/>
              </w:rPr>
              <w:t>interest rate</w:t>
            </w:r>
          </w:p>
        </w:tc>
        <w:tc>
          <w:tcPr>
            <w:tcW w:w="1885" w:type="dxa"/>
            <w:vAlign w:val="bottom"/>
          </w:tcPr>
          <w:p w:rsidR="00E03D36" w:rsidRDefault="00E03D36" w:rsidP="00A31F01">
            <w:pPr>
              <w:pStyle w:val="NoSpacing"/>
              <w:jc w:val="right"/>
              <w:rPr>
                <w:rFonts w:cstheme="minorHAnsi"/>
              </w:rPr>
            </w:pPr>
            <w:r>
              <w:rPr>
                <w:rFonts w:cstheme="minorHAnsi"/>
              </w:rPr>
              <w:t>Fixed</w:t>
            </w:r>
          </w:p>
          <w:p w:rsidR="00E03D36" w:rsidRDefault="00E03D36" w:rsidP="00A31F01">
            <w:pPr>
              <w:pStyle w:val="NoSpacing"/>
              <w:jc w:val="right"/>
              <w:rPr>
                <w:rFonts w:cstheme="minorHAnsi"/>
              </w:rPr>
            </w:pPr>
            <w:r>
              <w:rPr>
                <w:rFonts w:cstheme="minorHAnsi"/>
              </w:rPr>
              <w:t xml:space="preserve"> interest rate</w:t>
            </w:r>
          </w:p>
        </w:tc>
        <w:tc>
          <w:tcPr>
            <w:tcW w:w="1885" w:type="dxa"/>
            <w:vAlign w:val="bottom"/>
          </w:tcPr>
          <w:p w:rsidR="00E03D36" w:rsidRDefault="00E03D36" w:rsidP="00A31F01">
            <w:pPr>
              <w:pStyle w:val="NoSpacing"/>
              <w:jc w:val="right"/>
              <w:rPr>
                <w:rFonts w:cstheme="minorHAnsi"/>
              </w:rPr>
            </w:pPr>
            <w:r>
              <w:rPr>
                <w:rFonts w:cstheme="minorHAnsi"/>
              </w:rPr>
              <w:t xml:space="preserve">Non-interest bearing </w:t>
            </w:r>
          </w:p>
        </w:tc>
      </w:tr>
      <w:tr w:rsidR="00E03D36" w:rsidTr="001D7EE6">
        <w:tc>
          <w:tcPr>
            <w:tcW w:w="1823" w:type="dxa"/>
          </w:tcPr>
          <w:p w:rsidR="00E03D36" w:rsidRDefault="00E03D36" w:rsidP="00A31F01">
            <w:pPr>
              <w:jc w:val="right"/>
            </w:pPr>
            <w:r>
              <w:rPr>
                <w:rFonts w:cstheme="minorHAnsi"/>
                <w:bCs/>
                <w:w w:val="105"/>
              </w:rPr>
              <w:t>%</w:t>
            </w:r>
          </w:p>
        </w:tc>
        <w:tc>
          <w:tcPr>
            <w:tcW w:w="1877" w:type="dxa"/>
          </w:tcPr>
          <w:p w:rsidR="00E03D36" w:rsidRDefault="00E03D36" w:rsidP="00A31F01">
            <w:pPr>
              <w:jc w:val="right"/>
            </w:pPr>
            <w:r w:rsidRPr="00FF31DA">
              <w:rPr>
                <w:rFonts w:cstheme="minorHAnsi"/>
                <w:bCs/>
                <w:w w:val="105"/>
              </w:rPr>
              <w:t>$’000</w:t>
            </w:r>
          </w:p>
        </w:tc>
        <w:tc>
          <w:tcPr>
            <w:tcW w:w="1886" w:type="dxa"/>
          </w:tcPr>
          <w:p w:rsidR="00E03D36" w:rsidRDefault="00E03D36" w:rsidP="00A31F01">
            <w:pPr>
              <w:jc w:val="right"/>
            </w:pPr>
            <w:r w:rsidRPr="00FF31DA">
              <w:rPr>
                <w:rFonts w:cstheme="minorHAnsi"/>
                <w:bCs/>
                <w:w w:val="105"/>
              </w:rPr>
              <w:t>$’000</w:t>
            </w:r>
          </w:p>
        </w:tc>
        <w:tc>
          <w:tcPr>
            <w:tcW w:w="1885" w:type="dxa"/>
          </w:tcPr>
          <w:p w:rsidR="00E03D36" w:rsidRDefault="00E03D36" w:rsidP="00A31F01">
            <w:pPr>
              <w:jc w:val="right"/>
            </w:pPr>
            <w:r w:rsidRPr="00FF31DA">
              <w:rPr>
                <w:rFonts w:cstheme="minorHAnsi"/>
                <w:bCs/>
                <w:w w:val="105"/>
              </w:rPr>
              <w:t>$’000</w:t>
            </w:r>
          </w:p>
        </w:tc>
        <w:tc>
          <w:tcPr>
            <w:tcW w:w="1885" w:type="dxa"/>
          </w:tcPr>
          <w:p w:rsidR="00E03D36" w:rsidRDefault="00E03D36" w:rsidP="00A31F01">
            <w:pPr>
              <w:jc w:val="right"/>
            </w:pPr>
            <w:r w:rsidRPr="00FF31DA">
              <w:rPr>
                <w:rFonts w:cstheme="minorHAnsi"/>
                <w:bCs/>
                <w:w w:val="105"/>
              </w:rPr>
              <w:t>$’000</w:t>
            </w:r>
          </w:p>
        </w:tc>
      </w:tr>
    </w:tbl>
    <w:p w:rsidR="00E03D36" w:rsidRDefault="00E03D36" w:rsidP="00E03D36">
      <w:pPr>
        <w:pStyle w:val="NoSpacing"/>
      </w:pPr>
      <w:r>
        <w:t>Consolidated 2017</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1D7EE6">
        <w:tc>
          <w:tcPr>
            <w:tcW w:w="5387" w:type="dxa"/>
          </w:tcPr>
          <w:p w:rsidR="001D7EE6" w:rsidRDefault="001D7EE6" w:rsidP="00E03D36">
            <w:pPr>
              <w:pStyle w:val="NoSpacing"/>
            </w:pPr>
            <w:r>
              <w:t>Cash and deposits</w:t>
            </w:r>
          </w:p>
        </w:tc>
        <w:tc>
          <w:tcPr>
            <w:tcW w:w="1843" w:type="dxa"/>
          </w:tcPr>
          <w:p w:rsidR="001D7EE6" w:rsidRDefault="001D7EE6" w:rsidP="001D7EE6">
            <w:pPr>
              <w:pStyle w:val="NoSpacing"/>
              <w:jc w:val="right"/>
            </w:pPr>
            <w:r>
              <w:t>1.14</w:t>
            </w:r>
          </w:p>
        </w:tc>
        <w:tc>
          <w:tcPr>
            <w:tcW w:w="1843" w:type="dxa"/>
          </w:tcPr>
          <w:p w:rsidR="001D7EE6" w:rsidRDefault="001D7EE6" w:rsidP="001D7EE6">
            <w:pPr>
              <w:pStyle w:val="NoSpacing"/>
              <w:jc w:val="right"/>
            </w:pPr>
            <w:r>
              <w:t>46,437</w:t>
            </w:r>
          </w:p>
        </w:tc>
        <w:tc>
          <w:tcPr>
            <w:tcW w:w="1843" w:type="dxa"/>
          </w:tcPr>
          <w:p w:rsidR="001D7EE6" w:rsidRDefault="001D7EE6" w:rsidP="001D7EE6">
            <w:pPr>
              <w:pStyle w:val="NoSpacing"/>
              <w:jc w:val="right"/>
            </w:pPr>
            <w:r>
              <w:t>46,437</w:t>
            </w:r>
          </w:p>
        </w:tc>
        <w:tc>
          <w:tcPr>
            <w:tcW w:w="1984" w:type="dxa"/>
          </w:tcPr>
          <w:p w:rsidR="001D7EE6" w:rsidRDefault="001D7EE6" w:rsidP="001D7EE6">
            <w:pPr>
              <w:pStyle w:val="NoSpacing"/>
              <w:jc w:val="right"/>
            </w:pPr>
            <w:r>
              <w:t>-</w:t>
            </w:r>
          </w:p>
        </w:tc>
        <w:tc>
          <w:tcPr>
            <w:tcW w:w="1843" w:type="dxa"/>
          </w:tcPr>
          <w:p w:rsidR="001D7EE6" w:rsidRDefault="001D7EE6" w:rsidP="001D7EE6">
            <w:pPr>
              <w:pStyle w:val="NoSpacing"/>
              <w:jc w:val="right"/>
            </w:pPr>
            <w:r>
              <w:t>-</w:t>
            </w:r>
          </w:p>
        </w:tc>
      </w:tr>
    </w:tbl>
    <w:p w:rsidR="00E03D36" w:rsidRDefault="001D7EE6" w:rsidP="001D7EE6">
      <w:pPr>
        <w:pStyle w:val="NoSpacing"/>
      </w:pPr>
      <w:r>
        <w:t>Receivables</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Trade receivables</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5,569</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55,569</w:t>
            </w:r>
          </w:p>
        </w:tc>
      </w:tr>
      <w:tr w:rsidR="001D7EE6" w:rsidTr="00A31F01">
        <w:tc>
          <w:tcPr>
            <w:tcW w:w="5387" w:type="dxa"/>
          </w:tcPr>
          <w:p w:rsidR="001D7EE6" w:rsidRDefault="001D7EE6" w:rsidP="00A31F01">
            <w:pPr>
              <w:pStyle w:val="NoSpacing"/>
            </w:pPr>
            <w:r>
              <w:t>Revenue receivable</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6,361</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6,361</w:t>
            </w:r>
          </w:p>
        </w:tc>
      </w:tr>
      <w:tr w:rsidR="001D7EE6" w:rsidTr="00A31F01">
        <w:tc>
          <w:tcPr>
            <w:tcW w:w="5387" w:type="dxa"/>
          </w:tcPr>
          <w:p w:rsidR="001D7EE6" w:rsidRDefault="001D7EE6" w:rsidP="00A31F01">
            <w:pPr>
              <w:pStyle w:val="NoSpacing"/>
            </w:pPr>
            <w:r>
              <w:t>Other receivables</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2,608</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2,608</w:t>
            </w:r>
          </w:p>
        </w:tc>
      </w:tr>
      <w:tr w:rsidR="001D7EE6" w:rsidTr="00A31F01">
        <w:tc>
          <w:tcPr>
            <w:tcW w:w="5387" w:type="dxa"/>
          </w:tcPr>
          <w:p w:rsidR="001D7EE6" w:rsidRDefault="001D7EE6" w:rsidP="00A31F01">
            <w:pPr>
              <w:pStyle w:val="NoSpacing"/>
            </w:pPr>
            <w:r>
              <w:t xml:space="preserve">Term deposits </w:t>
            </w:r>
          </w:p>
        </w:tc>
        <w:tc>
          <w:tcPr>
            <w:tcW w:w="1843" w:type="dxa"/>
          </w:tcPr>
          <w:p w:rsidR="001D7EE6" w:rsidRDefault="004E4F99" w:rsidP="001D7EE6">
            <w:pPr>
              <w:pStyle w:val="NoSpacing"/>
              <w:jc w:val="right"/>
            </w:pPr>
            <w:r>
              <w:t>1.97</w:t>
            </w:r>
          </w:p>
        </w:tc>
        <w:tc>
          <w:tcPr>
            <w:tcW w:w="1843" w:type="dxa"/>
          </w:tcPr>
          <w:p w:rsidR="001D7EE6" w:rsidRDefault="004E4F99" w:rsidP="001D7EE6">
            <w:pPr>
              <w:pStyle w:val="NoSpacing"/>
              <w:jc w:val="right"/>
            </w:pPr>
            <w:r>
              <w:t>51,261</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51,261</w:t>
            </w:r>
          </w:p>
        </w:tc>
        <w:tc>
          <w:tcPr>
            <w:tcW w:w="1843" w:type="dxa"/>
          </w:tcPr>
          <w:p w:rsidR="001D7EE6" w:rsidRDefault="004E4F99" w:rsidP="001D7EE6">
            <w:pPr>
              <w:pStyle w:val="NoSpacing"/>
              <w:jc w:val="right"/>
            </w:pPr>
            <w:r>
              <w:t>-</w:t>
            </w:r>
          </w:p>
        </w:tc>
      </w:tr>
      <w:tr w:rsidR="001D7EE6" w:rsidTr="00A31F01">
        <w:tc>
          <w:tcPr>
            <w:tcW w:w="5387" w:type="dxa"/>
          </w:tcPr>
          <w:p w:rsidR="001D7EE6" w:rsidRDefault="001D7EE6" w:rsidP="00A31F01">
            <w:pPr>
              <w:pStyle w:val="NoSpacing"/>
            </w:pPr>
            <w:r>
              <w:t>Total financial assets</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112,236</w:t>
            </w:r>
          </w:p>
        </w:tc>
        <w:tc>
          <w:tcPr>
            <w:tcW w:w="1843" w:type="dxa"/>
          </w:tcPr>
          <w:p w:rsidR="001D7EE6" w:rsidRDefault="004E4F99" w:rsidP="001D7EE6">
            <w:pPr>
              <w:pStyle w:val="NoSpacing"/>
              <w:jc w:val="right"/>
            </w:pPr>
            <w:r>
              <w:t>46,437</w:t>
            </w:r>
          </w:p>
        </w:tc>
        <w:tc>
          <w:tcPr>
            <w:tcW w:w="1984" w:type="dxa"/>
          </w:tcPr>
          <w:p w:rsidR="001D7EE6" w:rsidRDefault="004E4F99" w:rsidP="001D7EE6">
            <w:pPr>
              <w:pStyle w:val="NoSpacing"/>
              <w:jc w:val="right"/>
            </w:pPr>
            <w:r>
              <w:t>51,261</w:t>
            </w:r>
          </w:p>
        </w:tc>
        <w:tc>
          <w:tcPr>
            <w:tcW w:w="1843" w:type="dxa"/>
          </w:tcPr>
          <w:p w:rsidR="001D7EE6" w:rsidRDefault="004E4F99" w:rsidP="001D7EE6">
            <w:pPr>
              <w:pStyle w:val="NoSpacing"/>
              <w:jc w:val="right"/>
            </w:pPr>
            <w:r>
              <w:t>14,538</w:t>
            </w:r>
          </w:p>
        </w:tc>
      </w:tr>
    </w:tbl>
    <w:p w:rsidR="001D7EE6" w:rsidRDefault="001D7EE6" w:rsidP="001D7EE6">
      <w:pPr>
        <w:pStyle w:val="NoSpacing"/>
      </w:pP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Supplies and services</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8,075</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8,075</w:t>
            </w:r>
          </w:p>
        </w:tc>
      </w:tr>
      <w:tr w:rsidR="001D7EE6" w:rsidTr="00A31F01">
        <w:tc>
          <w:tcPr>
            <w:tcW w:w="5387" w:type="dxa"/>
          </w:tcPr>
          <w:p w:rsidR="001D7EE6" w:rsidRDefault="001D7EE6" w:rsidP="00A31F01">
            <w:pPr>
              <w:pStyle w:val="NoSpacing"/>
            </w:pPr>
            <w:r>
              <w:t>Advances from Government</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1,630</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1,630</w:t>
            </w:r>
          </w:p>
        </w:tc>
      </w:tr>
      <w:tr w:rsidR="001D7EE6" w:rsidTr="00A31F01">
        <w:tc>
          <w:tcPr>
            <w:tcW w:w="5387" w:type="dxa"/>
          </w:tcPr>
          <w:p w:rsidR="001D7EE6" w:rsidRDefault="001D7EE6" w:rsidP="00A31F01">
            <w:pPr>
              <w:pStyle w:val="NoSpacing"/>
            </w:pPr>
            <w:r>
              <w:t>Total financial liabilities</w:t>
            </w:r>
          </w:p>
        </w:tc>
        <w:tc>
          <w:tcPr>
            <w:tcW w:w="1843" w:type="dxa"/>
          </w:tcPr>
          <w:p w:rsidR="001D7EE6" w:rsidRDefault="001D7EE6" w:rsidP="001D7EE6">
            <w:pPr>
              <w:pStyle w:val="NoSpacing"/>
              <w:jc w:val="right"/>
            </w:pPr>
          </w:p>
        </w:tc>
        <w:tc>
          <w:tcPr>
            <w:tcW w:w="1843" w:type="dxa"/>
          </w:tcPr>
          <w:p w:rsidR="001D7EE6" w:rsidRDefault="004E4F99" w:rsidP="001D7EE6">
            <w:pPr>
              <w:pStyle w:val="NoSpacing"/>
              <w:jc w:val="right"/>
            </w:pPr>
            <w:r>
              <w:t>9,705</w:t>
            </w:r>
          </w:p>
        </w:tc>
        <w:tc>
          <w:tcPr>
            <w:tcW w:w="1843" w:type="dxa"/>
          </w:tcPr>
          <w:p w:rsidR="001D7EE6" w:rsidRDefault="004E4F99" w:rsidP="001D7EE6">
            <w:pPr>
              <w:pStyle w:val="NoSpacing"/>
              <w:jc w:val="right"/>
            </w:pPr>
            <w:r>
              <w:t>-</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9,705</w:t>
            </w:r>
          </w:p>
        </w:tc>
      </w:tr>
    </w:tbl>
    <w:p w:rsidR="001D7EE6" w:rsidRDefault="001D7EE6" w:rsidP="001D7EE6">
      <w:pPr>
        <w:pStyle w:val="NoSpacing"/>
      </w:pPr>
    </w:p>
    <w:p w:rsidR="001D7EE6" w:rsidRDefault="001D7EE6" w:rsidP="001D7EE6">
      <w:pPr>
        <w:pStyle w:val="NoSpacing"/>
      </w:pPr>
      <w:r>
        <w:t>Consolidated 2016</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 xml:space="preserve">Cash and deposits </w:t>
            </w:r>
          </w:p>
        </w:tc>
        <w:tc>
          <w:tcPr>
            <w:tcW w:w="1843" w:type="dxa"/>
          </w:tcPr>
          <w:p w:rsidR="001D7EE6" w:rsidRDefault="004E4F99" w:rsidP="001D7EE6">
            <w:pPr>
              <w:pStyle w:val="NoSpacing"/>
              <w:jc w:val="right"/>
            </w:pPr>
            <w:r>
              <w:t>1.13</w:t>
            </w:r>
          </w:p>
        </w:tc>
        <w:tc>
          <w:tcPr>
            <w:tcW w:w="1843" w:type="dxa"/>
          </w:tcPr>
          <w:p w:rsidR="001D7EE6" w:rsidRDefault="004E4F99" w:rsidP="001D7EE6">
            <w:pPr>
              <w:pStyle w:val="NoSpacing"/>
              <w:jc w:val="right"/>
            </w:pPr>
            <w:r>
              <w:t>57,161</w:t>
            </w:r>
          </w:p>
        </w:tc>
        <w:tc>
          <w:tcPr>
            <w:tcW w:w="1843" w:type="dxa"/>
          </w:tcPr>
          <w:p w:rsidR="001D7EE6" w:rsidRDefault="004E4F99" w:rsidP="001D7EE6">
            <w:pPr>
              <w:pStyle w:val="NoSpacing"/>
              <w:jc w:val="right"/>
            </w:pPr>
            <w:r>
              <w:t>57,161</w:t>
            </w:r>
          </w:p>
        </w:tc>
        <w:tc>
          <w:tcPr>
            <w:tcW w:w="1984" w:type="dxa"/>
          </w:tcPr>
          <w:p w:rsidR="001D7EE6" w:rsidRDefault="004E4F99" w:rsidP="001D7EE6">
            <w:pPr>
              <w:pStyle w:val="NoSpacing"/>
              <w:jc w:val="right"/>
            </w:pPr>
            <w:r>
              <w:t>-</w:t>
            </w:r>
          </w:p>
        </w:tc>
        <w:tc>
          <w:tcPr>
            <w:tcW w:w="1843" w:type="dxa"/>
          </w:tcPr>
          <w:p w:rsidR="001D7EE6" w:rsidRDefault="004E4F99" w:rsidP="001D7EE6">
            <w:pPr>
              <w:pStyle w:val="NoSpacing"/>
              <w:jc w:val="right"/>
            </w:pPr>
            <w:r>
              <w:t>-</w:t>
            </w:r>
          </w:p>
        </w:tc>
      </w:tr>
    </w:tbl>
    <w:p w:rsidR="001D7EE6" w:rsidRDefault="001D7EE6" w:rsidP="001D7EE6">
      <w:pPr>
        <w:pStyle w:val="NoSpacing"/>
      </w:pPr>
      <w:r>
        <w:t>Receivables</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Trade receivables</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1,559</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w:t>
            </w:r>
          </w:p>
        </w:tc>
        <w:tc>
          <w:tcPr>
            <w:tcW w:w="1843" w:type="dxa"/>
          </w:tcPr>
          <w:p w:rsidR="001D7EE6" w:rsidRDefault="004E4F99" w:rsidP="00A31F01">
            <w:pPr>
              <w:pStyle w:val="NoSpacing"/>
              <w:jc w:val="right"/>
            </w:pPr>
            <w:r>
              <w:t>1,559</w:t>
            </w:r>
          </w:p>
        </w:tc>
      </w:tr>
      <w:tr w:rsidR="001D7EE6" w:rsidTr="00A31F01">
        <w:tc>
          <w:tcPr>
            <w:tcW w:w="5387" w:type="dxa"/>
          </w:tcPr>
          <w:p w:rsidR="001D7EE6" w:rsidRDefault="001D7EE6" w:rsidP="00A31F01">
            <w:pPr>
              <w:pStyle w:val="NoSpacing"/>
            </w:pPr>
            <w:r>
              <w:t>Revenue receivable</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5,714</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w:t>
            </w:r>
          </w:p>
        </w:tc>
        <w:tc>
          <w:tcPr>
            <w:tcW w:w="1843" w:type="dxa"/>
          </w:tcPr>
          <w:p w:rsidR="001D7EE6" w:rsidRDefault="004E4F99" w:rsidP="00A31F01">
            <w:pPr>
              <w:pStyle w:val="NoSpacing"/>
              <w:jc w:val="right"/>
            </w:pPr>
            <w:r>
              <w:t>5,714</w:t>
            </w:r>
          </w:p>
        </w:tc>
      </w:tr>
      <w:tr w:rsidR="001D7EE6" w:rsidTr="00A31F01">
        <w:tc>
          <w:tcPr>
            <w:tcW w:w="5387" w:type="dxa"/>
          </w:tcPr>
          <w:p w:rsidR="001D7EE6" w:rsidRDefault="001D7EE6" w:rsidP="00A31F01">
            <w:pPr>
              <w:pStyle w:val="NoSpacing"/>
            </w:pPr>
            <w:r>
              <w:t>Other receivables</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1,357</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w:t>
            </w:r>
          </w:p>
        </w:tc>
        <w:tc>
          <w:tcPr>
            <w:tcW w:w="1843" w:type="dxa"/>
          </w:tcPr>
          <w:p w:rsidR="001D7EE6" w:rsidRDefault="004E4F99" w:rsidP="00A31F01">
            <w:pPr>
              <w:pStyle w:val="NoSpacing"/>
              <w:jc w:val="right"/>
            </w:pPr>
            <w:r>
              <w:t>1,357</w:t>
            </w:r>
          </w:p>
        </w:tc>
      </w:tr>
      <w:tr w:rsidR="001D7EE6" w:rsidTr="00A31F01">
        <w:tc>
          <w:tcPr>
            <w:tcW w:w="5387" w:type="dxa"/>
          </w:tcPr>
          <w:p w:rsidR="001D7EE6" w:rsidRDefault="001D7EE6" w:rsidP="00A31F01">
            <w:pPr>
              <w:pStyle w:val="NoSpacing"/>
            </w:pPr>
            <w:r>
              <w:t xml:space="preserve">Term deposits </w:t>
            </w:r>
          </w:p>
        </w:tc>
        <w:tc>
          <w:tcPr>
            <w:tcW w:w="1843" w:type="dxa"/>
          </w:tcPr>
          <w:p w:rsidR="001D7EE6" w:rsidRDefault="004E4F99" w:rsidP="00A31F01">
            <w:pPr>
              <w:pStyle w:val="NoSpacing"/>
              <w:jc w:val="right"/>
            </w:pPr>
            <w:r>
              <w:t>2.09</w:t>
            </w:r>
          </w:p>
        </w:tc>
        <w:tc>
          <w:tcPr>
            <w:tcW w:w="1843" w:type="dxa"/>
          </w:tcPr>
          <w:p w:rsidR="001D7EE6" w:rsidRDefault="004E4F99" w:rsidP="00A31F01">
            <w:pPr>
              <w:pStyle w:val="NoSpacing"/>
              <w:jc w:val="right"/>
            </w:pPr>
            <w:r>
              <w:t>21,107</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21,107</w:t>
            </w:r>
          </w:p>
        </w:tc>
        <w:tc>
          <w:tcPr>
            <w:tcW w:w="1843" w:type="dxa"/>
          </w:tcPr>
          <w:p w:rsidR="001D7EE6" w:rsidRDefault="004E4F99" w:rsidP="00A31F01">
            <w:pPr>
              <w:pStyle w:val="NoSpacing"/>
              <w:jc w:val="right"/>
            </w:pPr>
            <w:r>
              <w:t>-</w:t>
            </w:r>
          </w:p>
        </w:tc>
      </w:tr>
      <w:tr w:rsidR="001D7EE6" w:rsidTr="00A31F01">
        <w:tc>
          <w:tcPr>
            <w:tcW w:w="5387" w:type="dxa"/>
          </w:tcPr>
          <w:p w:rsidR="001D7EE6" w:rsidRDefault="001D7EE6" w:rsidP="00A31F01">
            <w:pPr>
              <w:pStyle w:val="NoSpacing"/>
            </w:pPr>
            <w:r>
              <w:t>Total financial assets</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86,898</w:t>
            </w:r>
          </w:p>
        </w:tc>
        <w:tc>
          <w:tcPr>
            <w:tcW w:w="1843" w:type="dxa"/>
          </w:tcPr>
          <w:p w:rsidR="001D7EE6" w:rsidRDefault="004E4F99" w:rsidP="00A31F01">
            <w:pPr>
              <w:pStyle w:val="NoSpacing"/>
              <w:jc w:val="right"/>
            </w:pPr>
            <w:r>
              <w:t>57,161</w:t>
            </w:r>
          </w:p>
        </w:tc>
        <w:tc>
          <w:tcPr>
            <w:tcW w:w="1984" w:type="dxa"/>
          </w:tcPr>
          <w:p w:rsidR="001D7EE6" w:rsidRDefault="004E4F99" w:rsidP="00A31F01">
            <w:pPr>
              <w:pStyle w:val="NoSpacing"/>
              <w:jc w:val="right"/>
            </w:pPr>
            <w:r>
              <w:t>21,107</w:t>
            </w:r>
          </w:p>
        </w:tc>
        <w:tc>
          <w:tcPr>
            <w:tcW w:w="1843" w:type="dxa"/>
          </w:tcPr>
          <w:p w:rsidR="001D7EE6" w:rsidRDefault="004E4F99" w:rsidP="00A31F01">
            <w:pPr>
              <w:pStyle w:val="NoSpacing"/>
              <w:jc w:val="right"/>
            </w:pPr>
            <w:r>
              <w:t>8,630</w:t>
            </w:r>
          </w:p>
        </w:tc>
      </w:tr>
    </w:tbl>
    <w:p w:rsidR="001D7EE6" w:rsidRDefault="001D7EE6" w:rsidP="001D7EE6">
      <w:pPr>
        <w:pStyle w:val="NoSpacing"/>
      </w:pP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Supplies and services</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6,438</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w:t>
            </w:r>
          </w:p>
        </w:tc>
        <w:tc>
          <w:tcPr>
            <w:tcW w:w="1843" w:type="dxa"/>
          </w:tcPr>
          <w:p w:rsidR="001D7EE6" w:rsidRDefault="004E4F99" w:rsidP="00A31F01">
            <w:pPr>
              <w:pStyle w:val="NoSpacing"/>
              <w:jc w:val="right"/>
            </w:pPr>
            <w:r>
              <w:t>6,438</w:t>
            </w:r>
          </w:p>
        </w:tc>
      </w:tr>
      <w:tr w:rsidR="001D7EE6" w:rsidTr="00A31F01">
        <w:tc>
          <w:tcPr>
            <w:tcW w:w="5387" w:type="dxa"/>
          </w:tcPr>
          <w:p w:rsidR="001D7EE6" w:rsidRDefault="001D7EE6" w:rsidP="00A31F01">
            <w:pPr>
              <w:pStyle w:val="NoSpacing"/>
            </w:pPr>
            <w:r>
              <w:lastRenderedPageBreak/>
              <w:t>Advances from Government</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1,926</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w:t>
            </w:r>
          </w:p>
        </w:tc>
        <w:tc>
          <w:tcPr>
            <w:tcW w:w="1843" w:type="dxa"/>
          </w:tcPr>
          <w:p w:rsidR="001D7EE6" w:rsidRDefault="004E4F99" w:rsidP="00A31F01">
            <w:pPr>
              <w:pStyle w:val="NoSpacing"/>
              <w:jc w:val="right"/>
            </w:pPr>
            <w:r>
              <w:t>1,926</w:t>
            </w:r>
          </w:p>
        </w:tc>
      </w:tr>
      <w:tr w:rsidR="001D7EE6" w:rsidTr="00A31F01">
        <w:tc>
          <w:tcPr>
            <w:tcW w:w="5387" w:type="dxa"/>
          </w:tcPr>
          <w:p w:rsidR="001D7EE6" w:rsidRDefault="001D7EE6" w:rsidP="00A31F01">
            <w:pPr>
              <w:pStyle w:val="NoSpacing"/>
            </w:pPr>
            <w:r>
              <w:t>Total financial liabilities</w:t>
            </w:r>
          </w:p>
        </w:tc>
        <w:tc>
          <w:tcPr>
            <w:tcW w:w="1843" w:type="dxa"/>
          </w:tcPr>
          <w:p w:rsidR="001D7EE6" w:rsidRDefault="001D7EE6" w:rsidP="00A31F01">
            <w:pPr>
              <w:pStyle w:val="NoSpacing"/>
              <w:jc w:val="right"/>
            </w:pPr>
          </w:p>
        </w:tc>
        <w:tc>
          <w:tcPr>
            <w:tcW w:w="1843" w:type="dxa"/>
          </w:tcPr>
          <w:p w:rsidR="001D7EE6" w:rsidRDefault="004E4F99" w:rsidP="00A31F01">
            <w:pPr>
              <w:pStyle w:val="NoSpacing"/>
              <w:jc w:val="right"/>
            </w:pPr>
            <w:r>
              <w:t>8,364</w:t>
            </w:r>
          </w:p>
        </w:tc>
        <w:tc>
          <w:tcPr>
            <w:tcW w:w="1843" w:type="dxa"/>
          </w:tcPr>
          <w:p w:rsidR="001D7EE6" w:rsidRDefault="004E4F99" w:rsidP="00A31F01">
            <w:pPr>
              <w:pStyle w:val="NoSpacing"/>
              <w:jc w:val="right"/>
            </w:pPr>
            <w:r>
              <w:t>-</w:t>
            </w:r>
          </w:p>
        </w:tc>
        <w:tc>
          <w:tcPr>
            <w:tcW w:w="1984" w:type="dxa"/>
          </w:tcPr>
          <w:p w:rsidR="001D7EE6" w:rsidRDefault="004E4F99" w:rsidP="00A31F01">
            <w:pPr>
              <w:pStyle w:val="NoSpacing"/>
              <w:jc w:val="right"/>
            </w:pPr>
            <w:r>
              <w:t>-</w:t>
            </w:r>
          </w:p>
        </w:tc>
        <w:tc>
          <w:tcPr>
            <w:tcW w:w="1843" w:type="dxa"/>
          </w:tcPr>
          <w:p w:rsidR="001D7EE6" w:rsidRDefault="004E4F99" w:rsidP="00A31F01">
            <w:pPr>
              <w:pStyle w:val="NoSpacing"/>
              <w:jc w:val="right"/>
            </w:pPr>
            <w:r>
              <w:t>8,364</w:t>
            </w:r>
          </w:p>
        </w:tc>
      </w:tr>
    </w:tbl>
    <w:p w:rsidR="001D7EE6" w:rsidRDefault="001D7EE6" w:rsidP="001D7EE6">
      <w:pPr>
        <w:pStyle w:val="NoSpacing"/>
      </w:pPr>
    </w:p>
    <w:p w:rsidR="00B004A1" w:rsidRDefault="00B004A1" w:rsidP="001D7EE6">
      <w:pPr>
        <w:pStyle w:val="NoSpacing"/>
      </w:pPr>
      <w:r>
        <w:t>&lt;pp&gt;74</w:t>
      </w:r>
    </w:p>
    <w:p w:rsidR="00EE38E1" w:rsidRDefault="00EE38E1" w:rsidP="001D7EE6">
      <w:pPr>
        <w:pStyle w:val="NoSpacing"/>
      </w:pPr>
    </w:p>
    <w:p w:rsidR="00EE38E1" w:rsidRPr="00EE38E1" w:rsidRDefault="00EE38E1" w:rsidP="00234E85">
      <w:pPr>
        <w:pStyle w:val="Heading3"/>
      </w:pPr>
      <w:r w:rsidRPr="00CA7020">
        <w:t xml:space="preserve">7. </w:t>
      </w:r>
      <w:proofErr w:type="gramStart"/>
      <w:r w:rsidRPr="00EE38E1">
        <w:t>managing</w:t>
      </w:r>
      <w:proofErr w:type="gramEnd"/>
      <w:r w:rsidRPr="00EE38E1">
        <w:t xml:space="preserve"> risks and uncertainties (continued)</w:t>
      </w:r>
    </w:p>
    <w:p w:rsidR="00EE38E1" w:rsidRDefault="00EE38E1" w:rsidP="00EE38E1">
      <w:pPr>
        <w:pStyle w:val="NoSpacing"/>
      </w:pPr>
    </w:p>
    <w:p w:rsidR="001D7EE6" w:rsidRDefault="00EE38E1" w:rsidP="00234E85">
      <w:pPr>
        <w:pStyle w:val="Heading4"/>
      </w:pPr>
      <w:r w:rsidRPr="00B004A1">
        <w:t>7.1 Financial instruments (continued)</w:t>
      </w:r>
    </w:p>
    <w:tbl>
      <w:tblPr>
        <w:tblStyle w:val="TableGrid"/>
        <w:tblW w:w="9356" w:type="dxa"/>
        <w:tblInd w:w="5098" w:type="dxa"/>
        <w:tblLook w:val="04A0" w:firstRow="1" w:lastRow="0" w:firstColumn="1" w:lastColumn="0" w:noHBand="0" w:noVBand="1"/>
      </w:tblPr>
      <w:tblGrid>
        <w:gridCol w:w="1823"/>
        <w:gridCol w:w="1877"/>
        <w:gridCol w:w="1886"/>
        <w:gridCol w:w="1885"/>
        <w:gridCol w:w="1885"/>
      </w:tblGrid>
      <w:tr w:rsidR="001D7EE6" w:rsidTr="00A31F01">
        <w:tc>
          <w:tcPr>
            <w:tcW w:w="1823" w:type="dxa"/>
            <w:vAlign w:val="bottom"/>
          </w:tcPr>
          <w:p w:rsidR="001D7EE6" w:rsidRDefault="001D7EE6" w:rsidP="00A31F01">
            <w:pPr>
              <w:pStyle w:val="NoSpacing"/>
              <w:jc w:val="right"/>
              <w:rPr>
                <w:rFonts w:cstheme="minorHAnsi"/>
              </w:rPr>
            </w:pPr>
            <w:r>
              <w:rPr>
                <w:rFonts w:cstheme="minorHAnsi"/>
              </w:rPr>
              <w:t xml:space="preserve">Weighted average </w:t>
            </w:r>
          </w:p>
          <w:p w:rsidR="001D7EE6" w:rsidRDefault="001D7EE6" w:rsidP="00A31F01">
            <w:pPr>
              <w:pStyle w:val="NoSpacing"/>
              <w:jc w:val="right"/>
              <w:rPr>
                <w:rFonts w:cstheme="minorHAnsi"/>
              </w:rPr>
            </w:pPr>
            <w:r>
              <w:rPr>
                <w:rFonts w:cstheme="minorHAnsi"/>
              </w:rPr>
              <w:t>effective rate</w:t>
            </w:r>
          </w:p>
        </w:tc>
        <w:tc>
          <w:tcPr>
            <w:tcW w:w="1877" w:type="dxa"/>
            <w:vAlign w:val="bottom"/>
          </w:tcPr>
          <w:p w:rsidR="001D7EE6" w:rsidRDefault="001D7EE6" w:rsidP="00A31F01">
            <w:pPr>
              <w:pStyle w:val="NoSpacing"/>
              <w:jc w:val="right"/>
              <w:rPr>
                <w:rFonts w:cstheme="minorHAnsi"/>
              </w:rPr>
            </w:pPr>
            <w:r>
              <w:rPr>
                <w:rFonts w:cstheme="minorHAnsi"/>
              </w:rPr>
              <w:t>Total carrying amount per balance sheet</w:t>
            </w:r>
          </w:p>
        </w:tc>
        <w:tc>
          <w:tcPr>
            <w:tcW w:w="1886" w:type="dxa"/>
            <w:vAlign w:val="bottom"/>
          </w:tcPr>
          <w:p w:rsidR="001D7EE6" w:rsidRDefault="001D7EE6" w:rsidP="00A31F01">
            <w:pPr>
              <w:pStyle w:val="NoSpacing"/>
              <w:jc w:val="right"/>
              <w:rPr>
                <w:rFonts w:cstheme="minorHAnsi"/>
              </w:rPr>
            </w:pPr>
            <w:r>
              <w:rPr>
                <w:rFonts w:cstheme="minorHAnsi"/>
              </w:rPr>
              <w:t xml:space="preserve">Floating </w:t>
            </w:r>
          </w:p>
          <w:p w:rsidR="001D7EE6" w:rsidRDefault="001D7EE6" w:rsidP="00A31F01">
            <w:pPr>
              <w:pStyle w:val="NoSpacing"/>
              <w:jc w:val="right"/>
              <w:rPr>
                <w:rFonts w:cstheme="minorHAnsi"/>
              </w:rPr>
            </w:pPr>
            <w:r>
              <w:rPr>
                <w:rFonts w:cstheme="minorHAnsi"/>
              </w:rPr>
              <w:t>interest rate</w:t>
            </w:r>
          </w:p>
        </w:tc>
        <w:tc>
          <w:tcPr>
            <w:tcW w:w="1885" w:type="dxa"/>
            <w:vAlign w:val="bottom"/>
          </w:tcPr>
          <w:p w:rsidR="001D7EE6" w:rsidRDefault="001D7EE6" w:rsidP="00A31F01">
            <w:pPr>
              <w:pStyle w:val="NoSpacing"/>
              <w:jc w:val="right"/>
              <w:rPr>
                <w:rFonts w:cstheme="minorHAnsi"/>
              </w:rPr>
            </w:pPr>
            <w:r>
              <w:rPr>
                <w:rFonts w:cstheme="minorHAnsi"/>
              </w:rPr>
              <w:t>Fixed</w:t>
            </w:r>
          </w:p>
          <w:p w:rsidR="001D7EE6" w:rsidRDefault="001D7EE6" w:rsidP="00A31F01">
            <w:pPr>
              <w:pStyle w:val="NoSpacing"/>
              <w:jc w:val="right"/>
              <w:rPr>
                <w:rFonts w:cstheme="minorHAnsi"/>
              </w:rPr>
            </w:pPr>
            <w:r>
              <w:rPr>
                <w:rFonts w:cstheme="minorHAnsi"/>
              </w:rPr>
              <w:t xml:space="preserve"> interest rate</w:t>
            </w:r>
          </w:p>
        </w:tc>
        <w:tc>
          <w:tcPr>
            <w:tcW w:w="1885" w:type="dxa"/>
            <w:vAlign w:val="bottom"/>
          </w:tcPr>
          <w:p w:rsidR="001D7EE6" w:rsidRDefault="001D7EE6" w:rsidP="00A31F01">
            <w:pPr>
              <w:pStyle w:val="NoSpacing"/>
              <w:jc w:val="right"/>
              <w:rPr>
                <w:rFonts w:cstheme="minorHAnsi"/>
              </w:rPr>
            </w:pPr>
            <w:r>
              <w:rPr>
                <w:rFonts w:cstheme="minorHAnsi"/>
              </w:rPr>
              <w:t xml:space="preserve">Non-interest bearing </w:t>
            </w:r>
          </w:p>
        </w:tc>
      </w:tr>
      <w:tr w:rsidR="001D7EE6" w:rsidTr="00A31F01">
        <w:tc>
          <w:tcPr>
            <w:tcW w:w="1823" w:type="dxa"/>
          </w:tcPr>
          <w:p w:rsidR="001D7EE6" w:rsidRDefault="001D7EE6" w:rsidP="00A31F01">
            <w:pPr>
              <w:jc w:val="right"/>
            </w:pPr>
            <w:r>
              <w:rPr>
                <w:rFonts w:cstheme="minorHAnsi"/>
                <w:bCs/>
                <w:w w:val="105"/>
              </w:rPr>
              <w:t>%</w:t>
            </w:r>
          </w:p>
        </w:tc>
        <w:tc>
          <w:tcPr>
            <w:tcW w:w="1877" w:type="dxa"/>
          </w:tcPr>
          <w:p w:rsidR="001D7EE6" w:rsidRDefault="001D7EE6" w:rsidP="00A31F01">
            <w:pPr>
              <w:jc w:val="right"/>
            </w:pPr>
            <w:r w:rsidRPr="00FF31DA">
              <w:rPr>
                <w:rFonts w:cstheme="minorHAnsi"/>
                <w:bCs/>
                <w:w w:val="105"/>
              </w:rPr>
              <w:t>$’000</w:t>
            </w:r>
          </w:p>
        </w:tc>
        <w:tc>
          <w:tcPr>
            <w:tcW w:w="1886" w:type="dxa"/>
          </w:tcPr>
          <w:p w:rsidR="001D7EE6" w:rsidRDefault="001D7EE6" w:rsidP="00A31F01">
            <w:pPr>
              <w:jc w:val="right"/>
            </w:pPr>
            <w:r w:rsidRPr="00FF31DA">
              <w:rPr>
                <w:rFonts w:cstheme="minorHAnsi"/>
                <w:bCs/>
                <w:w w:val="105"/>
              </w:rPr>
              <w:t>$’000</w:t>
            </w:r>
          </w:p>
        </w:tc>
        <w:tc>
          <w:tcPr>
            <w:tcW w:w="1885" w:type="dxa"/>
          </w:tcPr>
          <w:p w:rsidR="001D7EE6" w:rsidRDefault="001D7EE6" w:rsidP="00A31F01">
            <w:pPr>
              <w:jc w:val="right"/>
            </w:pPr>
            <w:r w:rsidRPr="00FF31DA">
              <w:rPr>
                <w:rFonts w:cstheme="minorHAnsi"/>
                <w:bCs/>
                <w:w w:val="105"/>
              </w:rPr>
              <w:t>$’000</w:t>
            </w:r>
          </w:p>
        </w:tc>
        <w:tc>
          <w:tcPr>
            <w:tcW w:w="1885" w:type="dxa"/>
          </w:tcPr>
          <w:p w:rsidR="001D7EE6" w:rsidRDefault="001D7EE6" w:rsidP="00A31F01">
            <w:pPr>
              <w:jc w:val="right"/>
            </w:pPr>
            <w:r w:rsidRPr="00FF31DA">
              <w:rPr>
                <w:rFonts w:cstheme="minorHAnsi"/>
                <w:bCs/>
                <w:w w:val="105"/>
              </w:rPr>
              <w:t>$’000</w:t>
            </w:r>
          </w:p>
        </w:tc>
      </w:tr>
    </w:tbl>
    <w:p w:rsidR="001D7EE6" w:rsidRDefault="001D7EE6" w:rsidP="001D7EE6">
      <w:pPr>
        <w:pStyle w:val="NoSpacing"/>
      </w:pPr>
      <w:r>
        <w:t>Chisholm 2017</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Cash and deposits</w:t>
            </w:r>
          </w:p>
        </w:tc>
        <w:tc>
          <w:tcPr>
            <w:tcW w:w="1843" w:type="dxa"/>
          </w:tcPr>
          <w:p w:rsidR="001D7EE6" w:rsidRDefault="00EE38E1" w:rsidP="00A31F01">
            <w:pPr>
              <w:pStyle w:val="NoSpacing"/>
              <w:jc w:val="right"/>
            </w:pPr>
            <w:r>
              <w:t>1.72</w:t>
            </w:r>
          </w:p>
        </w:tc>
        <w:tc>
          <w:tcPr>
            <w:tcW w:w="1843" w:type="dxa"/>
          </w:tcPr>
          <w:p w:rsidR="001D7EE6" w:rsidRDefault="00EE38E1" w:rsidP="00A31F01">
            <w:pPr>
              <w:pStyle w:val="NoSpacing"/>
              <w:jc w:val="right"/>
            </w:pPr>
            <w:r>
              <w:t>45,691</w:t>
            </w:r>
          </w:p>
        </w:tc>
        <w:tc>
          <w:tcPr>
            <w:tcW w:w="1843" w:type="dxa"/>
          </w:tcPr>
          <w:p w:rsidR="001D7EE6" w:rsidRDefault="00EE38E1" w:rsidP="00A31F01">
            <w:pPr>
              <w:pStyle w:val="NoSpacing"/>
              <w:jc w:val="right"/>
            </w:pPr>
            <w:r>
              <w:t>45,691</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w:t>
            </w:r>
          </w:p>
        </w:tc>
      </w:tr>
    </w:tbl>
    <w:p w:rsidR="001D7EE6" w:rsidRDefault="001D7EE6" w:rsidP="001D7EE6">
      <w:pPr>
        <w:pStyle w:val="NoSpacing"/>
      </w:pPr>
      <w:r>
        <w:t>Receivables</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Trade receivables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5,565</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5,565</w:t>
            </w:r>
          </w:p>
        </w:tc>
      </w:tr>
      <w:tr w:rsidR="001D7EE6" w:rsidTr="00A31F01">
        <w:tc>
          <w:tcPr>
            <w:tcW w:w="5387" w:type="dxa"/>
          </w:tcPr>
          <w:p w:rsidR="001D7EE6" w:rsidRDefault="001D7EE6" w:rsidP="00A31F01">
            <w:pPr>
              <w:pStyle w:val="NoSpacing"/>
            </w:pPr>
            <w:r>
              <w:t>Revenue receivable</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6,257</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6,257</w:t>
            </w:r>
          </w:p>
        </w:tc>
      </w:tr>
      <w:tr w:rsidR="001D7EE6" w:rsidTr="00A31F01">
        <w:tc>
          <w:tcPr>
            <w:tcW w:w="5387" w:type="dxa"/>
          </w:tcPr>
          <w:p w:rsidR="001D7EE6" w:rsidRDefault="001D7EE6" w:rsidP="00A31F01">
            <w:pPr>
              <w:pStyle w:val="NoSpacing"/>
            </w:pPr>
            <w:r>
              <w:t>Other receivables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4,463</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4,463</w:t>
            </w:r>
          </w:p>
        </w:tc>
      </w:tr>
      <w:tr w:rsidR="00EE38E1" w:rsidTr="00A31F01">
        <w:tc>
          <w:tcPr>
            <w:tcW w:w="5387" w:type="dxa"/>
          </w:tcPr>
          <w:p w:rsidR="00EE38E1" w:rsidRDefault="00EE38E1" w:rsidP="00A31F01">
            <w:pPr>
              <w:pStyle w:val="NoSpacing"/>
            </w:pPr>
            <w:r>
              <w:t>Investment in subsidiary</w:t>
            </w:r>
          </w:p>
        </w:tc>
        <w:tc>
          <w:tcPr>
            <w:tcW w:w="1843" w:type="dxa"/>
          </w:tcPr>
          <w:p w:rsidR="00EE38E1" w:rsidRDefault="00EE38E1" w:rsidP="00A31F01">
            <w:pPr>
              <w:pStyle w:val="NoSpacing"/>
              <w:jc w:val="right"/>
            </w:pPr>
          </w:p>
        </w:tc>
        <w:tc>
          <w:tcPr>
            <w:tcW w:w="1843" w:type="dxa"/>
          </w:tcPr>
          <w:p w:rsidR="00EE38E1" w:rsidRDefault="00EE38E1" w:rsidP="00A31F01">
            <w:pPr>
              <w:pStyle w:val="NoSpacing"/>
              <w:jc w:val="right"/>
            </w:pPr>
            <w:r>
              <w:t>6,000</w:t>
            </w:r>
          </w:p>
        </w:tc>
        <w:tc>
          <w:tcPr>
            <w:tcW w:w="1843" w:type="dxa"/>
          </w:tcPr>
          <w:p w:rsidR="00EE38E1" w:rsidRDefault="00EE38E1" w:rsidP="00A31F01">
            <w:pPr>
              <w:pStyle w:val="NoSpacing"/>
              <w:jc w:val="right"/>
            </w:pPr>
            <w:r>
              <w:t>6,000</w:t>
            </w:r>
          </w:p>
        </w:tc>
        <w:tc>
          <w:tcPr>
            <w:tcW w:w="1984" w:type="dxa"/>
          </w:tcPr>
          <w:p w:rsidR="00EE38E1" w:rsidRDefault="00EE38E1" w:rsidP="00A31F01">
            <w:pPr>
              <w:pStyle w:val="NoSpacing"/>
              <w:jc w:val="right"/>
            </w:pPr>
            <w:r>
              <w:t>-</w:t>
            </w:r>
          </w:p>
        </w:tc>
        <w:tc>
          <w:tcPr>
            <w:tcW w:w="1843" w:type="dxa"/>
          </w:tcPr>
          <w:p w:rsidR="00EE38E1" w:rsidRDefault="00EE38E1" w:rsidP="00A31F01">
            <w:pPr>
              <w:pStyle w:val="NoSpacing"/>
              <w:jc w:val="right"/>
            </w:pPr>
            <w:r>
              <w:t>-</w:t>
            </w:r>
          </w:p>
        </w:tc>
      </w:tr>
      <w:tr w:rsidR="001D7EE6" w:rsidTr="00A31F01">
        <w:tc>
          <w:tcPr>
            <w:tcW w:w="5387" w:type="dxa"/>
          </w:tcPr>
          <w:p w:rsidR="001D7EE6" w:rsidRDefault="001D7EE6" w:rsidP="00A31F01">
            <w:pPr>
              <w:pStyle w:val="NoSpacing"/>
            </w:pPr>
            <w:r>
              <w:t xml:space="preserve">Term deposits </w:t>
            </w:r>
          </w:p>
        </w:tc>
        <w:tc>
          <w:tcPr>
            <w:tcW w:w="1843" w:type="dxa"/>
          </w:tcPr>
          <w:p w:rsidR="001D7EE6" w:rsidRDefault="00EE38E1" w:rsidP="00A31F01">
            <w:pPr>
              <w:pStyle w:val="NoSpacing"/>
              <w:jc w:val="right"/>
            </w:pPr>
            <w:r>
              <w:t>1.68</w:t>
            </w:r>
          </w:p>
        </w:tc>
        <w:tc>
          <w:tcPr>
            <w:tcW w:w="1843" w:type="dxa"/>
          </w:tcPr>
          <w:p w:rsidR="001D7EE6" w:rsidRDefault="00EE38E1" w:rsidP="00A31F01">
            <w:pPr>
              <w:pStyle w:val="NoSpacing"/>
              <w:jc w:val="right"/>
            </w:pPr>
            <w:r>
              <w:t>50,000</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50,000</w:t>
            </w:r>
          </w:p>
        </w:tc>
        <w:tc>
          <w:tcPr>
            <w:tcW w:w="1843" w:type="dxa"/>
          </w:tcPr>
          <w:p w:rsidR="001D7EE6" w:rsidRDefault="00EE38E1" w:rsidP="00A31F01">
            <w:pPr>
              <w:pStyle w:val="NoSpacing"/>
              <w:jc w:val="right"/>
            </w:pPr>
            <w:r>
              <w:t>-</w:t>
            </w:r>
          </w:p>
        </w:tc>
      </w:tr>
      <w:tr w:rsidR="001D7EE6" w:rsidTr="00A31F01">
        <w:tc>
          <w:tcPr>
            <w:tcW w:w="5387" w:type="dxa"/>
          </w:tcPr>
          <w:p w:rsidR="001D7EE6" w:rsidRDefault="001D7EE6" w:rsidP="00A31F01">
            <w:pPr>
              <w:pStyle w:val="NoSpacing"/>
            </w:pPr>
            <w:r>
              <w:t>Total financial assets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117,976</w:t>
            </w:r>
          </w:p>
        </w:tc>
        <w:tc>
          <w:tcPr>
            <w:tcW w:w="1843" w:type="dxa"/>
          </w:tcPr>
          <w:p w:rsidR="001D7EE6" w:rsidRDefault="00EE38E1" w:rsidP="00A31F01">
            <w:pPr>
              <w:pStyle w:val="NoSpacing"/>
              <w:jc w:val="right"/>
            </w:pPr>
            <w:r>
              <w:t>51,691</w:t>
            </w:r>
          </w:p>
        </w:tc>
        <w:tc>
          <w:tcPr>
            <w:tcW w:w="1984" w:type="dxa"/>
          </w:tcPr>
          <w:p w:rsidR="001D7EE6" w:rsidRDefault="00EE38E1" w:rsidP="00A31F01">
            <w:pPr>
              <w:pStyle w:val="NoSpacing"/>
              <w:jc w:val="right"/>
            </w:pPr>
            <w:r>
              <w:t>50,000</w:t>
            </w:r>
          </w:p>
        </w:tc>
        <w:tc>
          <w:tcPr>
            <w:tcW w:w="1843" w:type="dxa"/>
          </w:tcPr>
          <w:p w:rsidR="001D7EE6" w:rsidRDefault="00EE38E1" w:rsidP="00A31F01">
            <w:pPr>
              <w:pStyle w:val="NoSpacing"/>
              <w:jc w:val="right"/>
            </w:pPr>
            <w:r>
              <w:t>16,285</w:t>
            </w:r>
          </w:p>
        </w:tc>
      </w:tr>
    </w:tbl>
    <w:p w:rsidR="001D7EE6" w:rsidRDefault="001D7EE6" w:rsidP="001D7EE6">
      <w:pPr>
        <w:pStyle w:val="NoSpacing"/>
      </w:pP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Supplies and services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8,211</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8,211</w:t>
            </w:r>
          </w:p>
        </w:tc>
      </w:tr>
      <w:tr w:rsidR="001D7EE6" w:rsidTr="00A31F01">
        <w:tc>
          <w:tcPr>
            <w:tcW w:w="5387" w:type="dxa"/>
          </w:tcPr>
          <w:p w:rsidR="001D7EE6" w:rsidRDefault="001D7EE6" w:rsidP="00A31F01">
            <w:pPr>
              <w:pStyle w:val="NoSpacing"/>
            </w:pPr>
            <w:r>
              <w:t>Advances from Government</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1,630</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1,630</w:t>
            </w:r>
          </w:p>
        </w:tc>
      </w:tr>
      <w:tr w:rsidR="001D7EE6" w:rsidTr="00A31F01">
        <w:tc>
          <w:tcPr>
            <w:tcW w:w="5387" w:type="dxa"/>
          </w:tcPr>
          <w:p w:rsidR="001D7EE6" w:rsidRDefault="001D7EE6" w:rsidP="00A31F01">
            <w:pPr>
              <w:pStyle w:val="NoSpacing"/>
            </w:pPr>
            <w:r>
              <w:t>Total financial liabilities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9,841</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9,841</w:t>
            </w:r>
          </w:p>
        </w:tc>
      </w:tr>
    </w:tbl>
    <w:p w:rsidR="001D7EE6" w:rsidRDefault="001D7EE6" w:rsidP="001D7EE6">
      <w:pPr>
        <w:pStyle w:val="NoSpacing"/>
      </w:pPr>
    </w:p>
    <w:p w:rsidR="001D7EE6" w:rsidRDefault="001D7EE6" w:rsidP="001D7EE6">
      <w:pPr>
        <w:pStyle w:val="NoSpacing"/>
      </w:pPr>
      <w:r>
        <w:t>Chisholm 2016</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 xml:space="preserve">Cash and deposits </w:t>
            </w:r>
          </w:p>
        </w:tc>
        <w:tc>
          <w:tcPr>
            <w:tcW w:w="1843" w:type="dxa"/>
          </w:tcPr>
          <w:p w:rsidR="001D7EE6" w:rsidRDefault="00EE38E1" w:rsidP="00A31F01">
            <w:pPr>
              <w:pStyle w:val="NoSpacing"/>
              <w:jc w:val="right"/>
            </w:pPr>
            <w:r>
              <w:t>1.24</w:t>
            </w:r>
          </w:p>
        </w:tc>
        <w:tc>
          <w:tcPr>
            <w:tcW w:w="1843" w:type="dxa"/>
          </w:tcPr>
          <w:p w:rsidR="001D7EE6" w:rsidRDefault="00EE38E1" w:rsidP="00A31F01">
            <w:pPr>
              <w:pStyle w:val="NoSpacing"/>
              <w:jc w:val="right"/>
            </w:pPr>
            <w:r>
              <w:t>56,285</w:t>
            </w:r>
          </w:p>
        </w:tc>
        <w:tc>
          <w:tcPr>
            <w:tcW w:w="1843" w:type="dxa"/>
          </w:tcPr>
          <w:p w:rsidR="001D7EE6" w:rsidRDefault="00EE38E1" w:rsidP="00A31F01">
            <w:pPr>
              <w:pStyle w:val="NoSpacing"/>
              <w:jc w:val="right"/>
            </w:pPr>
            <w:r>
              <w:t>56,285</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w:t>
            </w:r>
          </w:p>
        </w:tc>
      </w:tr>
    </w:tbl>
    <w:p w:rsidR="001D7EE6" w:rsidRDefault="001D7EE6" w:rsidP="001D7EE6">
      <w:pPr>
        <w:pStyle w:val="NoSpacing"/>
      </w:pPr>
      <w:r>
        <w:t>Receivables</w:t>
      </w: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Trade receivables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1,559</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1,559</w:t>
            </w:r>
          </w:p>
        </w:tc>
      </w:tr>
      <w:tr w:rsidR="001D7EE6" w:rsidTr="00A31F01">
        <w:tc>
          <w:tcPr>
            <w:tcW w:w="5387" w:type="dxa"/>
          </w:tcPr>
          <w:p w:rsidR="001D7EE6" w:rsidRDefault="001D7EE6" w:rsidP="00A31F01">
            <w:pPr>
              <w:pStyle w:val="NoSpacing"/>
            </w:pPr>
            <w:r>
              <w:t>Revenue receivable</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5,585</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5,585</w:t>
            </w:r>
          </w:p>
        </w:tc>
      </w:tr>
      <w:tr w:rsidR="001D7EE6" w:rsidTr="00A31F01">
        <w:tc>
          <w:tcPr>
            <w:tcW w:w="5387" w:type="dxa"/>
          </w:tcPr>
          <w:p w:rsidR="001D7EE6" w:rsidRDefault="001D7EE6" w:rsidP="00A31F01">
            <w:pPr>
              <w:pStyle w:val="NoSpacing"/>
            </w:pPr>
            <w:r>
              <w:t>Other receivables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4,769</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4,769</w:t>
            </w:r>
          </w:p>
        </w:tc>
      </w:tr>
      <w:tr w:rsidR="00EE38E1" w:rsidTr="00A31F01">
        <w:tc>
          <w:tcPr>
            <w:tcW w:w="5387" w:type="dxa"/>
          </w:tcPr>
          <w:p w:rsidR="00EE38E1" w:rsidRDefault="00EE38E1" w:rsidP="00A31F01">
            <w:pPr>
              <w:pStyle w:val="NoSpacing"/>
            </w:pPr>
            <w:r>
              <w:lastRenderedPageBreak/>
              <w:t>Investment in subsidiary</w:t>
            </w:r>
          </w:p>
        </w:tc>
        <w:tc>
          <w:tcPr>
            <w:tcW w:w="1843" w:type="dxa"/>
          </w:tcPr>
          <w:p w:rsidR="00EE38E1" w:rsidRDefault="00EE38E1" w:rsidP="00A31F01">
            <w:pPr>
              <w:pStyle w:val="NoSpacing"/>
              <w:jc w:val="right"/>
            </w:pPr>
          </w:p>
        </w:tc>
        <w:tc>
          <w:tcPr>
            <w:tcW w:w="1843" w:type="dxa"/>
          </w:tcPr>
          <w:p w:rsidR="00EE38E1" w:rsidRDefault="00EE38E1" w:rsidP="00A31F01">
            <w:pPr>
              <w:pStyle w:val="NoSpacing"/>
              <w:jc w:val="right"/>
            </w:pPr>
            <w:r>
              <w:t>6,000</w:t>
            </w:r>
          </w:p>
        </w:tc>
        <w:tc>
          <w:tcPr>
            <w:tcW w:w="1843" w:type="dxa"/>
          </w:tcPr>
          <w:p w:rsidR="00EE38E1" w:rsidRDefault="00EE38E1" w:rsidP="00A31F01">
            <w:pPr>
              <w:pStyle w:val="NoSpacing"/>
              <w:jc w:val="right"/>
            </w:pPr>
            <w:r>
              <w:t>-</w:t>
            </w:r>
          </w:p>
        </w:tc>
        <w:tc>
          <w:tcPr>
            <w:tcW w:w="1984" w:type="dxa"/>
          </w:tcPr>
          <w:p w:rsidR="00EE38E1" w:rsidRDefault="00EE38E1" w:rsidP="00A31F01">
            <w:pPr>
              <w:pStyle w:val="NoSpacing"/>
              <w:jc w:val="right"/>
            </w:pPr>
            <w:r>
              <w:t>-</w:t>
            </w:r>
          </w:p>
        </w:tc>
        <w:tc>
          <w:tcPr>
            <w:tcW w:w="1843" w:type="dxa"/>
          </w:tcPr>
          <w:p w:rsidR="00EE38E1" w:rsidRDefault="00EE38E1" w:rsidP="00A31F01">
            <w:pPr>
              <w:pStyle w:val="NoSpacing"/>
              <w:jc w:val="right"/>
            </w:pPr>
            <w:r>
              <w:t>6,000</w:t>
            </w:r>
          </w:p>
        </w:tc>
      </w:tr>
      <w:tr w:rsidR="001D7EE6" w:rsidTr="00A31F01">
        <w:tc>
          <w:tcPr>
            <w:tcW w:w="5387" w:type="dxa"/>
          </w:tcPr>
          <w:p w:rsidR="001D7EE6" w:rsidRDefault="001D7EE6" w:rsidP="00A31F01">
            <w:pPr>
              <w:pStyle w:val="NoSpacing"/>
            </w:pPr>
            <w:r>
              <w:t xml:space="preserve">Term deposits </w:t>
            </w:r>
          </w:p>
        </w:tc>
        <w:tc>
          <w:tcPr>
            <w:tcW w:w="1843" w:type="dxa"/>
          </w:tcPr>
          <w:p w:rsidR="001D7EE6" w:rsidRDefault="00EE38E1" w:rsidP="00A31F01">
            <w:pPr>
              <w:pStyle w:val="NoSpacing"/>
              <w:jc w:val="right"/>
            </w:pPr>
            <w:r>
              <w:t>2.17</w:t>
            </w:r>
          </w:p>
        </w:tc>
        <w:tc>
          <w:tcPr>
            <w:tcW w:w="1843" w:type="dxa"/>
          </w:tcPr>
          <w:p w:rsidR="001D7EE6" w:rsidRDefault="00EE38E1" w:rsidP="00A31F01">
            <w:pPr>
              <w:pStyle w:val="NoSpacing"/>
              <w:jc w:val="right"/>
            </w:pPr>
            <w:r>
              <w:t>20,000</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20,000</w:t>
            </w:r>
          </w:p>
        </w:tc>
        <w:tc>
          <w:tcPr>
            <w:tcW w:w="1843" w:type="dxa"/>
          </w:tcPr>
          <w:p w:rsidR="001D7EE6" w:rsidRDefault="00EE38E1" w:rsidP="00A31F01">
            <w:pPr>
              <w:pStyle w:val="NoSpacing"/>
              <w:jc w:val="right"/>
            </w:pPr>
            <w:r>
              <w:t>-</w:t>
            </w:r>
          </w:p>
        </w:tc>
      </w:tr>
      <w:tr w:rsidR="001D7EE6" w:rsidTr="00A31F01">
        <w:tc>
          <w:tcPr>
            <w:tcW w:w="5387" w:type="dxa"/>
          </w:tcPr>
          <w:p w:rsidR="001D7EE6" w:rsidRDefault="001D7EE6" w:rsidP="00A31F01">
            <w:pPr>
              <w:pStyle w:val="NoSpacing"/>
            </w:pPr>
            <w:r>
              <w:t>Total financial assets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94,198</w:t>
            </w:r>
          </w:p>
        </w:tc>
        <w:tc>
          <w:tcPr>
            <w:tcW w:w="1843" w:type="dxa"/>
          </w:tcPr>
          <w:p w:rsidR="001D7EE6" w:rsidRDefault="00EE38E1" w:rsidP="00A31F01">
            <w:pPr>
              <w:pStyle w:val="NoSpacing"/>
              <w:jc w:val="right"/>
            </w:pPr>
            <w:r>
              <w:t>56,285</w:t>
            </w:r>
          </w:p>
        </w:tc>
        <w:tc>
          <w:tcPr>
            <w:tcW w:w="1984" w:type="dxa"/>
          </w:tcPr>
          <w:p w:rsidR="001D7EE6" w:rsidRDefault="00EE38E1" w:rsidP="00A31F01">
            <w:pPr>
              <w:pStyle w:val="NoSpacing"/>
              <w:jc w:val="right"/>
            </w:pPr>
            <w:r>
              <w:t>20,000</w:t>
            </w:r>
          </w:p>
        </w:tc>
        <w:tc>
          <w:tcPr>
            <w:tcW w:w="1843" w:type="dxa"/>
          </w:tcPr>
          <w:p w:rsidR="001D7EE6" w:rsidRDefault="00EE38E1" w:rsidP="00A31F01">
            <w:pPr>
              <w:pStyle w:val="NoSpacing"/>
              <w:jc w:val="right"/>
            </w:pPr>
            <w:r>
              <w:t>17,913</w:t>
            </w:r>
          </w:p>
        </w:tc>
      </w:tr>
    </w:tbl>
    <w:p w:rsidR="001D7EE6" w:rsidRDefault="001D7EE6" w:rsidP="001D7EE6">
      <w:pPr>
        <w:pStyle w:val="NoSpacing"/>
      </w:pPr>
    </w:p>
    <w:tbl>
      <w:tblPr>
        <w:tblStyle w:val="TableGrid"/>
        <w:tblW w:w="14743" w:type="dxa"/>
        <w:tblInd w:w="-289" w:type="dxa"/>
        <w:tblLook w:val="04A0" w:firstRow="1" w:lastRow="0" w:firstColumn="1" w:lastColumn="0" w:noHBand="0" w:noVBand="1"/>
      </w:tblPr>
      <w:tblGrid>
        <w:gridCol w:w="5387"/>
        <w:gridCol w:w="1843"/>
        <w:gridCol w:w="1843"/>
        <w:gridCol w:w="1843"/>
        <w:gridCol w:w="1984"/>
        <w:gridCol w:w="1843"/>
      </w:tblGrid>
      <w:tr w:rsidR="001D7EE6" w:rsidTr="00A31F01">
        <w:tc>
          <w:tcPr>
            <w:tcW w:w="5387" w:type="dxa"/>
          </w:tcPr>
          <w:p w:rsidR="001D7EE6" w:rsidRDefault="001D7EE6" w:rsidP="00A31F01">
            <w:pPr>
              <w:pStyle w:val="NoSpacing"/>
            </w:pPr>
            <w:r>
              <w:t>Supplies and services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6,478</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6,478</w:t>
            </w:r>
          </w:p>
        </w:tc>
      </w:tr>
      <w:tr w:rsidR="001D7EE6" w:rsidTr="00A31F01">
        <w:tc>
          <w:tcPr>
            <w:tcW w:w="5387" w:type="dxa"/>
          </w:tcPr>
          <w:p w:rsidR="001D7EE6" w:rsidRDefault="001D7EE6" w:rsidP="00A31F01">
            <w:pPr>
              <w:pStyle w:val="NoSpacing"/>
            </w:pPr>
            <w:r>
              <w:t>Advances from Government</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1,926</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1,926</w:t>
            </w:r>
          </w:p>
        </w:tc>
      </w:tr>
      <w:tr w:rsidR="001D7EE6" w:rsidTr="00A31F01">
        <w:tc>
          <w:tcPr>
            <w:tcW w:w="5387" w:type="dxa"/>
          </w:tcPr>
          <w:p w:rsidR="001D7EE6" w:rsidRDefault="001D7EE6" w:rsidP="00A31F01">
            <w:pPr>
              <w:pStyle w:val="NoSpacing"/>
            </w:pPr>
            <w:r>
              <w:t>Total financial liabilities</w:t>
            </w:r>
          </w:p>
        </w:tc>
        <w:tc>
          <w:tcPr>
            <w:tcW w:w="1843" w:type="dxa"/>
          </w:tcPr>
          <w:p w:rsidR="001D7EE6" w:rsidRDefault="001D7EE6" w:rsidP="00A31F01">
            <w:pPr>
              <w:pStyle w:val="NoSpacing"/>
              <w:jc w:val="right"/>
            </w:pPr>
          </w:p>
        </w:tc>
        <w:tc>
          <w:tcPr>
            <w:tcW w:w="1843" w:type="dxa"/>
          </w:tcPr>
          <w:p w:rsidR="001D7EE6" w:rsidRDefault="00EE38E1" w:rsidP="00A31F01">
            <w:pPr>
              <w:pStyle w:val="NoSpacing"/>
              <w:jc w:val="right"/>
            </w:pPr>
            <w:r>
              <w:t>8,404</w:t>
            </w:r>
          </w:p>
        </w:tc>
        <w:tc>
          <w:tcPr>
            <w:tcW w:w="1843" w:type="dxa"/>
          </w:tcPr>
          <w:p w:rsidR="001D7EE6" w:rsidRDefault="00EE38E1" w:rsidP="00A31F01">
            <w:pPr>
              <w:pStyle w:val="NoSpacing"/>
              <w:jc w:val="right"/>
            </w:pPr>
            <w:r>
              <w:t>-</w:t>
            </w:r>
          </w:p>
        </w:tc>
        <w:tc>
          <w:tcPr>
            <w:tcW w:w="1984" w:type="dxa"/>
          </w:tcPr>
          <w:p w:rsidR="001D7EE6" w:rsidRDefault="00EE38E1" w:rsidP="00A31F01">
            <w:pPr>
              <w:pStyle w:val="NoSpacing"/>
              <w:jc w:val="right"/>
            </w:pPr>
            <w:r>
              <w:t>-</w:t>
            </w:r>
          </w:p>
        </w:tc>
        <w:tc>
          <w:tcPr>
            <w:tcW w:w="1843" w:type="dxa"/>
          </w:tcPr>
          <w:p w:rsidR="001D7EE6" w:rsidRDefault="00EE38E1" w:rsidP="00A31F01">
            <w:pPr>
              <w:pStyle w:val="NoSpacing"/>
              <w:jc w:val="right"/>
            </w:pPr>
            <w:r>
              <w:t>8,404</w:t>
            </w:r>
          </w:p>
        </w:tc>
      </w:tr>
    </w:tbl>
    <w:p w:rsidR="001D7EE6" w:rsidRDefault="001D7EE6" w:rsidP="001D7EE6">
      <w:pPr>
        <w:pStyle w:val="NoSpacing"/>
      </w:pPr>
    </w:p>
    <w:p w:rsidR="00A31F01" w:rsidRDefault="00A31F01" w:rsidP="00A31F01">
      <w:pPr>
        <w:pStyle w:val="NoSpacing"/>
      </w:pPr>
      <w:r>
        <w:t>&lt;pp&gt;75</w:t>
      </w:r>
    </w:p>
    <w:p w:rsidR="001D7EE6" w:rsidRDefault="001D7EE6" w:rsidP="001D7EE6">
      <w:pPr>
        <w:pStyle w:val="NoSpacing"/>
      </w:pPr>
    </w:p>
    <w:p w:rsidR="00E03D36" w:rsidRDefault="00E03D36" w:rsidP="001021C5">
      <w:pPr>
        <w:rPr>
          <w:caps/>
        </w:rPr>
        <w:sectPr w:rsidR="00E03D36" w:rsidSect="00E03D36">
          <w:pgSz w:w="16838" w:h="11906" w:orient="landscape"/>
          <w:pgMar w:top="1440" w:right="1440" w:bottom="1440" w:left="1440" w:header="709" w:footer="709" w:gutter="0"/>
          <w:cols w:space="708"/>
          <w:docGrid w:linePitch="360"/>
        </w:sectPr>
      </w:pPr>
    </w:p>
    <w:p w:rsidR="00B004A1" w:rsidRPr="00EE38E1" w:rsidRDefault="00B004A1" w:rsidP="00234E85">
      <w:pPr>
        <w:pStyle w:val="Heading3"/>
      </w:pPr>
      <w:r w:rsidRPr="00CA7020">
        <w:lastRenderedPageBreak/>
        <w:t xml:space="preserve">7. </w:t>
      </w:r>
      <w:proofErr w:type="gramStart"/>
      <w:r w:rsidRPr="00A31F01">
        <w:t>managing</w:t>
      </w:r>
      <w:proofErr w:type="gramEnd"/>
      <w:r w:rsidRPr="00A31F01">
        <w:t xml:space="preserve"> risks and uncertainties (continued)</w:t>
      </w:r>
    </w:p>
    <w:p w:rsidR="00EE38E1" w:rsidRDefault="00EE38E1" w:rsidP="00A31F01">
      <w:pPr>
        <w:pStyle w:val="NoSpacing"/>
      </w:pPr>
    </w:p>
    <w:p w:rsidR="00B004A1" w:rsidRDefault="00B004A1" w:rsidP="00234E85">
      <w:pPr>
        <w:pStyle w:val="Heading4"/>
      </w:pPr>
      <w:r>
        <w:t>7.2 Contingent assets and contingent liabilities</w:t>
      </w:r>
    </w:p>
    <w:p w:rsidR="00A31F01" w:rsidRDefault="00A31F01" w:rsidP="00A31F01">
      <w:pPr>
        <w:pStyle w:val="NoSpacing"/>
      </w:pPr>
    </w:p>
    <w:p w:rsidR="00B004A1" w:rsidRDefault="00B004A1" w:rsidP="00A31F01">
      <w:pPr>
        <w:pStyle w:val="NoSpacing"/>
      </w:pPr>
      <w:r>
        <w:t>Contingent assets and contingent liabilities are not recognised in the balance sheet but are disclosed and, if quantifiable, are measured at nominal value.</w:t>
      </w:r>
    </w:p>
    <w:p w:rsidR="00B004A1" w:rsidRDefault="00B004A1" w:rsidP="00A31F01">
      <w:pPr>
        <w:pStyle w:val="NoSpacing"/>
      </w:pPr>
      <w:r>
        <w:t>Contingent assets and liabilities are presented inclusive of GST receivable or payable respectively.</w:t>
      </w:r>
    </w:p>
    <w:p w:rsidR="00B004A1" w:rsidRDefault="00B004A1" w:rsidP="00A31F01">
      <w:pPr>
        <w:pStyle w:val="NoSpacing"/>
      </w:pPr>
      <w:r>
        <w:t>There were no contingent assets or contingent liabilities as at 31 December 2017 (31 December 2016: nil) that may have a material effect on the financial operations of Chisholm.</w:t>
      </w:r>
    </w:p>
    <w:p w:rsidR="00B004A1" w:rsidRDefault="00B004A1" w:rsidP="00A31F01">
      <w:pPr>
        <w:pStyle w:val="NoSpacing"/>
      </w:pPr>
    </w:p>
    <w:p w:rsidR="00B004A1" w:rsidRDefault="00B004A1" w:rsidP="00234E85">
      <w:pPr>
        <w:pStyle w:val="Heading4"/>
      </w:pPr>
      <w:r>
        <w:t xml:space="preserve">7.3 Fair value determination </w:t>
      </w:r>
    </w:p>
    <w:p w:rsidR="00B004A1" w:rsidRDefault="00B004A1" w:rsidP="00A31F01">
      <w:pPr>
        <w:pStyle w:val="NoSpacing"/>
        <w:rPr>
          <w:rFonts w:ascii="ProximaNovaA-Light" w:hAnsi="ProximaNovaA-Light" w:cs="ProximaNovaA-Light"/>
          <w:sz w:val="18"/>
          <w:szCs w:val="18"/>
        </w:rPr>
      </w:pPr>
    </w:p>
    <w:p w:rsidR="00B004A1" w:rsidRPr="00B004A1" w:rsidRDefault="00B004A1" w:rsidP="00A31F01">
      <w:pPr>
        <w:pStyle w:val="NoSpacing"/>
        <w:rPr>
          <w:rFonts w:cstheme="minorHAnsi"/>
        </w:rPr>
      </w:pPr>
      <w:r w:rsidRPr="00B004A1">
        <w:rPr>
          <w:rFonts w:cstheme="minorHAnsi"/>
        </w:rPr>
        <w:t>Significant judgement: Fair value</w:t>
      </w:r>
      <w:r>
        <w:rPr>
          <w:rFonts w:cstheme="minorHAnsi"/>
        </w:rPr>
        <w:t xml:space="preserve"> </w:t>
      </w:r>
      <w:r w:rsidRPr="00B004A1">
        <w:rPr>
          <w:rFonts w:cstheme="minorHAnsi"/>
        </w:rPr>
        <w:t>measurem</w:t>
      </w:r>
      <w:r>
        <w:rPr>
          <w:rFonts w:cstheme="minorHAnsi"/>
        </w:rPr>
        <w:t xml:space="preserve">ents of assets and liabilities. </w:t>
      </w:r>
      <w:r w:rsidRPr="00B004A1">
        <w:rPr>
          <w:rFonts w:cstheme="minorHAnsi"/>
        </w:rPr>
        <w:t>Fair value determination requires</w:t>
      </w:r>
      <w:r>
        <w:rPr>
          <w:rFonts w:cstheme="minorHAnsi"/>
        </w:rPr>
        <w:t xml:space="preserve"> </w:t>
      </w:r>
      <w:r w:rsidRPr="00B004A1">
        <w:rPr>
          <w:rFonts w:cstheme="minorHAnsi"/>
        </w:rPr>
        <w:t>judgement and the use of assumptions.</w:t>
      </w:r>
    </w:p>
    <w:p w:rsidR="00B004A1" w:rsidRPr="00B004A1" w:rsidRDefault="00B004A1" w:rsidP="00A31F01">
      <w:pPr>
        <w:pStyle w:val="NoSpacing"/>
        <w:rPr>
          <w:rFonts w:cstheme="minorHAnsi"/>
        </w:rPr>
      </w:pPr>
      <w:r w:rsidRPr="00B004A1">
        <w:rPr>
          <w:rFonts w:cstheme="minorHAnsi"/>
        </w:rPr>
        <w:t>This section</w:t>
      </w:r>
      <w:r>
        <w:rPr>
          <w:rFonts w:cstheme="minorHAnsi"/>
        </w:rPr>
        <w:t xml:space="preserve"> discloses the most significant </w:t>
      </w:r>
      <w:r w:rsidRPr="00B004A1">
        <w:rPr>
          <w:rFonts w:cstheme="minorHAnsi"/>
        </w:rPr>
        <w:t>assum</w:t>
      </w:r>
      <w:r>
        <w:rPr>
          <w:rFonts w:cstheme="minorHAnsi"/>
        </w:rPr>
        <w:t xml:space="preserve">ptions used in determining fair </w:t>
      </w:r>
      <w:r w:rsidRPr="00B004A1">
        <w:rPr>
          <w:rFonts w:cstheme="minorHAnsi"/>
        </w:rPr>
        <w:t>values. Changes to assumptions could</w:t>
      </w:r>
      <w:r>
        <w:rPr>
          <w:rFonts w:cstheme="minorHAnsi"/>
        </w:rPr>
        <w:t xml:space="preserve"> </w:t>
      </w:r>
      <w:r w:rsidRPr="00B004A1">
        <w:rPr>
          <w:rFonts w:cstheme="minorHAnsi"/>
        </w:rPr>
        <w:t>have a</w:t>
      </w:r>
      <w:r>
        <w:rPr>
          <w:rFonts w:cstheme="minorHAnsi"/>
        </w:rPr>
        <w:t xml:space="preserve"> material impact on the results </w:t>
      </w:r>
      <w:r w:rsidRPr="00B004A1">
        <w:rPr>
          <w:rFonts w:cstheme="minorHAnsi"/>
        </w:rPr>
        <w:t>and financial position of Chisholm.</w:t>
      </w:r>
    </w:p>
    <w:p w:rsidR="00B004A1" w:rsidRPr="00B004A1" w:rsidRDefault="00B004A1" w:rsidP="00A31F01">
      <w:pPr>
        <w:pStyle w:val="NoSpacing"/>
        <w:rPr>
          <w:rFonts w:cstheme="minorHAnsi"/>
        </w:rPr>
      </w:pPr>
      <w:r w:rsidRPr="00B004A1">
        <w:rPr>
          <w:rFonts w:cstheme="minorHAnsi"/>
        </w:rPr>
        <w:t>This section sets out information on</w:t>
      </w:r>
      <w:r>
        <w:rPr>
          <w:rFonts w:cstheme="minorHAnsi"/>
        </w:rPr>
        <w:t xml:space="preserve"> </w:t>
      </w:r>
      <w:r w:rsidRPr="00B004A1">
        <w:rPr>
          <w:rFonts w:cstheme="minorHAnsi"/>
        </w:rPr>
        <w:t>how Chi</w:t>
      </w:r>
      <w:r>
        <w:rPr>
          <w:rFonts w:cstheme="minorHAnsi"/>
        </w:rPr>
        <w:t xml:space="preserve">sholm determined fair value for </w:t>
      </w:r>
      <w:r w:rsidRPr="00B004A1">
        <w:rPr>
          <w:rFonts w:cstheme="minorHAnsi"/>
        </w:rPr>
        <w:t>financial reporting purposes. Fair value</w:t>
      </w:r>
      <w:r>
        <w:rPr>
          <w:rFonts w:cstheme="minorHAnsi"/>
        </w:rPr>
        <w:t xml:space="preserve"> </w:t>
      </w:r>
      <w:r w:rsidRPr="00B004A1">
        <w:rPr>
          <w:rFonts w:cstheme="minorHAnsi"/>
        </w:rPr>
        <w:t>is t</w:t>
      </w:r>
      <w:r>
        <w:rPr>
          <w:rFonts w:cstheme="minorHAnsi"/>
        </w:rPr>
        <w:t xml:space="preserve">he price that would be received </w:t>
      </w:r>
      <w:r w:rsidRPr="00B004A1">
        <w:rPr>
          <w:rFonts w:cstheme="minorHAnsi"/>
        </w:rPr>
        <w:t>to se</w:t>
      </w:r>
      <w:r>
        <w:rPr>
          <w:rFonts w:cstheme="minorHAnsi"/>
        </w:rPr>
        <w:t xml:space="preserve">ll an asset or paid to transfer </w:t>
      </w:r>
      <w:r w:rsidRPr="00B004A1">
        <w:rPr>
          <w:rFonts w:cstheme="minorHAnsi"/>
        </w:rPr>
        <w:t>a liability in an orderly transaction</w:t>
      </w:r>
      <w:r>
        <w:rPr>
          <w:rFonts w:cstheme="minorHAnsi"/>
        </w:rPr>
        <w:t xml:space="preserve"> </w:t>
      </w:r>
      <w:r w:rsidRPr="00B004A1">
        <w:rPr>
          <w:rFonts w:cstheme="minorHAnsi"/>
        </w:rPr>
        <w:t>bet</w:t>
      </w:r>
      <w:r>
        <w:rPr>
          <w:rFonts w:cstheme="minorHAnsi"/>
        </w:rPr>
        <w:t xml:space="preserve">ween market participants at the </w:t>
      </w:r>
      <w:r w:rsidRPr="00B004A1">
        <w:rPr>
          <w:rFonts w:cstheme="minorHAnsi"/>
        </w:rPr>
        <w:t>measurement date.</w:t>
      </w:r>
    </w:p>
    <w:p w:rsidR="00B004A1" w:rsidRPr="00B004A1" w:rsidRDefault="00B004A1" w:rsidP="00A31F01">
      <w:pPr>
        <w:pStyle w:val="NoSpacing"/>
        <w:rPr>
          <w:rFonts w:cstheme="minorHAnsi"/>
        </w:rPr>
      </w:pPr>
      <w:r w:rsidRPr="00B004A1">
        <w:rPr>
          <w:rFonts w:cstheme="minorHAnsi"/>
        </w:rPr>
        <w:t>The following assets and liabilities are</w:t>
      </w:r>
      <w:r>
        <w:rPr>
          <w:rFonts w:cstheme="minorHAnsi"/>
        </w:rPr>
        <w:t xml:space="preserve"> </w:t>
      </w:r>
      <w:r w:rsidRPr="00B004A1">
        <w:rPr>
          <w:rFonts w:cstheme="minorHAnsi"/>
        </w:rPr>
        <w:t>carried at fair value:</w:t>
      </w:r>
    </w:p>
    <w:p w:rsidR="00B004A1" w:rsidRPr="00B004A1" w:rsidRDefault="00B004A1" w:rsidP="00A31F01">
      <w:pPr>
        <w:pStyle w:val="NoSpacing"/>
        <w:rPr>
          <w:rFonts w:cstheme="minorHAnsi"/>
        </w:rPr>
      </w:pPr>
      <w:r w:rsidRPr="00B004A1">
        <w:rPr>
          <w:rFonts w:cstheme="minorHAnsi"/>
        </w:rPr>
        <w:t xml:space="preserve">• </w:t>
      </w:r>
      <w:r w:rsidR="00F54F93" w:rsidRPr="00B004A1">
        <w:rPr>
          <w:rFonts w:cstheme="minorHAnsi"/>
        </w:rPr>
        <w:t>Financial</w:t>
      </w:r>
      <w:r w:rsidRPr="00B004A1">
        <w:rPr>
          <w:rFonts w:cstheme="minorHAnsi"/>
        </w:rPr>
        <w:t xml:space="preserve"> assets and liabilities at fair</w:t>
      </w:r>
      <w:r>
        <w:rPr>
          <w:rFonts w:cstheme="minorHAnsi"/>
        </w:rPr>
        <w:t xml:space="preserve"> </w:t>
      </w:r>
      <w:r w:rsidRPr="00B004A1">
        <w:rPr>
          <w:rFonts w:cstheme="minorHAnsi"/>
        </w:rPr>
        <w:t>value through operating result; and</w:t>
      </w:r>
    </w:p>
    <w:p w:rsidR="00B004A1" w:rsidRPr="00B004A1" w:rsidRDefault="00B004A1" w:rsidP="00A31F01">
      <w:pPr>
        <w:pStyle w:val="NoSpacing"/>
        <w:rPr>
          <w:rFonts w:cstheme="minorHAnsi"/>
        </w:rPr>
      </w:pPr>
      <w:r w:rsidRPr="00B004A1">
        <w:rPr>
          <w:rFonts w:cstheme="minorHAnsi"/>
        </w:rPr>
        <w:t xml:space="preserve">• </w:t>
      </w:r>
      <w:r w:rsidR="00F54F93" w:rsidRPr="00B004A1">
        <w:rPr>
          <w:rFonts w:cstheme="minorHAnsi"/>
        </w:rPr>
        <w:t>Land</w:t>
      </w:r>
      <w:r w:rsidRPr="00B004A1">
        <w:rPr>
          <w:rFonts w:cstheme="minorHAnsi"/>
        </w:rPr>
        <w:t xml:space="preserve">, </w:t>
      </w:r>
      <w:r>
        <w:rPr>
          <w:rFonts w:cstheme="minorHAnsi"/>
        </w:rPr>
        <w:t xml:space="preserve">buildings, plant and equipment, </w:t>
      </w:r>
      <w:r w:rsidRPr="00B004A1">
        <w:rPr>
          <w:rFonts w:cstheme="minorHAnsi"/>
        </w:rPr>
        <w:t>vehicles, lease hold improvements.</w:t>
      </w:r>
    </w:p>
    <w:p w:rsidR="00B004A1" w:rsidRPr="00B004A1" w:rsidRDefault="00B004A1" w:rsidP="00A31F01">
      <w:pPr>
        <w:pStyle w:val="NoSpacing"/>
        <w:rPr>
          <w:rFonts w:cstheme="minorHAnsi"/>
        </w:rPr>
      </w:pPr>
      <w:r w:rsidRPr="00B004A1">
        <w:rPr>
          <w:rFonts w:cstheme="minorHAnsi"/>
        </w:rPr>
        <w:t>In addition, the fair values of other</w:t>
      </w:r>
      <w:r>
        <w:rPr>
          <w:rFonts w:cstheme="minorHAnsi"/>
        </w:rPr>
        <w:t xml:space="preserve"> </w:t>
      </w:r>
      <w:r w:rsidRPr="00B004A1">
        <w:rPr>
          <w:rFonts w:cstheme="minorHAnsi"/>
        </w:rPr>
        <w:t>assets and</w:t>
      </w:r>
      <w:r>
        <w:rPr>
          <w:rFonts w:cstheme="minorHAnsi"/>
        </w:rPr>
        <w:t xml:space="preserve"> liabilities that are carried </w:t>
      </w:r>
      <w:r w:rsidRPr="00B004A1">
        <w:rPr>
          <w:rFonts w:cstheme="minorHAnsi"/>
        </w:rPr>
        <w:t>at amortised cost, also need to be</w:t>
      </w:r>
      <w:r>
        <w:rPr>
          <w:rFonts w:cstheme="minorHAnsi"/>
        </w:rPr>
        <w:t xml:space="preserve"> </w:t>
      </w:r>
      <w:r w:rsidRPr="00B004A1">
        <w:rPr>
          <w:rFonts w:cstheme="minorHAnsi"/>
        </w:rPr>
        <w:t>determined for disclosure purposes.</w:t>
      </w:r>
    </w:p>
    <w:p w:rsidR="00B004A1" w:rsidRPr="00B004A1" w:rsidRDefault="00B004A1" w:rsidP="00A31F01">
      <w:pPr>
        <w:pStyle w:val="NoSpacing"/>
        <w:rPr>
          <w:rFonts w:cstheme="minorHAnsi"/>
        </w:rPr>
      </w:pPr>
      <w:r w:rsidRPr="00B004A1">
        <w:rPr>
          <w:rFonts w:cstheme="minorHAnsi"/>
        </w:rPr>
        <w:t>Chish</w:t>
      </w:r>
      <w:r>
        <w:rPr>
          <w:rFonts w:cstheme="minorHAnsi"/>
        </w:rPr>
        <w:t xml:space="preserve">olm determines the policies and </w:t>
      </w:r>
      <w:r w:rsidRPr="00B004A1">
        <w:rPr>
          <w:rFonts w:cstheme="minorHAnsi"/>
        </w:rPr>
        <w:t>procedu</w:t>
      </w:r>
      <w:r>
        <w:rPr>
          <w:rFonts w:cstheme="minorHAnsi"/>
        </w:rPr>
        <w:t xml:space="preserve">res for determining fair values </w:t>
      </w:r>
      <w:r w:rsidRPr="00B004A1">
        <w:rPr>
          <w:rFonts w:cstheme="minorHAnsi"/>
        </w:rPr>
        <w:t>for both financial and non-financial</w:t>
      </w:r>
      <w:r>
        <w:rPr>
          <w:rFonts w:cstheme="minorHAnsi"/>
        </w:rPr>
        <w:t xml:space="preserve"> </w:t>
      </w:r>
      <w:r w:rsidRPr="00B004A1">
        <w:rPr>
          <w:rFonts w:cstheme="minorHAnsi"/>
        </w:rPr>
        <w:t>assets and liabilities as required.</w:t>
      </w:r>
    </w:p>
    <w:p w:rsidR="00131023" w:rsidRDefault="00131023" w:rsidP="00A31F01">
      <w:pPr>
        <w:pStyle w:val="NoSpacing"/>
        <w:rPr>
          <w:rFonts w:cstheme="minorHAnsi"/>
        </w:rPr>
      </w:pPr>
    </w:p>
    <w:p w:rsidR="00B004A1" w:rsidRPr="00B004A1" w:rsidRDefault="00B004A1" w:rsidP="00234E85">
      <w:pPr>
        <w:pStyle w:val="Heading4"/>
      </w:pPr>
      <w:r w:rsidRPr="00B004A1">
        <w:t>Fair value estimation</w:t>
      </w:r>
    </w:p>
    <w:p w:rsidR="00A31F01" w:rsidRDefault="00A31F01" w:rsidP="00A31F01">
      <w:pPr>
        <w:pStyle w:val="NoSpacing"/>
        <w:rPr>
          <w:rFonts w:cstheme="minorHAnsi"/>
        </w:rPr>
      </w:pPr>
    </w:p>
    <w:p w:rsidR="00B004A1" w:rsidRPr="00B004A1" w:rsidRDefault="00B004A1" w:rsidP="00A31F01">
      <w:pPr>
        <w:pStyle w:val="NoSpacing"/>
        <w:rPr>
          <w:rFonts w:cstheme="minorHAnsi"/>
        </w:rPr>
      </w:pPr>
      <w:r w:rsidRPr="00B004A1">
        <w:rPr>
          <w:rFonts w:cstheme="minorHAnsi"/>
        </w:rPr>
        <w:t>In d</w:t>
      </w:r>
      <w:r w:rsidR="00131023">
        <w:rPr>
          <w:rFonts w:cstheme="minorHAnsi"/>
        </w:rPr>
        <w:t xml:space="preserve">etermining fair values a number of inputs are used. To increase </w:t>
      </w:r>
      <w:r w:rsidRPr="00B004A1">
        <w:rPr>
          <w:rFonts w:cstheme="minorHAnsi"/>
        </w:rPr>
        <w:t>consistency and comparability in the</w:t>
      </w:r>
      <w:r w:rsidR="00131023">
        <w:rPr>
          <w:rFonts w:cstheme="minorHAnsi"/>
        </w:rPr>
        <w:t xml:space="preserve"> </w:t>
      </w:r>
      <w:r w:rsidRPr="00B004A1">
        <w:rPr>
          <w:rFonts w:cstheme="minorHAnsi"/>
        </w:rPr>
        <w:t>financial statements, these inputs are</w:t>
      </w:r>
      <w:r w:rsidR="00131023">
        <w:rPr>
          <w:rFonts w:cstheme="minorHAnsi"/>
        </w:rPr>
        <w:t xml:space="preserve"> </w:t>
      </w:r>
      <w:r w:rsidRPr="00B004A1">
        <w:rPr>
          <w:rFonts w:cstheme="minorHAnsi"/>
        </w:rPr>
        <w:t>cate</w:t>
      </w:r>
      <w:r w:rsidR="00131023">
        <w:rPr>
          <w:rFonts w:cstheme="minorHAnsi"/>
        </w:rPr>
        <w:t xml:space="preserve">gorised into three levels, also </w:t>
      </w:r>
      <w:r w:rsidRPr="00B004A1">
        <w:rPr>
          <w:rFonts w:cstheme="minorHAnsi"/>
        </w:rPr>
        <w:t>known as the fair value hierarchy.</w:t>
      </w:r>
    </w:p>
    <w:p w:rsidR="00B004A1" w:rsidRPr="00B004A1" w:rsidRDefault="00B004A1" w:rsidP="00A31F01">
      <w:pPr>
        <w:pStyle w:val="NoSpacing"/>
        <w:rPr>
          <w:rFonts w:cstheme="minorHAnsi"/>
        </w:rPr>
      </w:pPr>
      <w:r w:rsidRPr="00B004A1">
        <w:rPr>
          <w:rFonts w:cstheme="minorHAnsi"/>
        </w:rPr>
        <w:t>The levels are as follows:</w:t>
      </w:r>
    </w:p>
    <w:p w:rsidR="00B004A1" w:rsidRPr="00B004A1" w:rsidRDefault="00B004A1" w:rsidP="00A31F01">
      <w:pPr>
        <w:pStyle w:val="NoSpacing"/>
        <w:rPr>
          <w:rFonts w:cstheme="minorHAnsi"/>
        </w:rPr>
      </w:pPr>
      <w:r w:rsidRPr="00B004A1">
        <w:rPr>
          <w:rFonts w:cstheme="minorHAnsi"/>
        </w:rPr>
        <w:t>• Level 1 - quoted (unadjusted) market</w:t>
      </w:r>
      <w:r w:rsidR="00131023">
        <w:rPr>
          <w:rFonts w:cstheme="minorHAnsi"/>
        </w:rPr>
        <w:t xml:space="preserve"> </w:t>
      </w:r>
      <w:r w:rsidRPr="00B004A1">
        <w:rPr>
          <w:rFonts w:cstheme="minorHAnsi"/>
        </w:rPr>
        <w:t xml:space="preserve">prices </w:t>
      </w:r>
      <w:r w:rsidR="00131023">
        <w:rPr>
          <w:rFonts w:cstheme="minorHAnsi"/>
        </w:rPr>
        <w:t xml:space="preserve">in active markets for identical </w:t>
      </w:r>
      <w:r w:rsidRPr="00B004A1">
        <w:rPr>
          <w:rFonts w:cstheme="minorHAnsi"/>
        </w:rPr>
        <w:t>assets or liabilities;</w:t>
      </w:r>
    </w:p>
    <w:p w:rsidR="00B004A1" w:rsidRPr="00B004A1" w:rsidRDefault="00B004A1" w:rsidP="00A31F01">
      <w:pPr>
        <w:pStyle w:val="NoSpacing"/>
        <w:rPr>
          <w:rFonts w:cstheme="minorHAnsi"/>
        </w:rPr>
      </w:pPr>
      <w:r w:rsidRPr="00B004A1">
        <w:rPr>
          <w:rFonts w:cstheme="minorHAnsi"/>
        </w:rPr>
        <w:t>• Level 2 - valuation techniques</w:t>
      </w:r>
      <w:r w:rsidR="00131023">
        <w:rPr>
          <w:rFonts w:cstheme="minorHAnsi"/>
        </w:rPr>
        <w:t xml:space="preserve"> </w:t>
      </w:r>
      <w:r w:rsidRPr="00B004A1">
        <w:rPr>
          <w:rFonts w:cstheme="minorHAnsi"/>
        </w:rPr>
        <w:t>f</w:t>
      </w:r>
      <w:r w:rsidR="00131023">
        <w:rPr>
          <w:rFonts w:cstheme="minorHAnsi"/>
        </w:rPr>
        <w:t xml:space="preserve">or which the lowest level input </w:t>
      </w:r>
      <w:r w:rsidRPr="00B004A1">
        <w:rPr>
          <w:rFonts w:cstheme="minorHAnsi"/>
        </w:rPr>
        <w:t>that i</w:t>
      </w:r>
      <w:r w:rsidR="00131023">
        <w:rPr>
          <w:rFonts w:cstheme="minorHAnsi"/>
        </w:rPr>
        <w:t xml:space="preserve">s significant to the fair value </w:t>
      </w:r>
      <w:r w:rsidRPr="00B004A1">
        <w:rPr>
          <w:rFonts w:cstheme="minorHAnsi"/>
        </w:rPr>
        <w:t>measur</w:t>
      </w:r>
      <w:r w:rsidR="00131023">
        <w:rPr>
          <w:rFonts w:cstheme="minorHAnsi"/>
        </w:rPr>
        <w:t xml:space="preserve">ement is directly or indirectly </w:t>
      </w:r>
      <w:r w:rsidRPr="00B004A1">
        <w:rPr>
          <w:rFonts w:cstheme="minorHAnsi"/>
        </w:rPr>
        <w:t>observable; and</w:t>
      </w:r>
    </w:p>
    <w:p w:rsidR="00B004A1" w:rsidRPr="00B004A1" w:rsidRDefault="00B004A1" w:rsidP="00A31F01">
      <w:pPr>
        <w:pStyle w:val="NoSpacing"/>
        <w:rPr>
          <w:rFonts w:cstheme="minorHAnsi"/>
        </w:rPr>
      </w:pPr>
      <w:r w:rsidRPr="00B004A1">
        <w:rPr>
          <w:rFonts w:cstheme="minorHAnsi"/>
        </w:rPr>
        <w:t>• Level 3 - valuation techniques</w:t>
      </w:r>
      <w:r w:rsidR="00131023">
        <w:rPr>
          <w:rFonts w:cstheme="minorHAnsi"/>
        </w:rPr>
        <w:t xml:space="preserve"> </w:t>
      </w:r>
      <w:r w:rsidRPr="00B004A1">
        <w:rPr>
          <w:rFonts w:cstheme="minorHAnsi"/>
        </w:rPr>
        <w:t>f</w:t>
      </w:r>
      <w:r w:rsidR="00131023">
        <w:rPr>
          <w:rFonts w:cstheme="minorHAnsi"/>
        </w:rPr>
        <w:t xml:space="preserve">or which the lowest level input </w:t>
      </w:r>
      <w:r w:rsidRPr="00B004A1">
        <w:rPr>
          <w:rFonts w:cstheme="minorHAnsi"/>
        </w:rPr>
        <w:t>that i</w:t>
      </w:r>
      <w:r w:rsidR="00131023">
        <w:rPr>
          <w:rFonts w:cstheme="minorHAnsi"/>
        </w:rPr>
        <w:t xml:space="preserve">s significant to the fair value </w:t>
      </w:r>
      <w:r w:rsidRPr="00B004A1">
        <w:rPr>
          <w:rFonts w:cstheme="minorHAnsi"/>
        </w:rPr>
        <w:t>measurement is unobservable.</w:t>
      </w:r>
    </w:p>
    <w:p w:rsidR="00B004A1" w:rsidRPr="00B004A1" w:rsidRDefault="00131023" w:rsidP="00A31F01">
      <w:pPr>
        <w:pStyle w:val="NoSpacing"/>
        <w:rPr>
          <w:rFonts w:cstheme="minorHAnsi"/>
        </w:rPr>
      </w:pPr>
      <w:r>
        <w:rPr>
          <w:rFonts w:cstheme="minorHAnsi"/>
        </w:rPr>
        <w:t xml:space="preserve">Chisholm determines whether transfers have occurred between </w:t>
      </w:r>
      <w:r w:rsidR="00B004A1" w:rsidRPr="00B004A1">
        <w:rPr>
          <w:rFonts w:cstheme="minorHAnsi"/>
        </w:rPr>
        <w:t xml:space="preserve">levels </w:t>
      </w:r>
      <w:r>
        <w:rPr>
          <w:rFonts w:cstheme="minorHAnsi"/>
        </w:rPr>
        <w:t xml:space="preserve">in the hierarchy by reassessing </w:t>
      </w:r>
      <w:r w:rsidR="00B004A1" w:rsidRPr="00B004A1">
        <w:rPr>
          <w:rFonts w:cstheme="minorHAnsi"/>
        </w:rPr>
        <w:t>categorisation (bas</w:t>
      </w:r>
      <w:r>
        <w:rPr>
          <w:rFonts w:cstheme="minorHAnsi"/>
        </w:rPr>
        <w:t xml:space="preserve">ed on the lowest </w:t>
      </w:r>
      <w:r w:rsidR="00B004A1" w:rsidRPr="00B004A1">
        <w:rPr>
          <w:rFonts w:cstheme="minorHAnsi"/>
        </w:rPr>
        <w:t xml:space="preserve">level input </w:t>
      </w:r>
      <w:r>
        <w:rPr>
          <w:rFonts w:cstheme="minorHAnsi"/>
        </w:rPr>
        <w:t xml:space="preserve">that is significant to the fair </w:t>
      </w:r>
      <w:r w:rsidR="00B004A1" w:rsidRPr="00B004A1">
        <w:rPr>
          <w:rFonts w:cstheme="minorHAnsi"/>
        </w:rPr>
        <w:t>value measurement as a whole) at the</w:t>
      </w:r>
      <w:r>
        <w:rPr>
          <w:rFonts w:cstheme="minorHAnsi"/>
        </w:rPr>
        <w:t xml:space="preserve"> </w:t>
      </w:r>
      <w:r w:rsidR="00B004A1" w:rsidRPr="00B004A1">
        <w:rPr>
          <w:rFonts w:cstheme="minorHAnsi"/>
        </w:rPr>
        <w:t>end of each reporting period.</w:t>
      </w:r>
    </w:p>
    <w:p w:rsidR="00B004A1" w:rsidRPr="00B004A1" w:rsidRDefault="00B004A1" w:rsidP="00A31F01">
      <w:pPr>
        <w:pStyle w:val="NoSpacing"/>
        <w:rPr>
          <w:rFonts w:cstheme="minorHAnsi"/>
        </w:rPr>
      </w:pPr>
      <w:r w:rsidRPr="00B004A1">
        <w:rPr>
          <w:rFonts w:cstheme="minorHAnsi"/>
        </w:rPr>
        <w:t>Th</w:t>
      </w:r>
      <w:r w:rsidR="00131023">
        <w:rPr>
          <w:rFonts w:cstheme="minorHAnsi"/>
        </w:rPr>
        <w:t xml:space="preserve">e Valuer-General Victoria (VGV) </w:t>
      </w:r>
      <w:r w:rsidRPr="00B004A1">
        <w:rPr>
          <w:rFonts w:cstheme="minorHAnsi"/>
        </w:rPr>
        <w:t>is C</w:t>
      </w:r>
      <w:r w:rsidR="00131023">
        <w:rPr>
          <w:rFonts w:cstheme="minorHAnsi"/>
        </w:rPr>
        <w:t xml:space="preserve">hisholm’s independent valuation </w:t>
      </w:r>
      <w:r w:rsidRPr="00B004A1">
        <w:rPr>
          <w:rFonts w:cstheme="minorHAnsi"/>
        </w:rPr>
        <w:t>agency.</w:t>
      </w:r>
    </w:p>
    <w:p w:rsidR="00131023" w:rsidRDefault="00131023" w:rsidP="00A31F01">
      <w:pPr>
        <w:pStyle w:val="NoSpacing"/>
        <w:rPr>
          <w:rFonts w:cstheme="minorHAnsi"/>
        </w:rPr>
      </w:pPr>
    </w:p>
    <w:p w:rsidR="00B004A1" w:rsidRPr="00B004A1" w:rsidRDefault="00B004A1" w:rsidP="00234E85">
      <w:pPr>
        <w:pStyle w:val="Heading4"/>
      </w:pPr>
      <w:r w:rsidRPr="00B004A1">
        <w:t>Fair value determination of financial</w:t>
      </w:r>
      <w:r w:rsidR="00131023">
        <w:t xml:space="preserve"> </w:t>
      </w:r>
      <w:r w:rsidRPr="00B004A1">
        <w:t>assets and liabilities.</w:t>
      </w:r>
    </w:p>
    <w:p w:rsidR="00A31F01" w:rsidRDefault="00A31F01" w:rsidP="00A31F01">
      <w:pPr>
        <w:pStyle w:val="NoSpacing"/>
        <w:rPr>
          <w:rFonts w:cstheme="minorHAnsi"/>
        </w:rPr>
      </w:pPr>
    </w:p>
    <w:p w:rsidR="00B004A1" w:rsidRDefault="00B004A1" w:rsidP="00A31F01">
      <w:pPr>
        <w:pStyle w:val="NoSpacing"/>
        <w:rPr>
          <w:rFonts w:cstheme="minorHAnsi"/>
        </w:rPr>
      </w:pPr>
      <w:r w:rsidRPr="00B004A1">
        <w:rPr>
          <w:rFonts w:cstheme="minorHAnsi"/>
        </w:rPr>
        <w:t>Chisholm currently holds a range of</w:t>
      </w:r>
      <w:r w:rsidR="00131023">
        <w:rPr>
          <w:rFonts w:cstheme="minorHAnsi"/>
        </w:rPr>
        <w:t xml:space="preserve"> </w:t>
      </w:r>
      <w:r w:rsidRPr="00B004A1">
        <w:rPr>
          <w:rFonts w:cstheme="minorHAnsi"/>
        </w:rPr>
        <w:t>financia</w:t>
      </w:r>
      <w:r w:rsidR="00131023">
        <w:rPr>
          <w:rFonts w:cstheme="minorHAnsi"/>
        </w:rPr>
        <w:t xml:space="preserve">l instruments that are recorded </w:t>
      </w:r>
      <w:r w:rsidRPr="00B004A1">
        <w:rPr>
          <w:rFonts w:cstheme="minorHAnsi"/>
        </w:rPr>
        <w:t>in the financial statements where the</w:t>
      </w:r>
      <w:r w:rsidR="00131023">
        <w:rPr>
          <w:rFonts w:cstheme="minorHAnsi"/>
        </w:rPr>
        <w:t xml:space="preserve"> </w:t>
      </w:r>
      <w:r w:rsidRPr="00B004A1">
        <w:rPr>
          <w:rFonts w:cstheme="minorHAnsi"/>
        </w:rPr>
        <w:t>ca</w:t>
      </w:r>
      <w:r w:rsidR="00131023">
        <w:rPr>
          <w:rFonts w:cstheme="minorHAnsi"/>
        </w:rPr>
        <w:t xml:space="preserve">rrying amounts are a reasonable </w:t>
      </w:r>
      <w:r w:rsidRPr="00B004A1">
        <w:rPr>
          <w:rFonts w:cstheme="minorHAnsi"/>
        </w:rPr>
        <w:t>approxim</w:t>
      </w:r>
      <w:r w:rsidR="00131023">
        <w:rPr>
          <w:rFonts w:cstheme="minorHAnsi"/>
        </w:rPr>
        <w:t xml:space="preserve">ation of fair value, either due </w:t>
      </w:r>
      <w:r w:rsidRPr="00B004A1">
        <w:rPr>
          <w:rFonts w:cstheme="minorHAnsi"/>
        </w:rPr>
        <w:t>to their short-term nature or with the</w:t>
      </w:r>
      <w:r w:rsidR="00131023">
        <w:rPr>
          <w:rFonts w:cstheme="minorHAnsi"/>
        </w:rPr>
        <w:t xml:space="preserve"> </w:t>
      </w:r>
      <w:r w:rsidRPr="00B004A1">
        <w:rPr>
          <w:rFonts w:cstheme="minorHAnsi"/>
        </w:rPr>
        <w:t>expectation that they will be paid in full</w:t>
      </w:r>
      <w:r w:rsidR="00131023">
        <w:rPr>
          <w:rFonts w:cstheme="minorHAnsi"/>
        </w:rPr>
        <w:t xml:space="preserve"> </w:t>
      </w:r>
      <w:r w:rsidRPr="00B004A1">
        <w:rPr>
          <w:rFonts w:cstheme="minorHAnsi"/>
        </w:rPr>
        <w:t>by the end of the 2018 reporting period</w:t>
      </w:r>
      <w:r w:rsidR="00131023">
        <w:rPr>
          <w:rFonts w:cstheme="minorHAnsi"/>
        </w:rPr>
        <w:t>.</w:t>
      </w:r>
    </w:p>
    <w:p w:rsidR="00BA720E" w:rsidRDefault="00BA720E" w:rsidP="00A31F01">
      <w:pPr>
        <w:pStyle w:val="NoSpacing"/>
        <w:rPr>
          <w:rFonts w:cstheme="minorHAnsi"/>
        </w:rPr>
      </w:pPr>
    </w:p>
    <w:p w:rsidR="00BA720E" w:rsidRDefault="00BA720E" w:rsidP="00A31F01">
      <w:pPr>
        <w:pStyle w:val="NoSpacing"/>
        <w:rPr>
          <w:rFonts w:cstheme="minorHAnsi"/>
        </w:rPr>
      </w:pPr>
      <w:r>
        <w:rPr>
          <w:rFonts w:cstheme="minorHAnsi"/>
        </w:rPr>
        <w:t>&lt;pp&gt;76</w:t>
      </w:r>
    </w:p>
    <w:p w:rsidR="00BA720E" w:rsidRDefault="00BA720E" w:rsidP="00A31F01">
      <w:pPr>
        <w:pStyle w:val="NoSpacing"/>
        <w:rPr>
          <w:rFonts w:cstheme="minorHAnsi"/>
        </w:rPr>
      </w:pPr>
    </w:p>
    <w:p w:rsidR="00A31F01" w:rsidRDefault="00A31F01" w:rsidP="00A31F01">
      <w:pPr>
        <w:pStyle w:val="NoSpacing"/>
        <w:sectPr w:rsidR="00A31F01">
          <w:pgSz w:w="11906" w:h="16838"/>
          <w:pgMar w:top="1440" w:right="1440" w:bottom="1440" w:left="1440" w:header="708" w:footer="708" w:gutter="0"/>
          <w:cols w:space="708"/>
          <w:docGrid w:linePitch="360"/>
        </w:sectPr>
      </w:pPr>
    </w:p>
    <w:p w:rsidR="00BA720E" w:rsidRDefault="00A31F01" w:rsidP="00234E85">
      <w:pPr>
        <w:pStyle w:val="Heading3"/>
      </w:pPr>
      <w:r w:rsidRPr="00CA7020">
        <w:lastRenderedPageBreak/>
        <w:t>7. MANAGING RISKS AND UNCERTAINTIES</w:t>
      </w:r>
      <w:r>
        <w:t xml:space="preserve"> (CONTINUED)</w:t>
      </w:r>
    </w:p>
    <w:p w:rsidR="00A31F01" w:rsidRDefault="00A31F01" w:rsidP="00A31F01">
      <w:pPr>
        <w:pStyle w:val="NoSpacing"/>
      </w:pPr>
    </w:p>
    <w:p w:rsidR="00BA720E" w:rsidRDefault="00BA720E" w:rsidP="00234E85">
      <w:pPr>
        <w:pStyle w:val="Heading4"/>
      </w:pPr>
      <w:r>
        <w:t>7.3 Fair value determination (continued)</w:t>
      </w:r>
    </w:p>
    <w:p w:rsidR="00BA720E" w:rsidRDefault="00BA720E" w:rsidP="00A31F01">
      <w:pPr>
        <w:pStyle w:val="NoSpacing"/>
      </w:pPr>
    </w:p>
    <w:p w:rsidR="00BA720E" w:rsidRDefault="00BA720E" w:rsidP="00A31F01">
      <w:pPr>
        <w:pStyle w:val="NoSpacing"/>
      </w:pPr>
      <w:r>
        <w:t>Fair value determination of non-financial assets</w:t>
      </w:r>
    </w:p>
    <w:p w:rsidR="00A31F01" w:rsidRDefault="00A31F01" w:rsidP="00A31F01">
      <w:pPr>
        <w:pStyle w:val="NoSpacing"/>
      </w:pPr>
    </w:p>
    <w:p w:rsidR="00BA720E" w:rsidRDefault="00BA720E" w:rsidP="00A31F01">
      <w:pPr>
        <w:pStyle w:val="NoSpacing"/>
      </w:pPr>
      <w:r>
        <w:t>Chisholm holds property, plant and equipment for which fair values are determined. Below in the relevant fair value information relating to those assets.</w:t>
      </w:r>
    </w:p>
    <w:tbl>
      <w:tblPr>
        <w:tblStyle w:val="TableGrid"/>
        <w:tblW w:w="6804" w:type="dxa"/>
        <w:tblInd w:w="7508" w:type="dxa"/>
        <w:tblLayout w:type="fixed"/>
        <w:tblLook w:val="04A0" w:firstRow="1" w:lastRow="0" w:firstColumn="1" w:lastColumn="0" w:noHBand="0" w:noVBand="1"/>
      </w:tblPr>
      <w:tblGrid>
        <w:gridCol w:w="1985"/>
        <w:gridCol w:w="1701"/>
        <w:gridCol w:w="1559"/>
        <w:gridCol w:w="1559"/>
      </w:tblGrid>
      <w:tr w:rsidR="00A31F01" w:rsidRPr="00AE2D8D" w:rsidTr="00A65F8B">
        <w:tc>
          <w:tcPr>
            <w:tcW w:w="1985" w:type="dxa"/>
            <w:vAlign w:val="bottom"/>
          </w:tcPr>
          <w:p w:rsidR="00A31F01" w:rsidRPr="00AE2D8D" w:rsidRDefault="00A65F8B" w:rsidP="00A65F8B">
            <w:pPr>
              <w:pStyle w:val="NoSpacing"/>
              <w:jc w:val="right"/>
              <w:rPr>
                <w:rFonts w:cstheme="minorHAnsi"/>
                <w:bCs/>
                <w:w w:val="105"/>
              </w:rPr>
            </w:pPr>
            <w:r>
              <w:rPr>
                <w:rFonts w:cstheme="minorHAnsi"/>
                <w:bCs/>
                <w:w w:val="105"/>
              </w:rPr>
              <w:t>Carrying amount at 31 December</w:t>
            </w:r>
          </w:p>
        </w:tc>
        <w:tc>
          <w:tcPr>
            <w:tcW w:w="1701" w:type="dxa"/>
            <w:vAlign w:val="bottom"/>
          </w:tcPr>
          <w:p w:rsidR="00A31F01" w:rsidRPr="00AE2D8D" w:rsidRDefault="00A65F8B" w:rsidP="00A65F8B">
            <w:pPr>
              <w:pStyle w:val="NoSpacing"/>
              <w:jc w:val="right"/>
              <w:rPr>
                <w:rFonts w:cstheme="minorHAnsi"/>
                <w:bCs/>
                <w:w w:val="105"/>
              </w:rPr>
            </w:pPr>
            <w:r>
              <w:rPr>
                <w:rFonts w:cstheme="minorHAnsi"/>
                <w:bCs/>
                <w:w w:val="105"/>
              </w:rPr>
              <w:t>Level 1 Quoted prices</w:t>
            </w:r>
          </w:p>
        </w:tc>
        <w:tc>
          <w:tcPr>
            <w:tcW w:w="1559" w:type="dxa"/>
            <w:vAlign w:val="bottom"/>
          </w:tcPr>
          <w:p w:rsidR="00A31F01" w:rsidRPr="00AE2D8D" w:rsidRDefault="00A65F8B" w:rsidP="00A65F8B">
            <w:pPr>
              <w:pStyle w:val="NoSpacing"/>
              <w:jc w:val="right"/>
              <w:rPr>
                <w:rFonts w:cstheme="minorHAnsi"/>
                <w:bCs/>
                <w:w w:val="105"/>
              </w:rPr>
            </w:pPr>
            <w:r>
              <w:rPr>
                <w:rFonts w:cstheme="minorHAnsi"/>
                <w:bCs/>
                <w:w w:val="105"/>
              </w:rPr>
              <w:t>Level 2 Observable price inputs</w:t>
            </w:r>
          </w:p>
        </w:tc>
        <w:tc>
          <w:tcPr>
            <w:tcW w:w="1559" w:type="dxa"/>
            <w:vAlign w:val="bottom"/>
          </w:tcPr>
          <w:p w:rsidR="00A31F01" w:rsidRPr="00AE2D8D" w:rsidRDefault="00A31F01" w:rsidP="00A65F8B">
            <w:pPr>
              <w:pStyle w:val="NoSpacing"/>
              <w:jc w:val="right"/>
              <w:rPr>
                <w:rFonts w:cstheme="minorHAnsi"/>
                <w:bCs/>
                <w:w w:val="105"/>
              </w:rPr>
            </w:pPr>
            <w:r>
              <w:rPr>
                <w:rFonts w:cstheme="minorHAnsi"/>
                <w:bCs/>
                <w:w w:val="105"/>
              </w:rPr>
              <w:t>Level 3 Unobservable inputs</w:t>
            </w:r>
          </w:p>
        </w:tc>
      </w:tr>
      <w:tr w:rsidR="00A31F01" w:rsidRPr="00AE2D8D" w:rsidTr="00A31F01">
        <w:tc>
          <w:tcPr>
            <w:tcW w:w="1985" w:type="dxa"/>
          </w:tcPr>
          <w:p w:rsidR="00A31F01" w:rsidRPr="00AE2D8D" w:rsidRDefault="00A31F01" w:rsidP="00A31F01">
            <w:pPr>
              <w:jc w:val="right"/>
              <w:rPr>
                <w:rFonts w:cstheme="minorHAnsi"/>
              </w:rPr>
            </w:pPr>
            <w:r w:rsidRPr="00AE2D8D">
              <w:rPr>
                <w:rFonts w:cstheme="minorHAnsi"/>
                <w:bCs/>
                <w:w w:val="105"/>
              </w:rPr>
              <w:t>$’000</w:t>
            </w:r>
          </w:p>
        </w:tc>
        <w:tc>
          <w:tcPr>
            <w:tcW w:w="1701" w:type="dxa"/>
          </w:tcPr>
          <w:p w:rsidR="00A31F01" w:rsidRPr="00AE2D8D" w:rsidRDefault="00A31F01" w:rsidP="00A31F01">
            <w:pPr>
              <w:jc w:val="right"/>
              <w:rPr>
                <w:rFonts w:cstheme="minorHAnsi"/>
              </w:rPr>
            </w:pPr>
            <w:r w:rsidRPr="00AE2D8D">
              <w:rPr>
                <w:rFonts w:cstheme="minorHAnsi"/>
                <w:bCs/>
                <w:w w:val="105"/>
              </w:rPr>
              <w:t>$’000</w:t>
            </w:r>
          </w:p>
        </w:tc>
        <w:tc>
          <w:tcPr>
            <w:tcW w:w="1559" w:type="dxa"/>
          </w:tcPr>
          <w:p w:rsidR="00A31F01" w:rsidRPr="00AE2D8D" w:rsidRDefault="00A31F01" w:rsidP="00A31F01">
            <w:pPr>
              <w:jc w:val="right"/>
              <w:rPr>
                <w:rFonts w:cstheme="minorHAnsi"/>
              </w:rPr>
            </w:pPr>
            <w:r w:rsidRPr="00AE2D8D">
              <w:rPr>
                <w:rFonts w:cstheme="minorHAnsi"/>
                <w:bCs/>
                <w:w w:val="105"/>
              </w:rPr>
              <w:t>$’000</w:t>
            </w:r>
          </w:p>
        </w:tc>
        <w:tc>
          <w:tcPr>
            <w:tcW w:w="1559" w:type="dxa"/>
          </w:tcPr>
          <w:p w:rsidR="00A31F01" w:rsidRPr="00AE2D8D" w:rsidRDefault="00A31F01" w:rsidP="00A31F01">
            <w:pPr>
              <w:pStyle w:val="NoSpacing"/>
              <w:jc w:val="right"/>
              <w:rPr>
                <w:rFonts w:cstheme="minorHAnsi"/>
                <w:bCs/>
                <w:w w:val="105"/>
              </w:rPr>
            </w:pPr>
            <w:r w:rsidRPr="00AE2D8D">
              <w:rPr>
                <w:rFonts w:cstheme="minorHAnsi"/>
                <w:bCs/>
                <w:w w:val="105"/>
              </w:rPr>
              <w:t>$’000</w:t>
            </w:r>
          </w:p>
        </w:tc>
      </w:tr>
    </w:tbl>
    <w:p w:rsidR="00A31F01" w:rsidRDefault="00A65F8B" w:rsidP="00A31F01">
      <w:pPr>
        <w:pStyle w:val="NoSpacing"/>
      </w:pPr>
      <w:r>
        <w:t>Consolidated 2017</w:t>
      </w: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A65F8B">
        <w:tc>
          <w:tcPr>
            <w:tcW w:w="7508" w:type="dxa"/>
          </w:tcPr>
          <w:p w:rsidR="00A65F8B" w:rsidRDefault="007954D8" w:rsidP="00A31F01">
            <w:pPr>
              <w:pStyle w:val="NoSpacing"/>
            </w:pPr>
            <w:r>
              <w:t>Non specialised land</w:t>
            </w:r>
          </w:p>
        </w:tc>
        <w:tc>
          <w:tcPr>
            <w:tcW w:w="1985" w:type="dxa"/>
          </w:tcPr>
          <w:p w:rsidR="00A65F8B" w:rsidRDefault="00DD0F8D" w:rsidP="007954D8">
            <w:pPr>
              <w:pStyle w:val="NoSpacing"/>
              <w:jc w:val="right"/>
            </w:pPr>
            <w:r>
              <w:t>5,498</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5,498</w:t>
            </w:r>
          </w:p>
        </w:tc>
        <w:tc>
          <w:tcPr>
            <w:tcW w:w="1559" w:type="dxa"/>
          </w:tcPr>
          <w:p w:rsidR="00A65F8B" w:rsidRDefault="00DD0F8D" w:rsidP="007954D8">
            <w:pPr>
              <w:pStyle w:val="NoSpacing"/>
              <w:jc w:val="right"/>
            </w:pPr>
            <w:r>
              <w:t>-</w:t>
            </w:r>
          </w:p>
        </w:tc>
      </w:tr>
      <w:tr w:rsidR="00A65F8B" w:rsidTr="00A65F8B">
        <w:tc>
          <w:tcPr>
            <w:tcW w:w="7508" w:type="dxa"/>
          </w:tcPr>
          <w:p w:rsidR="00A65F8B" w:rsidRDefault="007954D8" w:rsidP="00A31F01">
            <w:pPr>
              <w:pStyle w:val="NoSpacing"/>
            </w:pPr>
            <w:r>
              <w:t>Specialised land</w:t>
            </w:r>
          </w:p>
        </w:tc>
        <w:tc>
          <w:tcPr>
            <w:tcW w:w="1985" w:type="dxa"/>
          </w:tcPr>
          <w:p w:rsidR="00A65F8B" w:rsidRDefault="00DD0F8D" w:rsidP="007954D8">
            <w:pPr>
              <w:pStyle w:val="NoSpacing"/>
              <w:jc w:val="right"/>
            </w:pPr>
            <w:r>
              <w:t>52,698</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52,698</w:t>
            </w:r>
          </w:p>
        </w:tc>
      </w:tr>
      <w:tr w:rsidR="00A65F8B" w:rsidTr="00A65F8B">
        <w:tc>
          <w:tcPr>
            <w:tcW w:w="7508" w:type="dxa"/>
          </w:tcPr>
          <w:p w:rsidR="00A65F8B" w:rsidRDefault="007954D8" w:rsidP="00A31F01">
            <w:pPr>
              <w:pStyle w:val="NoSpacing"/>
            </w:pPr>
            <w:r>
              <w:t>Total land at fair value</w:t>
            </w:r>
          </w:p>
        </w:tc>
        <w:tc>
          <w:tcPr>
            <w:tcW w:w="1985" w:type="dxa"/>
          </w:tcPr>
          <w:p w:rsidR="00A65F8B" w:rsidRDefault="00DD0F8D" w:rsidP="007954D8">
            <w:pPr>
              <w:pStyle w:val="NoSpacing"/>
              <w:jc w:val="right"/>
            </w:pPr>
            <w:r>
              <w:t>58,196</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5,498</w:t>
            </w:r>
          </w:p>
        </w:tc>
        <w:tc>
          <w:tcPr>
            <w:tcW w:w="1559" w:type="dxa"/>
          </w:tcPr>
          <w:p w:rsidR="00A65F8B" w:rsidRDefault="00DD0F8D" w:rsidP="007954D8">
            <w:pPr>
              <w:pStyle w:val="NoSpacing"/>
              <w:jc w:val="right"/>
            </w:pPr>
            <w:r>
              <w:t>52,698</w:t>
            </w:r>
          </w:p>
        </w:tc>
      </w:tr>
    </w:tbl>
    <w:p w:rsidR="00A65F8B" w:rsidRDefault="00A65F8B" w:rsidP="00A31F01">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t>Non specialised buildings</w:t>
            </w:r>
          </w:p>
        </w:tc>
        <w:tc>
          <w:tcPr>
            <w:tcW w:w="1985" w:type="dxa"/>
          </w:tcPr>
          <w:p w:rsidR="00A65F8B" w:rsidRDefault="00DD0F8D" w:rsidP="007954D8">
            <w:pPr>
              <w:pStyle w:val="NoSpacing"/>
              <w:jc w:val="right"/>
            </w:pPr>
            <w:r>
              <w:t>3,687</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3,687</w:t>
            </w:r>
          </w:p>
        </w:tc>
        <w:tc>
          <w:tcPr>
            <w:tcW w:w="1559" w:type="dxa"/>
          </w:tcPr>
          <w:p w:rsidR="00A65F8B" w:rsidRDefault="00DD0F8D" w:rsidP="007954D8">
            <w:pPr>
              <w:pStyle w:val="NoSpacing"/>
              <w:jc w:val="right"/>
            </w:pPr>
            <w:r>
              <w:t>-</w:t>
            </w:r>
          </w:p>
        </w:tc>
      </w:tr>
      <w:tr w:rsidR="00A65F8B" w:rsidTr="004B54F6">
        <w:tc>
          <w:tcPr>
            <w:tcW w:w="7508" w:type="dxa"/>
          </w:tcPr>
          <w:p w:rsidR="00A65F8B" w:rsidRDefault="007954D8" w:rsidP="004B54F6">
            <w:pPr>
              <w:pStyle w:val="NoSpacing"/>
            </w:pPr>
            <w:r>
              <w:t>Specialised buildings</w:t>
            </w:r>
          </w:p>
        </w:tc>
        <w:tc>
          <w:tcPr>
            <w:tcW w:w="1985" w:type="dxa"/>
          </w:tcPr>
          <w:p w:rsidR="00A65F8B" w:rsidRDefault="00DD0F8D" w:rsidP="007954D8">
            <w:pPr>
              <w:pStyle w:val="NoSpacing"/>
              <w:jc w:val="right"/>
            </w:pPr>
            <w:r>
              <w:t>193,102</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193,102</w:t>
            </w:r>
          </w:p>
        </w:tc>
      </w:tr>
      <w:tr w:rsidR="00A65F8B" w:rsidTr="004B54F6">
        <w:tc>
          <w:tcPr>
            <w:tcW w:w="7508" w:type="dxa"/>
          </w:tcPr>
          <w:p w:rsidR="00A65F8B" w:rsidRDefault="007954D8" w:rsidP="004B54F6">
            <w:pPr>
              <w:pStyle w:val="NoSpacing"/>
            </w:pPr>
            <w:r>
              <w:t>Total buildings at fair value</w:t>
            </w:r>
          </w:p>
        </w:tc>
        <w:tc>
          <w:tcPr>
            <w:tcW w:w="1985" w:type="dxa"/>
          </w:tcPr>
          <w:p w:rsidR="00A65F8B" w:rsidRDefault="00DD0F8D" w:rsidP="007954D8">
            <w:pPr>
              <w:pStyle w:val="NoSpacing"/>
              <w:jc w:val="right"/>
            </w:pPr>
            <w:r>
              <w:t>196,789</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3,687</w:t>
            </w:r>
          </w:p>
        </w:tc>
        <w:tc>
          <w:tcPr>
            <w:tcW w:w="1559" w:type="dxa"/>
          </w:tcPr>
          <w:p w:rsidR="00A65F8B" w:rsidRDefault="00DD0F8D" w:rsidP="007954D8">
            <w:pPr>
              <w:pStyle w:val="NoSpacing"/>
              <w:jc w:val="right"/>
            </w:pPr>
            <w:r>
              <w:t>193,102</w:t>
            </w:r>
          </w:p>
        </w:tc>
      </w:tr>
    </w:tbl>
    <w:p w:rsidR="00A65F8B" w:rsidRDefault="00A65F8B" w:rsidP="00A31F01">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t>Plant and equipment</w:t>
            </w:r>
          </w:p>
        </w:tc>
        <w:tc>
          <w:tcPr>
            <w:tcW w:w="1985" w:type="dxa"/>
          </w:tcPr>
          <w:p w:rsidR="00A65F8B" w:rsidRDefault="00DD0F8D" w:rsidP="007954D8">
            <w:pPr>
              <w:pStyle w:val="NoSpacing"/>
              <w:jc w:val="right"/>
            </w:pPr>
            <w:r>
              <w:t>4,854</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4,854</w:t>
            </w:r>
          </w:p>
        </w:tc>
      </w:tr>
      <w:tr w:rsidR="00A65F8B" w:rsidTr="004B54F6">
        <w:tc>
          <w:tcPr>
            <w:tcW w:w="7508" w:type="dxa"/>
          </w:tcPr>
          <w:p w:rsidR="00A65F8B" w:rsidRDefault="007954D8" w:rsidP="004B54F6">
            <w:pPr>
              <w:pStyle w:val="NoSpacing"/>
            </w:pPr>
            <w:r>
              <w:t>Vehicles</w:t>
            </w:r>
          </w:p>
        </w:tc>
        <w:tc>
          <w:tcPr>
            <w:tcW w:w="1985" w:type="dxa"/>
          </w:tcPr>
          <w:p w:rsidR="00A65F8B" w:rsidRDefault="00DD0F8D" w:rsidP="007954D8">
            <w:pPr>
              <w:pStyle w:val="NoSpacing"/>
              <w:jc w:val="right"/>
            </w:pPr>
            <w:r>
              <w:t>280</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280</w:t>
            </w:r>
          </w:p>
        </w:tc>
      </w:tr>
      <w:tr w:rsidR="00A65F8B" w:rsidTr="004B54F6">
        <w:tc>
          <w:tcPr>
            <w:tcW w:w="7508" w:type="dxa"/>
          </w:tcPr>
          <w:p w:rsidR="00A65F8B" w:rsidRDefault="007954D8" w:rsidP="004B54F6">
            <w:pPr>
              <w:pStyle w:val="NoSpacing"/>
            </w:pPr>
            <w:r>
              <w:t>Leasehold improvements</w:t>
            </w:r>
          </w:p>
        </w:tc>
        <w:tc>
          <w:tcPr>
            <w:tcW w:w="1985" w:type="dxa"/>
          </w:tcPr>
          <w:p w:rsidR="00A65F8B" w:rsidRDefault="00DD0F8D" w:rsidP="007954D8">
            <w:pPr>
              <w:pStyle w:val="NoSpacing"/>
              <w:jc w:val="right"/>
            </w:pPr>
            <w:r>
              <w:t>650</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650</w:t>
            </w:r>
          </w:p>
        </w:tc>
      </w:tr>
      <w:tr w:rsidR="00A65F8B" w:rsidTr="004B54F6">
        <w:tc>
          <w:tcPr>
            <w:tcW w:w="7508" w:type="dxa"/>
          </w:tcPr>
          <w:p w:rsidR="00A65F8B" w:rsidRDefault="007954D8" w:rsidP="004B54F6">
            <w:pPr>
              <w:pStyle w:val="NoSpacing"/>
            </w:pPr>
            <w:r>
              <w:t>Land improvements</w:t>
            </w:r>
          </w:p>
        </w:tc>
        <w:tc>
          <w:tcPr>
            <w:tcW w:w="1985" w:type="dxa"/>
          </w:tcPr>
          <w:p w:rsidR="00A65F8B" w:rsidRDefault="00DD0F8D" w:rsidP="007954D8">
            <w:pPr>
              <w:pStyle w:val="NoSpacing"/>
              <w:jc w:val="right"/>
            </w:pPr>
            <w:r>
              <w:t>2,502</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2,502</w:t>
            </w:r>
          </w:p>
        </w:tc>
      </w:tr>
      <w:tr w:rsidR="00A65F8B" w:rsidTr="004B54F6">
        <w:tc>
          <w:tcPr>
            <w:tcW w:w="7508" w:type="dxa"/>
          </w:tcPr>
          <w:p w:rsidR="00A65F8B" w:rsidRDefault="007954D8" w:rsidP="004B54F6">
            <w:pPr>
              <w:pStyle w:val="NoSpacing"/>
            </w:pPr>
            <w:r>
              <w:t>Total other assets at fair value</w:t>
            </w:r>
          </w:p>
        </w:tc>
        <w:tc>
          <w:tcPr>
            <w:tcW w:w="1985" w:type="dxa"/>
          </w:tcPr>
          <w:p w:rsidR="00A65F8B" w:rsidRDefault="00DD0F8D" w:rsidP="007954D8">
            <w:pPr>
              <w:pStyle w:val="NoSpacing"/>
              <w:jc w:val="right"/>
            </w:pPr>
            <w:r>
              <w:t>8,286</w:t>
            </w:r>
          </w:p>
        </w:tc>
        <w:tc>
          <w:tcPr>
            <w:tcW w:w="1701" w:type="dxa"/>
          </w:tcPr>
          <w:p w:rsidR="00A65F8B" w:rsidRDefault="00DD0F8D" w:rsidP="007954D8">
            <w:pPr>
              <w:pStyle w:val="NoSpacing"/>
              <w:jc w:val="right"/>
            </w:pPr>
            <w:r>
              <w:t>-</w:t>
            </w:r>
          </w:p>
        </w:tc>
        <w:tc>
          <w:tcPr>
            <w:tcW w:w="1559" w:type="dxa"/>
          </w:tcPr>
          <w:p w:rsidR="00A65F8B" w:rsidRDefault="00DD0F8D" w:rsidP="007954D8">
            <w:pPr>
              <w:pStyle w:val="NoSpacing"/>
              <w:jc w:val="right"/>
            </w:pPr>
            <w:r>
              <w:t>-</w:t>
            </w:r>
          </w:p>
        </w:tc>
        <w:tc>
          <w:tcPr>
            <w:tcW w:w="1559" w:type="dxa"/>
          </w:tcPr>
          <w:p w:rsidR="00A65F8B" w:rsidRDefault="00DD0F8D" w:rsidP="007954D8">
            <w:pPr>
              <w:pStyle w:val="NoSpacing"/>
              <w:jc w:val="right"/>
            </w:pPr>
            <w:r>
              <w:t>8,286</w:t>
            </w:r>
          </w:p>
        </w:tc>
      </w:tr>
    </w:tbl>
    <w:p w:rsidR="00A31F01" w:rsidRDefault="00A31F01" w:rsidP="00A31F01">
      <w:pPr>
        <w:pStyle w:val="NoSpacing"/>
      </w:pPr>
    </w:p>
    <w:p w:rsidR="00A65F8B" w:rsidRDefault="00A65F8B" w:rsidP="00A65F8B">
      <w:pPr>
        <w:pStyle w:val="NoSpacing"/>
      </w:pPr>
      <w:r>
        <w:t>Consolidated 2016</w:t>
      </w:r>
    </w:p>
    <w:tbl>
      <w:tblPr>
        <w:tblStyle w:val="TableGrid"/>
        <w:tblW w:w="14312" w:type="dxa"/>
        <w:tblLook w:val="04A0" w:firstRow="1" w:lastRow="0" w:firstColumn="1" w:lastColumn="0" w:noHBand="0" w:noVBand="1"/>
      </w:tblPr>
      <w:tblGrid>
        <w:gridCol w:w="7508"/>
        <w:gridCol w:w="1985"/>
        <w:gridCol w:w="1701"/>
        <w:gridCol w:w="1559"/>
        <w:gridCol w:w="1559"/>
      </w:tblGrid>
      <w:tr w:rsidR="007954D8" w:rsidTr="004B54F6">
        <w:tc>
          <w:tcPr>
            <w:tcW w:w="7508" w:type="dxa"/>
          </w:tcPr>
          <w:p w:rsidR="007954D8" w:rsidRPr="00831746" w:rsidRDefault="007954D8" w:rsidP="007954D8">
            <w:r w:rsidRPr="00831746">
              <w:t>Non specialised land</w:t>
            </w:r>
          </w:p>
        </w:tc>
        <w:tc>
          <w:tcPr>
            <w:tcW w:w="1985" w:type="dxa"/>
          </w:tcPr>
          <w:p w:rsidR="007954D8" w:rsidRDefault="00DD0F8D" w:rsidP="007954D8">
            <w:pPr>
              <w:pStyle w:val="NoSpacing"/>
              <w:jc w:val="right"/>
            </w:pPr>
            <w:r>
              <w:t>5,810</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5,810</w:t>
            </w:r>
          </w:p>
        </w:tc>
        <w:tc>
          <w:tcPr>
            <w:tcW w:w="1559" w:type="dxa"/>
          </w:tcPr>
          <w:p w:rsidR="007954D8" w:rsidRDefault="00DD0F8D" w:rsidP="007954D8">
            <w:pPr>
              <w:pStyle w:val="NoSpacing"/>
              <w:jc w:val="right"/>
            </w:pPr>
            <w:r>
              <w:t>-</w:t>
            </w:r>
          </w:p>
        </w:tc>
      </w:tr>
      <w:tr w:rsidR="007954D8" w:rsidTr="004B54F6">
        <w:tc>
          <w:tcPr>
            <w:tcW w:w="7508" w:type="dxa"/>
          </w:tcPr>
          <w:p w:rsidR="007954D8" w:rsidRPr="00831746" w:rsidRDefault="007954D8" w:rsidP="007954D8">
            <w:r w:rsidRPr="00831746">
              <w:t>Specialised land</w:t>
            </w:r>
          </w:p>
        </w:tc>
        <w:tc>
          <w:tcPr>
            <w:tcW w:w="1985" w:type="dxa"/>
          </w:tcPr>
          <w:p w:rsidR="007954D8" w:rsidRDefault="00DD0F8D" w:rsidP="007954D8">
            <w:pPr>
              <w:pStyle w:val="NoSpacing"/>
              <w:jc w:val="right"/>
            </w:pPr>
            <w:r>
              <w:t>47,117</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47,117</w:t>
            </w:r>
          </w:p>
        </w:tc>
      </w:tr>
      <w:tr w:rsidR="007954D8" w:rsidTr="004B54F6">
        <w:tc>
          <w:tcPr>
            <w:tcW w:w="7508" w:type="dxa"/>
          </w:tcPr>
          <w:p w:rsidR="007954D8" w:rsidRDefault="007954D8" w:rsidP="007954D8">
            <w:r w:rsidRPr="00831746">
              <w:t>Total land at fair value</w:t>
            </w:r>
          </w:p>
        </w:tc>
        <w:tc>
          <w:tcPr>
            <w:tcW w:w="1985" w:type="dxa"/>
          </w:tcPr>
          <w:p w:rsidR="007954D8" w:rsidRDefault="00DD0F8D" w:rsidP="007954D8">
            <w:pPr>
              <w:pStyle w:val="NoSpacing"/>
              <w:jc w:val="right"/>
            </w:pPr>
            <w:r>
              <w:t>52,927</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5,810</w:t>
            </w:r>
          </w:p>
        </w:tc>
        <w:tc>
          <w:tcPr>
            <w:tcW w:w="1559" w:type="dxa"/>
          </w:tcPr>
          <w:p w:rsidR="007954D8" w:rsidRDefault="00DD0F8D" w:rsidP="007954D8">
            <w:pPr>
              <w:pStyle w:val="NoSpacing"/>
              <w:jc w:val="right"/>
            </w:pPr>
            <w:r>
              <w:t>47,117</w:t>
            </w:r>
          </w:p>
        </w:tc>
      </w:tr>
    </w:tbl>
    <w:p w:rsidR="00A65F8B" w:rsidRDefault="00A65F8B" w:rsidP="00A65F8B">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7954D8" w:rsidTr="004B54F6">
        <w:tc>
          <w:tcPr>
            <w:tcW w:w="7508" w:type="dxa"/>
          </w:tcPr>
          <w:p w:rsidR="007954D8" w:rsidRPr="007154DE" w:rsidRDefault="007954D8" w:rsidP="007954D8">
            <w:r w:rsidRPr="007154DE">
              <w:t>Non specialised buildings</w:t>
            </w:r>
          </w:p>
        </w:tc>
        <w:tc>
          <w:tcPr>
            <w:tcW w:w="1985" w:type="dxa"/>
          </w:tcPr>
          <w:p w:rsidR="007954D8" w:rsidRDefault="00DD0F8D" w:rsidP="007954D8">
            <w:pPr>
              <w:pStyle w:val="NoSpacing"/>
              <w:jc w:val="right"/>
            </w:pPr>
            <w:r>
              <w:t>3,586</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3,586</w:t>
            </w:r>
          </w:p>
        </w:tc>
        <w:tc>
          <w:tcPr>
            <w:tcW w:w="1559" w:type="dxa"/>
          </w:tcPr>
          <w:p w:rsidR="007954D8" w:rsidRDefault="00DD0F8D" w:rsidP="007954D8">
            <w:pPr>
              <w:pStyle w:val="NoSpacing"/>
              <w:jc w:val="right"/>
            </w:pPr>
            <w:r>
              <w:t>-</w:t>
            </w:r>
          </w:p>
        </w:tc>
      </w:tr>
      <w:tr w:rsidR="007954D8" w:rsidTr="004B54F6">
        <w:tc>
          <w:tcPr>
            <w:tcW w:w="7508" w:type="dxa"/>
          </w:tcPr>
          <w:p w:rsidR="007954D8" w:rsidRPr="007154DE" w:rsidRDefault="007954D8" w:rsidP="007954D8">
            <w:r w:rsidRPr="007154DE">
              <w:lastRenderedPageBreak/>
              <w:t>Specialised buildings</w:t>
            </w:r>
          </w:p>
        </w:tc>
        <w:tc>
          <w:tcPr>
            <w:tcW w:w="1985" w:type="dxa"/>
          </w:tcPr>
          <w:p w:rsidR="007954D8" w:rsidRDefault="00DD0F8D" w:rsidP="007954D8">
            <w:pPr>
              <w:pStyle w:val="NoSpacing"/>
              <w:jc w:val="right"/>
            </w:pPr>
            <w:r>
              <w:t>186,400</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186,400</w:t>
            </w:r>
          </w:p>
        </w:tc>
      </w:tr>
      <w:tr w:rsidR="007954D8" w:rsidTr="004B54F6">
        <w:tc>
          <w:tcPr>
            <w:tcW w:w="7508" w:type="dxa"/>
          </w:tcPr>
          <w:p w:rsidR="007954D8" w:rsidRDefault="007954D8" w:rsidP="007954D8">
            <w:r w:rsidRPr="007154DE">
              <w:t>Total buildings at fair value</w:t>
            </w:r>
          </w:p>
        </w:tc>
        <w:tc>
          <w:tcPr>
            <w:tcW w:w="1985" w:type="dxa"/>
          </w:tcPr>
          <w:p w:rsidR="007954D8" w:rsidRDefault="00DD0F8D" w:rsidP="007954D8">
            <w:pPr>
              <w:pStyle w:val="NoSpacing"/>
              <w:jc w:val="right"/>
            </w:pPr>
            <w:r>
              <w:t>189,986</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3,586</w:t>
            </w:r>
          </w:p>
        </w:tc>
        <w:tc>
          <w:tcPr>
            <w:tcW w:w="1559" w:type="dxa"/>
          </w:tcPr>
          <w:p w:rsidR="007954D8" w:rsidRDefault="00DD0F8D" w:rsidP="007954D8">
            <w:pPr>
              <w:pStyle w:val="NoSpacing"/>
              <w:jc w:val="right"/>
            </w:pPr>
            <w:r>
              <w:t>186,400</w:t>
            </w:r>
          </w:p>
        </w:tc>
      </w:tr>
    </w:tbl>
    <w:p w:rsidR="00A65F8B" w:rsidRDefault="00A65F8B" w:rsidP="00A65F8B">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7954D8" w:rsidTr="004B54F6">
        <w:tc>
          <w:tcPr>
            <w:tcW w:w="7508" w:type="dxa"/>
          </w:tcPr>
          <w:p w:rsidR="007954D8" w:rsidRPr="009F63EB" w:rsidRDefault="007954D8" w:rsidP="007954D8">
            <w:r w:rsidRPr="009F63EB">
              <w:t>Plant and equipment</w:t>
            </w:r>
          </w:p>
        </w:tc>
        <w:tc>
          <w:tcPr>
            <w:tcW w:w="1985" w:type="dxa"/>
          </w:tcPr>
          <w:p w:rsidR="007954D8" w:rsidRDefault="00DD0F8D" w:rsidP="007954D8">
            <w:pPr>
              <w:pStyle w:val="NoSpacing"/>
              <w:jc w:val="right"/>
            </w:pPr>
            <w:r>
              <w:t>4,940</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4,940</w:t>
            </w:r>
          </w:p>
        </w:tc>
      </w:tr>
      <w:tr w:rsidR="007954D8" w:rsidTr="004B54F6">
        <w:tc>
          <w:tcPr>
            <w:tcW w:w="7508" w:type="dxa"/>
          </w:tcPr>
          <w:p w:rsidR="007954D8" w:rsidRPr="009F63EB" w:rsidRDefault="007954D8" w:rsidP="007954D8">
            <w:r w:rsidRPr="009F63EB">
              <w:t>Vehicles</w:t>
            </w:r>
          </w:p>
        </w:tc>
        <w:tc>
          <w:tcPr>
            <w:tcW w:w="1985" w:type="dxa"/>
          </w:tcPr>
          <w:p w:rsidR="007954D8" w:rsidRDefault="00DD0F8D" w:rsidP="007954D8">
            <w:pPr>
              <w:pStyle w:val="NoSpacing"/>
              <w:jc w:val="right"/>
            </w:pPr>
            <w:r>
              <w:t>344</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344</w:t>
            </w:r>
          </w:p>
        </w:tc>
      </w:tr>
      <w:tr w:rsidR="007954D8" w:rsidTr="004B54F6">
        <w:tc>
          <w:tcPr>
            <w:tcW w:w="7508" w:type="dxa"/>
          </w:tcPr>
          <w:p w:rsidR="007954D8" w:rsidRPr="009F63EB" w:rsidRDefault="007954D8" w:rsidP="007954D8">
            <w:r w:rsidRPr="009F63EB">
              <w:t>Leasehold improvements</w:t>
            </w:r>
          </w:p>
        </w:tc>
        <w:tc>
          <w:tcPr>
            <w:tcW w:w="1985" w:type="dxa"/>
          </w:tcPr>
          <w:p w:rsidR="007954D8" w:rsidRDefault="00DD0F8D" w:rsidP="007954D8">
            <w:pPr>
              <w:pStyle w:val="NoSpacing"/>
              <w:jc w:val="right"/>
            </w:pPr>
            <w:r>
              <w:t>1,087</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1,087</w:t>
            </w:r>
          </w:p>
        </w:tc>
      </w:tr>
      <w:tr w:rsidR="007954D8" w:rsidTr="004B54F6">
        <w:tc>
          <w:tcPr>
            <w:tcW w:w="7508" w:type="dxa"/>
          </w:tcPr>
          <w:p w:rsidR="007954D8" w:rsidRPr="009F63EB" w:rsidRDefault="007954D8" w:rsidP="007954D8">
            <w:r w:rsidRPr="009F63EB">
              <w:t>Land improvements</w:t>
            </w:r>
          </w:p>
        </w:tc>
        <w:tc>
          <w:tcPr>
            <w:tcW w:w="1985" w:type="dxa"/>
          </w:tcPr>
          <w:p w:rsidR="007954D8" w:rsidRDefault="00DD0F8D" w:rsidP="007954D8">
            <w:pPr>
              <w:pStyle w:val="NoSpacing"/>
              <w:jc w:val="right"/>
            </w:pPr>
            <w:r>
              <w:t>1,451</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1,451</w:t>
            </w:r>
          </w:p>
        </w:tc>
      </w:tr>
      <w:tr w:rsidR="007954D8" w:rsidTr="004B54F6">
        <w:tc>
          <w:tcPr>
            <w:tcW w:w="7508" w:type="dxa"/>
          </w:tcPr>
          <w:p w:rsidR="007954D8" w:rsidRDefault="007954D8" w:rsidP="007954D8">
            <w:r w:rsidRPr="009F63EB">
              <w:t>Total other assets at fair value</w:t>
            </w:r>
          </w:p>
        </w:tc>
        <w:tc>
          <w:tcPr>
            <w:tcW w:w="1985" w:type="dxa"/>
          </w:tcPr>
          <w:p w:rsidR="007954D8" w:rsidRDefault="00DD0F8D" w:rsidP="007954D8">
            <w:pPr>
              <w:pStyle w:val="NoSpacing"/>
              <w:jc w:val="right"/>
            </w:pPr>
            <w:r>
              <w:t>7,822</w:t>
            </w:r>
          </w:p>
        </w:tc>
        <w:tc>
          <w:tcPr>
            <w:tcW w:w="1701" w:type="dxa"/>
          </w:tcPr>
          <w:p w:rsidR="007954D8" w:rsidRDefault="00DD0F8D" w:rsidP="007954D8">
            <w:pPr>
              <w:pStyle w:val="NoSpacing"/>
              <w:jc w:val="right"/>
            </w:pPr>
            <w:r>
              <w:t>-</w:t>
            </w:r>
          </w:p>
        </w:tc>
        <w:tc>
          <w:tcPr>
            <w:tcW w:w="1559" w:type="dxa"/>
          </w:tcPr>
          <w:p w:rsidR="007954D8" w:rsidRDefault="00DD0F8D" w:rsidP="007954D8">
            <w:pPr>
              <w:pStyle w:val="NoSpacing"/>
              <w:jc w:val="right"/>
            </w:pPr>
            <w:r>
              <w:t>-</w:t>
            </w:r>
          </w:p>
        </w:tc>
        <w:tc>
          <w:tcPr>
            <w:tcW w:w="1559" w:type="dxa"/>
          </w:tcPr>
          <w:p w:rsidR="007954D8" w:rsidRDefault="00DD0F8D" w:rsidP="007954D8">
            <w:pPr>
              <w:pStyle w:val="NoSpacing"/>
              <w:jc w:val="right"/>
            </w:pPr>
            <w:r>
              <w:t>7,822</w:t>
            </w:r>
          </w:p>
        </w:tc>
      </w:tr>
    </w:tbl>
    <w:p w:rsidR="00A31F01" w:rsidRDefault="00A31F01" w:rsidP="00A31F01">
      <w:pPr>
        <w:pStyle w:val="NoSpacing"/>
      </w:pPr>
    </w:p>
    <w:p w:rsidR="00BA720E" w:rsidRDefault="00BA720E" w:rsidP="00A31F01">
      <w:pPr>
        <w:pStyle w:val="NoSpacing"/>
      </w:pPr>
      <w:r>
        <w:t>&lt;pp&gt;77</w:t>
      </w:r>
    </w:p>
    <w:p w:rsidR="00A65F8B" w:rsidRDefault="00A65F8B" w:rsidP="00A65F8B">
      <w:pPr>
        <w:pStyle w:val="NoSpacing"/>
      </w:pPr>
    </w:p>
    <w:p w:rsidR="00A65F8B" w:rsidRDefault="00A65F8B" w:rsidP="00234E85">
      <w:pPr>
        <w:pStyle w:val="Heading3"/>
      </w:pPr>
      <w:r w:rsidRPr="00CA7020">
        <w:t>7. MANAGING RISKS AND UNCERTAINTIES</w:t>
      </w:r>
      <w:r>
        <w:t xml:space="preserve"> (CONTINUED)</w:t>
      </w:r>
    </w:p>
    <w:p w:rsidR="00A65F8B" w:rsidRDefault="00A65F8B" w:rsidP="00A65F8B">
      <w:pPr>
        <w:pStyle w:val="NoSpacing"/>
      </w:pPr>
    </w:p>
    <w:p w:rsidR="00A65F8B" w:rsidRDefault="00A65F8B" w:rsidP="00234E85">
      <w:pPr>
        <w:pStyle w:val="Heading4"/>
      </w:pPr>
      <w:r>
        <w:t>7.3 Fair value determination (continued)</w:t>
      </w:r>
    </w:p>
    <w:p w:rsidR="00A65F8B" w:rsidRDefault="00A65F8B" w:rsidP="00A65F8B">
      <w:pPr>
        <w:pStyle w:val="NoSpacing"/>
      </w:pPr>
    </w:p>
    <w:p w:rsidR="00A65F8B" w:rsidRDefault="00A65F8B" w:rsidP="00A65F8B">
      <w:pPr>
        <w:pStyle w:val="NoSpacing"/>
      </w:pPr>
      <w:r>
        <w:t>Fair value determination of non-financial assets</w:t>
      </w:r>
    </w:p>
    <w:p w:rsidR="00A65F8B" w:rsidRDefault="00A65F8B" w:rsidP="00A65F8B">
      <w:pPr>
        <w:pStyle w:val="NoSpacing"/>
      </w:pPr>
    </w:p>
    <w:p w:rsidR="00A65F8B" w:rsidRDefault="00A65F8B" w:rsidP="00A65F8B">
      <w:pPr>
        <w:pStyle w:val="NoSpacing"/>
      </w:pPr>
      <w:r>
        <w:t>Chisholm holds property, plant and equipment for which fair values are determined. Below in the relevant fair value information relating to those assets.</w:t>
      </w:r>
    </w:p>
    <w:p w:rsidR="00845A3B" w:rsidRDefault="00845A3B" w:rsidP="00A65F8B">
      <w:pPr>
        <w:pStyle w:val="NoSpacing"/>
      </w:pPr>
    </w:p>
    <w:tbl>
      <w:tblPr>
        <w:tblStyle w:val="TableGrid"/>
        <w:tblW w:w="6804" w:type="dxa"/>
        <w:tblInd w:w="7508" w:type="dxa"/>
        <w:tblLayout w:type="fixed"/>
        <w:tblLook w:val="04A0" w:firstRow="1" w:lastRow="0" w:firstColumn="1" w:lastColumn="0" w:noHBand="0" w:noVBand="1"/>
      </w:tblPr>
      <w:tblGrid>
        <w:gridCol w:w="1985"/>
        <w:gridCol w:w="1701"/>
        <w:gridCol w:w="1559"/>
        <w:gridCol w:w="1559"/>
      </w:tblGrid>
      <w:tr w:rsidR="00A65F8B" w:rsidRPr="00AE2D8D" w:rsidTr="004B54F6">
        <w:tc>
          <w:tcPr>
            <w:tcW w:w="1985" w:type="dxa"/>
            <w:vAlign w:val="bottom"/>
          </w:tcPr>
          <w:p w:rsidR="00A65F8B" w:rsidRPr="00AE2D8D" w:rsidRDefault="00A65F8B" w:rsidP="004B54F6">
            <w:pPr>
              <w:pStyle w:val="NoSpacing"/>
              <w:jc w:val="right"/>
              <w:rPr>
                <w:rFonts w:cstheme="minorHAnsi"/>
                <w:bCs/>
                <w:w w:val="105"/>
              </w:rPr>
            </w:pPr>
            <w:r>
              <w:rPr>
                <w:rFonts w:cstheme="minorHAnsi"/>
                <w:bCs/>
                <w:w w:val="105"/>
              </w:rPr>
              <w:t>Carrying amount at 31 December</w:t>
            </w:r>
          </w:p>
        </w:tc>
        <w:tc>
          <w:tcPr>
            <w:tcW w:w="1701" w:type="dxa"/>
            <w:vAlign w:val="bottom"/>
          </w:tcPr>
          <w:p w:rsidR="00A65F8B" w:rsidRPr="00AE2D8D" w:rsidRDefault="00A65F8B" w:rsidP="004B54F6">
            <w:pPr>
              <w:pStyle w:val="NoSpacing"/>
              <w:jc w:val="right"/>
              <w:rPr>
                <w:rFonts w:cstheme="minorHAnsi"/>
                <w:bCs/>
                <w:w w:val="105"/>
              </w:rPr>
            </w:pPr>
            <w:r>
              <w:rPr>
                <w:rFonts w:cstheme="minorHAnsi"/>
                <w:bCs/>
                <w:w w:val="105"/>
              </w:rPr>
              <w:t>Level 1 Quoted prices</w:t>
            </w:r>
          </w:p>
        </w:tc>
        <w:tc>
          <w:tcPr>
            <w:tcW w:w="1559" w:type="dxa"/>
            <w:vAlign w:val="bottom"/>
          </w:tcPr>
          <w:p w:rsidR="00A65F8B" w:rsidRPr="00AE2D8D" w:rsidRDefault="00A65F8B" w:rsidP="004B54F6">
            <w:pPr>
              <w:pStyle w:val="NoSpacing"/>
              <w:jc w:val="right"/>
              <w:rPr>
                <w:rFonts w:cstheme="minorHAnsi"/>
                <w:bCs/>
                <w:w w:val="105"/>
              </w:rPr>
            </w:pPr>
            <w:r>
              <w:rPr>
                <w:rFonts w:cstheme="minorHAnsi"/>
                <w:bCs/>
                <w:w w:val="105"/>
              </w:rPr>
              <w:t>Level 2 Observable price inputs</w:t>
            </w:r>
          </w:p>
        </w:tc>
        <w:tc>
          <w:tcPr>
            <w:tcW w:w="1559" w:type="dxa"/>
            <w:vAlign w:val="bottom"/>
          </w:tcPr>
          <w:p w:rsidR="00A65F8B" w:rsidRPr="00AE2D8D" w:rsidRDefault="00A65F8B" w:rsidP="004B54F6">
            <w:pPr>
              <w:pStyle w:val="NoSpacing"/>
              <w:jc w:val="right"/>
              <w:rPr>
                <w:rFonts w:cstheme="minorHAnsi"/>
                <w:bCs/>
                <w:w w:val="105"/>
              </w:rPr>
            </w:pPr>
            <w:r>
              <w:rPr>
                <w:rFonts w:cstheme="minorHAnsi"/>
                <w:bCs/>
                <w:w w:val="105"/>
              </w:rPr>
              <w:t>Level 3 Unobservable inputs</w:t>
            </w:r>
          </w:p>
        </w:tc>
      </w:tr>
      <w:tr w:rsidR="00A65F8B" w:rsidRPr="00AE2D8D" w:rsidTr="004B54F6">
        <w:tc>
          <w:tcPr>
            <w:tcW w:w="1985" w:type="dxa"/>
          </w:tcPr>
          <w:p w:rsidR="00A65F8B" w:rsidRPr="00AE2D8D" w:rsidRDefault="00A65F8B" w:rsidP="004B54F6">
            <w:pPr>
              <w:jc w:val="right"/>
              <w:rPr>
                <w:rFonts w:cstheme="minorHAnsi"/>
              </w:rPr>
            </w:pPr>
            <w:r w:rsidRPr="00AE2D8D">
              <w:rPr>
                <w:rFonts w:cstheme="minorHAnsi"/>
                <w:bCs/>
                <w:w w:val="105"/>
              </w:rPr>
              <w:t>$’000</w:t>
            </w:r>
          </w:p>
        </w:tc>
        <w:tc>
          <w:tcPr>
            <w:tcW w:w="1701" w:type="dxa"/>
          </w:tcPr>
          <w:p w:rsidR="00A65F8B" w:rsidRPr="00AE2D8D" w:rsidRDefault="00A65F8B" w:rsidP="004B54F6">
            <w:pPr>
              <w:jc w:val="right"/>
              <w:rPr>
                <w:rFonts w:cstheme="minorHAnsi"/>
              </w:rPr>
            </w:pPr>
            <w:r w:rsidRPr="00AE2D8D">
              <w:rPr>
                <w:rFonts w:cstheme="minorHAnsi"/>
                <w:bCs/>
                <w:w w:val="105"/>
              </w:rPr>
              <w:t>$’000</w:t>
            </w:r>
          </w:p>
        </w:tc>
        <w:tc>
          <w:tcPr>
            <w:tcW w:w="1559" w:type="dxa"/>
          </w:tcPr>
          <w:p w:rsidR="00A65F8B" w:rsidRPr="00AE2D8D" w:rsidRDefault="00A65F8B" w:rsidP="004B54F6">
            <w:pPr>
              <w:jc w:val="right"/>
              <w:rPr>
                <w:rFonts w:cstheme="minorHAnsi"/>
              </w:rPr>
            </w:pPr>
            <w:r w:rsidRPr="00AE2D8D">
              <w:rPr>
                <w:rFonts w:cstheme="minorHAnsi"/>
                <w:bCs/>
                <w:w w:val="105"/>
              </w:rPr>
              <w:t>$’000</w:t>
            </w:r>
          </w:p>
        </w:tc>
        <w:tc>
          <w:tcPr>
            <w:tcW w:w="1559" w:type="dxa"/>
          </w:tcPr>
          <w:p w:rsidR="00A65F8B" w:rsidRPr="00AE2D8D" w:rsidRDefault="00A65F8B" w:rsidP="004B54F6">
            <w:pPr>
              <w:pStyle w:val="NoSpacing"/>
              <w:jc w:val="right"/>
              <w:rPr>
                <w:rFonts w:cstheme="minorHAnsi"/>
                <w:bCs/>
                <w:w w:val="105"/>
              </w:rPr>
            </w:pPr>
            <w:r w:rsidRPr="00AE2D8D">
              <w:rPr>
                <w:rFonts w:cstheme="minorHAnsi"/>
                <w:bCs/>
                <w:w w:val="105"/>
              </w:rPr>
              <w:t>$’000</w:t>
            </w:r>
          </w:p>
        </w:tc>
      </w:tr>
    </w:tbl>
    <w:p w:rsidR="00A65F8B" w:rsidRDefault="00A65F8B" w:rsidP="00A65F8B">
      <w:pPr>
        <w:pStyle w:val="NoSpacing"/>
      </w:pPr>
      <w:r>
        <w:t>Chisholm 2017</w:t>
      </w: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t>Non specialised land</w:t>
            </w:r>
          </w:p>
        </w:tc>
        <w:tc>
          <w:tcPr>
            <w:tcW w:w="1985" w:type="dxa"/>
          </w:tcPr>
          <w:p w:rsidR="00A65F8B" w:rsidRDefault="00BE4F30" w:rsidP="007954D8">
            <w:pPr>
              <w:pStyle w:val="NoSpacing"/>
              <w:jc w:val="right"/>
            </w:pPr>
            <w:r>
              <w:t>5,498</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5,498</w:t>
            </w:r>
          </w:p>
        </w:tc>
        <w:tc>
          <w:tcPr>
            <w:tcW w:w="1559" w:type="dxa"/>
          </w:tcPr>
          <w:p w:rsidR="00A65F8B" w:rsidRDefault="00BE4F30" w:rsidP="007954D8">
            <w:pPr>
              <w:pStyle w:val="NoSpacing"/>
              <w:jc w:val="right"/>
            </w:pPr>
            <w:r>
              <w:t>-</w:t>
            </w:r>
          </w:p>
        </w:tc>
      </w:tr>
      <w:tr w:rsidR="00A65F8B" w:rsidTr="004B54F6">
        <w:tc>
          <w:tcPr>
            <w:tcW w:w="7508" w:type="dxa"/>
          </w:tcPr>
          <w:p w:rsidR="00A65F8B" w:rsidRDefault="007954D8" w:rsidP="004B54F6">
            <w:pPr>
              <w:pStyle w:val="NoSpacing"/>
            </w:pPr>
            <w:r>
              <w:t>Specialised land</w:t>
            </w:r>
          </w:p>
        </w:tc>
        <w:tc>
          <w:tcPr>
            <w:tcW w:w="1985" w:type="dxa"/>
          </w:tcPr>
          <w:p w:rsidR="00A65F8B" w:rsidRDefault="00BE4F30" w:rsidP="007954D8">
            <w:pPr>
              <w:pStyle w:val="NoSpacing"/>
              <w:jc w:val="right"/>
            </w:pPr>
            <w:r>
              <w:t>52,698</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52,698</w:t>
            </w:r>
          </w:p>
        </w:tc>
      </w:tr>
      <w:tr w:rsidR="00A65F8B" w:rsidTr="004B54F6">
        <w:tc>
          <w:tcPr>
            <w:tcW w:w="7508" w:type="dxa"/>
          </w:tcPr>
          <w:p w:rsidR="00A65F8B" w:rsidRDefault="007954D8" w:rsidP="004B54F6">
            <w:pPr>
              <w:pStyle w:val="NoSpacing"/>
            </w:pPr>
            <w:r>
              <w:t>Total land at fair value</w:t>
            </w:r>
          </w:p>
        </w:tc>
        <w:tc>
          <w:tcPr>
            <w:tcW w:w="1985" w:type="dxa"/>
          </w:tcPr>
          <w:p w:rsidR="00A65F8B" w:rsidRDefault="00BE4F30" w:rsidP="007954D8">
            <w:pPr>
              <w:pStyle w:val="NoSpacing"/>
              <w:jc w:val="right"/>
            </w:pPr>
            <w:r>
              <w:t>58,196</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5,498</w:t>
            </w:r>
          </w:p>
        </w:tc>
        <w:tc>
          <w:tcPr>
            <w:tcW w:w="1559" w:type="dxa"/>
          </w:tcPr>
          <w:p w:rsidR="00A65F8B" w:rsidRDefault="00BE4F30" w:rsidP="007954D8">
            <w:pPr>
              <w:pStyle w:val="NoSpacing"/>
              <w:jc w:val="right"/>
            </w:pPr>
            <w:r>
              <w:t>52,698</w:t>
            </w:r>
          </w:p>
        </w:tc>
      </w:tr>
    </w:tbl>
    <w:p w:rsidR="00A65F8B" w:rsidRDefault="00A65F8B" w:rsidP="00A65F8B">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t>Non specialised buildings</w:t>
            </w:r>
          </w:p>
        </w:tc>
        <w:tc>
          <w:tcPr>
            <w:tcW w:w="1985" w:type="dxa"/>
          </w:tcPr>
          <w:p w:rsidR="00A65F8B" w:rsidRDefault="00BE4F30" w:rsidP="007954D8">
            <w:pPr>
              <w:pStyle w:val="NoSpacing"/>
              <w:jc w:val="right"/>
            </w:pPr>
            <w:r>
              <w:t>3,687</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3,687</w:t>
            </w:r>
          </w:p>
        </w:tc>
        <w:tc>
          <w:tcPr>
            <w:tcW w:w="1559" w:type="dxa"/>
          </w:tcPr>
          <w:p w:rsidR="00A65F8B" w:rsidRDefault="00BE4F30" w:rsidP="007954D8">
            <w:pPr>
              <w:pStyle w:val="NoSpacing"/>
              <w:jc w:val="right"/>
            </w:pPr>
            <w:r>
              <w:t>-</w:t>
            </w:r>
          </w:p>
        </w:tc>
      </w:tr>
      <w:tr w:rsidR="00A65F8B" w:rsidTr="004B54F6">
        <w:tc>
          <w:tcPr>
            <w:tcW w:w="7508" w:type="dxa"/>
          </w:tcPr>
          <w:p w:rsidR="00A65F8B" w:rsidRDefault="007954D8" w:rsidP="004B54F6">
            <w:pPr>
              <w:pStyle w:val="NoSpacing"/>
            </w:pPr>
            <w:r>
              <w:t>Specialised buildings</w:t>
            </w:r>
          </w:p>
        </w:tc>
        <w:tc>
          <w:tcPr>
            <w:tcW w:w="1985" w:type="dxa"/>
          </w:tcPr>
          <w:p w:rsidR="00A65F8B" w:rsidRDefault="00BE4F30" w:rsidP="007954D8">
            <w:pPr>
              <w:pStyle w:val="NoSpacing"/>
              <w:jc w:val="right"/>
            </w:pPr>
            <w:r>
              <w:t>193,102</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193,102</w:t>
            </w:r>
          </w:p>
        </w:tc>
      </w:tr>
      <w:tr w:rsidR="00A65F8B" w:rsidTr="004B54F6">
        <w:tc>
          <w:tcPr>
            <w:tcW w:w="7508" w:type="dxa"/>
          </w:tcPr>
          <w:p w:rsidR="00A65F8B" w:rsidRDefault="007954D8" w:rsidP="004B54F6">
            <w:pPr>
              <w:pStyle w:val="NoSpacing"/>
            </w:pPr>
            <w:r>
              <w:t>Total buildings at fair value</w:t>
            </w:r>
          </w:p>
        </w:tc>
        <w:tc>
          <w:tcPr>
            <w:tcW w:w="1985" w:type="dxa"/>
          </w:tcPr>
          <w:p w:rsidR="00A65F8B" w:rsidRDefault="00BE4F30" w:rsidP="007954D8">
            <w:pPr>
              <w:pStyle w:val="NoSpacing"/>
              <w:jc w:val="right"/>
            </w:pPr>
            <w:r>
              <w:t>196,789</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3,687</w:t>
            </w:r>
          </w:p>
        </w:tc>
        <w:tc>
          <w:tcPr>
            <w:tcW w:w="1559" w:type="dxa"/>
          </w:tcPr>
          <w:p w:rsidR="00A65F8B" w:rsidRDefault="00BE4F30" w:rsidP="007954D8">
            <w:pPr>
              <w:pStyle w:val="NoSpacing"/>
              <w:jc w:val="right"/>
            </w:pPr>
            <w:r>
              <w:t>193,102</w:t>
            </w:r>
          </w:p>
        </w:tc>
      </w:tr>
    </w:tbl>
    <w:p w:rsidR="00A65F8B" w:rsidRDefault="00A65F8B" w:rsidP="00A65F8B">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lastRenderedPageBreak/>
              <w:t>Plant and equipment</w:t>
            </w:r>
          </w:p>
        </w:tc>
        <w:tc>
          <w:tcPr>
            <w:tcW w:w="1985" w:type="dxa"/>
          </w:tcPr>
          <w:p w:rsidR="00A65F8B" w:rsidRDefault="00BE4F30" w:rsidP="007954D8">
            <w:pPr>
              <w:pStyle w:val="NoSpacing"/>
              <w:jc w:val="right"/>
            </w:pPr>
            <w:r>
              <w:t>4,854</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4,584</w:t>
            </w:r>
          </w:p>
        </w:tc>
      </w:tr>
      <w:tr w:rsidR="00A65F8B" w:rsidTr="004B54F6">
        <w:tc>
          <w:tcPr>
            <w:tcW w:w="7508" w:type="dxa"/>
          </w:tcPr>
          <w:p w:rsidR="00A65F8B" w:rsidRDefault="007954D8" w:rsidP="004B54F6">
            <w:pPr>
              <w:pStyle w:val="NoSpacing"/>
            </w:pPr>
            <w:r>
              <w:t>Vehicles</w:t>
            </w:r>
          </w:p>
        </w:tc>
        <w:tc>
          <w:tcPr>
            <w:tcW w:w="1985" w:type="dxa"/>
          </w:tcPr>
          <w:p w:rsidR="00A65F8B" w:rsidRDefault="00BE4F30" w:rsidP="007954D8">
            <w:pPr>
              <w:pStyle w:val="NoSpacing"/>
              <w:jc w:val="right"/>
            </w:pPr>
            <w:r>
              <w:t>280</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280</w:t>
            </w:r>
          </w:p>
        </w:tc>
      </w:tr>
      <w:tr w:rsidR="00A65F8B" w:rsidTr="004B54F6">
        <w:tc>
          <w:tcPr>
            <w:tcW w:w="7508" w:type="dxa"/>
          </w:tcPr>
          <w:p w:rsidR="00A65F8B" w:rsidRDefault="007954D8" w:rsidP="004B54F6">
            <w:pPr>
              <w:pStyle w:val="NoSpacing"/>
            </w:pPr>
            <w:r>
              <w:t>Leasehold improvements</w:t>
            </w:r>
          </w:p>
        </w:tc>
        <w:tc>
          <w:tcPr>
            <w:tcW w:w="1985" w:type="dxa"/>
          </w:tcPr>
          <w:p w:rsidR="00A65F8B" w:rsidRDefault="00BE4F30" w:rsidP="007954D8">
            <w:pPr>
              <w:pStyle w:val="NoSpacing"/>
              <w:jc w:val="right"/>
            </w:pPr>
            <w:r>
              <w:t>650</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650</w:t>
            </w:r>
          </w:p>
        </w:tc>
      </w:tr>
      <w:tr w:rsidR="00A65F8B" w:rsidTr="004B54F6">
        <w:tc>
          <w:tcPr>
            <w:tcW w:w="7508" w:type="dxa"/>
          </w:tcPr>
          <w:p w:rsidR="00A65F8B" w:rsidRDefault="007954D8" w:rsidP="004B54F6">
            <w:pPr>
              <w:pStyle w:val="NoSpacing"/>
            </w:pPr>
            <w:r>
              <w:t>Land improvements</w:t>
            </w:r>
          </w:p>
        </w:tc>
        <w:tc>
          <w:tcPr>
            <w:tcW w:w="1985" w:type="dxa"/>
          </w:tcPr>
          <w:p w:rsidR="00A65F8B" w:rsidRDefault="00BE4F30" w:rsidP="007954D8">
            <w:pPr>
              <w:pStyle w:val="NoSpacing"/>
              <w:jc w:val="right"/>
            </w:pPr>
            <w:r>
              <w:t>2,502</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2,502</w:t>
            </w:r>
          </w:p>
        </w:tc>
      </w:tr>
      <w:tr w:rsidR="00A65F8B" w:rsidTr="004B54F6">
        <w:tc>
          <w:tcPr>
            <w:tcW w:w="7508" w:type="dxa"/>
          </w:tcPr>
          <w:p w:rsidR="00A65F8B" w:rsidRDefault="007954D8" w:rsidP="004B54F6">
            <w:pPr>
              <w:pStyle w:val="NoSpacing"/>
            </w:pPr>
            <w:r>
              <w:t>Total other assets at fair value</w:t>
            </w:r>
          </w:p>
        </w:tc>
        <w:tc>
          <w:tcPr>
            <w:tcW w:w="1985" w:type="dxa"/>
          </w:tcPr>
          <w:p w:rsidR="00A65F8B" w:rsidRDefault="00BE4F30" w:rsidP="007954D8">
            <w:pPr>
              <w:pStyle w:val="NoSpacing"/>
              <w:jc w:val="right"/>
            </w:pPr>
            <w:r>
              <w:t>8,286</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8,286</w:t>
            </w:r>
          </w:p>
        </w:tc>
      </w:tr>
    </w:tbl>
    <w:p w:rsidR="00A65F8B" w:rsidRDefault="00A65F8B" w:rsidP="00A65F8B">
      <w:pPr>
        <w:pStyle w:val="NoSpacing"/>
      </w:pPr>
    </w:p>
    <w:p w:rsidR="00A65F8B" w:rsidRDefault="00A65F8B" w:rsidP="00A65F8B">
      <w:pPr>
        <w:pStyle w:val="NoSpacing"/>
      </w:pPr>
      <w:r>
        <w:t>Chisholm 2016</w:t>
      </w: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t xml:space="preserve">Non specialised land </w:t>
            </w:r>
          </w:p>
        </w:tc>
        <w:tc>
          <w:tcPr>
            <w:tcW w:w="1985" w:type="dxa"/>
          </w:tcPr>
          <w:p w:rsidR="00A65F8B" w:rsidRDefault="00BE4F30" w:rsidP="007954D8">
            <w:pPr>
              <w:pStyle w:val="NoSpacing"/>
              <w:jc w:val="right"/>
            </w:pPr>
            <w:r>
              <w:t>5,810</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5,810</w:t>
            </w:r>
          </w:p>
        </w:tc>
        <w:tc>
          <w:tcPr>
            <w:tcW w:w="1559" w:type="dxa"/>
          </w:tcPr>
          <w:p w:rsidR="00A65F8B" w:rsidRDefault="00BE4F30" w:rsidP="007954D8">
            <w:pPr>
              <w:pStyle w:val="NoSpacing"/>
              <w:jc w:val="right"/>
            </w:pPr>
            <w:r>
              <w:t>-</w:t>
            </w:r>
          </w:p>
        </w:tc>
      </w:tr>
      <w:tr w:rsidR="00A65F8B" w:rsidTr="004B54F6">
        <w:tc>
          <w:tcPr>
            <w:tcW w:w="7508" w:type="dxa"/>
          </w:tcPr>
          <w:p w:rsidR="00A65F8B" w:rsidRDefault="007954D8" w:rsidP="004B54F6">
            <w:pPr>
              <w:pStyle w:val="NoSpacing"/>
            </w:pPr>
            <w:r>
              <w:t xml:space="preserve">Specialised land </w:t>
            </w:r>
          </w:p>
        </w:tc>
        <w:tc>
          <w:tcPr>
            <w:tcW w:w="1985" w:type="dxa"/>
          </w:tcPr>
          <w:p w:rsidR="00A65F8B" w:rsidRDefault="00BE4F30" w:rsidP="007954D8">
            <w:pPr>
              <w:pStyle w:val="NoSpacing"/>
              <w:jc w:val="right"/>
            </w:pPr>
            <w:r>
              <w:t>47,117</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47,117</w:t>
            </w:r>
          </w:p>
        </w:tc>
      </w:tr>
      <w:tr w:rsidR="00A65F8B" w:rsidTr="004B54F6">
        <w:tc>
          <w:tcPr>
            <w:tcW w:w="7508" w:type="dxa"/>
          </w:tcPr>
          <w:p w:rsidR="00A65F8B" w:rsidRDefault="007954D8" w:rsidP="004B54F6">
            <w:pPr>
              <w:pStyle w:val="NoSpacing"/>
            </w:pPr>
            <w:r>
              <w:t>Total land at fair value</w:t>
            </w:r>
          </w:p>
        </w:tc>
        <w:tc>
          <w:tcPr>
            <w:tcW w:w="1985" w:type="dxa"/>
          </w:tcPr>
          <w:p w:rsidR="00A65F8B" w:rsidRDefault="00BE4F30" w:rsidP="007954D8">
            <w:pPr>
              <w:pStyle w:val="NoSpacing"/>
              <w:jc w:val="right"/>
            </w:pPr>
            <w:r>
              <w:t>52,927</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5,810</w:t>
            </w:r>
          </w:p>
        </w:tc>
        <w:tc>
          <w:tcPr>
            <w:tcW w:w="1559" w:type="dxa"/>
          </w:tcPr>
          <w:p w:rsidR="00A65F8B" w:rsidRDefault="00BE4F30" w:rsidP="007954D8">
            <w:pPr>
              <w:pStyle w:val="NoSpacing"/>
              <w:jc w:val="right"/>
            </w:pPr>
            <w:r>
              <w:t>47,117</w:t>
            </w:r>
          </w:p>
        </w:tc>
      </w:tr>
    </w:tbl>
    <w:p w:rsidR="00A65F8B" w:rsidRDefault="00A65F8B" w:rsidP="00A65F8B">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A65F8B" w:rsidTr="004B54F6">
        <w:tc>
          <w:tcPr>
            <w:tcW w:w="7508" w:type="dxa"/>
          </w:tcPr>
          <w:p w:rsidR="00A65F8B" w:rsidRDefault="007954D8" w:rsidP="004B54F6">
            <w:pPr>
              <w:pStyle w:val="NoSpacing"/>
            </w:pPr>
            <w:r>
              <w:t>Non specialised buildings</w:t>
            </w:r>
          </w:p>
        </w:tc>
        <w:tc>
          <w:tcPr>
            <w:tcW w:w="1985" w:type="dxa"/>
          </w:tcPr>
          <w:p w:rsidR="00A65F8B" w:rsidRDefault="00BE4F30" w:rsidP="007954D8">
            <w:pPr>
              <w:pStyle w:val="NoSpacing"/>
              <w:jc w:val="right"/>
            </w:pPr>
            <w:r>
              <w:t>3,586</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3,586</w:t>
            </w:r>
          </w:p>
        </w:tc>
        <w:tc>
          <w:tcPr>
            <w:tcW w:w="1559" w:type="dxa"/>
          </w:tcPr>
          <w:p w:rsidR="00A65F8B" w:rsidRDefault="00BE4F30" w:rsidP="007954D8">
            <w:pPr>
              <w:pStyle w:val="NoSpacing"/>
              <w:jc w:val="right"/>
            </w:pPr>
            <w:r>
              <w:t>-</w:t>
            </w:r>
          </w:p>
        </w:tc>
      </w:tr>
      <w:tr w:rsidR="00A65F8B" w:rsidTr="004B54F6">
        <w:tc>
          <w:tcPr>
            <w:tcW w:w="7508" w:type="dxa"/>
          </w:tcPr>
          <w:p w:rsidR="00A65F8B" w:rsidRDefault="007954D8" w:rsidP="004B54F6">
            <w:pPr>
              <w:pStyle w:val="NoSpacing"/>
            </w:pPr>
            <w:r>
              <w:t>Specialised buildings</w:t>
            </w:r>
          </w:p>
        </w:tc>
        <w:tc>
          <w:tcPr>
            <w:tcW w:w="1985" w:type="dxa"/>
          </w:tcPr>
          <w:p w:rsidR="00A65F8B" w:rsidRDefault="00BE4F30" w:rsidP="007954D8">
            <w:pPr>
              <w:pStyle w:val="NoSpacing"/>
              <w:jc w:val="right"/>
            </w:pPr>
            <w:r>
              <w:t>186,400</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w:t>
            </w:r>
          </w:p>
        </w:tc>
        <w:tc>
          <w:tcPr>
            <w:tcW w:w="1559" w:type="dxa"/>
          </w:tcPr>
          <w:p w:rsidR="00A65F8B" w:rsidRDefault="00BE4F30" w:rsidP="007954D8">
            <w:pPr>
              <w:pStyle w:val="NoSpacing"/>
              <w:jc w:val="right"/>
            </w:pPr>
            <w:r>
              <w:t>186,400</w:t>
            </w:r>
          </w:p>
        </w:tc>
      </w:tr>
      <w:tr w:rsidR="00A65F8B" w:rsidTr="004B54F6">
        <w:tc>
          <w:tcPr>
            <w:tcW w:w="7508" w:type="dxa"/>
          </w:tcPr>
          <w:p w:rsidR="00A65F8B" w:rsidRDefault="007954D8" w:rsidP="004B54F6">
            <w:pPr>
              <w:pStyle w:val="NoSpacing"/>
            </w:pPr>
            <w:r>
              <w:t>Total buildings at fair value</w:t>
            </w:r>
          </w:p>
        </w:tc>
        <w:tc>
          <w:tcPr>
            <w:tcW w:w="1985" w:type="dxa"/>
          </w:tcPr>
          <w:p w:rsidR="00A65F8B" w:rsidRDefault="00BE4F30" w:rsidP="007954D8">
            <w:pPr>
              <w:pStyle w:val="NoSpacing"/>
              <w:jc w:val="right"/>
            </w:pPr>
            <w:r>
              <w:t>189,986</w:t>
            </w:r>
          </w:p>
        </w:tc>
        <w:tc>
          <w:tcPr>
            <w:tcW w:w="1701" w:type="dxa"/>
          </w:tcPr>
          <w:p w:rsidR="00A65F8B" w:rsidRDefault="00BE4F30" w:rsidP="007954D8">
            <w:pPr>
              <w:pStyle w:val="NoSpacing"/>
              <w:jc w:val="right"/>
            </w:pPr>
            <w:r>
              <w:t>-</w:t>
            </w:r>
          </w:p>
        </w:tc>
        <w:tc>
          <w:tcPr>
            <w:tcW w:w="1559" w:type="dxa"/>
          </w:tcPr>
          <w:p w:rsidR="00A65F8B" w:rsidRDefault="00BE4F30" w:rsidP="007954D8">
            <w:pPr>
              <w:pStyle w:val="NoSpacing"/>
              <w:jc w:val="right"/>
            </w:pPr>
            <w:r>
              <w:t>3,586</w:t>
            </w:r>
          </w:p>
        </w:tc>
        <w:tc>
          <w:tcPr>
            <w:tcW w:w="1559" w:type="dxa"/>
          </w:tcPr>
          <w:p w:rsidR="00A65F8B" w:rsidRDefault="00BE4F30" w:rsidP="007954D8">
            <w:pPr>
              <w:pStyle w:val="NoSpacing"/>
              <w:jc w:val="right"/>
            </w:pPr>
            <w:r>
              <w:t>186,400</w:t>
            </w:r>
          </w:p>
        </w:tc>
      </w:tr>
    </w:tbl>
    <w:p w:rsidR="00A65F8B" w:rsidRDefault="00A65F8B" w:rsidP="00A65F8B">
      <w:pPr>
        <w:pStyle w:val="NoSpacing"/>
      </w:pPr>
    </w:p>
    <w:tbl>
      <w:tblPr>
        <w:tblStyle w:val="TableGrid"/>
        <w:tblW w:w="14312" w:type="dxa"/>
        <w:tblLook w:val="04A0" w:firstRow="1" w:lastRow="0" w:firstColumn="1" w:lastColumn="0" w:noHBand="0" w:noVBand="1"/>
      </w:tblPr>
      <w:tblGrid>
        <w:gridCol w:w="7508"/>
        <w:gridCol w:w="1985"/>
        <w:gridCol w:w="1701"/>
        <w:gridCol w:w="1559"/>
        <w:gridCol w:w="1559"/>
      </w:tblGrid>
      <w:tr w:rsidR="007954D8" w:rsidTr="004B54F6">
        <w:tc>
          <w:tcPr>
            <w:tcW w:w="7508" w:type="dxa"/>
          </w:tcPr>
          <w:p w:rsidR="007954D8" w:rsidRPr="002F5F72" w:rsidRDefault="007954D8" w:rsidP="007954D8">
            <w:r w:rsidRPr="002F5F72">
              <w:t>Plant and equipment</w:t>
            </w:r>
          </w:p>
        </w:tc>
        <w:tc>
          <w:tcPr>
            <w:tcW w:w="1985" w:type="dxa"/>
          </w:tcPr>
          <w:p w:rsidR="007954D8" w:rsidRDefault="00BE4F30" w:rsidP="007954D8">
            <w:pPr>
              <w:pStyle w:val="NoSpacing"/>
              <w:jc w:val="right"/>
            </w:pPr>
            <w:r>
              <w:t>4,933</w:t>
            </w:r>
          </w:p>
        </w:tc>
        <w:tc>
          <w:tcPr>
            <w:tcW w:w="1701" w:type="dxa"/>
          </w:tcPr>
          <w:p w:rsidR="007954D8" w:rsidRDefault="00BE4F30" w:rsidP="007954D8">
            <w:pPr>
              <w:pStyle w:val="NoSpacing"/>
              <w:jc w:val="right"/>
            </w:pPr>
            <w:r>
              <w:t>-</w:t>
            </w:r>
          </w:p>
        </w:tc>
        <w:tc>
          <w:tcPr>
            <w:tcW w:w="1559" w:type="dxa"/>
          </w:tcPr>
          <w:p w:rsidR="007954D8" w:rsidRDefault="00BE4F30" w:rsidP="007954D8">
            <w:pPr>
              <w:pStyle w:val="NoSpacing"/>
              <w:jc w:val="right"/>
            </w:pPr>
            <w:r>
              <w:t>-</w:t>
            </w:r>
          </w:p>
        </w:tc>
        <w:tc>
          <w:tcPr>
            <w:tcW w:w="1559" w:type="dxa"/>
          </w:tcPr>
          <w:p w:rsidR="007954D8" w:rsidRDefault="00BE4F30" w:rsidP="007954D8">
            <w:pPr>
              <w:pStyle w:val="NoSpacing"/>
              <w:jc w:val="right"/>
            </w:pPr>
            <w:r>
              <w:t>4,933</w:t>
            </w:r>
          </w:p>
        </w:tc>
      </w:tr>
      <w:tr w:rsidR="007954D8" w:rsidTr="004B54F6">
        <w:tc>
          <w:tcPr>
            <w:tcW w:w="7508" w:type="dxa"/>
          </w:tcPr>
          <w:p w:rsidR="007954D8" w:rsidRPr="002F5F72" w:rsidRDefault="007954D8" w:rsidP="007954D8">
            <w:r w:rsidRPr="002F5F72">
              <w:t>Vehicles</w:t>
            </w:r>
          </w:p>
        </w:tc>
        <w:tc>
          <w:tcPr>
            <w:tcW w:w="1985" w:type="dxa"/>
          </w:tcPr>
          <w:p w:rsidR="007954D8" w:rsidRDefault="00BE4F30" w:rsidP="007954D8">
            <w:pPr>
              <w:pStyle w:val="NoSpacing"/>
              <w:jc w:val="right"/>
            </w:pPr>
            <w:r>
              <w:t>344</w:t>
            </w:r>
          </w:p>
        </w:tc>
        <w:tc>
          <w:tcPr>
            <w:tcW w:w="1701" w:type="dxa"/>
          </w:tcPr>
          <w:p w:rsidR="007954D8" w:rsidRDefault="00BE4F30" w:rsidP="007954D8">
            <w:pPr>
              <w:pStyle w:val="NoSpacing"/>
              <w:jc w:val="right"/>
            </w:pPr>
            <w:r>
              <w:t>-</w:t>
            </w:r>
          </w:p>
        </w:tc>
        <w:tc>
          <w:tcPr>
            <w:tcW w:w="1559" w:type="dxa"/>
          </w:tcPr>
          <w:p w:rsidR="007954D8" w:rsidRDefault="00BE4F30" w:rsidP="007954D8">
            <w:pPr>
              <w:pStyle w:val="NoSpacing"/>
              <w:jc w:val="right"/>
            </w:pPr>
            <w:r>
              <w:t>-</w:t>
            </w:r>
          </w:p>
        </w:tc>
        <w:tc>
          <w:tcPr>
            <w:tcW w:w="1559" w:type="dxa"/>
          </w:tcPr>
          <w:p w:rsidR="007954D8" w:rsidRDefault="00BE4F30" w:rsidP="007954D8">
            <w:pPr>
              <w:pStyle w:val="NoSpacing"/>
              <w:jc w:val="right"/>
            </w:pPr>
            <w:r>
              <w:t>344</w:t>
            </w:r>
          </w:p>
        </w:tc>
      </w:tr>
      <w:tr w:rsidR="007954D8" w:rsidTr="004B54F6">
        <w:tc>
          <w:tcPr>
            <w:tcW w:w="7508" w:type="dxa"/>
          </w:tcPr>
          <w:p w:rsidR="007954D8" w:rsidRPr="002F5F72" w:rsidRDefault="007954D8" w:rsidP="007954D8">
            <w:r w:rsidRPr="002F5F72">
              <w:t>Leasehold improvements</w:t>
            </w:r>
          </w:p>
        </w:tc>
        <w:tc>
          <w:tcPr>
            <w:tcW w:w="1985" w:type="dxa"/>
          </w:tcPr>
          <w:p w:rsidR="007954D8" w:rsidRDefault="00BE4F30" w:rsidP="007954D8">
            <w:pPr>
              <w:pStyle w:val="NoSpacing"/>
              <w:jc w:val="right"/>
            </w:pPr>
            <w:r>
              <w:t>752</w:t>
            </w:r>
          </w:p>
        </w:tc>
        <w:tc>
          <w:tcPr>
            <w:tcW w:w="1701" w:type="dxa"/>
          </w:tcPr>
          <w:p w:rsidR="007954D8" w:rsidRDefault="00BE4F30" w:rsidP="007954D8">
            <w:pPr>
              <w:pStyle w:val="NoSpacing"/>
              <w:jc w:val="right"/>
            </w:pPr>
            <w:r>
              <w:t>-</w:t>
            </w:r>
          </w:p>
        </w:tc>
        <w:tc>
          <w:tcPr>
            <w:tcW w:w="1559" w:type="dxa"/>
          </w:tcPr>
          <w:p w:rsidR="007954D8" w:rsidRDefault="00BE4F30" w:rsidP="007954D8">
            <w:pPr>
              <w:pStyle w:val="NoSpacing"/>
              <w:jc w:val="right"/>
            </w:pPr>
            <w:r>
              <w:t>-</w:t>
            </w:r>
          </w:p>
        </w:tc>
        <w:tc>
          <w:tcPr>
            <w:tcW w:w="1559" w:type="dxa"/>
          </w:tcPr>
          <w:p w:rsidR="007954D8" w:rsidRDefault="00BE4F30" w:rsidP="007954D8">
            <w:pPr>
              <w:pStyle w:val="NoSpacing"/>
              <w:jc w:val="right"/>
            </w:pPr>
            <w:r>
              <w:t>752</w:t>
            </w:r>
          </w:p>
        </w:tc>
      </w:tr>
      <w:tr w:rsidR="007954D8" w:rsidTr="004B54F6">
        <w:tc>
          <w:tcPr>
            <w:tcW w:w="7508" w:type="dxa"/>
          </w:tcPr>
          <w:p w:rsidR="007954D8" w:rsidRPr="002F5F72" w:rsidRDefault="007954D8" w:rsidP="007954D8">
            <w:r w:rsidRPr="002F5F72">
              <w:t>Land improvements</w:t>
            </w:r>
          </w:p>
        </w:tc>
        <w:tc>
          <w:tcPr>
            <w:tcW w:w="1985" w:type="dxa"/>
          </w:tcPr>
          <w:p w:rsidR="007954D8" w:rsidRDefault="00BE4F30" w:rsidP="007954D8">
            <w:pPr>
              <w:pStyle w:val="NoSpacing"/>
              <w:jc w:val="right"/>
            </w:pPr>
            <w:r>
              <w:t>1,451</w:t>
            </w:r>
          </w:p>
        </w:tc>
        <w:tc>
          <w:tcPr>
            <w:tcW w:w="1701" w:type="dxa"/>
          </w:tcPr>
          <w:p w:rsidR="007954D8" w:rsidRDefault="00BE4F30" w:rsidP="007954D8">
            <w:pPr>
              <w:pStyle w:val="NoSpacing"/>
              <w:jc w:val="right"/>
            </w:pPr>
            <w:r>
              <w:t>-</w:t>
            </w:r>
          </w:p>
        </w:tc>
        <w:tc>
          <w:tcPr>
            <w:tcW w:w="1559" w:type="dxa"/>
          </w:tcPr>
          <w:p w:rsidR="007954D8" w:rsidRDefault="00BE4F30" w:rsidP="007954D8">
            <w:pPr>
              <w:pStyle w:val="NoSpacing"/>
              <w:jc w:val="right"/>
            </w:pPr>
            <w:r>
              <w:t>-</w:t>
            </w:r>
          </w:p>
        </w:tc>
        <w:tc>
          <w:tcPr>
            <w:tcW w:w="1559" w:type="dxa"/>
          </w:tcPr>
          <w:p w:rsidR="007954D8" w:rsidRDefault="00BE4F30" w:rsidP="007954D8">
            <w:pPr>
              <w:pStyle w:val="NoSpacing"/>
              <w:jc w:val="right"/>
            </w:pPr>
            <w:r>
              <w:t>1,451</w:t>
            </w:r>
          </w:p>
        </w:tc>
      </w:tr>
      <w:tr w:rsidR="007954D8" w:rsidTr="004B54F6">
        <w:tc>
          <w:tcPr>
            <w:tcW w:w="7508" w:type="dxa"/>
          </w:tcPr>
          <w:p w:rsidR="007954D8" w:rsidRDefault="007954D8" w:rsidP="007954D8">
            <w:r w:rsidRPr="002F5F72">
              <w:t>Total other assets at fair value</w:t>
            </w:r>
          </w:p>
        </w:tc>
        <w:tc>
          <w:tcPr>
            <w:tcW w:w="1985" w:type="dxa"/>
          </w:tcPr>
          <w:p w:rsidR="007954D8" w:rsidRDefault="00BE4F30" w:rsidP="007954D8">
            <w:pPr>
              <w:pStyle w:val="NoSpacing"/>
              <w:jc w:val="right"/>
            </w:pPr>
            <w:r>
              <w:t>7,480</w:t>
            </w:r>
          </w:p>
        </w:tc>
        <w:tc>
          <w:tcPr>
            <w:tcW w:w="1701" w:type="dxa"/>
          </w:tcPr>
          <w:p w:rsidR="007954D8" w:rsidRDefault="00BE4F30" w:rsidP="007954D8">
            <w:pPr>
              <w:pStyle w:val="NoSpacing"/>
              <w:jc w:val="right"/>
            </w:pPr>
            <w:r>
              <w:t>-</w:t>
            </w:r>
          </w:p>
        </w:tc>
        <w:tc>
          <w:tcPr>
            <w:tcW w:w="1559" w:type="dxa"/>
          </w:tcPr>
          <w:p w:rsidR="007954D8" w:rsidRDefault="00BE4F30" w:rsidP="007954D8">
            <w:pPr>
              <w:pStyle w:val="NoSpacing"/>
              <w:jc w:val="right"/>
            </w:pPr>
            <w:r>
              <w:t>-</w:t>
            </w:r>
          </w:p>
        </w:tc>
        <w:tc>
          <w:tcPr>
            <w:tcW w:w="1559" w:type="dxa"/>
          </w:tcPr>
          <w:p w:rsidR="007954D8" w:rsidRDefault="00BE4F30" w:rsidP="007954D8">
            <w:pPr>
              <w:pStyle w:val="NoSpacing"/>
              <w:jc w:val="right"/>
            </w:pPr>
            <w:r>
              <w:t>7,480</w:t>
            </w:r>
          </w:p>
        </w:tc>
      </w:tr>
    </w:tbl>
    <w:p w:rsidR="00A65F8B" w:rsidRDefault="00A65F8B" w:rsidP="00A31F01">
      <w:pPr>
        <w:pStyle w:val="NoSpacing"/>
      </w:pPr>
    </w:p>
    <w:p w:rsidR="00A65F8B" w:rsidRDefault="00BE4F30" w:rsidP="00A31F01">
      <w:pPr>
        <w:pStyle w:val="NoSpacing"/>
      </w:pPr>
      <w:r>
        <w:t>&lt;pp&gt;78</w:t>
      </w:r>
    </w:p>
    <w:p w:rsidR="00A65F8B" w:rsidRDefault="00A65F8B" w:rsidP="00A31F01">
      <w:pPr>
        <w:pStyle w:val="NoSpacing"/>
      </w:pPr>
    </w:p>
    <w:p w:rsidR="00A31F01" w:rsidRDefault="00A31F01" w:rsidP="00A31F01">
      <w:pPr>
        <w:pStyle w:val="NoSpacing"/>
        <w:sectPr w:rsidR="00A31F01" w:rsidSect="00A31F01">
          <w:pgSz w:w="16838" w:h="11906" w:orient="landscape"/>
          <w:pgMar w:top="1440" w:right="1440" w:bottom="1440" w:left="1440" w:header="709" w:footer="709" w:gutter="0"/>
          <w:cols w:space="708"/>
          <w:docGrid w:linePitch="360"/>
        </w:sectPr>
      </w:pPr>
    </w:p>
    <w:p w:rsidR="00BA720E" w:rsidRDefault="00BA720E" w:rsidP="00A31F01">
      <w:pPr>
        <w:pStyle w:val="NoSpacing"/>
      </w:pPr>
    </w:p>
    <w:p w:rsidR="00BA720E" w:rsidRDefault="00BA720E" w:rsidP="00A31F01">
      <w:pPr>
        <w:pStyle w:val="NoSpacing"/>
      </w:pPr>
    </w:p>
    <w:p w:rsidR="00BA720E" w:rsidRDefault="00BA720E" w:rsidP="00A31F01">
      <w:pPr>
        <w:pStyle w:val="NoSpacing"/>
      </w:pPr>
    </w:p>
    <w:p w:rsidR="00BA720E" w:rsidRDefault="00BA720E" w:rsidP="00234E85">
      <w:pPr>
        <w:pStyle w:val="Heading3"/>
      </w:pPr>
      <w:r w:rsidRPr="00BA720E">
        <w:t xml:space="preserve">7. </w:t>
      </w:r>
      <w:r w:rsidR="00A65F8B" w:rsidRPr="00BA720E">
        <w:t>MANAGING RISKS AND UNCERTAINTIES (CONTINUED</w:t>
      </w:r>
      <w:r w:rsidR="00A65F8B">
        <w:t>)</w:t>
      </w:r>
    </w:p>
    <w:p w:rsidR="00BA720E" w:rsidRDefault="00BA720E" w:rsidP="00A31F01">
      <w:pPr>
        <w:pStyle w:val="NoSpacing"/>
      </w:pPr>
    </w:p>
    <w:p w:rsidR="00BA720E" w:rsidRDefault="00BA720E" w:rsidP="00234E85">
      <w:pPr>
        <w:pStyle w:val="Heading4"/>
      </w:pPr>
      <w:r>
        <w:t>7.3 Fair value determination (continued)</w:t>
      </w:r>
    </w:p>
    <w:p w:rsidR="00BA720E" w:rsidRPr="00BE4F30" w:rsidRDefault="00BE4F30" w:rsidP="00A31F01">
      <w:pPr>
        <w:pStyle w:val="NoSpacing"/>
      </w:pPr>
      <w:r>
        <w:t xml:space="preserve"> </w:t>
      </w:r>
    </w:p>
    <w:p w:rsidR="00BA720E" w:rsidRPr="00BA720E" w:rsidRDefault="00BA720E" w:rsidP="00A31F01">
      <w:pPr>
        <w:pStyle w:val="NoSpacing"/>
        <w:rPr>
          <w:rFonts w:cstheme="minorHAnsi"/>
        </w:rPr>
      </w:pPr>
      <w:r w:rsidRPr="00BA720E">
        <w:rPr>
          <w:rFonts w:cstheme="minorHAnsi"/>
        </w:rPr>
        <w:t>Va</w:t>
      </w:r>
      <w:r>
        <w:rPr>
          <w:rFonts w:cstheme="minorHAnsi"/>
        </w:rPr>
        <w:t xml:space="preserve">luations of property, plant and </w:t>
      </w:r>
      <w:r w:rsidRPr="00BA720E">
        <w:rPr>
          <w:rFonts w:cstheme="minorHAnsi"/>
        </w:rPr>
        <w:t>equipment</w:t>
      </w:r>
    </w:p>
    <w:p w:rsidR="00BE4F30" w:rsidRDefault="00BE4F30" w:rsidP="00A31F01">
      <w:pPr>
        <w:pStyle w:val="NoSpacing"/>
        <w:rPr>
          <w:rFonts w:cstheme="minorHAnsi"/>
        </w:rPr>
      </w:pPr>
    </w:p>
    <w:p w:rsidR="00BA720E" w:rsidRPr="00BA720E" w:rsidRDefault="00BA720E" w:rsidP="00A31F01">
      <w:pPr>
        <w:pStyle w:val="NoSpacing"/>
        <w:rPr>
          <w:rFonts w:cstheme="minorHAnsi"/>
        </w:rPr>
      </w:pPr>
      <w:r w:rsidRPr="00BA720E">
        <w:rPr>
          <w:rFonts w:cstheme="minorHAnsi"/>
        </w:rPr>
        <w:t>F</w:t>
      </w:r>
      <w:r w:rsidR="006863B4">
        <w:rPr>
          <w:rFonts w:cstheme="minorHAnsi"/>
        </w:rPr>
        <w:t xml:space="preserve">air value assessments have been </w:t>
      </w:r>
      <w:r w:rsidRPr="00BA720E">
        <w:rPr>
          <w:rFonts w:cstheme="minorHAnsi"/>
        </w:rPr>
        <w:t>perfor</w:t>
      </w:r>
      <w:r w:rsidR="006863B4">
        <w:rPr>
          <w:rFonts w:cstheme="minorHAnsi"/>
        </w:rPr>
        <w:t xml:space="preserve">med at 31 December 2017 for all </w:t>
      </w:r>
      <w:r w:rsidRPr="00BA720E">
        <w:rPr>
          <w:rFonts w:cstheme="minorHAnsi"/>
        </w:rPr>
        <w:t>cla</w:t>
      </w:r>
      <w:r w:rsidR="006863B4">
        <w:rPr>
          <w:rFonts w:cstheme="minorHAnsi"/>
        </w:rPr>
        <w:t xml:space="preserve">sses of assets. This assessment </w:t>
      </w:r>
      <w:r w:rsidRPr="00BA720E">
        <w:rPr>
          <w:rFonts w:cstheme="minorHAnsi"/>
        </w:rPr>
        <w:t>d</w:t>
      </w:r>
      <w:r w:rsidR="006863B4">
        <w:rPr>
          <w:rFonts w:cstheme="minorHAnsi"/>
        </w:rPr>
        <w:t xml:space="preserve">emonstrated an increment in the </w:t>
      </w:r>
      <w:r w:rsidRPr="00BA720E">
        <w:rPr>
          <w:rFonts w:cstheme="minorHAnsi"/>
        </w:rPr>
        <w:t>carrying value of land and buildings.</w:t>
      </w:r>
    </w:p>
    <w:p w:rsidR="00BA720E" w:rsidRPr="00BA720E" w:rsidRDefault="00BA720E" w:rsidP="00A31F01">
      <w:pPr>
        <w:pStyle w:val="NoSpacing"/>
        <w:rPr>
          <w:rFonts w:cstheme="minorHAnsi"/>
        </w:rPr>
      </w:pPr>
      <w:r w:rsidRPr="00BA720E">
        <w:rPr>
          <w:rFonts w:cstheme="minorHAnsi"/>
        </w:rPr>
        <w:t>The fair v</w:t>
      </w:r>
      <w:r w:rsidR="006863B4">
        <w:rPr>
          <w:rFonts w:cstheme="minorHAnsi"/>
        </w:rPr>
        <w:t xml:space="preserve">alue of all other asset classes </w:t>
      </w:r>
      <w:r w:rsidRPr="00BA720E">
        <w:rPr>
          <w:rFonts w:cstheme="minorHAnsi"/>
        </w:rPr>
        <w:t>was materially similar to carrying value.</w:t>
      </w:r>
    </w:p>
    <w:p w:rsidR="00BA720E" w:rsidRPr="00BA720E" w:rsidRDefault="00BA720E" w:rsidP="00A31F01">
      <w:pPr>
        <w:pStyle w:val="NoSpacing"/>
        <w:rPr>
          <w:rFonts w:cstheme="minorHAnsi"/>
        </w:rPr>
      </w:pPr>
      <w:r w:rsidRPr="00BA720E">
        <w:rPr>
          <w:rFonts w:cstheme="minorHAnsi"/>
        </w:rPr>
        <w:t>The next</w:t>
      </w:r>
      <w:r w:rsidR="006863B4">
        <w:rPr>
          <w:rFonts w:cstheme="minorHAnsi"/>
        </w:rPr>
        <w:t xml:space="preserve"> scheduled full revaluation for </w:t>
      </w:r>
      <w:r w:rsidRPr="00BA720E">
        <w:rPr>
          <w:rFonts w:cstheme="minorHAnsi"/>
        </w:rPr>
        <w:t>Chisholm will be conducted in 2022.</w:t>
      </w:r>
    </w:p>
    <w:p w:rsidR="00BA720E" w:rsidRPr="00BA720E" w:rsidRDefault="006863B4" w:rsidP="00A31F01">
      <w:pPr>
        <w:pStyle w:val="NoSpacing"/>
        <w:rPr>
          <w:rFonts w:cstheme="minorHAnsi"/>
        </w:rPr>
      </w:pPr>
      <w:r>
        <w:rPr>
          <w:rFonts w:cstheme="minorHAnsi"/>
        </w:rPr>
        <w:t>Non-specialised land and non-</w:t>
      </w:r>
      <w:r w:rsidR="00BA720E" w:rsidRPr="00BA720E">
        <w:rPr>
          <w:rFonts w:cstheme="minorHAnsi"/>
        </w:rPr>
        <w:t>s</w:t>
      </w:r>
      <w:r>
        <w:rPr>
          <w:rFonts w:cstheme="minorHAnsi"/>
        </w:rPr>
        <w:t xml:space="preserve">pecialised buildings are valued </w:t>
      </w:r>
      <w:r w:rsidR="00BA720E" w:rsidRPr="00BA720E">
        <w:rPr>
          <w:rFonts w:cstheme="minorHAnsi"/>
        </w:rPr>
        <w:t>usin</w:t>
      </w:r>
      <w:r>
        <w:rPr>
          <w:rFonts w:cstheme="minorHAnsi"/>
        </w:rPr>
        <w:t xml:space="preserve">g the market approach. Under </w:t>
      </w:r>
      <w:r w:rsidR="00BA720E" w:rsidRPr="00BA720E">
        <w:rPr>
          <w:rFonts w:cstheme="minorHAnsi"/>
        </w:rPr>
        <w:t>this valuation method, the assets are</w:t>
      </w:r>
      <w:r>
        <w:rPr>
          <w:rFonts w:cstheme="minorHAnsi"/>
        </w:rPr>
        <w:t xml:space="preserve"> </w:t>
      </w:r>
      <w:r w:rsidR="00BA720E" w:rsidRPr="00BA720E">
        <w:rPr>
          <w:rFonts w:cstheme="minorHAnsi"/>
        </w:rPr>
        <w:t>comp</w:t>
      </w:r>
      <w:r>
        <w:rPr>
          <w:rFonts w:cstheme="minorHAnsi"/>
        </w:rPr>
        <w:t xml:space="preserve">ared to recent comparable sales </w:t>
      </w:r>
      <w:r w:rsidR="00BA720E" w:rsidRPr="00BA720E">
        <w:rPr>
          <w:rFonts w:cstheme="minorHAnsi"/>
        </w:rPr>
        <w:t>or sales of comparable assets which</w:t>
      </w:r>
      <w:r>
        <w:rPr>
          <w:rFonts w:cstheme="minorHAnsi"/>
        </w:rPr>
        <w:t xml:space="preserve"> </w:t>
      </w:r>
      <w:r w:rsidR="00BA720E" w:rsidRPr="00BA720E">
        <w:rPr>
          <w:rFonts w:cstheme="minorHAnsi"/>
        </w:rPr>
        <w:t>are c</w:t>
      </w:r>
      <w:r>
        <w:rPr>
          <w:rFonts w:cstheme="minorHAnsi"/>
        </w:rPr>
        <w:t xml:space="preserve">onsidered to have nominal or no </w:t>
      </w:r>
      <w:r w:rsidR="00BA720E" w:rsidRPr="00BA720E">
        <w:rPr>
          <w:rFonts w:cstheme="minorHAnsi"/>
        </w:rPr>
        <w:t>added improvement value.</w:t>
      </w:r>
    </w:p>
    <w:p w:rsidR="00BA720E" w:rsidRPr="00BA720E" w:rsidRDefault="006863B4" w:rsidP="00A31F01">
      <w:pPr>
        <w:pStyle w:val="NoSpacing"/>
        <w:rPr>
          <w:rFonts w:cstheme="minorHAnsi"/>
        </w:rPr>
      </w:pPr>
      <w:r>
        <w:rPr>
          <w:rFonts w:cstheme="minorHAnsi"/>
        </w:rPr>
        <w:t>For non-specialised land and non-</w:t>
      </w:r>
      <w:r w:rsidR="00BA720E" w:rsidRPr="00BA720E">
        <w:rPr>
          <w:rFonts w:cstheme="minorHAnsi"/>
        </w:rPr>
        <w:t>specialised buildings,</w:t>
      </w:r>
      <w:r>
        <w:rPr>
          <w:rFonts w:cstheme="minorHAnsi"/>
        </w:rPr>
        <w:t xml:space="preserve"> an independent </w:t>
      </w:r>
      <w:r w:rsidR="00BA720E" w:rsidRPr="00BA720E">
        <w:rPr>
          <w:rFonts w:cstheme="minorHAnsi"/>
        </w:rPr>
        <w:t>valuation was performed by the Valuer</w:t>
      </w:r>
      <w:r>
        <w:rPr>
          <w:rFonts w:cstheme="minorHAnsi"/>
        </w:rPr>
        <w:t>-</w:t>
      </w:r>
      <w:r w:rsidR="00BA720E" w:rsidRPr="00BA720E">
        <w:rPr>
          <w:rFonts w:cstheme="minorHAnsi"/>
        </w:rPr>
        <w:t xml:space="preserve">General </w:t>
      </w:r>
      <w:r>
        <w:rPr>
          <w:rFonts w:cstheme="minorHAnsi"/>
        </w:rPr>
        <w:t xml:space="preserve">Victoria with an effective date </w:t>
      </w:r>
      <w:r w:rsidR="00BA720E" w:rsidRPr="00BA720E">
        <w:rPr>
          <w:rFonts w:cstheme="minorHAnsi"/>
        </w:rPr>
        <w:t xml:space="preserve">of 31 </w:t>
      </w:r>
      <w:r>
        <w:rPr>
          <w:rFonts w:cstheme="minorHAnsi"/>
        </w:rPr>
        <w:t xml:space="preserve">December 2017. Valuation of the </w:t>
      </w:r>
      <w:r w:rsidR="00BA720E" w:rsidRPr="00BA720E">
        <w:rPr>
          <w:rFonts w:cstheme="minorHAnsi"/>
        </w:rPr>
        <w:t>assets was determined by analysing</w:t>
      </w:r>
      <w:r>
        <w:rPr>
          <w:rFonts w:cstheme="minorHAnsi"/>
        </w:rPr>
        <w:t xml:space="preserve"> </w:t>
      </w:r>
      <w:r w:rsidR="00BA720E" w:rsidRPr="00BA720E">
        <w:rPr>
          <w:rFonts w:cstheme="minorHAnsi"/>
        </w:rPr>
        <w:t>co</w:t>
      </w:r>
      <w:r>
        <w:rPr>
          <w:rFonts w:cstheme="minorHAnsi"/>
        </w:rPr>
        <w:t xml:space="preserve">mparable sales and allowing for </w:t>
      </w:r>
      <w:r w:rsidR="00BA720E" w:rsidRPr="00BA720E">
        <w:rPr>
          <w:rFonts w:cstheme="minorHAnsi"/>
        </w:rPr>
        <w:t>share,</w:t>
      </w:r>
      <w:r>
        <w:rPr>
          <w:rFonts w:cstheme="minorHAnsi"/>
        </w:rPr>
        <w:t xml:space="preserve"> size, topography, location and </w:t>
      </w:r>
      <w:r w:rsidR="00BA720E" w:rsidRPr="00BA720E">
        <w:rPr>
          <w:rFonts w:cstheme="minorHAnsi"/>
        </w:rPr>
        <w:t>other relevant fa</w:t>
      </w:r>
      <w:r>
        <w:rPr>
          <w:rFonts w:cstheme="minorHAnsi"/>
        </w:rPr>
        <w:t xml:space="preserve">ctors specific to the </w:t>
      </w:r>
      <w:r w:rsidR="00BA720E" w:rsidRPr="00BA720E">
        <w:rPr>
          <w:rFonts w:cstheme="minorHAnsi"/>
        </w:rPr>
        <w:t>ass</w:t>
      </w:r>
      <w:r>
        <w:rPr>
          <w:rFonts w:cstheme="minorHAnsi"/>
        </w:rPr>
        <w:t xml:space="preserve">et being valued. From the sales </w:t>
      </w:r>
      <w:r w:rsidR="00BA720E" w:rsidRPr="00BA720E">
        <w:rPr>
          <w:rFonts w:cstheme="minorHAnsi"/>
        </w:rPr>
        <w:t>analysed, an appropriate rate per</w:t>
      </w:r>
      <w:r>
        <w:rPr>
          <w:rFonts w:cstheme="minorHAnsi"/>
        </w:rPr>
        <w:t xml:space="preserve"> </w:t>
      </w:r>
      <w:r w:rsidR="00BA720E" w:rsidRPr="00BA720E">
        <w:rPr>
          <w:rFonts w:cstheme="minorHAnsi"/>
        </w:rPr>
        <w:t>squar</w:t>
      </w:r>
      <w:r>
        <w:rPr>
          <w:rFonts w:cstheme="minorHAnsi"/>
        </w:rPr>
        <w:t xml:space="preserve">e metre has been applied to the </w:t>
      </w:r>
      <w:r w:rsidR="00BA720E" w:rsidRPr="00BA720E">
        <w:rPr>
          <w:rFonts w:cstheme="minorHAnsi"/>
        </w:rPr>
        <w:t>subject asset.</w:t>
      </w:r>
    </w:p>
    <w:p w:rsidR="00BA720E" w:rsidRPr="00BA720E" w:rsidRDefault="00BA720E" w:rsidP="00A31F01">
      <w:pPr>
        <w:pStyle w:val="NoSpacing"/>
        <w:rPr>
          <w:rFonts w:cstheme="minorHAnsi"/>
        </w:rPr>
      </w:pPr>
      <w:r w:rsidRPr="00BA720E">
        <w:rPr>
          <w:rFonts w:cstheme="minorHAnsi"/>
        </w:rPr>
        <w:t>To the ex</w:t>
      </w:r>
      <w:r w:rsidR="006863B4">
        <w:rPr>
          <w:rFonts w:cstheme="minorHAnsi"/>
        </w:rPr>
        <w:t>tent that non-specialised land, non-</w:t>
      </w:r>
      <w:r w:rsidRPr="00BA720E">
        <w:rPr>
          <w:rFonts w:cstheme="minorHAnsi"/>
        </w:rPr>
        <w:t>spe</w:t>
      </w:r>
      <w:r w:rsidR="006863B4">
        <w:rPr>
          <w:rFonts w:cstheme="minorHAnsi"/>
        </w:rPr>
        <w:t xml:space="preserve">cialised buildings and artworks </w:t>
      </w:r>
      <w:r w:rsidRPr="00BA720E">
        <w:rPr>
          <w:rFonts w:cstheme="minorHAnsi"/>
        </w:rPr>
        <w:t>do not contain significant, unobservable</w:t>
      </w:r>
      <w:r w:rsidR="006863B4">
        <w:rPr>
          <w:rFonts w:cstheme="minorHAnsi"/>
        </w:rPr>
        <w:t xml:space="preserve"> </w:t>
      </w:r>
      <w:r w:rsidRPr="00BA720E">
        <w:rPr>
          <w:rFonts w:cstheme="minorHAnsi"/>
        </w:rPr>
        <w:t>adjustmen</w:t>
      </w:r>
      <w:r w:rsidR="006863B4">
        <w:rPr>
          <w:rFonts w:cstheme="minorHAnsi"/>
        </w:rPr>
        <w:t xml:space="preserve">ts, these assets are classified </w:t>
      </w:r>
      <w:r w:rsidRPr="00BA720E">
        <w:rPr>
          <w:rFonts w:cstheme="minorHAnsi"/>
        </w:rPr>
        <w:t>as Level 2 under the market approach.</w:t>
      </w:r>
    </w:p>
    <w:p w:rsidR="006863B4" w:rsidRDefault="006863B4" w:rsidP="00A31F01">
      <w:pPr>
        <w:pStyle w:val="NoSpacing"/>
        <w:rPr>
          <w:rFonts w:cstheme="minorHAnsi"/>
        </w:rPr>
      </w:pPr>
    </w:p>
    <w:p w:rsidR="00BA720E" w:rsidRPr="00BA720E" w:rsidRDefault="00BA720E" w:rsidP="00234E85">
      <w:pPr>
        <w:pStyle w:val="Heading4"/>
      </w:pPr>
      <w:r w:rsidRPr="00BA720E">
        <w:t>Specialised land and specialised</w:t>
      </w:r>
      <w:r w:rsidR="006863B4">
        <w:t xml:space="preserve"> </w:t>
      </w:r>
      <w:r w:rsidRPr="00BA720E">
        <w:t>buildings</w:t>
      </w:r>
    </w:p>
    <w:p w:rsidR="00BE4F30" w:rsidRDefault="00BE4F30" w:rsidP="00A31F01">
      <w:pPr>
        <w:pStyle w:val="NoSpacing"/>
        <w:rPr>
          <w:rFonts w:cstheme="minorHAnsi"/>
        </w:rPr>
      </w:pPr>
    </w:p>
    <w:p w:rsidR="00BA720E" w:rsidRPr="00BA720E" w:rsidRDefault="00BA720E" w:rsidP="00A31F01">
      <w:pPr>
        <w:pStyle w:val="NoSpacing"/>
        <w:rPr>
          <w:rFonts w:cstheme="minorHAnsi"/>
        </w:rPr>
      </w:pPr>
      <w:r w:rsidRPr="00BA720E">
        <w:rPr>
          <w:rFonts w:cstheme="minorHAnsi"/>
        </w:rPr>
        <w:t>The m</w:t>
      </w:r>
      <w:r w:rsidR="006863B4">
        <w:rPr>
          <w:rFonts w:cstheme="minorHAnsi"/>
        </w:rPr>
        <w:t xml:space="preserve">arket approach is also used for </w:t>
      </w:r>
      <w:r w:rsidRPr="00BA720E">
        <w:rPr>
          <w:rFonts w:cstheme="minorHAnsi"/>
        </w:rPr>
        <w:t>special</w:t>
      </w:r>
      <w:r w:rsidR="006863B4">
        <w:rPr>
          <w:rFonts w:cstheme="minorHAnsi"/>
        </w:rPr>
        <w:t xml:space="preserve">ised land, although is adjusted </w:t>
      </w:r>
      <w:r w:rsidRPr="00BA720E">
        <w:rPr>
          <w:rFonts w:cstheme="minorHAnsi"/>
        </w:rPr>
        <w:t>for the community service obligation</w:t>
      </w:r>
      <w:r w:rsidR="006863B4">
        <w:rPr>
          <w:rFonts w:cstheme="minorHAnsi"/>
        </w:rPr>
        <w:t xml:space="preserve"> </w:t>
      </w:r>
      <w:r w:rsidRPr="00BA720E">
        <w:rPr>
          <w:rFonts w:cstheme="minorHAnsi"/>
        </w:rPr>
        <w:t>(CSO) to refl</w:t>
      </w:r>
      <w:r w:rsidR="006863B4">
        <w:rPr>
          <w:rFonts w:cstheme="minorHAnsi"/>
        </w:rPr>
        <w:t xml:space="preserve">ect the specialised nature </w:t>
      </w:r>
      <w:r w:rsidRPr="00BA720E">
        <w:rPr>
          <w:rFonts w:cstheme="minorHAnsi"/>
        </w:rPr>
        <w:t>of the land being valued.</w:t>
      </w:r>
    </w:p>
    <w:p w:rsidR="00BA720E" w:rsidRPr="00BA720E" w:rsidRDefault="00BA720E" w:rsidP="00A31F01">
      <w:pPr>
        <w:pStyle w:val="NoSpacing"/>
        <w:rPr>
          <w:rFonts w:cstheme="minorHAnsi"/>
        </w:rPr>
      </w:pPr>
      <w:r w:rsidRPr="00BA720E">
        <w:rPr>
          <w:rFonts w:cstheme="minorHAnsi"/>
        </w:rPr>
        <w:t>The CSO adjustment is a reflection of</w:t>
      </w:r>
      <w:r w:rsidR="006863B4">
        <w:rPr>
          <w:rFonts w:cstheme="minorHAnsi"/>
        </w:rPr>
        <w:t xml:space="preserve"> </w:t>
      </w:r>
      <w:r w:rsidRPr="00BA720E">
        <w:rPr>
          <w:rFonts w:cstheme="minorHAnsi"/>
        </w:rPr>
        <w:t>the va</w:t>
      </w:r>
      <w:r w:rsidR="006863B4">
        <w:rPr>
          <w:rFonts w:cstheme="minorHAnsi"/>
        </w:rPr>
        <w:t xml:space="preserve">luer’s assessment of the impact </w:t>
      </w:r>
      <w:r w:rsidRPr="00BA720E">
        <w:rPr>
          <w:rFonts w:cstheme="minorHAnsi"/>
        </w:rPr>
        <w:t>of restrictions associated with an</w:t>
      </w:r>
      <w:r w:rsidR="006863B4">
        <w:rPr>
          <w:rFonts w:cstheme="minorHAnsi"/>
        </w:rPr>
        <w:t xml:space="preserve"> </w:t>
      </w:r>
      <w:r w:rsidRPr="00BA720E">
        <w:rPr>
          <w:rFonts w:cstheme="minorHAnsi"/>
        </w:rPr>
        <w:t xml:space="preserve">asset to </w:t>
      </w:r>
      <w:r w:rsidR="006863B4">
        <w:rPr>
          <w:rFonts w:cstheme="minorHAnsi"/>
        </w:rPr>
        <w:t xml:space="preserve">the extent that is also equally </w:t>
      </w:r>
      <w:r w:rsidRPr="00BA720E">
        <w:rPr>
          <w:rFonts w:cstheme="minorHAnsi"/>
        </w:rPr>
        <w:t>applicab</w:t>
      </w:r>
      <w:r w:rsidR="006863B4">
        <w:rPr>
          <w:rFonts w:cstheme="minorHAnsi"/>
        </w:rPr>
        <w:t xml:space="preserve">le to market participants. This </w:t>
      </w:r>
      <w:r w:rsidRPr="00BA720E">
        <w:rPr>
          <w:rFonts w:cstheme="minorHAnsi"/>
        </w:rPr>
        <w:t>approach is in light of the highest and</w:t>
      </w:r>
      <w:r w:rsidR="006863B4">
        <w:rPr>
          <w:rFonts w:cstheme="minorHAnsi"/>
        </w:rPr>
        <w:t xml:space="preserve"> </w:t>
      </w:r>
      <w:r w:rsidRPr="00BA720E">
        <w:rPr>
          <w:rFonts w:cstheme="minorHAnsi"/>
        </w:rPr>
        <w:t xml:space="preserve">best use </w:t>
      </w:r>
      <w:r w:rsidR="006863B4">
        <w:rPr>
          <w:rFonts w:cstheme="minorHAnsi"/>
        </w:rPr>
        <w:t xml:space="preserve">consideration required for fair </w:t>
      </w:r>
      <w:r w:rsidRPr="00BA720E">
        <w:rPr>
          <w:rFonts w:cstheme="minorHAnsi"/>
        </w:rPr>
        <w:t>va</w:t>
      </w:r>
      <w:r w:rsidR="006863B4">
        <w:rPr>
          <w:rFonts w:cstheme="minorHAnsi"/>
        </w:rPr>
        <w:t xml:space="preserve">lue measurement, and takes into </w:t>
      </w:r>
      <w:r w:rsidRPr="00BA720E">
        <w:rPr>
          <w:rFonts w:cstheme="minorHAnsi"/>
        </w:rPr>
        <w:t>account the use of the asset that is</w:t>
      </w:r>
      <w:r w:rsidR="006863B4">
        <w:rPr>
          <w:rFonts w:cstheme="minorHAnsi"/>
        </w:rPr>
        <w:t xml:space="preserve"> </w:t>
      </w:r>
      <w:r w:rsidRPr="00BA720E">
        <w:rPr>
          <w:rFonts w:cstheme="minorHAnsi"/>
        </w:rPr>
        <w:t>physically</w:t>
      </w:r>
      <w:r w:rsidR="006863B4">
        <w:rPr>
          <w:rFonts w:cstheme="minorHAnsi"/>
        </w:rPr>
        <w:t xml:space="preserve"> possible, legally permissible, </w:t>
      </w:r>
      <w:r w:rsidRPr="00BA720E">
        <w:rPr>
          <w:rFonts w:cstheme="minorHAnsi"/>
        </w:rPr>
        <w:t>and financially feasible. As adjustments</w:t>
      </w:r>
      <w:r w:rsidR="006863B4">
        <w:rPr>
          <w:rFonts w:cstheme="minorHAnsi"/>
        </w:rPr>
        <w:t xml:space="preserve"> </w:t>
      </w:r>
      <w:r w:rsidRPr="00BA720E">
        <w:rPr>
          <w:rFonts w:cstheme="minorHAnsi"/>
        </w:rPr>
        <w:t>of CSO are considered as signifi</w:t>
      </w:r>
      <w:r w:rsidR="006863B4">
        <w:rPr>
          <w:rFonts w:cstheme="minorHAnsi"/>
        </w:rPr>
        <w:t xml:space="preserve">cant </w:t>
      </w:r>
      <w:r w:rsidRPr="00BA720E">
        <w:rPr>
          <w:rFonts w:cstheme="minorHAnsi"/>
        </w:rPr>
        <w:t>unobse</w:t>
      </w:r>
      <w:r w:rsidR="006863B4">
        <w:rPr>
          <w:rFonts w:cstheme="minorHAnsi"/>
        </w:rPr>
        <w:t xml:space="preserve">rvable inputs, specialised land </w:t>
      </w:r>
      <w:r w:rsidRPr="00BA720E">
        <w:rPr>
          <w:rFonts w:cstheme="minorHAnsi"/>
        </w:rPr>
        <w:t>would be classified as Level 3 assets.</w:t>
      </w:r>
    </w:p>
    <w:p w:rsidR="00BA720E" w:rsidRPr="00BA720E" w:rsidRDefault="00BA720E" w:rsidP="00A31F01">
      <w:pPr>
        <w:pStyle w:val="NoSpacing"/>
        <w:rPr>
          <w:rFonts w:cstheme="minorHAnsi"/>
        </w:rPr>
      </w:pPr>
      <w:r w:rsidRPr="00BA720E">
        <w:rPr>
          <w:rFonts w:cstheme="minorHAnsi"/>
        </w:rPr>
        <w:t>For the majority of Chisholm’s</w:t>
      </w:r>
      <w:r w:rsidR="006863B4">
        <w:rPr>
          <w:rFonts w:cstheme="minorHAnsi"/>
        </w:rPr>
        <w:t xml:space="preserve"> </w:t>
      </w:r>
      <w:r w:rsidRPr="00BA720E">
        <w:rPr>
          <w:rFonts w:cstheme="minorHAnsi"/>
        </w:rPr>
        <w:t>special</w:t>
      </w:r>
      <w:r w:rsidR="006863B4">
        <w:rPr>
          <w:rFonts w:cstheme="minorHAnsi"/>
        </w:rPr>
        <w:t xml:space="preserve">ised buildings, the depreciated replacement cost method is </w:t>
      </w:r>
      <w:r w:rsidRPr="00BA720E">
        <w:rPr>
          <w:rFonts w:cstheme="minorHAnsi"/>
        </w:rPr>
        <w:t>used, adjusting for the associated</w:t>
      </w:r>
      <w:r w:rsidR="006863B4">
        <w:rPr>
          <w:rFonts w:cstheme="minorHAnsi"/>
        </w:rPr>
        <w:t xml:space="preserve"> depreciations. As depreciation </w:t>
      </w:r>
      <w:r w:rsidRPr="00BA720E">
        <w:rPr>
          <w:rFonts w:cstheme="minorHAnsi"/>
        </w:rPr>
        <w:t>adjustments</w:t>
      </w:r>
      <w:r w:rsidR="006863B4">
        <w:rPr>
          <w:rFonts w:cstheme="minorHAnsi"/>
        </w:rPr>
        <w:t xml:space="preserve"> are considered as </w:t>
      </w:r>
      <w:r w:rsidRPr="00BA720E">
        <w:rPr>
          <w:rFonts w:cstheme="minorHAnsi"/>
        </w:rPr>
        <w:t>s</w:t>
      </w:r>
      <w:r w:rsidR="006863B4">
        <w:rPr>
          <w:rFonts w:cstheme="minorHAnsi"/>
        </w:rPr>
        <w:t xml:space="preserve">ignificant, unobservable inputs </w:t>
      </w:r>
      <w:r w:rsidRPr="00BA720E">
        <w:rPr>
          <w:rFonts w:cstheme="minorHAnsi"/>
        </w:rPr>
        <w:t>i</w:t>
      </w:r>
      <w:r w:rsidR="006863B4">
        <w:rPr>
          <w:rFonts w:cstheme="minorHAnsi"/>
        </w:rPr>
        <w:t xml:space="preserve">n nature, specialised buildings </w:t>
      </w:r>
      <w:r w:rsidRPr="00BA720E">
        <w:rPr>
          <w:rFonts w:cstheme="minorHAnsi"/>
        </w:rPr>
        <w:t>are c</w:t>
      </w:r>
      <w:r w:rsidR="006863B4">
        <w:rPr>
          <w:rFonts w:cstheme="minorHAnsi"/>
        </w:rPr>
        <w:t>lassified as Level 3 fair value m</w:t>
      </w:r>
      <w:r w:rsidRPr="00BA720E">
        <w:rPr>
          <w:rFonts w:cstheme="minorHAnsi"/>
        </w:rPr>
        <w:t>easurements.</w:t>
      </w:r>
    </w:p>
    <w:p w:rsidR="00BA720E" w:rsidRPr="00BA720E" w:rsidRDefault="00BA720E" w:rsidP="00A31F01">
      <w:pPr>
        <w:pStyle w:val="NoSpacing"/>
        <w:rPr>
          <w:rFonts w:cstheme="minorHAnsi"/>
        </w:rPr>
      </w:pPr>
      <w:r w:rsidRPr="00BA720E">
        <w:rPr>
          <w:rFonts w:cstheme="minorHAnsi"/>
        </w:rPr>
        <w:t>An inde</w:t>
      </w:r>
      <w:r w:rsidR="006863B4">
        <w:rPr>
          <w:rFonts w:cstheme="minorHAnsi"/>
        </w:rPr>
        <w:t xml:space="preserve">pendent valuation of Chisholm’s </w:t>
      </w:r>
      <w:r w:rsidRPr="00BA720E">
        <w:rPr>
          <w:rFonts w:cstheme="minorHAnsi"/>
        </w:rPr>
        <w:t>s</w:t>
      </w:r>
      <w:r w:rsidR="006863B4">
        <w:rPr>
          <w:rFonts w:cstheme="minorHAnsi"/>
        </w:rPr>
        <w:t xml:space="preserve">pecialised land and specialised </w:t>
      </w:r>
      <w:r w:rsidRPr="00BA720E">
        <w:rPr>
          <w:rFonts w:cstheme="minorHAnsi"/>
        </w:rPr>
        <w:t>buildings was performed by the Valuer</w:t>
      </w:r>
      <w:r w:rsidR="006863B4">
        <w:rPr>
          <w:rFonts w:cstheme="minorHAnsi"/>
        </w:rPr>
        <w:t>-</w:t>
      </w:r>
      <w:r w:rsidRPr="00BA720E">
        <w:rPr>
          <w:rFonts w:cstheme="minorHAnsi"/>
        </w:rPr>
        <w:t>General Vi</w:t>
      </w:r>
      <w:r w:rsidR="006863B4">
        <w:rPr>
          <w:rFonts w:cstheme="minorHAnsi"/>
        </w:rPr>
        <w:t xml:space="preserve">ctoria. The valuation was </w:t>
      </w:r>
      <w:r w:rsidRPr="00BA720E">
        <w:rPr>
          <w:rFonts w:cstheme="minorHAnsi"/>
        </w:rPr>
        <w:t>perf</w:t>
      </w:r>
      <w:r w:rsidR="006863B4">
        <w:rPr>
          <w:rFonts w:cstheme="minorHAnsi"/>
        </w:rPr>
        <w:t xml:space="preserve">ormed using the market approach </w:t>
      </w:r>
      <w:r w:rsidRPr="00BA720E">
        <w:rPr>
          <w:rFonts w:cstheme="minorHAnsi"/>
        </w:rPr>
        <w:t>adjusted for CSO. The effective date of</w:t>
      </w:r>
      <w:r w:rsidR="006863B4">
        <w:rPr>
          <w:rFonts w:cstheme="minorHAnsi"/>
        </w:rPr>
        <w:t xml:space="preserve"> </w:t>
      </w:r>
      <w:r w:rsidRPr="00BA720E">
        <w:rPr>
          <w:rFonts w:cstheme="minorHAnsi"/>
        </w:rPr>
        <w:t>the valuation is 31 December 2017.</w:t>
      </w:r>
    </w:p>
    <w:p w:rsidR="00BA720E" w:rsidRPr="00BA720E" w:rsidRDefault="00BA720E" w:rsidP="00A31F01">
      <w:pPr>
        <w:pStyle w:val="NoSpacing"/>
        <w:rPr>
          <w:rFonts w:cstheme="minorHAnsi"/>
        </w:rPr>
      </w:pPr>
      <w:r w:rsidRPr="00BA720E">
        <w:rPr>
          <w:rFonts w:cstheme="minorHAnsi"/>
        </w:rPr>
        <w:t xml:space="preserve">Motor vehicles </w:t>
      </w:r>
      <w:r w:rsidR="006863B4">
        <w:rPr>
          <w:rFonts w:cstheme="minorHAnsi"/>
        </w:rPr>
        <w:t xml:space="preserve">are valued using the </w:t>
      </w:r>
      <w:r w:rsidRPr="00BA720E">
        <w:rPr>
          <w:rFonts w:cstheme="minorHAnsi"/>
        </w:rPr>
        <w:t>depre</w:t>
      </w:r>
      <w:r w:rsidR="006863B4">
        <w:rPr>
          <w:rFonts w:cstheme="minorHAnsi"/>
        </w:rPr>
        <w:t xml:space="preserve">ciated replacement cost method. </w:t>
      </w:r>
      <w:r w:rsidRPr="00BA720E">
        <w:rPr>
          <w:rFonts w:cstheme="minorHAnsi"/>
        </w:rPr>
        <w:t>Chisholm acquires new vehicles and</w:t>
      </w:r>
      <w:r w:rsidR="006863B4">
        <w:rPr>
          <w:rFonts w:cstheme="minorHAnsi"/>
        </w:rPr>
        <w:t xml:space="preserve"> </w:t>
      </w:r>
      <w:r w:rsidRPr="00BA720E">
        <w:rPr>
          <w:rFonts w:cstheme="minorHAnsi"/>
        </w:rPr>
        <w:t>at times di</w:t>
      </w:r>
      <w:r w:rsidR="006863B4">
        <w:rPr>
          <w:rFonts w:cstheme="minorHAnsi"/>
        </w:rPr>
        <w:t xml:space="preserve">sposes of them before the </w:t>
      </w:r>
      <w:r w:rsidRPr="00BA720E">
        <w:rPr>
          <w:rFonts w:cstheme="minorHAnsi"/>
        </w:rPr>
        <w:t>end of t</w:t>
      </w:r>
      <w:r w:rsidR="006863B4">
        <w:rPr>
          <w:rFonts w:cstheme="minorHAnsi"/>
        </w:rPr>
        <w:t xml:space="preserve">heir economic life. The process </w:t>
      </w:r>
      <w:r w:rsidRPr="00BA720E">
        <w:rPr>
          <w:rFonts w:cstheme="minorHAnsi"/>
        </w:rPr>
        <w:t>of acquisition, use and disposal in the</w:t>
      </w:r>
      <w:r w:rsidR="006863B4">
        <w:rPr>
          <w:rFonts w:cstheme="minorHAnsi"/>
        </w:rPr>
        <w:t xml:space="preserve"> </w:t>
      </w:r>
      <w:r w:rsidRPr="00BA720E">
        <w:rPr>
          <w:rFonts w:cstheme="minorHAnsi"/>
        </w:rPr>
        <w:t>m</w:t>
      </w:r>
      <w:r w:rsidR="006863B4">
        <w:rPr>
          <w:rFonts w:cstheme="minorHAnsi"/>
        </w:rPr>
        <w:t xml:space="preserve">arket is managed by experienced </w:t>
      </w:r>
      <w:r w:rsidRPr="00BA720E">
        <w:rPr>
          <w:rFonts w:cstheme="minorHAnsi"/>
        </w:rPr>
        <w:t>fleet managers in the Institute who set</w:t>
      </w:r>
      <w:r w:rsidR="006863B4">
        <w:rPr>
          <w:rFonts w:cstheme="minorHAnsi"/>
        </w:rPr>
        <w:t xml:space="preserve"> </w:t>
      </w:r>
      <w:r w:rsidRPr="00BA720E">
        <w:rPr>
          <w:rFonts w:cstheme="minorHAnsi"/>
        </w:rPr>
        <w:t>relevan</w:t>
      </w:r>
      <w:r w:rsidR="006863B4">
        <w:rPr>
          <w:rFonts w:cstheme="minorHAnsi"/>
        </w:rPr>
        <w:t xml:space="preserve">t depreciation rates during use </w:t>
      </w:r>
      <w:r w:rsidRPr="00BA720E">
        <w:rPr>
          <w:rFonts w:cstheme="minorHAnsi"/>
        </w:rPr>
        <w:t>to reflect the utilisation of the vehicles.</w:t>
      </w:r>
    </w:p>
    <w:p w:rsidR="00BA720E" w:rsidRPr="00BA720E" w:rsidRDefault="00BA720E" w:rsidP="00A31F01">
      <w:pPr>
        <w:pStyle w:val="NoSpacing"/>
        <w:rPr>
          <w:rFonts w:cstheme="minorHAnsi"/>
        </w:rPr>
      </w:pPr>
      <w:r w:rsidRPr="00BA720E">
        <w:rPr>
          <w:rFonts w:cstheme="minorHAnsi"/>
        </w:rPr>
        <w:t>Plant and equipment is held at fair</w:t>
      </w:r>
      <w:r w:rsidR="006863B4">
        <w:rPr>
          <w:rFonts w:cstheme="minorHAnsi"/>
        </w:rPr>
        <w:t xml:space="preserve"> </w:t>
      </w:r>
      <w:r w:rsidRPr="00BA720E">
        <w:rPr>
          <w:rFonts w:cstheme="minorHAnsi"/>
        </w:rPr>
        <w:t>val</w:t>
      </w:r>
      <w:r w:rsidR="006863B4">
        <w:rPr>
          <w:rFonts w:cstheme="minorHAnsi"/>
        </w:rPr>
        <w:t xml:space="preserve">ue. When plant and equipment is </w:t>
      </w:r>
      <w:r w:rsidRPr="00BA720E">
        <w:rPr>
          <w:rFonts w:cstheme="minorHAnsi"/>
        </w:rPr>
        <w:t>specialised in use, such that it is rarely</w:t>
      </w:r>
      <w:r w:rsidR="006863B4">
        <w:rPr>
          <w:rFonts w:cstheme="minorHAnsi"/>
        </w:rPr>
        <w:t xml:space="preserve"> </w:t>
      </w:r>
      <w:r w:rsidRPr="00BA720E">
        <w:rPr>
          <w:rFonts w:cstheme="minorHAnsi"/>
        </w:rPr>
        <w:t>sol</w:t>
      </w:r>
      <w:r w:rsidR="006863B4">
        <w:rPr>
          <w:rFonts w:cstheme="minorHAnsi"/>
        </w:rPr>
        <w:t xml:space="preserve">d other than as part of a going </w:t>
      </w:r>
      <w:r w:rsidRPr="00BA720E">
        <w:rPr>
          <w:rFonts w:cstheme="minorHAnsi"/>
        </w:rPr>
        <w:t>concern,</w:t>
      </w:r>
      <w:r w:rsidR="006863B4">
        <w:rPr>
          <w:rFonts w:cstheme="minorHAnsi"/>
        </w:rPr>
        <w:t xml:space="preserve"> fair value is determined using </w:t>
      </w:r>
      <w:r w:rsidRPr="00BA720E">
        <w:rPr>
          <w:rFonts w:cstheme="minorHAnsi"/>
        </w:rPr>
        <w:t>the depreciated replacement cost</w:t>
      </w:r>
      <w:r w:rsidR="006863B4">
        <w:rPr>
          <w:rFonts w:cstheme="minorHAnsi"/>
        </w:rPr>
        <w:t xml:space="preserve"> </w:t>
      </w:r>
      <w:r w:rsidRPr="00BA720E">
        <w:rPr>
          <w:rFonts w:cstheme="minorHAnsi"/>
        </w:rPr>
        <w:t>method.</w:t>
      </w:r>
    </w:p>
    <w:p w:rsidR="00BA720E" w:rsidRPr="00BA720E" w:rsidRDefault="00BA720E" w:rsidP="00A31F01">
      <w:pPr>
        <w:pStyle w:val="NoSpacing"/>
        <w:rPr>
          <w:rFonts w:cstheme="minorHAnsi"/>
        </w:rPr>
      </w:pPr>
      <w:r w:rsidRPr="00BA720E">
        <w:rPr>
          <w:rFonts w:cstheme="minorHAnsi"/>
        </w:rPr>
        <w:t xml:space="preserve">Leasehold improvements </w:t>
      </w:r>
      <w:r w:rsidR="006863B4">
        <w:rPr>
          <w:rFonts w:cstheme="minorHAnsi"/>
        </w:rPr>
        <w:t xml:space="preserve">are held </w:t>
      </w:r>
      <w:r w:rsidRPr="00BA720E">
        <w:rPr>
          <w:rFonts w:cstheme="minorHAnsi"/>
        </w:rPr>
        <w:t>at fai</w:t>
      </w:r>
      <w:r w:rsidR="006863B4">
        <w:rPr>
          <w:rFonts w:cstheme="minorHAnsi"/>
        </w:rPr>
        <w:t xml:space="preserve">r value being depreciated cost. As there is no evidence of a </w:t>
      </w:r>
      <w:r w:rsidRPr="00BA720E">
        <w:rPr>
          <w:rFonts w:cstheme="minorHAnsi"/>
        </w:rPr>
        <w:t>reliable</w:t>
      </w:r>
      <w:r w:rsidR="006863B4">
        <w:rPr>
          <w:rFonts w:cstheme="minorHAnsi"/>
        </w:rPr>
        <w:t xml:space="preserve"> </w:t>
      </w:r>
      <w:r w:rsidRPr="00BA720E">
        <w:rPr>
          <w:rFonts w:cstheme="minorHAnsi"/>
        </w:rPr>
        <w:t>ma</w:t>
      </w:r>
      <w:r w:rsidR="006863B4">
        <w:rPr>
          <w:rFonts w:cstheme="minorHAnsi"/>
        </w:rPr>
        <w:t xml:space="preserve">rket-based fair value (or other </w:t>
      </w:r>
      <w:r w:rsidRPr="00BA720E">
        <w:rPr>
          <w:rFonts w:cstheme="minorHAnsi"/>
        </w:rPr>
        <w:t>rele</w:t>
      </w:r>
      <w:r w:rsidR="006863B4">
        <w:rPr>
          <w:rFonts w:cstheme="minorHAnsi"/>
        </w:rPr>
        <w:t xml:space="preserve">vant fair value indicators) for </w:t>
      </w:r>
      <w:r w:rsidRPr="00BA720E">
        <w:rPr>
          <w:rFonts w:cstheme="minorHAnsi"/>
        </w:rPr>
        <w:t xml:space="preserve">leasehold improvements, </w:t>
      </w:r>
      <w:r w:rsidRPr="00BA720E">
        <w:rPr>
          <w:rFonts w:cstheme="minorHAnsi"/>
        </w:rPr>
        <w:lastRenderedPageBreak/>
        <w:t>depreciated</w:t>
      </w:r>
      <w:r w:rsidR="006863B4">
        <w:rPr>
          <w:rFonts w:cstheme="minorHAnsi"/>
        </w:rPr>
        <w:t xml:space="preserve"> </w:t>
      </w:r>
      <w:r w:rsidRPr="00BA720E">
        <w:rPr>
          <w:rFonts w:cstheme="minorHAnsi"/>
        </w:rPr>
        <w:t>cost is</w:t>
      </w:r>
      <w:r w:rsidR="006863B4">
        <w:rPr>
          <w:rFonts w:cstheme="minorHAnsi"/>
        </w:rPr>
        <w:t xml:space="preserve"> the fair value for these types </w:t>
      </w:r>
      <w:r w:rsidRPr="00BA720E">
        <w:rPr>
          <w:rFonts w:cstheme="minorHAnsi"/>
        </w:rPr>
        <w:t>of assets. The valuatio</w:t>
      </w:r>
      <w:r w:rsidR="006863B4">
        <w:rPr>
          <w:rFonts w:cstheme="minorHAnsi"/>
        </w:rPr>
        <w:t xml:space="preserve">n of leasehold </w:t>
      </w:r>
      <w:r w:rsidRPr="00BA720E">
        <w:rPr>
          <w:rFonts w:cstheme="minorHAnsi"/>
        </w:rPr>
        <w:t>improvements is based on significant</w:t>
      </w:r>
      <w:r w:rsidR="006863B4">
        <w:rPr>
          <w:rFonts w:cstheme="minorHAnsi"/>
        </w:rPr>
        <w:t xml:space="preserve"> </w:t>
      </w:r>
      <w:r w:rsidRPr="00BA720E">
        <w:rPr>
          <w:rFonts w:cstheme="minorHAnsi"/>
        </w:rPr>
        <w:t>unobser</w:t>
      </w:r>
      <w:r w:rsidR="006863B4">
        <w:rPr>
          <w:rFonts w:cstheme="minorHAnsi"/>
        </w:rPr>
        <w:t xml:space="preserve">vable inputs and accordingly is </w:t>
      </w:r>
      <w:r w:rsidRPr="00BA720E">
        <w:rPr>
          <w:rFonts w:cstheme="minorHAnsi"/>
        </w:rPr>
        <w:t>classified as Level 3 assets.</w:t>
      </w:r>
    </w:p>
    <w:p w:rsidR="00BA720E" w:rsidRPr="00BA720E" w:rsidRDefault="00BA720E" w:rsidP="00A31F01">
      <w:pPr>
        <w:pStyle w:val="NoSpacing"/>
        <w:rPr>
          <w:rFonts w:cstheme="minorHAnsi"/>
        </w:rPr>
      </w:pPr>
      <w:r w:rsidRPr="00BA720E">
        <w:rPr>
          <w:rFonts w:cstheme="minorHAnsi"/>
        </w:rPr>
        <w:t>There were no changes in valuation</w:t>
      </w:r>
      <w:r w:rsidR="006863B4">
        <w:rPr>
          <w:rFonts w:cstheme="minorHAnsi"/>
        </w:rPr>
        <w:t xml:space="preserve"> </w:t>
      </w:r>
      <w:r w:rsidRPr="00BA720E">
        <w:rPr>
          <w:rFonts w:cstheme="minorHAnsi"/>
        </w:rPr>
        <w:t>t</w:t>
      </w:r>
      <w:r w:rsidR="006863B4">
        <w:rPr>
          <w:rFonts w:cstheme="minorHAnsi"/>
        </w:rPr>
        <w:t xml:space="preserve">echniques throughout the period </w:t>
      </w:r>
      <w:r w:rsidRPr="00BA720E">
        <w:rPr>
          <w:rFonts w:cstheme="minorHAnsi"/>
        </w:rPr>
        <w:t>to 31 December 2017. For all assets</w:t>
      </w:r>
      <w:r w:rsidR="006863B4">
        <w:rPr>
          <w:rFonts w:cstheme="minorHAnsi"/>
        </w:rPr>
        <w:t xml:space="preserve"> </w:t>
      </w:r>
      <w:r w:rsidRPr="00BA720E">
        <w:rPr>
          <w:rFonts w:cstheme="minorHAnsi"/>
        </w:rPr>
        <w:t>measured at fair value, the cur</w:t>
      </w:r>
      <w:r w:rsidR="006863B4">
        <w:rPr>
          <w:rFonts w:cstheme="minorHAnsi"/>
        </w:rPr>
        <w:t xml:space="preserve">rent use </w:t>
      </w:r>
      <w:r w:rsidRPr="00BA720E">
        <w:rPr>
          <w:rFonts w:cstheme="minorHAnsi"/>
        </w:rPr>
        <w:t>is considered the highest and best use.</w:t>
      </w:r>
    </w:p>
    <w:p w:rsidR="00BA720E" w:rsidRDefault="00BA720E" w:rsidP="00A31F01">
      <w:pPr>
        <w:pStyle w:val="NoSpacing"/>
      </w:pPr>
    </w:p>
    <w:p w:rsidR="006863B4" w:rsidRDefault="006863B4" w:rsidP="00A31F01">
      <w:pPr>
        <w:pStyle w:val="NoSpacing"/>
      </w:pPr>
      <w:r>
        <w:t>&lt;pp&gt;79</w:t>
      </w:r>
    </w:p>
    <w:p w:rsidR="006863B4" w:rsidRDefault="006863B4" w:rsidP="00A31F01">
      <w:pPr>
        <w:pStyle w:val="NoSpacing"/>
      </w:pPr>
    </w:p>
    <w:p w:rsidR="00ED38D4" w:rsidRDefault="00ED38D4" w:rsidP="00A31F01">
      <w:pPr>
        <w:pStyle w:val="NoSpacing"/>
        <w:sectPr w:rsidR="00ED38D4">
          <w:pgSz w:w="11906" w:h="16838"/>
          <w:pgMar w:top="1440" w:right="1440" w:bottom="1440" w:left="1440" w:header="708" w:footer="708" w:gutter="0"/>
          <w:cols w:space="708"/>
          <w:docGrid w:linePitch="360"/>
        </w:sectPr>
      </w:pPr>
    </w:p>
    <w:p w:rsidR="006863B4" w:rsidRDefault="006863B4" w:rsidP="00234E85">
      <w:pPr>
        <w:pStyle w:val="Heading3"/>
      </w:pPr>
      <w:r w:rsidRPr="00BA720E">
        <w:lastRenderedPageBreak/>
        <w:t xml:space="preserve">7. </w:t>
      </w:r>
      <w:r w:rsidR="00BE4F30" w:rsidRPr="00BA720E">
        <w:t>MANAGING RISKS AND UNCERTAINTIES (CONTINUED</w:t>
      </w:r>
      <w:r w:rsidR="00BE4F30">
        <w:t>)</w:t>
      </w:r>
    </w:p>
    <w:p w:rsidR="006863B4" w:rsidRDefault="006863B4" w:rsidP="00A31F01">
      <w:pPr>
        <w:pStyle w:val="NoSpacing"/>
      </w:pPr>
    </w:p>
    <w:p w:rsidR="006863B4" w:rsidRDefault="006863B4" w:rsidP="00234E85">
      <w:pPr>
        <w:pStyle w:val="Heading4"/>
      </w:pPr>
      <w:r>
        <w:t>7.3 Fair value determination (continued)</w:t>
      </w:r>
    </w:p>
    <w:p w:rsidR="006863B4" w:rsidRDefault="006863B4" w:rsidP="00A31F01">
      <w:pPr>
        <w:pStyle w:val="NoSpacing"/>
      </w:pPr>
    </w:p>
    <w:p w:rsidR="006863B4" w:rsidRDefault="006863B4" w:rsidP="00A31F01">
      <w:pPr>
        <w:pStyle w:val="NoSpacing"/>
      </w:pPr>
      <w:r>
        <w:t xml:space="preserve">Reconciliation of level 3 fair value movements </w:t>
      </w:r>
    </w:p>
    <w:tbl>
      <w:tblPr>
        <w:tblStyle w:val="TableGrid"/>
        <w:tblW w:w="10206" w:type="dxa"/>
        <w:tblInd w:w="4248" w:type="dxa"/>
        <w:tblLook w:val="04A0" w:firstRow="1" w:lastRow="0" w:firstColumn="1" w:lastColumn="0" w:noHBand="0" w:noVBand="1"/>
      </w:tblPr>
      <w:tblGrid>
        <w:gridCol w:w="1701"/>
        <w:gridCol w:w="1701"/>
        <w:gridCol w:w="1701"/>
        <w:gridCol w:w="1701"/>
        <w:gridCol w:w="1701"/>
        <w:gridCol w:w="1701"/>
      </w:tblGrid>
      <w:tr w:rsidR="00ED38D4" w:rsidTr="00ED38D4">
        <w:tc>
          <w:tcPr>
            <w:tcW w:w="1701" w:type="dxa"/>
            <w:vAlign w:val="bottom"/>
          </w:tcPr>
          <w:p w:rsidR="00ED38D4" w:rsidRDefault="00ED38D4" w:rsidP="004B54F6">
            <w:pPr>
              <w:pStyle w:val="NoSpacing"/>
              <w:jc w:val="right"/>
            </w:pPr>
            <w:r>
              <w:t>Specialised land</w:t>
            </w:r>
          </w:p>
        </w:tc>
        <w:tc>
          <w:tcPr>
            <w:tcW w:w="1701" w:type="dxa"/>
            <w:vAlign w:val="bottom"/>
          </w:tcPr>
          <w:p w:rsidR="00ED38D4" w:rsidRDefault="00ED38D4" w:rsidP="004B54F6">
            <w:pPr>
              <w:pStyle w:val="NoSpacing"/>
              <w:jc w:val="right"/>
            </w:pPr>
            <w:r>
              <w:t>Specialised buildings</w:t>
            </w:r>
          </w:p>
        </w:tc>
        <w:tc>
          <w:tcPr>
            <w:tcW w:w="1701" w:type="dxa"/>
            <w:vAlign w:val="bottom"/>
          </w:tcPr>
          <w:p w:rsidR="00ED38D4" w:rsidRDefault="00ED38D4" w:rsidP="004B54F6">
            <w:pPr>
              <w:pStyle w:val="NoSpacing"/>
              <w:jc w:val="right"/>
            </w:pPr>
            <w:r>
              <w:t>Plant and equipment</w:t>
            </w:r>
          </w:p>
        </w:tc>
        <w:tc>
          <w:tcPr>
            <w:tcW w:w="1701" w:type="dxa"/>
            <w:vAlign w:val="bottom"/>
          </w:tcPr>
          <w:p w:rsidR="00ED38D4" w:rsidRDefault="00ED38D4" w:rsidP="004B54F6">
            <w:pPr>
              <w:pStyle w:val="NoSpacing"/>
              <w:jc w:val="right"/>
            </w:pPr>
            <w:r>
              <w:t>Motor vehicles</w:t>
            </w:r>
          </w:p>
        </w:tc>
        <w:tc>
          <w:tcPr>
            <w:tcW w:w="1701" w:type="dxa"/>
            <w:vAlign w:val="bottom"/>
          </w:tcPr>
          <w:p w:rsidR="00ED38D4" w:rsidRDefault="00ED38D4" w:rsidP="004B54F6">
            <w:pPr>
              <w:pStyle w:val="NoSpacing"/>
              <w:jc w:val="right"/>
            </w:pPr>
            <w:r>
              <w:t>Leasehold improvements</w:t>
            </w:r>
          </w:p>
        </w:tc>
        <w:tc>
          <w:tcPr>
            <w:tcW w:w="1701" w:type="dxa"/>
            <w:vAlign w:val="bottom"/>
          </w:tcPr>
          <w:p w:rsidR="00ED38D4" w:rsidRDefault="00ED38D4" w:rsidP="004B54F6">
            <w:pPr>
              <w:pStyle w:val="NoSpacing"/>
              <w:jc w:val="right"/>
            </w:pPr>
            <w:r>
              <w:t>Land improvements</w:t>
            </w:r>
          </w:p>
        </w:tc>
      </w:tr>
      <w:tr w:rsidR="00ED38D4" w:rsidTr="00ED38D4">
        <w:tc>
          <w:tcPr>
            <w:tcW w:w="1701" w:type="dxa"/>
          </w:tcPr>
          <w:p w:rsidR="00ED38D4" w:rsidRDefault="00ED38D4" w:rsidP="004B54F6">
            <w:pPr>
              <w:jc w:val="right"/>
            </w:pPr>
            <w:r w:rsidRPr="00CC5F1B">
              <w:t>$’000</w:t>
            </w:r>
          </w:p>
        </w:tc>
        <w:tc>
          <w:tcPr>
            <w:tcW w:w="1701" w:type="dxa"/>
          </w:tcPr>
          <w:p w:rsidR="00ED38D4" w:rsidRDefault="00ED38D4" w:rsidP="004B54F6">
            <w:pPr>
              <w:jc w:val="right"/>
            </w:pPr>
            <w:r w:rsidRPr="00CC5F1B">
              <w:t>$’000</w:t>
            </w:r>
          </w:p>
        </w:tc>
        <w:tc>
          <w:tcPr>
            <w:tcW w:w="1701" w:type="dxa"/>
          </w:tcPr>
          <w:p w:rsidR="00ED38D4" w:rsidRDefault="00ED38D4" w:rsidP="004B54F6">
            <w:pPr>
              <w:jc w:val="right"/>
            </w:pPr>
            <w:r w:rsidRPr="00CC5F1B">
              <w:t>$’000</w:t>
            </w:r>
          </w:p>
        </w:tc>
        <w:tc>
          <w:tcPr>
            <w:tcW w:w="1701" w:type="dxa"/>
          </w:tcPr>
          <w:p w:rsidR="00ED38D4" w:rsidRDefault="00ED38D4" w:rsidP="004B54F6">
            <w:pPr>
              <w:jc w:val="right"/>
            </w:pPr>
            <w:r w:rsidRPr="00CC5F1B">
              <w:t>$’000</w:t>
            </w:r>
          </w:p>
        </w:tc>
        <w:tc>
          <w:tcPr>
            <w:tcW w:w="1701" w:type="dxa"/>
          </w:tcPr>
          <w:p w:rsidR="00ED38D4" w:rsidRDefault="00ED38D4" w:rsidP="004B54F6">
            <w:pPr>
              <w:jc w:val="right"/>
            </w:pPr>
            <w:r w:rsidRPr="00CC5F1B">
              <w:t>$’000</w:t>
            </w:r>
          </w:p>
        </w:tc>
        <w:tc>
          <w:tcPr>
            <w:tcW w:w="1701" w:type="dxa"/>
          </w:tcPr>
          <w:p w:rsidR="00ED38D4" w:rsidRDefault="00ED38D4" w:rsidP="004B54F6">
            <w:pPr>
              <w:jc w:val="right"/>
            </w:pPr>
            <w:r w:rsidRPr="00CC5F1B">
              <w:t>$’000</w:t>
            </w:r>
          </w:p>
        </w:tc>
      </w:tr>
    </w:tbl>
    <w:p w:rsidR="00ED38D4" w:rsidRDefault="00ED38D4" w:rsidP="00A31F01">
      <w:pPr>
        <w:pStyle w:val="NoSpacing"/>
      </w:pPr>
      <w:r>
        <w:t>Consolidated 2017</w:t>
      </w:r>
    </w:p>
    <w:tbl>
      <w:tblPr>
        <w:tblStyle w:val="TableGrid"/>
        <w:tblW w:w="14454" w:type="dxa"/>
        <w:tblLook w:val="04A0" w:firstRow="1" w:lastRow="0" w:firstColumn="1" w:lastColumn="0" w:noHBand="0" w:noVBand="1"/>
      </w:tblPr>
      <w:tblGrid>
        <w:gridCol w:w="4248"/>
        <w:gridCol w:w="1701"/>
        <w:gridCol w:w="1701"/>
        <w:gridCol w:w="1701"/>
        <w:gridCol w:w="1701"/>
        <w:gridCol w:w="1701"/>
        <w:gridCol w:w="1701"/>
      </w:tblGrid>
      <w:tr w:rsidR="00ED38D4" w:rsidTr="00ED38D4">
        <w:tc>
          <w:tcPr>
            <w:tcW w:w="4248" w:type="dxa"/>
          </w:tcPr>
          <w:p w:rsidR="00ED38D4" w:rsidRDefault="00ED38D4" w:rsidP="00A31F01">
            <w:pPr>
              <w:pStyle w:val="NoSpacing"/>
            </w:pPr>
            <w:r>
              <w:t>Opening balance</w:t>
            </w:r>
          </w:p>
        </w:tc>
        <w:tc>
          <w:tcPr>
            <w:tcW w:w="1701" w:type="dxa"/>
          </w:tcPr>
          <w:p w:rsidR="00ED38D4" w:rsidRDefault="00ED38D4" w:rsidP="00ED38D4">
            <w:pPr>
              <w:pStyle w:val="NoSpacing"/>
              <w:jc w:val="right"/>
            </w:pPr>
            <w:r>
              <w:t>47,117</w:t>
            </w:r>
          </w:p>
        </w:tc>
        <w:tc>
          <w:tcPr>
            <w:tcW w:w="1701" w:type="dxa"/>
          </w:tcPr>
          <w:p w:rsidR="00ED38D4" w:rsidRDefault="00ED38D4" w:rsidP="00ED38D4">
            <w:pPr>
              <w:pStyle w:val="NoSpacing"/>
              <w:jc w:val="right"/>
            </w:pPr>
            <w:r>
              <w:t>186,400</w:t>
            </w:r>
          </w:p>
        </w:tc>
        <w:tc>
          <w:tcPr>
            <w:tcW w:w="1701" w:type="dxa"/>
          </w:tcPr>
          <w:p w:rsidR="00ED38D4" w:rsidRDefault="00ED38D4" w:rsidP="00ED38D4">
            <w:pPr>
              <w:pStyle w:val="NoSpacing"/>
              <w:jc w:val="right"/>
            </w:pPr>
            <w:r>
              <w:t>4,940</w:t>
            </w:r>
          </w:p>
        </w:tc>
        <w:tc>
          <w:tcPr>
            <w:tcW w:w="1701" w:type="dxa"/>
          </w:tcPr>
          <w:p w:rsidR="00ED38D4" w:rsidRDefault="00ED38D4" w:rsidP="00ED38D4">
            <w:pPr>
              <w:pStyle w:val="NoSpacing"/>
              <w:jc w:val="right"/>
            </w:pPr>
            <w:r>
              <w:t>344</w:t>
            </w:r>
          </w:p>
        </w:tc>
        <w:tc>
          <w:tcPr>
            <w:tcW w:w="1701" w:type="dxa"/>
          </w:tcPr>
          <w:p w:rsidR="00ED38D4" w:rsidRDefault="00ED38D4" w:rsidP="00ED38D4">
            <w:pPr>
              <w:pStyle w:val="NoSpacing"/>
              <w:jc w:val="right"/>
            </w:pPr>
            <w:r>
              <w:t>1,087</w:t>
            </w:r>
          </w:p>
        </w:tc>
        <w:tc>
          <w:tcPr>
            <w:tcW w:w="1701" w:type="dxa"/>
          </w:tcPr>
          <w:p w:rsidR="00ED38D4" w:rsidRDefault="00ED38D4" w:rsidP="00ED38D4">
            <w:pPr>
              <w:pStyle w:val="NoSpacing"/>
              <w:jc w:val="right"/>
            </w:pPr>
            <w:r>
              <w:t>1,451</w:t>
            </w:r>
          </w:p>
        </w:tc>
      </w:tr>
      <w:tr w:rsidR="00ED38D4" w:rsidTr="00ED38D4">
        <w:tc>
          <w:tcPr>
            <w:tcW w:w="4248" w:type="dxa"/>
          </w:tcPr>
          <w:p w:rsidR="00ED38D4" w:rsidRDefault="00ED38D4" w:rsidP="00A31F01">
            <w:pPr>
              <w:pStyle w:val="NoSpacing"/>
            </w:pPr>
            <w:r>
              <w:t>Purchases (sales)</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1,256</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61</w:t>
            </w:r>
          </w:p>
        </w:tc>
        <w:tc>
          <w:tcPr>
            <w:tcW w:w="1701" w:type="dxa"/>
          </w:tcPr>
          <w:p w:rsidR="00ED38D4" w:rsidRDefault="00ED38D4" w:rsidP="00ED38D4">
            <w:pPr>
              <w:pStyle w:val="NoSpacing"/>
              <w:jc w:val="right"/>
            </w:pPr>
            <w:r>
              <w:t>-</w:t>
            </w:r>
          </w:p>
        </w:tc>
      </w:tr>
      <w:tr w:rsidR="00ED38D4" w:rsidTr="00ED38D4">
        <w:tc>
          <w:tcPr>
            <w:tcW w:w="4248" w:type="dxa"/>
          </w:tcPr>
          <w:p w:rsidR="00ED38D4" w:rsidRDefault="00ED38D4" w:rsidP="00A31F01">
            <w:pPr>
              <w:pStyle w:val="NoSpacing"/>
            </w:pPr>
            <w:r>
              <w:t>Transfers in (out) of Level 3</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(66)</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r>
      <w:tr w:rsidR="00ED38D4" w:rsidTr="00ED38D4">
        <w:tc>
          <w:tcPr>
            <w:tcW w:w="4248" w:type="dxa"/>
          </w:tcPr>
          <w:p w:rsidR="00ED38D4" w:rsidRDefault="00ED38D4" w:rsidP="00A31F01">
            <w:pPr>
              <w:pStyle w:val="NoSpacing"/>
            </w:pPr>
            <w:r>
              <w:t>Depreciation</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(1,342)</w:t>
            </w:r>
          </w:p>
        </w:tc>
        <w:tc>
          <w:tcPr>
            <w:tcW w:w="1701" w:type="dxa"/>
          </w:tcPr>
          <w:p w:rsidR="00ED38D4" w:rsidRDefault="00ED38D4" w:rsidP="00ED38D4">
            <w:pPr>
              <w:pStyle w:val="NoSpacing"/>
              <w:jc w:val="right"/>
            </w:pPr>
            <w:r>
              <w:t>2</w:t>
            </w:r>
          </w:p>
        </w:tc>
        <w:tc>
          <w:tcPr>
            <w:tcW w:w="1701" w:type="dxa"/>
          </w:tcPr>
          <w:p w:rsidR="00ED38D4" w:rsidRDefault="00ED38D4" w:rsidP="00ED38D4">
            <w:pPr>
              <w:pStyle w:val="NoSpacing"/>
              <w:jc w:val="right"/>
            </w:pPr>
            <w:r>
              <w:t>(498)</w:t>
            </w:r>
          </w:p>
        </w:tc>
        <w:tc>
          <w:tcPr>
            <w:tcW w:w="1701" w:type="dxa"/>
          </w:tcPr>
          <w:p w:rsidR="00ED38D4" w:rsidRDefault="00ED38D4" w:rsidP="00ED38D4">
            <w:pPr>
              <w:pStyle w:val="NoSpacing"/>
              <w:jc w:val="right"/>
            </w:pPr>
            <w:r>
              <w:t>-</w:t>
            </w:r>
          </w:p>
        </w:tc>
      </w:tr>
      <w:tr w:rsidR="00ED38D4" w:rsidTr="00ED38D4">
        <w:tc>
          <w:tcPr>
            <w:tcW w:w="4248" w:type="dxa"/>
          </w:tcPr>
          <w:p w:rsidR="00ED38D4" w:rsidRDefault="00ED38D4" w:rsidP="00A31F01">
            <w:pPr>
              <w:pStyle w:val="NoSpacing"/>
            </w:pPr>
            <w:r>
              <w:t>Revaluation</w:t>
            </w:r>
          </w:p>
        </w:tc>
        <w:tc>
          <w:tcPr>
            <w:tcW w:w="1701" w:type="dxa"/>
          </w:tcPr>
          <w:p w:rsidR="00ED38D4" w:rsidRDefault="00ED38D4" w:rsidP="00ED38D4">
            <w:pPr>
              <w:pStyle w:val="NoSpacing"/>
              <w:jc w:val="right"/>
            </w:pPr>
            <w:r>
              <w:t>5,581</w:t>
            </w:r>
          </w:p>
        </w:tc>
        <w:tc>
          <w:tcPr>
            <w:tcW w:w="1701" w:type="dxa"/>
          </w:tcPr>
          <w:p w:rsidR="00ED38D4" w:rsidRDefault="00ED38D4" w:rsidP="00ED38D4">
            <w:pPr>
              <w:pStyle w:val="NoSpacing"/>
              <w:jc w:val="right"/>
            </w:pPr>
            <w:r>
              <w:t>6,702</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1,051</w:t>
            </w:r>
          </w:p>
        </w:tc>
      </w:tr>
      <w:tr w:rsidR="00ED38D4" w:rsidTr="00ED38D4">
        <w:tc>
          <w:tcPr>
            <w:tcW w:w="4248" w:type="dxa"/>
          </w:tcPr>
          <w:p w:rsidR="00ED38D4" w:rsidRDefault="00ED38D4" w:rsidP="00A31F01">
            <w:pPr>
              <w:pStyle w:val="NoSpacing"/>
            </w:pPr>
            <w:r>
              <w:t>Closing balance</w:t>
            </w:r>
          </w:p>
        </w:tc>
        <w:tc>
          <w:tcPr>
            <w:tcW w:w="1701" w:type="dxa"/>
          </w:tcPr>
          <w:p w:rsidR="00ED38D4" w:rsidRDefault="00ED38D4" w:rsidP="00ED38D4">
            <w:pPr>
              <w:pStyle w:val="NoSpacing"/>
              <w:jc w:val="right"/>
            </w:pPr>
            <w:r>
              <w:t>52,698</w:t>
            </w:r>
          </w:p>
        </w:tc>
        <w:tc>
          <w:tcPr>
            <w:tcW w:w="1701" w:type="dxa"/>
          </w:tcPr>
          <w:p w:rsidR="00ED38D4" w:rsidRDefault="00ED38D4" w:rsidP="00ED38D4">
            <w:pPr>
              <w:pStyle w:val="NoSpacing"/>
              <w:jc w:val="right"/>
            </w:pPr>
            <w:r>
              <w:t>193,102</w:t>
            </w:r>
          </w:p>
        </w:tc>
        <w:tc>
          <w:tcPr>
            <w:tcW w:w="1701" w:type="dxa"/>
          </w:tcPr>
          <w:p w:rsidR="00ED38D4" w:rsidRDefault="00ED38D4" w:rsidP="00ED38D4">
            <w:pPr>
              <w:pStyle w:val="NoSpacing"/>
              <w:jc w:val="right"/>
            </w:pPr>
            <w:r>
              <w:t>4,854</w:t>
            </w:r>
          </w:p>
        </w:tc>
        <w:tc>
          <w:tcPr>
            <w:tcW w:w="1701" w:type="dxa"/>
          </w:tcPr>
          <w:p w:rsidR="00ED38D4" w:rsidRDefault="00ED38D4" w:rsidP="00ED38D4">
            <w:pPr>
              <w:pStyle w:val="NoSpacing"/>
              <w:jc w:val="right"/>
            </w:pPr>
            <w:r>
              <w:t>280</w:t>
            </w:r>
          </w:p>
        </w:tc>
        <w:tc>
          <w:tcPr>
            <w:tcW w:w="1701" w:type="dxa"/>
          </w:tcPr>
          <w:p w:rsidR="00ED38D4" w:rsidRDefault="00ED38D4" w:rsidP="00ED38D4">
            <w:pPr>
              <w:pStyle w:val="NoSpacing"/>
              <w:jc w:val="right"/>
            </w:pPr>
            <w:r>
              <w:t>650</w:t>
            </w:r>
          </w:p>
        </w:tc>
        <w:tc>
          <w:tcPr>
            <w:tcW w:w="1701" w:type="dxa"/>
          </w:tcPr>
          <w:p w:rsidR="00ED38D4" w:rsidRDefault="00ED38D4" w:rsidP="00ED38D4">
            <w:pPr>
              <w:pStyle w:val="NoSpacing"/>
              <w:jc w:val="right"/>
            </w:pPr>
            <w:r>
              <w:t>2,502</w:t>
            </w:r>
          </w:p>
        </w:tc>
      </w:tr>
    </w:tbl>
    <w:p w:rsidR="00ED38D4" w:rsidRDefault="00ED38D4" w:rsidP="00A31F01">
      <w:pPr>
        <w:pStyle w:val="NoSpacing"/>
      </w:pPr>
    </w:p>
    <w:p w:rsidR="00ED38D4" w:rsidRDefault="00ED38D4" w:rsidP="00ED38D4">
      <w:pPr>
        <w:pStyle w:val="NoSpacing"/>
      </w:pPr>
      <w:r>
        <w:t>Consolidated 2016</w:t>
      </w:r>
    </w:p>
    <w:tbl>
      <w:tblPr>
        <w:tblStyle w:val="TableGrid"/>
        <w:tblW w:w="14454" w:type="dxa"/>
        <w:tblLook w:val="04A0" w:firstRow="1" w:lastRow="0" w:firstColumn="1" w:lastColumn="0" w:noHBand="0" w:noVBand="1"/>
      </w:tblPr>
      <w:tblGrid>
        <w:gridCol w:w="4248"/>
        <w:gridCol w:w="1701"/>
        <w:gridCol w:w="1701"/>
        <w:gridCol w:w="1701"/>
        <w:gridCol w:w="1701"/>
        <w:gridCol w:w="1701"/>
        <w:gridCol w:w="1701"/>
      </w:tblGrid>
      <w:tr w:rsidR="00ED38D4" w:rsidTr="004B54F6">
        <w:tc>
          <w:tcPr>
            <w:tcW w:w="4248" w:type="dxa"/>
          </w:tcPr>
          <w:p w:rsidR="00ED38D4" w:rsidRPr="0008036D" w:rsidRDefault="00ED38D4" w:rsidP="00ED38D4">
            <w:r w:rsidRPr="0008036D">
              <w:t>Opening balance</w:t>
            </w:r>
          </w:p>
        </w:tc>
        <w:tc>
          <w:tcPr>
            <w:tcW w:w="1701" w:type="dxa"/>
          </w:tcPr>
          <w:p w:rsidR="00ED38D4" w:rsidRDefault="00ED38D4" w:rsidP="00ED38D4">
            <w:pPr>
              <w:pStyle w:val="NoSpacing"/>
              <w:jc w:val="right"/>
            </w:pPr>
            <w:r>
              <w:t>40,146</w:t>
            </w:r>
          </w:p>
        </w:tc>
        <w:tc>
          <w:tcPr>
            <w:tcW w:w="1701" w:type="dxa"/>
          </w:tcPr>
          <w:p w:rsidR="00ED38D4" w:rsidRDefault="00ED38D4" w:rsidP="00ED38D4">
            <w:pPr>
              <w:pStyle w:val="NoSpacing"/>
              <w:jc w:val="right"/>
            </w:pPr>
            <w:r>
              <w:t>193,369</w:t>
            </w:r>
          </w:p>
        </w:tc>
        <w:tc>
          <w:tcPr>
            <w:tcW w:w="1701" w:type="dxa"/>
          </w:tcPr>
          <w:p w:rsidR="00ED38D4" w:rsidRDefault="00ED38D4" w:rsidP="00ED38D4">
            <w:pPr>
              <w:pStyle w:val="NoSpacing"/>
              <w:jc w:val="right"/>
            </w:pPr>
            <w:r>
              <w:t>5,020</w:t>
            </w:r>
          </w:p>
        </w:tc>
        <w:tc>
          <w:tcPr>
            <w:tcW w:w="1701" w:type="dxa"/>
          </w:tcPr>
          <w:p w:rsidR="00ED38D4" w:rsidRDefault="00ED38D4" w:rsidP="00ED38D4">
            <w:pPr>
              <w:pStyle w:val="NoSpacing"/>
              <w:jc w:val="right"/>
            </w:pPr>
            <w:r>
              <w:t>70</w:t>
            </w:r>
          </w:p>
        </w:tc>
        <w:tc>
          <w:tcPr>
            <w:tcW w:w="1701" w:type="dxa"/>
          </w:tcPr>
          <w:p w:rsidR="00ED38D4" w:rsidRDefault="00085A3C" w:rsidP="00ED38D4">
            <w:pPr>
              <w:pStyle w:val="NoSpacing"/>
              <w:jc w:val="right"/>
            </w:pPr>
            <w:r>
              <w:t>1,254</w:t>
            </w:r>
          </w:p>
        </w:tc>
        <w:tc>
          <w:tcPr>
            <w:tcW w:w="1701" w:type="dxa"/>
          </w:tcPr>
          <w:p w:rsidR="00ED38D4" w:rsidRDefault="00085A3C" w:rsidP="00ED38D4">
            <w:pPr>
              <w:pStyle w:val="NoSpacing"/>
              <w:jc w:val="right"/>
            </w:pPr>
            <w:r>
              <w:t>1,498</w:t>
            </w:r>
          </w:p>
        </w:tc>
      </w:tr>
      <w:tr w:rsidR="00ED38D4" w:rsidTr="004B54F6">
        <w:tc>
          <w:tcPr>
            <w:tcW w:w="4248" w:type="dxa"/>
          </w:tcPr>
          <w:p w:rsidR="00ED38D4" w:rsidRPr="0008036D" w:rsidRDefault="00ED38D4" w:rsidP="00ED38D4">
            <w:r w:rsidRPr="0008036D">
              <w:t>Purchases (sales)</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1,307</w:t>
            </w:r>
          </w:p>
        </w:tc>
        <w:tc>
          <w:tcPr>
            <w:tcW w:w="1701" w:type="dxa"/>
          </w:tcPr>
          <w:p w:rsidR="00ED38D4" w:rsidRDefault="00ED38D4" w:rsidP="00ED38D4">
            <w:pPr>
              <w:pStyle w:val="NoSpacing"/>
              <w:jc w:val="right"/>
            </w:pPr>
            <w:r>
              <w:t>318</w:t>
            </w:r>
          </w:p>
        </w:tc>
        <w:tc>
          <w:tcPr>
            <w:tcW w:w="1701" w:type="dxa"/>
          </w:tcPr>
          <w:p w:rsidR="00ED38D4" w:rsidRDefault="00085A3C" w:rsidP="00ED38D4">
            <w:pPr>
              <w:pStyle w:val="NoSpacing"/>
              <w:jc w:val="right"/>
            </w:pPr>
            <w:r>
              <w:t>375</w:t>
            </w:r>
          </w:p>
        </w:tc>
        <w:tc>
          <w:tcPr>
            <w:tcW w:w="1701" w:type="dxa"/>
          </w:tcPr>
          <w:p w:rsidR="00ED38D4" w:rsidRDefault="00085A3C" w:rsidP="00ED38D4">
            <w:pPr>
              <w:pStyle w:val="NoSpacing"/>
              <w:jc w:val="right"/>
            </w:pPr>
            <w:r>
              <w:t>30</w:t>
            </w:r>
          </w:p>
        </w:tc>
      </w:tr>
      <w:tr w:rsidR="00ED38D4" w:rsidTr="004B54F6">
        <w:tc>
          <w:tcPr>
            <w:tcW w:w="4248" w:type="dxa"/>
          </w:tcPr>
          <w:p w:rsidR="00ED38D4" w:rsidRPr="0008036D" w:rsidRDefault="00ED38D4" w:rsidP="00ED38D4">
            <w:r w:rsidRPr="0008036D">
              <w:t>Transfers in (out) of Level 3</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(1,725)</w:t>
            </w:r>
          </w:p>
        </w:tc>
        <w:tc>
          <w:tcPr>
            <w:tcW w:w="1701" w:type="dxa"/>
          </w:tcPr>
          <w:p w:rsidR="00ED38D4" w:rsidRDefault="00ED38D4" w:rsidP="00ED38D4">
            <w:pPr>
              <w:pStyle w:val="NoSpacing"/>
              <w:jc w:val="right"/>
            </w:pPr>
            <w:r>
              <w:t>(24)</w:t>
            </w:r>
          </w:p>
        </w:tc>
        <w:tc>
          <w:tcPr>
            <w:tcW w:w="1701" w:type="dxa"/>
          </w:tcPr>
          <w:p w:rsidR="00ED38D4" w:rsidRDefault="00ED38D4"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r>
      <w:tr w:rsidR="00ED38D4" w:rsidTr="004B54F6">
        <w:tc>
          <w:tcPr>
            <w:tcW w:w="4248" w:type="dxa"/>
          </w:tcPr>
          <w:p w:rsidR="00ED38D4" w:rsidRPr="0008036D" w:rsidRDefault="00ED38D4" w:rsidP="00ED38D4">
            <w:r w:rsidRPr="0008036D">
              <w:t>Depreciation</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(5,244)</w:t>
            </w:r>
          </w:p>
        </w:tc>
        <w:tc>
          <w:tcPr>
            <w:tcW w:w="1701" w:type="dxa"/>
          </w:tcPr>
          <w:p w:rsidR="00ED38D4" w:rsidRDefault="00ED38D4" w:rsidP="00ED38D4">
            <w:pPr>
              <w:pStyle w:val="NoSpacing"/>
              <w:jc w:val="right"/>
            </w:pPr>
            <w:r>
              <w:t>(1,363)</w:t>
            </w:r>
          </w:p>
        </w:tc>
        <w:tc>
          <w:tcPr>
            <w:tcW w:w="1701" w:type="dxa"/>
          </w:tcPr>
          <w:p w:rsidR="00ED38D4" w:rsidRDefault="00ED38D4" w:rsidP="00ED38D4">
            <w:pPr>
              <w:pStyle w:val="NoSpacing"/>
              <w:jc w:val="right"/>
            </w:pPr>
            <w:r>
              <w:t>(44)</w:t>
            </w:r>
          </w:p>
        </w:tc>
        <w:tc>
          <w:tcPr>
            <w:tcW w:w="1701" w:type="dxa"/>
          </w:tcPr>
          <w:p w:rsidR="00ED38D4" w:rsidRDefault="00085A3C" w:rsidP="00ED38D4">
            <w:pPr>
              <w:pStyle w:val="NoSpacing"/>
              <w:jc w:val="right"/>
            </w:pPr>
            <w:r>
              <w:t>(542)</w:t>
            </w:r>
          </w:p>
        </w:tc>
        <w:tc>
          <w:tcPr>
            <w:tcW w:w="1701" w:type="dxa"/>
          </w:tcPr>
          <w:p w:rsidR="00ED38D4" w:rsidRDefault="00085A3C" w:rsidP="00ED38D4">
            <w:pPr>
              <w:pStyle w:val="NoSpacing"/>
              <w:jc w:val="right"/>
            </w:pPr>
            <w:r>
              <w:t>(77)</w:t>
            </w:r>
          </w:p>
        </w:tc>
      </w:tr>
      <w:tr w:rsidR="00ED38D4" w:rsidTr="004B54F6">
        <w:tc>
          <w:tcPr>
            <w:tcW w:w="4248" w:type="dxa"/>
          </w:tcPr>
          <w:p w:rsidR="00ED38D4" w:rsidRPr="0008036D" w:rsidRDefault="00ED38D4" w:rsidP="00ED38D4">
            <w:r w:rsidRPr="0008036D">
              <w:t>Revaluation</w:t>
            </w:r>
          </w:p>
        </w:tc>
        <w:tc>
          <w:tcPr>
            <w:tcW w:w="1701" w:type="dxa"/>
          </w:tcPr>
          <w:p w:rsidR="00ED38D4" w:rsidRDefault="00ED38D4" w:rsidP="00ED38D4">
            <w:pPr>
              <w:pStyle w:val="NoSpacing"/>
              <w:jc w:val="right"/>
            </w:pPr>
            <w:r>
              <w:t>6,971</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ED38D4"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r>
      <w:tr w:rsidR="00ED38D4" w:rsidTr="004B54F6">
        <w:tc>
          <w:tcPr>
            <w:tcW w:w="4248" w:type="dxa"/>
          </w:tcPr>
          <w:p w:rsidR="00ED38D4" w:rsidRDefault="00ED38D4" w:rsidP="00ED38D4">
            <w:r w:rsidRPr="0008036D">
              <w:t>Closing balance</w:t>
            </w:r>
          </w:p>
        </w:tc>
        <w:tc>
          <w:tcPr>
            <w:tcW w:w="1701" w:type="dxa"/>
          </w:tcPr>
          <w:p w:rsidR="00ED38D4" w:rsidRDefault="00ED38D4" w:rsidP="00ED38D4">
            <w:pPr>
              <w:pStyle w:val="NoSpacing"/>
              <w:jc w:val="right"/>
            </w:pPr>
            <w:r>
              <w:t>47,117</w:t>
            </w:r>
          </w:p>
        </w:tc>
        <w:tc>
          <w:tcPr>
            <w:tcW w:w="1701" w:type="dxa"/>
          </w:tcPr>
          <w:p w:rsidR="00ED38D4" w:rsidRDefault="00ED38D4" w:rsidP="00ED38D4">
            <w:pPr>
              <w:pStyle w:val="NoSpacing"/>
              <w:jc w:val="right"/>
            </w:pPr>
            <w:r>
              <w:t>186,400</w:t>
            </w:r>
          </w:p>
        </w:tc>
        <w:tc>
          <w:tcPr>
            <w:tcW w:w="1701" w:type="dxa"/>
          </w:tcPr>
          <w:p w:rsidR="00ED38D4" w:rsidRDefault="00ED38D4" w:rsidP="00ED38D4">
            <w:pPr>
              <w:pStyle w:val="NoSpacing"/>
              <w:jc w:val="right"/>
            </w:pPr>
            <w:r>
              <w:t>4,940</w:t>
            </w:r>
          </w:p>
        </w:tc>
        <w:tc>
          <w:tcPr>
            <w:tcW w:w="1701" w:type="dxa"/>
          </w:tcPr>
          <w:p w:rsidR="00ED38D4" w:rsidRDefault="00ED38D4" w:rsidP="00ED38D4">
            <w:pPr>
              <w:pStyle w:val="NoSpacing"/>
              <w:jc w:val="right"/>
            </w:pPr>
            <w:r>
              <w:t>344</w:t>
            </w:r>
          </w:p>
        </w:tc>
        <w:tc>
          <w:tcPr>
            <w:tcW w:w="1701" w:type="dxa"/>
          </w:tcPr>
          <w:p w:rsidR="00ED38D4" w:rsidRDefault="00085A3C" w:rsidP="00ED38D4">
            <w:pPr>
              <w:pStyle w:val="NoSpacing"/>
              <w:jc w:val="right"/>
            </w:pPr>
            <w:r>
              <w:t>1,087</w:t>
            </w:r>
          </w:p>
        </w:tc>
        <w:tc>
          <w:tcPr>
            <w:tcW w:w="1701" w:type="dxa"/>
          </w:tcPr>
          <w:p w:rsidR="00ED38D4" w:rsidRDefault="00085A3C" w:rsidP="00ED38D4">
            <w:pPr>
              <w:pStyle w:val="NoSpacing"/>
              <w:jc w:val="right"/>
            </w:pPr>
            <w:r>
              <w:t>1,451</w:t>
            </w:r>
          </w:p>
        </w:tc>
      </w:tr>
    </w:tbl>
    <w:p w:rsidR="00ED38D4" w:rsidRDefault="00ED38D4" w:rsidP="00A31F01">
      <w:pPr>
        <w:pStyle w:val="NoSpacing"/>
      </w:pPr>
    </w:p>
    <w:p w:rsidR="00ED38D4" w:rsidRDefault="00ED38D4" w:rsidP="00ED38D4">
      <w:pPr>
        <w:pStyle w:val="NoSpacing"/>
      </w:pPr>
      <w:r>
        <w:t>Chisholm 2017</w:t>
      </w:r>
    </w:p>
    <w:tbl>
      <w:tblPr>
        <w:tblStyle w:val="TableGrid"/>
        <w:tblW w:w="14454" w:type="dxa"/>
        <w:tblLook w:val="04A0" w:firstRow="1" w:lastRow="0" w:firstColumn="1" w:lastColumn="0" w:noHBand="0" w:noVBand="1"/>
      </w:tblPr>
      <w:tblGrid>
        <w:gridCol w:w="4248"/>
        <w:gridCol w:w="1701"/>
        <w:gridCol w:w="1701"/>
        <w:gridCol w:w="1701"/>
        <w:gridCol w:w="1701"/>
        <w:gridCol w:w="1701"/>
        <w:gridCol w:w="1701"/>
      </w:tblGrid>
      <w:tr w:rsidR="00ED38D4" w:rsidTr="004B54F6">
        <w:tc>
          <w:tcPr>
            <w:tcW w:w="4248" w:type="dxa"/>
          </w:tcPr>
          <w:p w:rsidR="00ED38D4" w:rsidRPr="007811CB" w:rsidRDefault="00ED38D4" w:rsidP="00ED38D4">
            <w:r w:rsidRPr="007811CB">
              <w:t>Opening balance</w:t>
            </w:r>
          </w:p>
        </w:tc>
        <w:tc>
          <w:tcPr>
            <w:tcW w:w="1701" w:type="dxa"/>
          </w:tcPr>
          <w:p w:rsidR="00ED38D4" w:rsidRDefault="00085A3C" w:rsidP="00ED38D4">
            <w:pPr>
              <w:pStyle w:val="NoSpacing"/>
              <w:jc w:val="right"/>
            </w:pPr>
            <w:r>
              <w:t>47,117</w:t>
            </w:r>
          </w:p>
        </w:tc>
        <w:tc>
          <w:tcPr>
            <w:tcW w:w="1701" w:type="dxa"/>
          </w:tcPr>
          <w:p w:rsidR="00ED38D4" w:rsidRDefault="00085A3C" w:rsidP="00ED38D4">
            <w:pPr>
              <w:pStyle w:val="NoSpacing"/>
              <w:jc w:val="right"/>
            </w:pPr>
            <w:r>
              <w:t>186,400</w:t>
            </w:r>
          </w:p>
        </w:tc>
        <w:tc>
          <w:tcPr>
            <w:tcW w:w="1701" w:type="dxa"/>
          </w:tcPr>
          <w:p w:rsidR="00ED38D4" w:rsidRDefault="00085A3C" w:rsidP="00ED38D4">
            <w:pPr>
              <w:pStyle w:val="NoSpacing"/>
              <w:jc w:val="right"/>
            </w:pPr>
            <w:r>
              <w:t>4,933</w:t>
            </w:r>
          </w:p>
        </w:tc>
        <w:tc>
          <w:tcPr>
            <w:tcW w:w="1701" w:type="dxa"/>
          </w:tcPr>
          <w:p w:rsidR="00ED38D4" w:rsidRDefault="00085A3C" w:rsidP="00ED38D4">
            <w:pPr>
              <w:pStyle w:val="NoSpacing"/>
              <w:jc w:val="right"/>
            </w:pPr>
            <w:r>
              <w:t>344</w:t>
            </w:r>
          </w:p>
        </w:tc>
        <w:tc>
          <w:tcPr>
            <w:tcW w:w="1701" w:type="dxa"/>
          </w:tcPr>
          <w:p w:rsidR="00ED38D4" w:rsidRDefault="00085A3C" w:rsidP="00ED38D4">
            <w:pPr>
              <w:pStyle w:val="NoSpacing"/>
              <w:jc w:val="right"/>
            </w:pPr>
            <w:r>
              <w:t>752</w:t>
            </w:r>
          </w:p>
        </w:tc>
        <w:tc>
          <w:tcPr>
            <w:tcW w:w="1701" w:type="dxa"/>
          </w:tcPr>
          <w:p w:rsidR="00ED38D4" w:rsidRDefault="00085A3C" w:rsidP="00ED38D4">
            <w:pPr>
              <w:pStyle w:val="NoSpacing"/>
              <w:jc w:val="right"/>
            </w:pPr>
            <w:r>
              <w:t>1,451</w:t>
            </w:r>
          </w:p>
        </w:tc>
      </w:tr>
      <w:tr w:rsidR="00ED38D4" w:rsidTr="004B54F6">
        <w:tc>
          <w:tcPr>
            <w:tcW w:w="4248" w:type="dxa"/>
          </w:tcPr>
          <w:p w:rsidR="00ED38D4" w:rsidRPr="007811CB" w:rsidRDefault="00ED38D4" w:rsidP="00ED38D4">
            <w:r w:rsidRPr="007811CB">
              <w:t>Purchases (sales)</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1,263</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396</w:t>
            </w:r>
          </w:p>
        </w:tc>
        <w:tc>
          <w:tcPr>
            <w:tcW w:w="1701" w:type="dxa"/>
          </w:tcPr>
          <w:p w:rsidR="00ED38D4" w:rsidRDefault="00085A3C" w:rsidP="00ED38D4">
            <w:pPr>
              <w:pStyle w:val="NoSpacing"/>
              <w:jc w:val="right"/>
            </w:pPr>
            <w:r>
              <w:t>-</w:t>
            </w:r>
          </w:p>
        </w:tc>
      </w:tr>
      <w:tr w:rsidR="00ED38D4" w:rsidTr="004B54F6">
        <w:tc>
          <w:tcPr>
            <w:tcW w:w="4248" w:type="dxa"/>
          </w:tcPr>
          <w:p w:rsidR="00ED38D4" w:rsidRPr="007811CB" w:rsidRDefault="00ED38D4" w:rsidP="00ED38D4">
            <w:r w:rsidRPr="007811CB">
              <w:t>Transfers in (out) of Level 3</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(66)</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r>
      <w:tr w:rsidR="00ED38D4" w:rsidTr="004B54F6">
        <w:tc>
          <w:tcPr>
            <w:tcW w:w="4248" w:type="dxa"/>
          </w:tcPr>
          <w:p w:rsidR="00ED38D4" w:rsidRPr="007811CB" w:rsidRDefault="00ED38D4" w:rsidP="00ED38D4">
            <w:r w:rsidRPr="007811CB">
              <w:t>Depreciation</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(1,342)</w:t>
            </w:r>
          </w:p>
        </w:tc>
        <w:tc>
          <w:tcPr>
            <w:tcW w:w="1701" w:type="dxa"/>
          </w:tcPr>
          <w:p w:rsidR="00ED38D4" w:rsidRDefault="00085A3C" w:rsidP="00ED38D4">
            <w:pPr>
              <w:pStyle w:val="NoSpacing"/>
              <w:jc w:val="right"/>
            </w:pPr>
            <w:r>
              <w:t>2</w:t>
            </w:r>
          </w:p>
        </w:tc>
        <w:tc>
          <w:tcPr>
            <w:tcW w:w="1701" w:type="dxa"/>
          </w:tcPr>
          <w:p w:rsidR="00ED38D4" w:rsidRDefault="00085A3C" w:rsidP="00ED38D4">
            <w:pPr>
              <w:pStyle w:val="NoSpacing"/>
              <w:jc w:val="right"/>
            </w:pPr>
            <w:r>
              <w:t>(498)</w:t>
            </w:r>
          </w:p>
        </w:tc>
        <w:tc>
          <w:tcPr>
            <w:tcW w:w="1701" w:type="dxa"/>
          </w:tcPr>
          <w:p w:rsidR="00ED38D4" w:rsidRDefault="00085A3C" w:rsidP="00ED38D4">
            <w:pPr>
              <w:pStyle w:val="NoSpacing"/>
              <w:jc w:val="right"/>
            </w:pPr>
            <w:r>
              <w:t>-</w:t>
            </w:r>
          </w:p>
        </w:tc>
      </w:tr>
      <w:tr w:rsidR="00ED38D4" w:rsidTr="004B54F6">
        <w:tc>
          <w:tcPr>
            <w:tcW w:w="4248" w:type="dxa"/>
          </w:tcPr>
          <w:p w:rsidR="00ED38D4" w:rsidRPr="007811CB" w:rsidRDefault="00ED38D4" w:rsidP="00ED38D4">
            <w:r w:rsidRPr="007811CB">
              <w:t>Revaluation</w:t>
            </w:r>
          </w:p>
        </w:tc>
        <w:tc>
          <w:tcPr>
            <w:tcW w:w="1701" w:type="dxa"/>
          </w:tcPr>
          <w:p w:rsidR="00ED38D4" w:rsidRDefault="00085A3C" w:rsidP="00ED38D4">
            <w:pPr>
              <w:pStyle w:val="NoSpacing"/>
              <w:jc w:val="right"/>
            </w:pPr>
            <w:r>
              <w:t>5,581</w:t>
            </w:r>
          </w:p>
        </w:tc>
        <w:tc>
          <w:tcPr>
            <w:tcW w:w="1701" w:type="dxa"/>
          </w:tcPr>
          <w:p w:rsidR="00ED38D4" w:rsidRDefault="00085A3C" w:rsidP="00ED38D4">
            <w:pPr>
              <w:pStyle w:val="NoSpacing"/>
              <w:jc w:val="right"/>
            </w:pPr>
            <w:r>
              <w:t>6,702</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1,051</w:t>
            </w:r>
          </w:p>
        </w:tc>
      </w:tr>
      <w:tr w:rsidR="00ED38D4" w:rsidTr="004B54F6">
        <w:tc>
          <w:tcPr>
            <w:tcW w:w="4248" w:type="dxa"/>
          </w:tcPr>
          <w:p w:rsidR="00ED38D4" w:rsidRDefault="00ED38D4" w:rsidP="00ED38D4">
            <w:r w:rsidRPr="007811CB">
              <w:t>Closing balance</w:t>
            </w:r>
          </w:p>
        </w:tc>
        <w:tc>
          <w:tcPr>
            <w:tcW w:w="1701" w:type="dxa"/>
          </w:tcPr>
          <w:p w:rsidR="00ED38D4" w:rsidRDefault="00085A3C" w:rsidP="00ED38D4">
            <w:pPr>
              <w:pStyle w:val="NoSpacing"/>
              <w:jc w:val="right"/>
            </w:pPr>
            <w:r>
              <w:t>52,698</w:t>
            </w:r>
          </w:p>
        </w:tc>
        <w:tc>
          <w:tcPr>
            <w:tcW w:w="1701" w:type="dxa"/>
          </w:tcPr>
          <w:p w:rsidR="00ED38D4" w:rsidRDefault="00085A3C" w:rsidP="00ED38D4">
            <w:pPr>
              <w:pStyle w:val="NoSpacing"/>
              <w:jc w:val="right"/>
            </w:pPr>
            <w:r>
              <w:t>193,102</w:t>
            </w:r>
          </w:p>
        </w:tc>
        <w:tc>
          <w:tcPr>
            <w:tcW w:w="1701" w:type="dxa"/>
          </w:tcPr>
          <w:p w:rsidR="00ED38D4" w:rsidRDefault="00085A3C" w:rsidP="00ED38D4">
            <w:pPr>
              <w:pStyle w:val="NoSpacing"/>
              <w:jc w:val="right"/>
            </w:pPr>
            <w:r>
              <w:t>4,854</w:t>
            </w:r>
          </w:p>
        </w:tc>
        <w:tc>
          <w:tcPr>
            <w:tcW w:w="1701" w:type="dxa"/>
          </w:tcPr>
          <w:p w:rsidR="00ED38D4" w:rsidRDefault="00085A3C" w:rsidP="00ED38D4">
            <w:pPr>
              <w:pStyle w:val="NoSpacing"/>
              <w:jc w:val="right"/>
            </w:pPr>
            <w:r>
              <w:t>280</w:t>
            </w:r>
          </w:p>
        </w:tc>
        <w:tc>
          <w:tcPr>
            <w:tcW w:w="1701" w:type="dxa"/>
          </w:tcPr>
          <w:p w:rsidR="00ED38D4" w:rsidRDefault="00085A3C" w:rsidP="00ED38D4">
            <w:pPr>
              <w:pStyle w:val="NoSpacing"/>
              <w:jc w:val="right"/>
            </w:pPr>
            <w:r>
              <w:t>650</w:t>
            </w:r>
          </w:p>
        </w:tc>
        <w:tc>
          <w:tcPr>
            <w:tcW w:w="1701" w:type="dxa"/>
          </w:tcPr>
          <w:p w:rsidR="00ED38D4" w:rsidRDefault="00085A3C" w:rsidP="00ED38D4">
            <w:pPr>
              <w:pStyle w:val="NoSpacing"/>
              <w:jc w:val="right"/>
            </w:pPr>
            <w:r>
              <w:t>2,502</w:t>
            </w:r>
          </w:p>
        </w:tc>
      </w:tr>
    </w:tbl>
    <w:p w:rsidR="00ED38D4" w:rsidRDefault="00ED38D4" w:rsidP="00ED38D4">
      <w:pPr>
        <w:pStyle w:val="NoSpacing"/>
      </w:pPr>
    </w:p>
    <w:p w:rsidR="00ED38D4" w:rsidRDefault="00ED38D4" w:rsidP="00ED38D4">
      <w:pPr>
        <w:pStyle w:val="NoSpacing"/>
      </w:pPr>
      <w:r>
        <w:lastRenderedPageBreak/>
        <w:t>Chisholm 2016</w:t>
      </w:r>
    </w:p>
    <w:tbl>
      <w:tblPr>
        <w:tblStyle w:val="TableGrid"/>
        <w:tblW w:w="14454" w:type="dxa"/>
        <w:tblLook w:val="04A0" w:firstRow="1" w:lastRow="0" w:firstColumn="1" w:lastColumn="0" w:noHBand="0" w:noVBand="1"/>
      </w:tblPr>
      <w:tblGrid>
        <w:gridCol w:w="4248"/>
        <w:gridCol w:w="1701"/>
        <w:gridCol w:w="1701"/>
        <w:gridCol w:w="1701"/>
        <w:gridCol w:w="1701"/>
        <w:gridCol w:w="1701"/>
        <w:gridCol w:w="1701"/>
      </w:tblGrid>
      <w:tr w:rsidR="00ED38D4" w:rsidTr="004B54F6">
        <w:tc>
          <w:tcPr>
            <w:tcW w:w="4248" w:type="dxa"/>
          </w:tcPr>
          <w:p w:rsidR="00ED38D4" w:rsidRPr="0025355C" w:rsidRDefault="00ED38D4" w:rsidP="00ED38D4">
            <w:r w:rsidRPr="0025355C">
              <w:t>Opening balance</w:t>
            </w:r>
          </w:p>
        </w:tc>
        <w:tc>
          <w:tcPr>
            <w:tcW w:w="1701" w:type="dxa"/>
          </w:tcPr>
          <w:p w:rsidR="00ED38D4" w:rsidRDefault="00085A3C" w:rsidP="00ED38D4">
            <w:pPr>
              <w:pStyle w:val="NoSpacing"/>
              <w:jc w:val="right"/>
            </w:pPr>
            <w:r>
              <w:t>40,146</w:t>
            </w:r>
          </w:p>
        </w:tc>
        <w:tc>
          <w:tcPr>
            <w:tcW w:w="1701" w:type="dxa"/>
          </w:tcPr>
          <w:p w:rsidR="00ED38D4" w:rsidRDefault="00085A3C" w:rsidP="00ED38D4">
            <w:pPr>
              <w:pStyle w:val="NoSpacing"/>
              <w:jc w:val="right"/>
            </w:pPr>
            <w:r>
              <w:t>193,369</w:t>
            </w:r>
          </w:p>
        </w:tc>
        <w:tc>
          <w:tcPr>
            <w:tcW w:w="1701" w:type="dxa"/>
          </w:tcPr>
          <w:p w:rsidR="00ED38D4" w:rsidRDefault="00085A3C" w:rsidP="00ED38D4">
            <w:pPr>
              <w:pStyle w:val="NoSpacing"/>
              <w:jc w:val="right"/>
            </w:pPr>
            <w:r>
              <w:t>5,020</w:t>
            </w:r>
          </w:p>
        </w:tc>
        <w:tc>
          <w:tcPr>
            <w:tcW w:w="1701" w:type="dxa"/>
          </w:tcPr>
          <w:p w:rsidR="00ED38D4" w:rsidRDefault="00085A3C" w:rsidP="00ED38D4">
            <w:pPr>
              <w:pStyle w:val="NoSpacing"/>
              <w:jc w:val="right"/>
            </w:pPr>
            <w:r>
              <w:t>70</w:t>
            </w:r>
          </w:p>
        </w:tc>
        <w:tc>
          <w:tcPr>
            <w:tcW w:w="1701" w:type="dxa"/>
          </w:tcPr>
          <w:p w:rsidR="00ED38D4" w:rsidRDefault="00085A3C" w:rsidP="00ED38D4">
            <w:pPr>
              <w:pStyle w:val="NoSpacing"/>
              <w:jc w:val="right"/>
            </w:pPr>
            <w:r>
              <w:t>1,254</w:t>
            </w:r>
          </w:p>
        </w:tc>
        <w:tc>
          <w:tcPr>
            <w:tcW w:w="1701" w:type="dxa"/>
          </w:tcPr>
          <w:p w:rsidR="00ED38D4" w:rsidRDefault="00085A3C" w:rsidP="00ED38D4">
            <w:pPr>
              <w:pStyle w:val="NoSpacing"/>
              <w:jc w:val="right"/>
            </w:pPr>
            <w:r>
              <w:t>1,498</w:t>
            </w:r>
          </w:p>
        </w:tc>
      </w:tr>
      <w:tr w:rsidR="00ED38D4" w:rsidTr="004B54F6">
        <w:tc>
          <w:tcPr>
            <w:tcW w:w="4248" w:type="dxa"/>
          </w:tcPr>
          <w:p w:rsidR="00ED38D4" w:rsidRPr="0025355C" w:rsidRDefault="00ED38D4" w:rsidP="00ED38D4">
            <w:r w:rsidRPr="0025355C">
              <w:t>Purchases (sales)</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1,300</w:t>
            </w:r>
          </w:p>
        </w:tc>
        <w:tc>
          <w:tcPr>
            <w:tcW w:w="1701" w:type="dxa"/>
          </w:tcPr>
          <w:p w:rsidR="00ED38D4" w:rsidRDefault="00085A3C" w:rsidP="00ED38D4">
            <w:pPr>
              <w:pStyle w:val="NoSpacing"/>
              <w:jc w:val="right"/>
            </w:pPr>
            <w:r>
              <w:t>318</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30</w:t>
            </w:r>
          </w:p>
        </w:tc>
      </w:tr>
      <w:tr w:rsidR="00ED38D4" w:rsidTr="004B54F6">
        <w:tc>
          <w:tcPr>
            <w:tcW w:w="4248" w:type="dxa"/>
          </w:tcPr>
          <w:p w:rsidR="00ED38D4" w:rsidRPr="0025355C" w:rsidRDefault="00ED38D4" w:rsidP="00ED38D4">
            <w:r w:rsidRPr="0025355C">
              <w:t>Transfers in (out) of Level 3</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(1,725)</w:t>
            </w:r>
          </w:p>
        </w:tc>
        <w:tc>
          <w:tcPr>
            <w:tcW w:w="1701" w:type="dxa"/>
          </w:tcPr>
          <w:p w:rsidR="00ED38D4" w:rsidRDefault="00085A3C" w:rsidP="00ED38D4">
            <w:pPr>
              <w:pStyle w:val="NoSpacing"/>
              <w:jc w:val="right"/>
            </w:pPr>
            <w:r>
              <w:t>(24)</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r>
      <w:tr w:rsidR="00ED38D4" w:rsidTr="004B54F6">
        <w:tc>
          <w:tcPr>
            <w:tcW w:w="4248" w:type="dxa"/>
          </w:tcPr>
          <w:p w:rsidR="00ED38D4" w:rsidRPr="0025355C" w:rsidRDefault="00ED38D4" w:rsidP="00ED38D4">
            <w:r w:rsidRPr="0025355C">
              <w:t>Depreciation</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(5,244)</w:t>
            </w:r>
          </w:p>
        </w:tc>
        <w:tc>
          <w:tcPr>
            <w:tcW w:w="1701" w:type="dxa"/>
          </w:tcPr>
          <w:p w:rsidR="00ED38D4" w:rsidRDefault="00085A3C" w:rsidP="00ED38D4">
            <w:pPr>
              <w:pStyle w:val="NoSpacing"/>
              <w:jc w:val="right"/>
            </w:pPr>
            <w:r>
              <w:t>(1,363)</w:t>
            </w:r>
          </w:p>
        </w:tc>
        <w:tc>
          <w:tcPr>
            <w:tcW w:w="1701" w:type="dxa"/>
          </w:tcPr>
          <w:p w:rsidR="00ED38D4" w:rsidRDefault="00085A3C" w:rsidP="00ED38D4">
            <w:pPr>
              <w:pStyle w:val="NoSpacing"/>
              <w:jc w:val="right"/>
            </w:pPr>
            <w:r>
              <w:t>(44)</w:t>
            </w:r>
          </w:p>
        </w:tc>
        <w:tc>
          <w:tcPr>
            <w:tcW w:w="1701" w:type="dxa"/>
          </w:tcPr>
          <w:p w:rsidR="00ED38D4" w:rsidRDefault="00085A3C" w:rsidP="00ED38D4">
            <w:pPr>
              <w:pStyle w:val="NoSpacing"/>
              <w:jc w:val="right"/>
            </w:pPr>
            <w:r>
              <w:t>(502)</w:t>
            </w:r>
          </w:p>
        </w:tc>
        <w:tc>
          <w:tcPr>
            <w:tcW w:w="1701" w:type="dxa"/>
          </w:tcPr>
          <w:p w:rsidR="00ED38D4" w:rsidRDefault="00085A3C" w:rsidP="00ED38D4">
            <w:pPr>
              <w:pStyle w:val="NoSpacing"/>
              <w:jc w:val="right"/>
            </w:pPr>
            <w:r>
              <w:t>(77)</w:t>
            </w:r>
          </w:p>
        </w:tc>
      </w:tr>
      <w:tr w:rsidR="00ED38D4" w:rsidTr="004B54F6">
        <w:tc>
          <w:tcPr>
            <w:tcW w:w="4248" w:type="dxa"/>
          </w:tcPr>
          <w:p w:rsidR="00ED38D4" w:rsidRPr="0025355C" w:rsidRDefault="00ED38D4" w:rsidP="00ED38D4">
            <w:r w:rsidRPr="0025355C">
              <w:t>Revaluation</w:t>
            </w:r>
          </w:p>
        </w:tc>
        <w:tc>
          <w:tcPr>
            <w:tcW w:w="1701" w:type="dxa"/>
          </w:tcPr>
          <w:p w:rsidR="00ED38D4" w:rsidRDefault="00085A3C" w:rsidP="00ED38D4">
            <w:pPr>
              <w:pStyle w:val="NoSpacing"/>
              <w:jc w:val="right"/>
            </w:pPr>
            <w:r>
              <w:t>6,971</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c>
          <w:tcPr>
            <w:tcW w:w="1701" w:type="dxa"/>
          </w:tcPr>
          <w:p w:rsidR="00ED38D4" w:rsidRDefault="00085A3C" w:rsidP="00ED38D4">
            <w:pPr>
              <w:pStyle w:val="NoSpacing"/>
              <w:jc w:val="right"/>
            </w:pPr>
            <w:r>
              <w:t>-</w:t>
            </w:r>
          </w:p>
        </w:tc>
      </w:tr>
      <w:tr w:rsidR="00ED38D4" w:rsidTr="004B54F6">
        <w:tc>
          <w:tcPr>
            <w:tcW w:w="4248" w:type="dxa"/>
          </w:tcPr>
          <w:p w:rsidR="00ED38D4" w:rsidRDefault="00ED38D4" w:rsidP="00ED38D4">
            <w:r w:rsidRPr="0025355C">
              <w:t>Closing balance</w:t>
            </w:r>
          </w:p>
        </w:tc>
        <w:tc>
          <w:tcPr>
            <w:tcW w:w="1701" w:type="dxa"/>
          </w:tcPr>
          <w:p w:rsidR="00ED38D4" w:rsidRDefault="00085A3C" w:rsidP="00ED38D4">
            <w:pPr>
              <w:pStyle w:val="NoSpacing"/>
              <w:jc w:val="right"/>
            </w:pPr>
            <w:r>
              <w:t>47,117</w:t>
            </w:r>
          </w:p>
        </w:tc>
        <w:tc>
          <w:tcPr>
            <w:tcW w:w="1701" w:type="dxa"/>
          </w:tcPr>
          <w:p w:rsidR="00ED38D4" w:rsidRDefault="00085A3C" w:rsidP="00ED38D4">
            <w:pPr>
              <w:pStyle w:val="NoSpacing"/>
              <w:jc w:val="right"/>
            </w:pPr>
            <w:r>
              <w:t>186,400</w:t>
            </w:r>
          </w:p>
        </w:tc>
        <w:tc>
          <w:tcPr>
            <w:tcW w:w="1701" w:type="dxa"/>
          </w:tcPr>
          <w:p w:rsidR="00ED38D4" w:rsidRDefault="00085A3C" w:rsidP="00ED38D4">
            <w:pPr>
              <w:pStyle w:val="NoSpacing"/>
              <w:jc w:val="right"/>
            </w:pPr>
            <w:r>
              <w:t>4,933</w:t>
            </w:r>
          </w:p>
        </w:tc>
        <w:tc>
          <w:tcPr>
            <w:tcW w:w="1701" w:type="dxa"/>
          </w:tcPr>
          <w:p w:rsidR="00ED38D4" w:rsidRDefault="00085A3C" w:rsidP="00ED38D4">
            <w:pPr>
              <w:pStyle w:val="NoSpacing"/>
              <w:jc w:val="right"/>
            </w:pPr>
            <w:r>
              <w:t>344</w:t>
            </w:r>
          </w:p>
        </w:tc>
        <w:tc>
          <w:tcPr>
            <w:tcW w:w="1701" w:type="dxa"/>
          </w:tcPr>
          <w:p w:rsidR="00ED38D4" w:rsidRDefault="00085A3C" w:rsidP="00ED38D4">
            <w:pPr>
              <w:pStyle w:val="NoSpacing"/>
              <w:jc w:val="right"/>
            </w:pPr>
            <w:r>
              <w:t>752</w:t>
            </w:r>
          </w:p>
        </w:tc>
        <w:tc>
          <w:tcPr>
            <w:tcW w:w="1701" w:type="dxa"/>
          </w:tcPr>
          <w:p w:rsidR="00ED38D4" w:rsidRDefault="00085A3C" w:rsidP="00ED38D4">
            <w:pPr>
              <w:pStyle w:val="NoSpacing"/>
              <w:jc w:val="right"/>
            </w:pPr>
            <w:r>
              <w:t>1,451</w:t>
            </w:r>
          </w:p>
        </w:tc>
      </w:tr>
    </w:tbl>
    <w:p w:rsidR="00ED38D4" w:rsidRDefault="00ED38D4" w:rsidP="00A31F01">
      <w:pPr>
        <w:pStyle w:val="NoSpacing"/>
      </w:pPr>
    </w:p>
    <w:p w:rsidR="006863B4" w:rsidRDefault="006863B4" w:rsidP="00A31F01">
      <w:pPr>
        <w:pStyle w:val="NoSpacing"/>
      </w:pPr>
      <w:r>
        <w:t>&lt;pp&gt;80</w:t>
      </w:r>
    </w:p>
    <w:p w:rsidR="004B54F6" w:rsidRDefault="004B54F6" w:rsidP="004B54F6">
      <w:pPr>
        <w:pStyle w:val="NoSpacing"/>
      </w:pPr>
    </w:p>
    <w:p w:rsidR="004B54F6" w:rsidRDefault="004B54F6" w:rsidP="00234E85">
      <w:pPr>
        <w:pStyle w:val="Heading3"/>
      </w:pPr>
      <w:r w:rsidRPr="00BA720E">
        <w:t>7. MANAGING RISKS AND UNCERTAINTIES (CONTINUED</w:t>
      </w:r>
      <w:r>
        <w:t>)</w:t>
      </w:r>
    </w:p>
    <w:p w:rsidR="004B54F6" w:rsidRDefault="004B54F6" w:rsidP="004B54F6">
      <w:pPr>
        <w:pStyle w:val="NoSpacing"/>
      </w:pPr>
    </w:p>
    <w:p w:rsidR="004B54F6" w:rsidRDefault="004B54F6" w:rsidP="00234E85">
      <w:pPr>
        <w:pStyle w:val="Heading4"/>
      </w:pPr>
      <w:r>
        <w:t>7.3 Fair value determination (continued)</w:t>
      </w:r>
    </w:p>
    <w:p w:rsidR="004B54F6" w:rsidRDefault="004B54F6" w:rsidP="004B54F6">
      <w:pPr>
        <w:pStyle w:val="NoSpacing"/>
      </w:pPr>
    </w:p>
    <w:p w:rsidR="004B54F6" w:rsidRDefault="004B54F6" w:rsidP="004B54F6">
      <w:pPr>
        <w:pStyle w:val="NoSpacing"/>
      </w:pPr>
      <w:r>
        <w:t xml:space="preserve">Description of significant unobservable inputs to level 3 valuations </w:t>
      </w:r>
    </w:p>
    <w:p w:rsidR="004B54F6" w:rsidRDefault="004B54F6" w:rsidP="004B54F6">
      <w:pPr>
        <w:pStyle w:val="NoSpacing"/>
      </w:pPr>
    </w:p>
    <w:tbl>
      <w:tblPr>
        <w:tblStyle w:val="TableGrid"/>
        <w:tblW w:w="0" w:type="auto"/>
        <w:tblLook w:val="04A0" w:firstRow="1" w:lastRow="0" w:firstColumn="1" w:lastColumn="0" w:noHBand="0" w:noVBand="1"/>
      </w:tblPr>
      <w:tblGrid>
        <w:gridCol w:w="4649"/>
        <w:gridCol w:w="4649"/>
        <w:gridCol w:w="4650"/>
      </w:tblGrid>
      <w:tr w:rsidR="004B54F6" w:rsidTr="004B54F6">
        <w:tc>
          <w:tcPr>
            <w:tcW w:w="4649" w:type="dxa"/>
          </w:tcPr>
          <w:p w:rsidR="004B54F6" w:rsidRDefault="004B54F6" w:rsidP="004B54F6">
            <w:pPr>
              <w:pStyle w:val="NoSpacing"/>
            </w:pPr>
            <w:r>
              <w:t>2017 and 2016</w:t>
            </w:r>
          </w:p>
        </w:tc>
        <w:tc>
          <w:tcPr>
            <w:tcW w:w="4649" w:type="dxa"/>
          </w:tcPr>
          <w:p w:rsidR="004B54F6" w:rsidRDefault="004B54F6" w:rsidP="004B54F6">
            <w:pPr>
              <w:pStyle w:val="NoSpacing"/>
            </w:pPr>
            <w:r>
              <w:t>Valuation technique</w:t>
            </w:r>
          </w:p>
        </w:tc>
        <w:tc>
          <w:tcPr>
            <w:tcW w:w="4650" w:type="dxa"/>
          </w:tcPr>
          <w:p w:rsidR="004B54F6" w:rsidRDefault="004B54F6" w:rsidP="004B54F6">
            <w:pPr>
              <w:pStyle w:val="NoSpacing"/>
            </w:pPr>
            <w:r>
              <w:t>Significant unobservable inputs</w:t>
            </w:r>
          </w:p>
        </w:tc>
      </w:tr>
      <w:tr w:rsidR="004B54F6" w:rsidTr="004B54F6">
        <w:tc>
          <w:tcPr>
            <w:tcW w:w="4649" w:type="dxa"/>
          </w:tcPr>
          <w:p w:rsidR="004B54F6" w:rsidRDefault="004B54F6" w:rsidP="004B54F6">
            <w:pPr>
              <w:pStyle w:val="NoSpacing"/>
            </w:pPr>
            <w:r>
              <w:t>Specialised land</w:t>
            </w:r>
          </w:p>
        </w:tc>
        <w:tc>
          <w:tcPr>
            <w:tcW w:w="4649" w:type="dxa"/>
          </w:tcPr>
          <w:p w:rsidR="004B54F6" w:rsidRDefault="004B54F6" w:rsidP="004B54F6">
            <w:pPr>
              <w:pStyle w:val="NoSpacing"/>
            </w:pPr>
            <w:r>
              <w:t xml:space="preserve">Market approach </w:t>
            </w:r>
          </w:p>
        </w:tc>
        <w:tc>
          <w:tcPr>
            <w:tcW w:w="4650" w:type="dxa"/>
          </w:tcPr>
          <w:p w:rsidR="004B54F6" w:rsidRDefault="004B54F6" w:rsidP="004B54F6">
            <w:pPr>
              <w:pStyle w:val="NoSpacing"/>
            </w:pPr>
            <w:r>
              <w:t>Community service obligation (CSO) adjustment</w:t>
            </w:r>
          </w:p>
        </w:tc>
      </w:tr>
      <w:tr w:rsidR="004B54F6" w:rsidTr="004B54F6">
        <w:tc>
          <w:tcPr>
            <w:tcW w:w="4649" w:type="dxa"/>
          </w:tcPr>
          <w:p w:rsidR="004B54F6" w:rsidRDefault="004B54F6" w:rsidP="004B54F6">
            <w:pPr>
              <w:pStyle w:val="NoSpacing"/>
            </w:pPr>
            <w:r>
              <w:t>Specialised buildings</w:t>
            </w:r>
          </w:p>
        </w:tc>
        <w:tc>
          <w:tcPr>
            <w:tcW w:w="4649" w:type="dxa"/>
          </w:tcPr>
          <w:p w:rsidR="004B54F6" w:rsidRDefault="004B54F6" w:rsidP="004B54F6">
            <w:pPr>
              <w:pStyle w:val="NoSpacing"/>
            </w:pPr>
            <w:r>
              <w:t>Depreciated replacement cost</w:t>
            </w:r>
          </w:p>
        </w:tc>
        <w:tc>
          <w:tcPr>
            <w:tcW w:w="4650" w:type="dxa"/>
          </w:tcPr>
          <w:p w:rsidR="004B54F6" w:rsidRDefault="004B54F6" w:rsidP="004B54F6">
            <w:pPr>
              <w:pStyle w:val="NoSpacing"/>
            </w:pPr>
            <w:r>
              <w:t>Useful life of buildings</w:t>
            </w:r>
          </w:p>
        </w:tc>
      </w:tr>
      <w:tr w:rsidR="004B54F6" w:rsidTr="004B54F6">
        <w:tc>
          <w:tcPr>
            <w:tcW w:w="4649" w:type="dxa"/>
          </w:tcPr>
          <w:p w:rsidR="004B54F6" w:rsidRDefault="004B54F6" w:rsidP="004B54F6">
            <w:pPr>
              <w:pStyle w:val="NoSpacing"/>
            </w:pPr>
            <w:r>
              <w:t>Motor vehicles</w:t>
            </w:r>
          </w:p>
        </w:tc>
        <w:tc>
          <w:tcPr>
            <w:tcW w:w="4649" w:type="dxa"/>
          </w:tcPr>
          <w:p w:rsidR="004B54F6" w:rsidRDefault="004B54F6" w:rsidP="004B54F6">
            <w:pPr>
              <w:pStyle w:val="NoSpacing"/>
            </w:pPr>
            <w:r>
              <w:t xml:space="preserve">Depreciated replacement cost </w:t>
            </w:r>
          </w:p>
        </w:tc>
        <w:tc>
          <w:tcPr>
            <w:tcW w:w="4650" w:type="dxa"/>
          </w:tcPr>
          <w:p w:rsidR="004B54F6" w:rsidRDefault="004B54F6" w:rsidP="004B54F6">
            <w:pPr>
              <w:pStyle w:val="NoSpacing"/>
            </w:pPr>
            <w:r>
              <w:t>Useful life of vehicles</w:t>
            </w:r>
          </w:p>
        </w:tc>
      </w:tr>
      <w:tr w:rsidR="004B54F6" w:rsidTr="004B54F6">
        <w:tc>
          <w:tcPr>
            <w:tcW w:w="4649" w:type="dxa"/>
          </w:tcPr>
          <w:p w:rsidR="004B54F6" w:rsidRDefault="004B54F6" w:rsidP="004B54F6">
            <w:pPr>
              <w:pStyle w:val="NoSpacing"/>
            </w:pPr>
            <w:r>
              <w:t>Plant and equipment</w:t>
            </w:r>
          </w:p>
        </w:tc>
        <w:tc>
          <w:tcPr>
            <w:tcW w:w="4649" w:type="dxa"/>
          </w:tcPr>
          <w:p w:rsidR="004B54F6" w:rsidRDefault="004B54F6" w:rsidP="004B54F6">
            <w:pPr>
              <w:pStyle w:val="NoSpacing"/>
            </w:pPr>
            <w:r>
              <w:t xml:space="preserve">Depreciated replacement cost </w:t>
            </w:r>
          </w:p>
        </w:tc>
        <w:tc>
          <w:tcPr>
            <w:tcW w:w="4650" w:type="dxa"/>
          </w:tcPr>
          <w:p w:rsidR="004B54F6" w:rsidRDefault="004B54F6" w:rsidP="004B54F6">
            <w:pPr>
              <w:pStyle w:val="NoSpacing"/>
            </w:pPr>
            <w:r>
              <w:t>Useful life of plant and equipment</w:t>
            </w:r>
          </w:p>
        </w:tc>
      </w:tr>
    </w:tbl>
    <w:p w:rsidR="004B54F6" w:rsidRDefault="004B54F6" w:rsidP="004B54F6">
      <w:pPr>
        <w:pStyle w:val="NoSpacing"/>
      </w:pPr>
    </w:p>
    <w:p w:rsidR="00ED38D4" w:rsidRDefault="00ED38D4" w:rsidP="00A31F01">
      <w:pPr>
        <w:pStyle w:val="NoSpacing"/>
      </w:pPr>
    </w:p>
    <w:p w:rsidR="00ED38D4" w:rsidRDefault="00ED38D4" w:rsidP="00A31F01">
      <w:pPr>
        <w:pStyle w:val="NoSpacing"/>
      </w:pPr>
    </w:p>
    <w:p w:rsidR="00ED38D4" w:rsidRDefault="00ED38D4" w:rsidP="00A31F01">
      <w:pPr>
        <w:pStyle w:val="NoSpacing"/>
        <w:sectPr w:rsidR="00ED38D4" w:rsidSect="00ED38D4">
          <w:pgSz w:w="16838" w:h="11906" w:orient="landscape"/>
          <w:pgMar w:top="1440" w:right="1440" w:bottom="1440" w:left="1440" w:header="709" w:footer="709" w:gutter="0"/>
          <w:cols w:space="708"/>
          <w:docGrid w:linePitch="360"/>
        </w:sectPr>
      </w:pPr>
    </w:p>
    <w:p w:rsidR="006863B4" w:rsidRDefault="006863B4" w:rsidP="00A31F01">
      <w:pPr>
        <w:pStyle w:val="NoSpacing"/>
      </w:pPr>
    </w:p>
    <w:p w:rsidR="006863B4" w:rsidRDefault="006863B4" w:rsidP="00A31F01">
      <w:pPr>
        <w:pStyle w:val="NoSpacing"/>
      </w:pPr>
    </w:p>
    <w:p w:rsidR="006863B4" w:rsidRPr="009E3926" w:rsidRDefault="004B54F6" w:rsidP="00234E85">
      <w:pPr>
        <w:pStyle w:val="Heading3"/>
      </w:pPr>
      <w:r w:rsidRPr="009E3926">
        <w:t xml:space="preserve">8. GOVERNANCE DISCLOSURES </w:t>
      </w:r>
    </w:p>
    <w:p w:rsidR="006863B4" w:rsidRDefault="006863B4" w:rsidP="00A31F01">
      <w:pPr>
        <w:pStyle w:val="NoSpacing"/>
      </w:pPr>
    </w:p>
    <w:p w:rsidR="006863B4" w:rsidRDefault="006863B4" w:rsidP="00234E85">
      <w:pPr>
        <w:pStyle w:val="Heading4"/>
      </w:pPr>
      <w:r>
        <w:t xml:space="preserve">8.1 Responsible persons </w:t>
      </w:r>
    </w:p>
    <w:p w:rsidR="006863B4" w:rsidRDefault="006863B4" w:rsidP="00A31F01">
      <w:pPr>
        <w:pStyle w:val="NoSpacing"/>
      </w:pPr>
    </w:p>
    <w:p w:rsidR="006863B4" w:rsidRDefault="006863B4" w:rsidP="00A31F01">
      <w:pPr>
        <w:pStyle w:val="NoSpacing"/>
      </w:pPr>
      <w:r>
        <w:t>In accordance with the Ministerial Directions issued by the Minister of Finance under the Financial Management Act 1994, the following disclosures are made regarding responsible persons and executive officers for the reporting period.</w:t>
      </w:r>
    </w:p>
    <w:p w:rsidR="006863B4" w:rsidRDefault="006863B4" w:rsidP="006863B4">
      <w:pPr>
        <w:pStyle w:val="NoSpacing"/>
      </w:pPr>
      <w:r>
        <w:t>The persons who held the positions of Ministers and Accountable Officers in Chisholm are as follows:</w:t>
      </w:r>
    </w:p>
    <w:p w:rsidR="006863B4" w:rsidRDefault="006863B4" w:rsidP="006863B4">
      <w:pPr>
        <w:pStyle w:val="NoSpacing"/>
      </w:pPr>
    </w:p>
    <w:tbl>
      <w:tblPr>
        <w:tblStyle w:val="TableGrid"/>
        <w:tblW w:w="10207" w:type="dxa"/>
        <w:tblInd w:w="-856" w:type="dxa"/>
        <w:tblLook w:val="04A0" w:firstRow="1" w:lastRow="0" w:firstColumn="1" w:lastColumn="0" w:noHBand="0" w:noVBand="1"/>
      </w:tblPr>
      <w:tblGrid>
        <w:gridCol w:w="5387"/>
        <w:gridCol w:w="2835"/>
        <w:gridCol w:w="1985"/>
      </w:tblGrid>
      <w:tr w:rsidR="006863B4" w:rsidTr="009E3926">
        <w:tc>
          <w:tcPr>
            <w:tcW w:w="5387" w:type="dxa"/>
          </w:tcPr>
          <w:p w:rsidR="006863B4" w:rsidRDefault="006863B4" w:rsidP="006863B4">
            <w:pPr>
              <w:pStyle w:val="NoSpacing"/>
            </w:pPr>
            <w:r>
              <w:t>Position</w:t>
            </w:r>
          </w:p>
        </w:tc>
        <w:tc>
          <w:tcPr>
            <w:tcW w:w="2835" w:type="dxa"/>
          </w:tcPr>
          <w:p w:rsidR="006863B4" w:rsidRDefault="006863B4" w:rsidP="006863B4">
            <w:pPr>
              <w:pStyle w:val="NoSpacing"/>
            </w:pPr>
            <w:r>
              <w:t xml:space="preserve">Name </w:t>
            </w:r>
          </w:p>
        </w:tc>
        <w:tc>
          <w:tcPr>
            <w:tcW w:w="1985" w:type="dxa"/>
          </w:tcPr>
          <w:p w:rsidR="006863B4" w:rsidRDefault="006863B4" w:rsidP="006863B4">
            <w:pPr>
              <w:pStyle w:val="NoSpacing"/>
            </w:pPr>
            <w:r>
              <w:t>Relevant period</w:t>
            </w:r>
          </w:p>
        </w:tc>
      </w:tr>
      <w:tr w:rsidR="006863B4" w:rsidTr="009E3926">
        <w:tc>
          <w:tcPr>
            <w:tcW w:w="5387" w:type="dxa"/>
          </w:tcPr>
          <w:p w:rsidR="006863B4" w:rsidRDefault="00F441B2" w:rsidP="006863B4">
            <w:pPr>
              <w:pStyle w:val="NoSpacing"/>
            </w:pPr>
            <w:r>
              <w:t>Minister for Training and Skills</w:t>
            </w:r>
          </w:p>
        </w:tc>
        <w:tc>
          <w:tcPr>
            <w:tcW w:w="2835" w:type="dxa"/>
          </w:tcPr>
          <w:p w:rsidR="006863B4" w:rsidRDefault="00F441B2" w:rsidP="006863B4">
            <w:pPr>
              <w:pStyle w:val="NoSpacing"/>
            </w:pPr>
            <w:r>
              <w:t>The Hon. Gayle Tierney MLC</w:t>
            </w:r>
          </w:p>
        </w:tc>
        <w:tc>
          <w:tcPr>
            <w:tcW w:w="1985" w:type="dxa"/>
          </w:tcPr>
          <w:p w:rsidR="006863B4" w:rsidRDefault="00F441B2" w:rsidP="006863B4">
            <w:pPr>
              <w:pStyle w:val="NoSpacing"/>
            </w:pPr>
            <w:r>
              <w:t xml:space="preserve">Full year </w:t>
            </w:r>
          </w:p>
        </w:tc>
      </w:tr>
      <w:tr w:rsidR="00F441B2" w:rsidTr="009E3926">
        <w:tc>
          <w:tcPr>
            <w:tcW w:w="5387" w:type="dxa"/>
          </w:tcPr>
          <w:p w:rsidR="00F441B2" w:rsidRDefault="00F441B2" w:rsidP="00F441B2">
            <w:pPr>
              <w:pStyle w:val="NoSpacing"/>
            </w:pPr>
            <w:r>
              <w:t>Direc</w:t>
            </w:r>
            <w:r w:rsidR="009E3926">
              <w:t xml:space="preserve">tor and Chief Executive Officer </w:t>
            </w:r>
            <w:r>
              <w:t>(Accountable Officer)</w:t>
            </w:r>
          </w:p>
        </w:tc>
        <w:tc>
          <w:tcPr>
            <w:tcW w:w="2835" w:type="dxa"/>
          </w:tcPr>
          <w:p w:rsidR="00F441B2" w:rsidRDefault="00F441B2" w:rsidP="00F441B2">
            <w:pPr>
              <w:pStyle w:val="NoSpacing"/>
            </w:pPr>
            <w:r>
              <w:t>Ms Maria Peters</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pPr>
              <w:pStyle w:val="NoSpacing"/>
            </w:pPr>
            <w:r>
              <w:t>Board Member</w:t>
            </w:r>
          </w:p>
        </w:tc>
        <w:tc>
          <w:tcPr>
            <w:tcW w:w="2835" w:type="dxa"/>
          </w:tcPr>
          <w:p w:rsidR="00F441B2" w:rsidRDefault="00F441B2" w:rsidP="00F441B2">
            <w:pPr>
              <w:pStyle w:val="NoSpacing"/>
            </w:pPr>
            <w:r>
              <w:t>Mr Stephen G. Marks</w:t>
            </w:r>
            <w:r w:rsidR="009E3926">
              <w:t xml:space="preserve"> (Chair)</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Prof. Anne Jones</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Dr David Mann</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Mr John Bennie</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Ms Lisa Norman</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Dr. Mei Ling Doery</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Mr Peter Malone</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Ms Sandra Andersen</w:t>
            </w:r>
          </w:p>
        </w:tc>
        <w:tc>
          <w:tcPr>
            <w:tcW w:w="1985" w:type="dxa"/>
          </w:tcPr>
          <w:p w:rsidR="00F441B2" w:rsidRDefault="00F441B2" w:rsidP="00F441B2">
            <w:r w:rsidRPr="00561D76">
              <w:t xml:space="preserve">Full year </w:t>
            </w:r>
          </w:p>
        </w:tc>
      </w:tr>
      <w:tr w:rsidR="00F441B2" w:rsidTr="009E3926">
        <w:tc>
          <w:tcPr>
            <w:tcW w:w="5387" w:type="dxa"/>
          </w:tcPr>
          <w:p w:rsidR="00F441B2" w:rsidRDefault="00F441B2" w:rsidP="00F441B2">
            <w:r w:rsidRPr="00A73CEC">
              <w:t>Board Member</w:t>
            </w:r>
          </w:p>
        </w:tc>
        <w:tc>
          <w:tcPr>
            <w:tcW w:w="2835" w:type="dxa"/>
          </w:tcPr>
          <w:p w:rsidR="00F441B2" w:rsidRDefault="00F441B2" w:rsidP="00F441B2">
            <w:pPr>
              <w:pStyle w:val="NoSpacing"/>
            </w:pPr>
            <w:r>
              <w:t xml:space="preserve">My Todd Hartley </w:t>
            </w:r>
          </w:p>
        </w:tc>
        <w:tc>
          <w:tcPr>
            <w:tcW w:w="1985" w:type="dxa"/>
          </w:tcPr>
          <w:p w:rsidR="00F441B2" w:rsidRDefault="00F441B2" w:rsidP="00F441B2">
            <w:r w:rsidRPr="00561D76">
              <w:t xml:space="preserve">Full year </w:t>
            </w:r>
          </w:p>
        </w:tc>
      </w:tr>
    </w:tbl>
    <w:p w:rsidR="006863B4" w:rsidRDefault="006863B4" w:rsidP="006863B4">
      <w:pPr>
        <w:pStyle w:val="NoSpacing"/>
      </w:pPr>
    </w:p>
    <w:p w:rsidR="006863B4" w:rsidRPr="006863B4" w:rsidRDefault="006863B4" w:rsidP="006863B4">
      <w:pPr>
        <w:pStyle w:val="NoSpacing"/>
      </w:pPr>
      <w:r w:rsidRPr="006863B4">
        <w:t>*All board members were members for the entire 2017 year.</w:t>
      </w:r>
    </w:p>
    <w:p w:rsidR="006863B4" w:rsidRDefault="006863B4" w:rsidP="006863B4">
      <w:pPr>
        <w:pStyle w:val="NoSpacing"/>
      </w:pPr>
    </w:p>
    <w:p w:rsidR="009E3926" w:rsidRDefault="002B69A0" w:rsidP="006863B4">
      <w:pPr>
        <w:pStyle w:val="NoSpacing"/>
      </w:pPr>
      <w:r>
        <w:t>&lt;pp&gt;81</w:t>
      </w:r>
    </w:p>
    <w:p w:rsidR="002B69A0" w:rsidRDefault="002B69A0" w:rsidP="006863B4">
      <w:pPr>
        <w:pStyle w:val="NoSpacing"/>
      </w:pPr>
    </w:p>
    <w:p w:rsidR="002B69A0" w:rsidRPr="009E3926" w:rsidRDefault="002B69A0" w:rsidP="00234E85">
      <w:pPr>
        <w:pStyle w:val="Heading3"/>
      </w:pPr>
      <w:r w:rsidRPr="009E3926">
        <w:t xml:space="preserve">8. Governance Disclosures </w:t>
      </w:r>
      <w:r>
        <w:t>(continued)</w:t>
      </w:r>
    </w:p>
    <w:p w:rsidR="002B69A0" w:rsidRDefault="002B69A0" w:rsidP="006863B4">
      <w:pPr>
        <w:pStyle w:val="NoSpacing"/>
      </w:pPr>
    </w:p>
    <w:p w:rsidR="002B69A0" w:rsidRDefault="002B69A0" w:rsidP="00234E85">
      <w:pPr>
        <w:pStyle w:val="Heading4"/>
      </w:pPr>
      <w:r>
        <w:t>8.1 Responsible persons (continued)</w:t>
      </w:r>
    </w:p>
    <w:p w:rsidR="002B69A0" w:rsidRDefault="002B69A0" w:rsidP="002B69A0">
      <w:pPr>
        <w:pStyle w:val="NoSpacing"/>
      </w:pPr>
    </w:p>
    <w:p w:rsidR="002B69A0" w:rsidRDefault="002B69A0" w:rsidP="002B69A0">
      <w:pPr>
        <w:pStyle w:val="NoSpacing"/>
      </w:pPr>
      <w:r>
        <w:t xml:space="preserve">Remuneration </w:t>
      </w:r>
    </w:p>
    <w:p w:rsidR="002B69A0" w:rsidRDefault="002B69A0" w:rsidP="002B69A0">
      <w:pPr>
        <w:pStyle w:val="NoSpacing"/>
      </w:pPr>
    </w:p>
    <w:p w:rsidR="002B69A0" w:rsidRPr="002B69A0" w:rsidRDefault="002B69A0" w:rsidP="002B69A0">
      <w:pPr>
        <w:autoSpaceDE w:val="0"/>
        <w:autoSpaceDN w:val="0"/>
        <w:adjustRightInd w:val="0"/>
        <w:spacing w:after="0" w:line="240" w:lineRule="auto"/>
        <w:rPr>
          <w:rFonts w:cstheme="minorHAnsi"/>
        </w:rPr>
      </w:pPr>
      <w:r w:rsidRPr="002B69A0">
        <w:rPr>
          <w:rFonts w:cstheme="minorHAnsi"/>
        </w:rPr>
        <w:t>Remuneration received or receivable by the Accountable Officer in connection with th</w:t>
      </w:r>
      <w:r>
        <w:rPr>
          <w:rFonts w:cstheme="minorHAnsi"/>
        </w:rPr>
        <w:t xml:space="preserve">e management of Chisholm during </w:t>
      </w:r>
      <w:r w:rsidRPr="002B69A0">
        <w:rPr>
          <w:rFonts w:cstheme="minorHAnsi"/>
        </w:rPr>
        <w:t>the reporting period was in the range: $680,000 - $689,999 (2016: $330,000 - $339,999).</w:t>
      </w:r>
    </w:p>
    <w:p w:rsidR="002B69A0" w:rsidRPr="002B69A0" w:rsidRDefault="002B69A0" w:rsidP="002B69A0">
      <w:pPr>
        <w:autoSpaceDE w:val="0"/>
        <w:autoSpaceDN w:val="0"/>
        <w:adjustRightInd w:val="0"/>
        <w:spacing w:after="0" w:line="240" w:lineRule="auto"/>
        <w:rPr>
          <w:rFonts w:cstheme="minorHAnsi"/>
        </w:rPr>
      </w:pPr>
      <w:r w:rsidRPr="002B69A0">
        <w:rPr>
          <w:rFonts w:cstheme="minorHAnsi"/>
        </w:rPr>
        <w:t xml:space="preserve">Included in the remuneration above is payment of annual </w:t>
      </w:r>
      <w:r>
        <w:rPr>
          <w:rFonts w:cstheme="minorHAnsi"/>
        </w:rPr>
        <w:t xml:space="preserve">leave and long service leave on termination in the range: </w:t>
      </w:r>
      <w:r w:rsidRPr="002B69A0">
        <w:rPr>
          <w:rFonts w:cstheme="minorHAnsi"/>
        </w:rPr>
        <w:t>$310,000 - $319,999.</w:t>
      </w:r>
    </w:p>
    <w:p w:rsidR="002B69A0" w:rsidRDefault="002B69A0" w:rsidP="002B69A0">
      <w:pPr>
        <w:autoSpaceDE w:val="0"/>
        <w:autoSpaceDN w:val="0"/>
        <w:adjustRightInd w:val="0"/>
        <w:spacing w:after="0" w:line="240" w:lineRule="auto"/>
        <w:rPr>
          <w:rFonts w:cstheme="minorHAnsi"/>
        </w:rPr>
      </w:pPr>
      <w:r w:rsidRPr="002B69A0">
        <w:rPr>
          <w:rFonts w:cstheme="minorHAnsi"/>
        </w:rPr>
        <w:t>Remuneration received or receivable by the responsible persons, excluding the Accountable Officer, during the reporting</w:t>
      </w:r>
      <w:r>
        <w:rPr>
          <w:rFonts w:cstheme="minorHAnsi"/>
        </w:rPr>
        <w:t xml:space="preserve"> </w:t>
      </w:r>
      <w:r w:rsidRPr="002B69A0">
        <w:rPr>
          <w:rFonts w:cstheme="minorHAnsi"/>
        </w:rPr>
        <w:t>period was in the range:</w:t>
      </w:r>
    </w:p>
    <w:p w:rsidR="002B69A0" w:rsidRDefault="002B69A0" w:rsidP="002B69A0">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7366"/>
        <w:gridCol w:w="851"/>
        <w:gridCol w:w="799"/>
      </w:tblGrid>
      <w:tr w:rsidR="002B69A0" w:rsidTr="002B69A0">
        <w:tc>
          <w:tcPr>
            <w:tcW w:w="7366" w:type="dxa"/>
          </w:tcPr>
          <w:p w:rsidR="002B69A0" w:rsidRDefault="002B69A0" w:rsidP="002B69A0">
            <w:pPr>
              <w:autoSpaceDE w:val="0"/>
              <w:autoSpaceDN w:val="0"/>
              <w:adjustRightInd w:val="0"/>
              <w:rPr>
                <w:rFonts w:cstheme="minorHAnsi"/>
              </w:rPr>
            </w:pPr>
            <w:r>
              <w:rPr>
                <w:rFonts w:cstheme="minorHAnsi"/>
              </w:rPr>
              <w:t xml:space="preserve">Income range </w:t>
            </w:r>
          </w:p>
        </w:tc>
        <w:tc>
          <w:tcPr>
            <w:tcW w:w="851" w:type="dxa"/>
          </w:tcPr>
          <w:p w:rsidR="002B69A0" w:rsidRDefault="002B69A0" w:rsidP="002B69A0">
            <w:pPr>
              <w:autoSpaceDE w:val="0"/>
              <w:autoSpaceDN w:val="0"/>
              <w:adjustRightInd w:val="0"/>
              <w:jc w:val="right"/>
              <w:rPr>
                <w:rFonts w:cstheme="minorHAnsi"/>
              </w:rPr>
            </w:pPr>
            <w:r>
              <w:rPr>
                <w:rFonts w:cstheme="minorHAnsi"/>
              </w:rPr>
              <w:t>2017</w:t>
            </w:r>
          </w:p>
        </w:tc>
        <w:tc>
          <w:tcPr>
            <w:tcW w:w="799" w:type="dxa"/>
          </w:tcPr>
          <w:p w:rsidR="002B69A0" w:rsidRDefault="002B69A0" w:rsidP="002B69A0">
            <w:pPr>
              <w:autoSpaceDE w:val="0"/>
              <w:autoSpaceDN w:val="0"/>
              <w:adjustRightInd w:val="0"/>
              <w:jc w:val="right"/>
              <w:rPr>
                <w:rFonts w:cstheme="minorHAnsi"/>
              </w:rPr>
            </w:pPr>
            <w:r>
              <w:rPr>
                <w:rFonts w:cstheme="minorHAnsi"/>
              </w:rPr>
              <w:t>2016</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$0</w:t>
            </w:r>
          </w:p>
        </w:tc>
        <w:tc>
          <w:tcPr>
            <w:tcW w:w="851" w:type="dxa"/>
          </w:tcPr>
          <w:p w:rsidR="002B69A0" w:rsidRDefault="002B69A0" w:rsidP="002B69A0">
            <w:pPr>
              <w:autoSpaceDE w:val="0"/>
              <w:autoSpaceDN w:val="0"/>
              <w:adjustRightInd w:val="0"/>
              <w:jc w:val="right"/>
              <w:rPr>
                <w:rFonts w:cstheme="minorHAnsi"/>
              </w:rPr>
            </w:pPr>
            <w:r>
              <w:rPr>
                <w:rFonts w:cstheme="minorHAnsi"/>
              </w:rPr>
              <w:t>1</w:t>
            </w:r>
          </w:p>
        </w:tc>
        <w:tc>
          <w:tcPr>
            <w:tcW w:w="799" w:type="dxa"/>
          </w:tcPr>
          <w:p w:rsidR="002B69A0" w:rsidRDefault="002B69A0" w:rsidP="002B69A0">
            <w:pPr>
              <w:autoSpaceDE w:val="0"/>
              <w:autoSpaceDN w:val="0"/>
              <w:adjustRightInd w:val="0"/>
              <w:jc w:val="right"/>
              <w:rPr>
                <w:rFonts w:cstheme="minorHAnsi"/>
              </w:rPr>
            </w:pPr>
            <w:r>
              <w:rPr>
                <w:rFonts w:cstheme="minorHAnsi"/>
              </w:rPr>
              <w:t>1</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$10,000 - $19,999</w:t>
            </w:r>
          </w:p>
        </w:tc>
        <w:tc>
          <w:tcPr>
            <w:tcW w:w="851" w:type="dxa"/>
          </w:tcPr>
          <w:p w:rsidR="002B69A0" w:rsidRDefault="002B69A0" w:rsidP="002B69A0">
            <w:pPr>
              <w:autoSpaceDE w:val="0"/>
              <w:autoSpaceDN w:val="0"/>
              <w:adjustRightInd w:val="0"/>
              <w:jc w:val="right"/>
              <w:rPr>
                <w:rFonts w:cstheme="minorHAnsi"/>
              </w:rPr>
            </w:pPr>
            <w:r>
              <w:rPr>
                <w:rFonts w:cstheme="minorHAnsi"/>
              </w:rPr>
              <w:t>-</w:t>
            </w:r>
          </w:p>
        </w:tc>
        <w:tc>
          <w:tcPr>
            <w:tcW w:w="799" w:type="dxa"/>
          </w:tcPr>
          <w:p w:rsidR="002B69A0" w:rsidRDefault="002B69A0" w:rsidP="002B69A0">
            <w:pPr>
              <w:autoSpaceDE w:val="0"/>
              <w:autoSpaceDN w:val="0"/>
              <w:adjustRightInd w:val="0"/>
              <w:jc w:val="right"/>
              <w:rPr>
                <w:rFonts w:cstheme="minorHAnsi"/>
              </w:rPr>
            </w:pPr>
            <w:r>
              <w:rPr>
                <w:rFonts w:cstheme="minorHAnsi"/>
              </w:rPr>
              <w:t>5</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$20,000 - $29,999</w:t>
            </w:r>
          </w:p>
        </w:tc>
        <w:tc>
          <w:tcPr>
            <w:tcW w:w="851" w:type="dxa"/>
          </w:tcPr>
          <w:p w:rsidR="002B69A0" w:rsidRDefault="002B69A0" w:rsidP="002B69A0">
            <w:pPr>
              <w:autoSpaceDE w:val="0"/>
              <w:autoSpaceDN w:val="0"/>
              <w:adjustRightInd w:val="0"/>
              <w:jc w:val="right"/>
              <w:rPr>
                <w:rFonts w:cstheme="minorHAnsi"/>
              </w:rPr>
            </w:pPr>
            <w:r>
              <w:rPr>
                <w:rFonts w:cstheme="minorHAnsi"/>
              </w:rPr>
              <w:t>-</w:t>
            </w:r>
          </w:p>
        </w:tc>
        <w:tc>
          <w:tcPr>
            <w:tcW w:w="799" w:type="dxa"/>
          </w:tcPr>
          <w:p w:rsidR="002B69A0" w:rsidRDefault="002B69A0" w:rsidP="002B69A0">
            <w:pPr>
              <w:autoSpaceDE w:val="0"/>
              <w:autoSpaceDN w:val="0"/>
              <w:adjustRightInd w:val="0"/>
              <w:jc w:val="right"/>
              <w:rPr>
                <w:rFonts w:cstheme="minorHAnsi"/>
              </w:rPr>
            </w:pPr>
            <w:r>
              <w:rPr>
                <w:rFonts w:cstheme="minorHAnsi"/>
              </w:rPr>
              <w:t>2</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$30,000 - $39,999</w:t>
            </w:r>
          </w:p>
        </w:tc>
        <w:tc>
          <w:tcPr>
            <w:tcW w:w="851" w:type="dxa"/>
          </w:tcPr>
          <w:p w:rsidR="002B69A0" w:rsidRDefault="002B69A0" w:rsidP="002B69A0">
            <w:pPr>
              <w:autoSpaceDE w:val="0"/>
              <w:autoSpaceDN w:val="0"/>
              <w:adjustRightInd w:val="0"/>
              <w:jc w:val="right"/>
              <w:rPr>
                <w:rFonts w:cstheme="minorHAnsi"/>
              </w:rPr>
            </w:pPr>
            <w:r>
              <w:rPr>
                <w:rFonts w:cstheme="minorHAnsi"/>
              </w:rPr>
              <w:t>5</w:t>
            </w:r>
          </w:p>
        </w:tc>
        <w:tc>
          <w:tcPr>
            <w:tcW w:w="799" w:type="dxa"/>
          </w:tcPr>
          <w:p w:rsidR="002B69A0" w:rsidRDefault="002B69A0" w:rsidP="002B69A0">
            <w:pPr>
              <w:autoSpaceDE w:val="0"/>
              <w:autoSpaceDN w:val="0"/>
              <w:adjustRightInd w:val="0"/>
              <w:jc w:val="right"/>
              <w:rPr>
                <w:rFonts w:cstheme="minorHAnsi"/>
              </w:rPr>
            </w:pPr>
            <w:r>
              <w:rPr>
                <w:rFonts w:cstheme="minorHAnsi"/>
              </w:rPr>
              <w:t>3</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$40,000 - $49,999</w:t>
            </w:r>
          </w:p>
        </w:tc>
        <w:tc>
          <w:tcPr>
            <w:tcW w:w="851" w:type="dxa"/>
          </w:tcPr>
          <w:p w:rsidR="002B69A0" w:rsidRDefault="002B69A0" w:rsidP="002B69A0">
            <w:pPr>
              <w:autoSpaceDE w:val="0"/>
              <w:autoSpaceDN w:val="0"/>
              <w:adjustRightInd w:val="0"/>
              <w:jc w:val="right"/>
              <w:rPr>
                <w:rFonts w:cstheme="minorHAnsi"/>
              </w:rPr>
            </w:pPr>
            <w:r>
              <w:rPr>
                <w:rFonts w:cstheme="minorHAnsi"/>
              </w:rPr>
              <w:t>2</w:t>
            </w:r>
          </w:p>
        </w:tc>
        <w:tc>
          <w:tcPr>
            <w:tcW w:w="799" w:type="dxa"/>
          </w:tcPr>
          <w:p w:rsidR="002B69A0" w:rsidRDefault="002B69A0" w:rsidP="002B69A0">
            <w:pPr>
              <w:autoSpaceDE w:val="0"/>
              <w:autoSpaceDN w:val="0"/>
              <w:adjustRightInd w:val="0"/>
              <w:jc w:val="right"/>
              <w:rPr>
                <w:rFonts w:cstheme="minorHAnsi"/>
              </w:rPr>
            </w:pPr>
            <w:r>
              <w:rPr>
                <w:rFonts w:cstheme="minorHAnsi"/>
              </w:rPr>
              <w:t>-</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$70,000 - $79,999</w:t>
            </w:r>
          </w:p>
        </w:tc>
        <w:tc>
          <w:tcPr>
            <w:tcW w:w="851" w:type="dxa"/>
          </w:tcPr>
          <w:p w:rsidR="002B69A0" w:rsidRDefault="002B69A0" w:rsidP="002B69A0">
            <w:pPr>
              <w:autoSpaceDE w:val="0"/>
              <w:autoSpaceDN w:val="0"/>
              <w:adjustRightInd w:val="0"/>
              <w:jc w:val="right"/>
              <w:rPr>
                <w:rFonts w:cstheme="minorHAnsi"/>
              </w:rPr>
            </w:pPr>
            <w:r>
              <w:rPr>
                <w:rFonts w:cstheme="minorHAnsi"/>
              </w:rPr>
              <w:t>1</w:t>
            </w:r>
          </w:p>
        </w:tc>
        <w:tc>
          <w:tcPr>
            <w:tcW w:w="799" w:type="dxa"/>
          </w:tcPr>
          <w:p w:rsidR="002B69A0" w:rsidRDefault="002B69A0" w:rsidP="002B69A0">
            <w:pPr>
              <w:autoSpaceDE w:val="0"/>
              <w:autoSpaceDN w:val="0"/>
              <w:adjustRightInd w:val="0"/>
              <w:jc w:val="right"/>
              <w:rPr>
                <w:rFonts w:cstheme="minorHAnsi"/>
              </w:rPr>
            </w:pPr>
            <w:r>
              <w:rPr>
                <w:rFonts w:cstheme="minorHAnsi"/>
              </w:rPr>
              <w:t>1</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t>Total number</w:t>
            </w:r>
          </w:p>
        </w:tc>
        <w:tc>
          <w:tcPr>
            <w:tcW w:w="851" w:type="dxa"/>
          </w:tcPr>
          <w:p w:rsidR="002B69A0" w:rsidRDefault="002B69A0" w:rsidP="002B69A0">
            <w:pPr>
              <w:autoSpaceDE w:val="0"/>
              <w:autoSpaceDN w:val="0"/>
              <w:adjustRightInd w:val="0"/>
              <w:jc w:val="right"/>
              <w:rPr>
                <w:rFonts w:cstheme="minorHAnsi"/>
              </w:rPr>
            </w:pPr>
            <w:r>
              <w:rPr>
                <w:rFonts w:cstheme="minorHAnsi"/>
              </w:rPr>
              <w:t>9</w:t>
            </w:r>
          </w:p>
        </w:tc>
        <w:tc>
          <w:tcPr>
            <w:tcW w:w="799" w:type="dxa"/>
          </w:tcPr>
          <w:p w:rsidR="002B69A0" w:rsidRDefault="002B69A0" w:rsidP="002B69A0">
            <w:pPr>
              <w:autoSpaceDE w:val="0"/>
              <w:autoSpaceDN w:val="0"/>
              <w:adjustRightInd w:val="0"/>
              <w:jc w:val="right"/>
              <w:rPr>
                <w:rFonts w:cstheme="minorHAnsi"/>
              </w:rPr>
            </w:pPr>
            <w:r>
              <w:rPr>
                <w:rFonts w:cstheme="minorHAnsi"/>
              </w:rPr>
              <w:t>12</w:t>
            </w:r>
          </w:p>
        </w:tc>
      </w:tr>
      <w:tr w:rsidR="002B69A0" w:rsidTr="002B69A0">
        <w:tc>
          <w:tcPr>
            <w:tcW w:w="7366" w:type="dxa"/>
          </w:tcPr>
          <w:p w:rsidR="002B69A0" w:rsidRDefault="002B69A0" w:rsidP="002B69A0">
            <w:pPr>
              <w:autoSpaceDE w:val="0"/>
              <w:autoSpaceDN w:val="0"/>
              <w:adjustRightInd w:val="0"/>
              <w:rPr>
                <w:rFonts w:cstheme="minorHAnsi"/>
              </w:rPr>
            </w:pPr>
            <w:r>
              <w:rPr>
                <w:rFonts w:cstheme="minorHAnsi"/>
              </w:rPr>
              <w:lastRenderedPageBreak/>
              <w:t>Total remuneration ($’000)</w:t>
            </w:r>
          </w:p>
        </w:tc>
        <w:tc>
          <w:tcPr>
            <w:tcW w:w="851" w:type="dxa"/>
          </w:tcPr>
          <w:p w:rsidR="002B69A0" w:rsidRDefault="002B69A0" w:rsidP="002B69A0">
            <w:pPr>
              <w:autoSpaceDE w:val="0"/>
              <w:autoSpaceDN w:val="0"/>
              <w:adjustRightInd w:val="0"/>
              <w:jc w:val="right"/>
              <w:rPr>
                <w:rFonts w:cstheme="minorHAnsi"/>
              </w:rPr>
            </w:pPr>
            <w:r>
              <w:rPr>
                <w:rFonts w:cstheme="minorHAnsi"/>
              </w:rPr>
              <w:t>345</w:t>
            </w:r>
          </w:p>
        </w:tc>
        <w:tc>
          <w:tcPr>
            <w:tcW w:w="799" w:type="dxa"/>
          </w:tcPr>
          <w:p w:rsidR="002B69A0" w:rsidRDefault="002B69A0" w:rsidP="002B69A0">
            <w:pPr>
              <w:autoSpaceDE w:val="0"/>
              <w:autoSpaceDN w:val="0"/>
              <w:adjustRightInd w:val="0"/>
              <w:jc w:val="right"/>
              <w:rPr>
                <w:rFonts w:cstheme="minorHAnsi"/>
              </w:rPr>
            </w:pPr>
            <w:r>
              <w:rPr>
                <w:rFonts w:cstheme="minorHAnsi"/>
              </w:rPr>
              <w:t>303</w:t>
            </w:r>
          </w:p>
        </w:tc>
      </w:tr>
    </w:tbl>
    <w:p w:rsidR="002B69A0" w:rsidRDefault="002B69A0" w:rsidP="002B69A0">
      <w:pPr>
        <w:autoSpaceDE w:val="0"/>
        <w:autoSpaceDN w:val="0"/>
        <w:adjustRightInd w:val="0"/>
        <w:spacing w:after="0" w:line="240" w:lineRule="auto"/>
        <w:rPr>
          <w:rFonts w:cstheme="minorHAnsi"/>
        </w:rPr>
      </w:pPr>
    </w:p>
    <w:p w:rsidR="002B69A0" w:rsidRPr="002B69A0" w:rsidRDefault="002B69A0" w:rsidP="002B69A0">
      <w:pPr>
        <w:pStyle w:val="NoSpacing"/>
        <w:rPr>
          <w:rFonts w:cstheme="minorHAnsi"/>
        </w:rPr>
      </w:pPr>
      <w:r>
        <w:t>Remuneration of the Responsible Minister is included in the financial statements of the Department of Parliamentary Services.</w:t>
      </w:r>
    </w:p>
    <w:p w:rsidR="002B69A0" w:rsidRDefault="002B69A0" w:rsidP="006863B4">
      <w:pPr>
        <w:pStyle w:val="NoSpacing"/>
      </w:pPr>
    </w:p>
    <w:p w:rsidR="006863B4" w:rsidRDefault="00E301E8" w:rsidP="00B004A1">
      <w:pPr>
        <w:pStyle w:val="NoSpacing"/>
      </w:pPr>
      <w:r>
        <w:t>&lt;pp&gt;82</w:t>
      </w:r>
    </w:p>
    <w:p w:rsidR="00E301E8" w:rsidRDefault="00E301E8" w:rsidP="00B004A1">
      <w:pPr>
        <w:pStyle w:val="NoSpacing"/>
      </w:pPr>
    </w:p>
    <w:p w:rsidR="004B54F6" w:rsidRDefault="004B54F6" w:rsidP="00522975">
      <w:pPr>
        <w:pStyle w:val="NoSpacing"/>
        <w:rPr>
          <w:caps/>
        </w:rPr>
        <w:sectPr w:rsidR="004B54F6">
          <w:pgSz w:w="11906" w:h="16838"/>
          <w:pgMar w:top="1440" w:right="1440" w:bottom="1440" w:left="1440" w:header="708" w:footer="708" w:gutter="0"/>
          <w:cols w:space="708"/>
          <w:docGrid w:linePitch="360"/>
        </w:sectPr>
      </w:pPr>
    </w:p>
    <w:p w:rsidR="00522975" w:rsidRPr="009E3926" w:rsidRDefault="00522975" w:rsidP="00234E85">
      <w:pPr>
        <w:pStyle w:val="Heading3"/>
      </w:pPr>
      <w:r w:rsidRPr="009E3926">
        <w:lastRenderedPageBreak/>
        <w:t xml:space="preserve">8. Governance Disclosures </w:t>
      </w:r>
      <w:r>
        <w:t>(continued)</w:t>
      </w:r>
    </w:p>
    <w:p w:rsidR="00E301E8" w:rsidRDefault="00E301E8" w:rsidP="00B004A1">
      <w:pPr>
        <w:pStyle w:val="NoSpacing"/>
      </w:pPr>
    </w:p>
    <w:p w:rsidR="00522975" w:rsidRDefault="00522975" w:rsidP="00234E85">
      <w:pPr>
        <w:pStyle w:val="Heading4"/>
      </w:pPr>
      <w:r>
        <w:t>8.2 Remuneration of executives</w:t>
      </w:r>
    </w:p>
    <w:p w:rsidR="00522975" w:rsidRDefault="00522975" w:rsidP="00B004A1">
      <w:pPr>
        <w:pStyle w:val="NoSpacing"/>
      </w:pPr>
    </w:p>
    <w:p w:rsidR="00522975" w:rsidRPr="00522975" w:rsidRDefault="00522975" w:rsidP="00522975">
      <w:pPr>
        <w:autoSpaceDE w:val="0"/>
        <w:autoSpaceDN w:val="0"/>
        <w:adjustRightInd w:val="0"/>
        <w:spacing w:after="0" w:line="240" w:lineRule="auto"/>
        <w:rPr>
          <w:rFonts w:cstheme="minorHAnsi"/>
        </w:rPr>
      </w:pPr>
      <w:r w:rsidRPr="00522975">
        <w:rPr>
          <w:rFonts w:cstheme="minorHAnsi"/>
        </w:rPr>
        <w:t>The total remuneration of executive officers, other than the CEO, and their total remunerat</w:t>
      </w:r>
      <w:r>
        <w:rPr>
          <w:rFonts w:cstheme="minorHAnsi"/>
        </w:rPr>
        <w:t xml:space="preserve">ion during the reporting period </w:t>
      </w:r>
      <w:r w:rsidRPr="00522975">
        <w:rPr>
          <w:rFonts w:cstheme="minorHAnsi"/>
        </w:rPr>
        <w:t>are shown in the table below. Total annualised employee equivalents provides a measure of</w:t>
      </w:r>
      <w:r>
        <w:rPr>
          <w:rFonts w:cstheme="minorHAnsi"/>
        </w:rPr>
        <w:t xml:space="preserve"> full time equivalent executive </w:t>
      </w:r>
      <w:r w:rsidRPr="00522975">
        <w:rPr>
          <w:rFonts w:cstheme="minorHAnsi"/>
        </w:rPr>
        <w:t>officers over the reporting period.</w:t>
      </w:r>
    </w:p>
    <w:p w:rsidR="00522975" w:rsidRPr="00522975" w:rsidRDefault="00522975" w:rsidP="00522975">
      <w:pPr>
        <w:autoSpaceDE w:val="0"/>
        <w:autoSpaceDN w:val="0"/>
        <w:adjustRightInd w:val="0"/>
        <w:spacing w:after="0" w:line="240" w:lineRule="auto"/>
        <w:rPr>
          <w:rFonts w:cstheme="minorHAnsi"/>
        </w:rPr>
      </w:pPr>
      <w:r w:rsidRPr="00522975">
        <w:rPr>
          <w:rFonts w:cstheme="minorHAnsi"/>
        </w:rPr>
        <w:t>Remuneration comprises employee benefits in all forms of consideration paid, payable or provided by the entity, or on</w:t>
      </w:r>
      <w:r>
        <w:rPr>
          <w:rFonts w:cstheme="minorHAnsi"/>
        </w:rPr>
        <w:t xml:space="preserve"> </w:t>
      </w:r>
      <w:r w:rsidRPr="00522975">
        <w:rPr>
          <w:rFonts w:cstheme="minorHAnsi"/>
        </w:rPr>
        <w:t>behalf of the entity, in exchange for services rendered, and is disclosed in the following categories.</w:t>
      </w:r>
    </w:p>
    <w:p w:rsidR="00522975" w:rsidRPr="00522975" w:rsidRDefault="00522975" w:rsidP="00522975">
      <w:pPr>
        <w:autoSpaceDE w:val="0"/>
        <w:autoSpaceDN w:val="0"/>
        <w:adjustRightInd w:val="0"/>
        <w:spacing w:after="0" w:line="240" w:lineRule="auto"/>
        <w:rPr>
          <w:rFonts w:cstheme="minorHAnsi"/>
        </w:rPr>
      </w:pPr>
      <w:r w:rsidRPr="00522975">
        <w:rPr>
          <w:rFonts w:cstheme="minorHAnsi"/>
        </w:rPr>
        <w:t>Short-term employee benefits include amounts such as wages, salaries, annual leave or sick leave that are usually paid or</w:t>
      </w:r>
      <w:r>
        <w:rPr>
          <w:rFonts w:cstheme="minorHAnsi"/>
        </w:rPr>
        <w:t xml:space="preserve"> </w:t>
      </w:r>
      <w:r w:rsidRPr="00522975">
        <w:rPr>
          <w:rFonts w:cstheme="minorHAnsi"/>
        </w:rPr>
        <w:t>payable on a regular basis, as well as non-monetary benefits such as allowances and free or subsidised goods or services.</w:t>
      </w:r>
    </w:p>
    <w:p w:rsidR="00522975" w:rsidRPr="00522975" w:rsidRDefault="00522975" w:rsidP="00522975">
      <w:pPr>
        <w:autoSpaceDE w:val="0"/>
        <w:autoSpaceDN w:val="0"/>
        <w:adjustRightInd w:val="0"/>
        <w:spacing w:after="0" w:line="240" w:lineRule="auto"/>
        <w:rPr>
          <w:rFonts w:cstheme="minorHAnsi"/>
        </w:rPr>
      </w:pPr>
      <w:r w:rsidRPr="00522975">
        <w:rPr>
          <w:rFonts w:cstheme="minorHAnsi"/>
        </w:rPr>
        <w:t>Post-employment benefits include pensions and other retirement benefits paid or payable on a discrete basis when</w:t>
      </w:r>
      <w:r>
        <w:rPr>
          <w:rFonts w:cstheme="minorHAnsi"/>
        </w:rPr>
        <w:t xml:space="preserve"> </w:t>
      </w:r>
      <w:r w:rsidRPr="00522975">
        <w:rPr>
          <w:rFonts w:cstheme="minorHAnsi"/>
        </w:rPr>
        <w:t>employment has ceased.</w:t>
      </w:r>
    </w:p>
    <w:p w:rsidR="00522975" w:rsidRPr="00522975" w:rsidRDefault="00522975" w:rsidP="00522975">
      <w:pPr>
        <w:autoSpaceDE w:val="0"/>
        <w:autoSpaceDN w:val="0"/>
        <w:adjustRightInd w:val="0"/>
        <w:spacing w:after="0" w:line="240" w:lineRule="auto"/>
        <w:rPr>
          <w:rFonts w:cstheme="minorHAnsi"/>
        </w:rPr>
      </w:pPr>
      <w:r w:rsidRPr="00522975">
        <w:rPr>
          <w:rFonts w:cstheme="minorHAnsi"/>
        </w:rPr>
        <w:t>Other long-term benefits include long service leave, other long service benefits or def</w:t>
      </w:r>
      <w:r>
        <w:rPr>
          <w:rFonts w:cstheme="minorHAnsi"/>
        </w:rPr>
        <w:t xml:space="preserve">erred compensation. Termination </w:t>
      </w:r>
      <w:r w:rsidRPr="00522975">
        <w:rPr>
          <w:rFonts w:cstheme="minorHAnsi"/>
        </w:rPr>
        <w:t>benefits include termination of employment payments, such as severance packages.</w:t>
      </w:r>
    </w:p>
    <w:p w:rsidR="00522975" w:rsidRDefault="00522975" w:rsidP="00522975">
      <w:pPr>
        <w:autoSpaceDE w:val="0"/>
        <w:autoSpaceDN w:val="0"/>
        <w:adjustRightInd w:val="0"/>
        <w:spacing w:after="0" w:line="240" w:lineRule="auto"/>
        <w:rPr>
          <w:rFonts w:cstheme="minorHAnsi"/>
        </w:rPr>
      </w:pPr>
      <w:r w:rsidRPr="00522975">
        <w:rPr>
          <w:rFonts w:cstheme="minorHAnsi"/>
        </w:rPr>
        <w:t>Several factors affected total remuneration payable to execut</w:t>
      </w:r>
      <w:r>
        <w:rPr>
          <w:rFonts w:cstheme="minorHAnsi"/>
        </w:rPr>
        <w:t xml:space="preserve">ives over the year. A number of employment contracts were </w:t>
      </w:r>
      <w:r w:rsidRPr="00522975">
        <w:rPr>
          <w:rFonts w:cstheme="minorHAnsi"/>
        </w:rPr>
        <w:t>completed and renegotiated.</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4B54F6" w:rsidRPr="00AE2D8D" w:rsidTr="004B54F6">
        <w:tc>
          <w:tcPr>
            <w:tcW w:w="2693" w:type="dxa"/>
            <w:gridSpan w:val="2"/>
          </w:tcPr>
          <w:p w:rsidR="004B54F6" w:rsidRPr="00AE2D8D" w:rsidRDefault="004B54F6" w:rsidP="004B54F6">
            <w:pPr>
              <w:pStyle w:val="NoSpacing"/>
              <w:jc w:val="center"/>
              <w:rPr>
                <w:rFonts w:cstheme="minorHAnsi"/>
                <w:bCs/>
                <w:w w:val="105"/>
              </w:rPr>
            </w:pPr>
            <w:r w:rsidRPr="00AE2D8D">
              <w:rPr>
                <w:rFonts w:cstheme="minorHAnsi"/>
                <w:bCs/>
                <w:w w:val="105"/>
              </w:rPr>
              <w:t>Consolidated</w:t>
            </w:r>
          </w:p>
        </w:tc>
        <w:tc>
          <w:tcPr>
            <w:tcW w:w="2410" w:type="dxa"/>
            <w:gridSpan w:val="2"/>
          </w:tcPr>
          <w:p w:rsidR="004B54F6" w:rsidRPr="00AE2D8D" w:rsidRDefault="004B54F6" w:rsidP="004B54F6">
            <w:pPr>
              <w:pStyle w:val="NoSpacing"/>
              <w:jc w:val="center"/>
              <w:rPr>
                <w:rFonts w:cstheme="minorHAnsi"/>
                <w:bCs/>
                <w:w w:val="105"/>
              </w:rPr>
            </w:pPr>
            <w:r w:rsidRPr="00AE2D8D">
              <w:rPr>
                <w:rFonts w:cstheme="minorHAnsi"/>
                <w:bCs/>
                <w:w w:val="105"/>
              </w:rPr>
              <w:t>Chisholm</w:t>
            </w:r>
          </w:p>
        </w:tc>
      </w:tr>
      <w:tr w:rsidR="004B54F6" w:rsidRPr="00AE2D8D" w:rsidTr="004B54F6">
        <w:tc>
          <w:tcPr>
            <w:tcW w:w="1417" w:type="dxa"/>
          </w:tcPr>
          <w:p w:rsidR="004B54F6" w:rsidRPr="00AE2D8D" w:rsidRDefault="004B54F6" w:rsidP="004B54F6">
            <w:pPr>
              <w:pStyle w:val="NoSpacing"/>
              <w:jc w:val="right"/>
              <w:rPr>
                <w:rFonts w:cstheme="minorHAnsi"/>
                <w:bCs/>
                <w:w w:val="105"/>
              </w:rPr>
            </w:pPr>
            <w:r w:rsidRPr="00AE2D8D">
              <w:rPr>
                <w:rFonts w:cstheme="minorHAnsi"/>
                <w:bCs/>
                <w:w w:val="105"/>
              </w:rPr>
              <w:t>2017</w:t>
            </w:r>
          </w:p>
        </w:tc>
        <w:tc>
          <w:tcPr>
            <w:tcW w:w="1276" w:type="dxa"/>
          </w:tcPr>
          <w:p w:rsidR="004B54F6" w:rsidRPr="00AE2D8D" w:rsidRDefault="004B54F6" w:rsidP="004B54F6">
            <w:pPr>
              <w:pStyle w:val="NoSpacing"/>
              <w:jc w:val="right"/>
              <w:rPr>
                <w:rFonts w:cstheme="minorHAnsi"/>
                <w:bCs/>
                <w:w w:val="105"/>
              </w:rPr>
            </w:pPr>
            <w:r w:rsidRPr="00AE2D8D">
              <w:rPr>
                <w:rFonts w:cstheme="minorHAnsi"/>
                <w:bCs/>
                <w:w w:val="105"/>
              </w:rPr>
              <w:t>2016</w:t>
            </w:r>
            <w:r>
              <w:rPr>
                <w:rFonts w:cstheme="minorHAnsi"/>
                <w:bCs/>
                <w:w w:val="105"/>
              </w:rPr>
              <w:t>(i)</w:t>
            </w:r>
          </w:p>
        </w:tc>
        <w:tc>
          <w:tcPr>
            <w:tcW w:w="1276" w:type="dxa"/>
          </w:tcPr>
          <w:p w:rsidR="004B54F6" w:rsidRPr="00AE2D8D" w:rsidRDefault="004B54F6" w:rsidP="004B54F6">
            <w:pPr>
              <w:pStyle w:val="NoSpacing"/>
              <w:jc w:val="right"/>
              <w:rPr>
                <w:rFonts w:cstheme="minorHAnsi"/>
                <w:bCs/>
                <w:w w:val="105"/>
              </w:rPr>
            </w:pPr>
            <w:r w:rsidRPr="00AE2D8D">
              <w:rPr>
                <w:rFonts w:cstheme="minorHAnsi"/>
                <w:bCs/>
                <w:w w:val="105"/>
              </w:rPr>
              <w:t>2017</w:t>
            </w:r>
          </w:p>
        </w:tc>
        <w:tc>
          <w:tcPr>
            <w:tcW w:w="1134" w:type="dxa"/>
          </w:tcPr>
          <w:p w:rsidR="004B54F6" w:rsidRPr="00AE2D8D" w:rsidRDefault="004B54F6" w:rsidP="004B54F6">
            <w:pPr>
              <w:pStyle w:val="NoSpacing"/>
              <w:jc w:val="right"/>
              <w:rPr>
                <w:rFonts w:cstheme="minorHAnsi"/>
                <w:bCs/>
                <w:w w:val="105"/>
              </w:rPr>
            </w:pPr>
            <w:r w:rsidRPr="00AE2D8D">
              <w:rPr>
                <w:rFonts w:cstheme="minorHAnsi"/>
                <w:bCs/>
                <w:w w:val="105"/>
              </w:rPr>
              <w:t>2016</w:t>
            </w:r>
            <w:r>
              <w:rPr>
                <w:rFonts w:cstheme="minorHAnsi"/>
                <w:bCs/>
                <w:w w:val="105"/>
              </w:rPr>
              <w:t>(i)</w:t>
            </w:r>
          </w:p>
        </w:tc>
      </w:tr>
      <w:tr w:rsidR="004B54F6" w:rsidRPr="00AE2D8D" w:rsidTr="004B54F6">
        <w:tc>
          <w:tcPr>
            <w:tcW w:w="1417" w:type="dxa"/>
          </w:tcPr>
          <w:p w:rsidR="004B54F6" w:rsidRPr="00AE2D8D" w:rsidRDefault="004B54F6" w:rsidP="004B54F6">
            <w:pPr>
              <w:jc w:val="right"/>
              <w:rPr>
                <w:rFonts w:cstheme="minorHAnsi"/>
              </w:rPr>
            </w:pPr>
            <w:r w:rsidRPr="00AE2D8D">
              <w:rPr>
                <w:rFonts w:cstheme="minorHAnsi"/>
                <w:bCs/>
                <w:w w:val="105"/>
              </w:rPr>
              <w:t>$’000</w:t>
            </w:r>
          </w:p>
        </w:tc>
        <w:tc>
          <w:tcPr>
            <w:tcW w:w="1276" w:type="dxa"/>
          </w:tcPr>
          <w:p w:rsidR="004B54F6" w:rsidRPr="00AE2D8D" w:rsidRDefault="004B54F6" w:rsidP="004B54F6">
            <w:pPr>
              <w:jc w:val="right"/>
              <w:rPr>
                <w:rFonts w:cstheme="minorHAnsi"/>
              </w:rPr>
            </w:pPr>
            <w:r w:rsidRPr="00AE2D8D">
              <w:rPr>
                <w:rFonts w:cstheme="minorHAnsi"/>
                <w:bCs/>
                <w:w w:val="105"/>
              </w:rPr>
              <w:t>$’000</w:t>
            </w:r>
          </w:p>
        </w:tc>
        <w:tc>
          <w:tcPr>
            <w:tcW w:w="1276" w:type="dxa"/>
          </w:tcPr>
          <w:p w:rsidR="004B54F6" w:rsidRPr="00AE2D8D" w:rsidRDefault="004B54F6" w:rsidP="004B54F6">
            <w:pPr>
              <w:jc w:val="right"/>
              <w:rPr>
                <w:rFonts w:cstheme="minorHAnsi"/>
              </w:rPr>
            </w:pPr>
            <w:r w:rsidRPr="00AE2D8D">
              <w:rPr>
                <w:rFonts w:cstheme="minorHAnsi"/>
                <w:bCs/>
                <w:w w:val="105"/>
              </w:rPr>
              <w:t>$’000</w:t>
            </w:r>
          </w:p>
        </w:tc>
        <w:tc>
          <w:tcPr>
            <w:tcW w:w="1134" w:type="dxa"/>
          </w:tcPr>
          <w:p w:rsidR="004B54F6" w:rsidRPr="00AE2D8D" w:rsidRDefault="004B54F6" w:rsidP="004B54F6">
            <w:pPr>
              <w:pStyle w:val="NoSpacing"/>
              <w:jc w:val="right"/>
              <w:rPr>
                <w:rFonts w:cstheme="minorHAnsi"/>
                <w:bCs/>
                <w:w w:val="105"/>
              </w:rPr>
            </w:pPr>
            <w:r w:rsidRPr="00AE2D8D">
              <w:rPr>
                <w:rFonts w:cstheme="minorHAnsi"/>
                <w:bCs/>
                <w:w w:val="105"/>
              </w:rPr>
              <w:t>$’000</w:t>
            </w:r>
          </w:p>
        </w:tc>
      </w:tr>
    </w:tbl>
    <w:p w:rsidR="004B54F6" w:rsidRDefault="004B54F6" w:rsidP="00522975">
      <w:pPr>
        <w:autoSpaceDE w:val="0"/>
        <w:autoSpaceDN w:val="0"/>
        <w:adjustRightInd w:val="0"/>
        <w:spacing w:after="0" w:line="240" w:lineRule="auto"/>
        <w:rPr>
          <w:rFonts w:cstheme="minorHAnsi"/>
        </w:rPr>
      </w:pPr>
      <w:r>
        <w:rPr>
          <w:rFonts w:cstheme="minorHAnsi"/>
        </w:rPr>
        <w:t>Remuneration</w:t>
      </w:r>
    </w:p>
    <w:tbl>
      <w:tblPr>
        <w:tblStyle w:val="TableGrid"/>
        <w:tblW w:w="0" w:type="auto"/>
        <w:tblLook w:val="04A0" w:firstRow="1" w:lastRow="0" w:firstColumn="1" w:lastColumn="0" w:noHBand="0" w:noVBand="1"/>
      </w:tblPr>
      <w:tblGrid>
        <w:gridCol w:w="8784"/>
        <w:gridCol w:w="1417"/>
        <w:gridCol w:w="1276"/>
        <w:gridCol w:w="1134"/>
        <w:gridCol w:w="1276"/>
      </w:tblGrid>
      <w:tr w:rsidR="00AD1DCC" w:rsidTr="006914D6">
        <w:tc>
          <w:tcPr>
            <w:tcW w:w="8784" w:type="dxa"/>
          </w:tcPr>
          <w:p w:rsidR="00AD1DCC" w:rsidRDefault="00AD1DCC" w:rsidP="006914D6">
            <w:pPr>
              <w:pStyle w:val="NoSpacing"/>
            </w:pPr>
            <w:r>
              <w:t>Short-term employee benefits</w:t>
            </w:r>
          </w:p>
        </w:tc>
        <w:tc>
          <w:tcPr>
            <w:tcW w:w="1417" w:type="dxa"/>
          </w:tcPr>
          <w:p w:rsidR="00AD1DCC" w:rsidRDefault="00AD1DCC" w:rsidP="006914D6">
            <w:pPr>
              <w:pStyle w:val="NoSpacing"/>
              <w:jc w:val="right"/>
            </w:pPr>
            <w:r>
              <w:t>1,974</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1,974</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Other long-term benefits</w:t>
            </w:r>
          </w:p>
        </w:tc>
        <w:tc>
          <w:tcPr>
            <w:tcW w:w="1417" w:type="dxa"/>
          </w:tcPr>
          <w:p w:rsidR="00AD1DCC" w:rsidRDefault="00AD1DCC" w:rsidP="006914D6">
            <w:pPr>
              <w:pStyle w:val="NoSpacing"/>
              <w:jc w:val="right"/>
            </w:pPr>
            <w:r>
              <w:t>496</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496</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Termination benefits</w:t>
            </w:r>
          </w:p>
        </w:tc>
        <w:tc>
          <w:tcPr>
            <w:tcW w:w="1417" w:type="dxa"/>
          </w:tcPr>
          <w:p w:rsidR="00AD1DCC" w:rsidRDefault="00AD1DCC" w:rsidP="006914D6">
            <w:pPr>
              <w:pStyle w:val="NoSpacing"/>
              <w:jc w:val="right"/>
            </w:pPr>
            <w:r>
              <w:t>228</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228</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Total remuneration</w:t>
            </w:r>
          </w:p>
        </w:tc>
        <w:tc>
          <w:tcPr>
            <w:tcW w:w="1417" w:type="dxa"/>
          </w:tcPr>
          <w:p w:rsidR="00AD1DCC" w:rsidRDefault="00AD1DCC" w:rsidP="006914D6">
            <w:pPr>
              <w:pStyle w:val="NoSpacing"/>
              <w:jc w:val="right"/>
            </w:pPr>
            <w:r>
              <w:t>2,698</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2,698</w:t>
            </w:r>
          </w:p>
        </w:tc>
        <w:tc>
          <w:tcPr>
            <w:tcW w:w="1276" w:type="dxa"/>
          </w:tcPr>
          <w:p w:rsidR="00AD1DCC" w:rsidRDefault="00AD1DCC" w:rsidP="006914D6">
            <w:pPr>
              <w:pStyle w:val="NoSpacing"/>
              <w:jc w:val="right"/>
            </w:pPr>
            <w:r>
              <w:t>-</w:t>
            </w:r>
          </w:p>
        </w:tc>
      </w:tr>
    </w:tbl>
    <w:p w:rsidR="00AD1DCC" w:rsidRDefault="00AD1DCC" w:rsidP="00AD1DCC">
      <w:pPr>
        <w:pStyle w:val="NoSpacing"/>
      </w:pPr>
    </w:p>
    <w:tbl>
      <w:tblPr>
        <w:tblStyle w:val="TableGrid"/>
        <w:tblW w:w="0" w:type="auto"/>
        <w:tblLook w:val="04A0" w:firstRow="1" w:lastRow="0" w:firstColumn="1" w:lastColumn="0" w:noHBand="0" w:noVBand="1"/>
      </w:tblPr>
      <w:tblGrid>
        <w:gridCol w:w="8784"/>
        <w:gridCol w:w="1417"/>
        <w:gridCol w:w="1276"/>
        <w:gridCol w:w="1134"/>
        <w:gridCol w:w="1276"/>
      </w:tblGrid>
      <w:tr w:rsidR="00AD1DCC" w:rsidTr="006914D6">
        <w:tc>
          <w:tcPr>
            <w:tcW w:w="8784" w:type="dxa"/>
          </w:tcPr>
          <w:p w:rsidR="00AD1DCC" w:rsidRDefault="00AD1DCC" w:rsidP="006914D6">
            <w:pPr>
              <w:pStyle w:val="NoSpacing"/>
            </w:pPr>
            <w:r>
              <w:t>Total number of executives</w:t>
            </w:r>
          </w:p>
        </w:tc>
        <w:tc>
          <w:tcPr>
            <w:tcW w:w="1417" w:type="dxa"/>
          </w:tcPr>
          <w:p w:rsidR="00AD1DCC" w:rsidRDefault="00AD1DCC" w:rsidP="006914D6">
            <w:pPr>
              <w:pStyle w:val="NoSpacing"/>
              <w:jc w:val="right"/>
            </w:pPr>
            <w:r>
              <w:t>11</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11</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Total annualised employee equivalents (ii)</w:t>
            </w:r>
          </w:p>
        </w:tc>
        <w:tc>
          <w:tcPr>
            <w:tcW w:w="1417" w:type="dxa"/>
          </w:tcPr>
          <w:p w:rsidR="00AD1DCC" w:rsidRDefault="00AD1DCC" w:rsidP="006914D6">
            <w:pPr>
              <w:pStyle w:val="NoSpacing"/>
              <w:jc w:val="right"/>
            </w:pPr>
            <w:r>
              <w:t>8</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8</w:t>
            </w:r>
          </w:p>
        </w:tc>
        <w:tc>
          <w:tcPr>
            <w:tcW w:w="1276" w:type="dxa"/>
          </w:tcPr>
          <w:p w:rsidR="00AD1DCC" w:rsidRDefault="00AD1DCC" w:rsidP="006914D6">
            <w:pPr>
              <w:pStyle w:val="NoSpacing"/>
              <w:jc w:val="right"/>
            </w:pPr>
            <w:r>
              <w:t>-</w:t>
            </w:r>
          </w:p>
        </w:tc>
      </w:tr>
    </w:tbl>
    <w:p w:rsidR="00AD1DCC" w:rsidRDefault="00AD1DCC" w:rsidP="00522975">
      <w:pPr>
        <w:pStyle w:val="NoSpacing"/>
      </w:pPr>
    </w:p>
    <w:p w:rsidR="00522975" w:rsidRDefault="00522975" w:rsidP="00522975">
      <w:pPr>
        <w:pStyle w:val="NoSpacing"/>
      </w:pPr>
      <w:r>
        <w:t>(i) Note that for the first year of implementation (2017), no comparatives will be required.</w:t>
      </w:r>
    </w:p>
    <w:p w:rsidR="004B54F6" w:rsidRDefault="00522975" w:rsidP="00522975">
      <w:pPr>
        <w:pStyle w:val="NoSpacing"/>
      </w:pPr>
      <w:r>
        <w:t>(ii) Annualised employee equivalent is based on paid working hours of 38 ordinary hours per week over the 52 weeks for a reporting period.</w:t>
      </w:r>
    </w:p>
    <w:p w:rsidR="00AD1DCC" w:rsidRDefault="00AD1DCC" w:rsidP="00522975">
      <w:pPr>
        <w:pStyle w:val="NoSpacing"/>
      </w:pPr>
    </w:p>
    <w:p w:rsidR="00AD1DCC" w:rsidRDefault="00AD1DCC" w:rsidP="00234E85">
      <w:pPr>
        <w:pStyle w:val="Heading4"/>
      </w:pPr>
      <w:r>
        <w:t xml:space="preserve">8.3 Related parties </w:t>
      </w:r>
    </w:p>
    <w:p w:rsidR="00AD1DCC" w:rsidRDefault="00AD1DCC" w:rsidP="00AD1DCC">
      <w:pPr>
        <w:pStyle w:val="NoSpacing"/>
      </w:pPr>
    </w:p>
    <w:p w:rsidR="00AD1DCC" w:rsidRDefault="00AD1DCC" w:rsidP="00AD1DCC">
      <w:pPr>
        <w:pStyle w:val="NoSpacing"/>
      </w:pPr>
      <w:r>
        <w:t>Related parties of Chisholm and its consolidated group include:</w:t>
      </w:r>
    </w:p>
    <w:p w:rsidR="00AD1DCC" w:rsidRDefault="00AD1DCC" w:rsidP="00AD1DCC">
      <w:pPr>
        <w:pStyle w:val="NoSpacing"/>
      </w:pPr>
      <w:r>
        <w:lastRenderedPageBreak/>
        <w:t>• All key management personnel and their close family members and personal business interests (controlled entities, joint ventures and entities they have significant influence over); and</w:t>
      </w:r>
    </w:p>
    <w:p w:rsidR="00AD1DCC" w:rsidRDefault="00AD1DCC" w:rsidP="00AD1DCC">
      <w:pPr>
        <w:pStyle w:val="NoSpacing"/>
      </w:pPr>
      <w:r>
        <w:t>• All entities that are controlled and consolidated into Chisholm’s consolidated financial statements.</w:t>
      </w:r>
    </w:p>
    <w:p w:rsidR="00AD1DCC" w:rsidRDefault="00AD1DCC" w:rsidP="00AD1DCC">
      <w:pPr>
        <w:pStyle w:val="NoSpacing"/>
      </w:pPr>
      <w:r>
        <w:t>All related party transactions have been entered into on an arm’s length basis.</w:t>
      </w:r>
    </w:p>
    <w:p w:rsidR="00AD1DCC" w:rsidRDefault="00AD1DCC" w:rsidP="00AD1DCC">
      <w:pPr>
        <w:pStyle w:val="NoSpacing"/>
      </w:pPr>
      <w:r>
        <w:t>The following entities have been consolidated into Chisholm’s financial statements in accordance with AASB 10:</w:t>
      </w:r>
    </w:p>
    <w:p w:rsidR="00AD1DCC" w:rsidRDefault="00AD1DCC" w:rsidP="00AD1DCC">
      <w:pPr>
        <w:pStyle w:val="NoSpacing"/>
      </w:pPr>
      <w:r>
        <w:t>• TAFE Online Pty Ltd;</w:t>
      </w:r>
    </w:p>
    <w:p w:rsidR="00AD1DCC" w:rsidRDefault="00AD1DCC" w:rsidP="00AD1DCC">
      <w:pPr>
        <w:pStyle w:val="NoSpacing"/>
      </w:pPr>
      <w:r>
        <w:t>• Caroline Chisholm Education Foundation; and</w:t>
      </w:r>
    </w:p>
    <w:p w:rsidR="00AD1DCC" w:rsidRDefault="00AD1DCC" w:rsidP="00AD1DCC">
      <w:pPr>
        <w:pStyle w:val="NoSpacing"/>
      </w:pPr>
      <w:r>
        <w:t>• Chisholm Academy Pty Ltd (until 30 November 2017).</w:t>
      </w:r>
    </w:p>
    <w:p w:rsidR="00AD1DCC" w:rsidRDefault="00AD1DCC" w:rsidP="00AD1DCC">
      <w:pPr>
        <w:pStyle w:val="NoSpacing"/>
      </w:pPr>
    </w:p>
    <w:p w:rsidR="00AD1DCC" w:rsidRDefault="00AD1DCC" w:rsidP="00AD1DCC">
      <w:pPr>
        <w:pStyle w:val="NoSpacing"/>
      </w:pPr>
      <w:r>
        <w:t>&lt;pp&gt;83</w:t>
      </w:r>
    </w:p>
    <w:p w:rsidR="00AD1DCC" w:rsidRDefault="00AD1DCC" w:rsidP="00AD1DCC">
      <w:pPr>
        <w:pStyle w:val="NoSpacing"/>
      </w:pPr>
    </w:p>
    <w:p w:rsidR="00AD1DCC" w:rsidRPr="009E3926" w:rsidRDefault="00AD1DCC" w:rsidP="00234E85">
      <w:pPr>
        <w:pStyle w:val="Heading3"/>
      </w:pPr>
      <w:r w:rsidRPr="009E3926">
        <w:t xml:space="preserve">8. Governance Disclosures </w:t>
      </w:r>
      <w:r>
        <w:t>(continued)</w:t>
      </w:r>
    </w:p>
    <w:p w:rsidR="00AD1DCC" w:rsidRDefault="00AD1DCC" w:rsidP="00AD1DCC">
      <w:pPr>
        <w:pStyle w:val="NoSpacing"/>
        <w:rPr>
          <w:rFonts w:cstheme="minorHAnsi"/>
        </w:rPr>
      </w:pPr>
    </w:p>
    <w:p w:rsidR="00AD1DCC" w:rsidRDefault="00AD1DCC" w:rsidP="00234E85">
      <w:pPr>
        <w:pStyle w:val="Heading4"/>
      </w:pPr>
      <w:r>
        <w:t>8.3 Related parties (continued)</w:t>
      </w:r>
    </w:p>
    <w:p w:rsidR="00AD1DCC" w:rsidRDefault="00AD1DCC" w:rsidP="00AD1DCC">
      <w:pPr>
        <w:pStyle w:val="NoSpacing"/>
        <w:rPr>
          <w:rFonts w:cstheme="minorHAnsi"/>
        </w:rPr>
      </w:pPr>
    </w:p>
    <w:p w:rsidR="00AD1DCC" w:rsidRPr="00BA4A5E" w:rsidRDefault="00AD1DCC" w:rsidP="00AD1DCC">
      <w:pPr>
        <w:pStyle w:val="NoSpacing"/>
      </w:pPr>
      <w:r w:rsidRPr="00BA4A5E">
        <w:t>Significant transactions with related entities</w:t>
      </w:r>
    </w:p>
    <w:p w:rsidR="00AD1DCC" w:rsidRPr="00BA4A5E" w:rsidRDefault="00AD1DCC" w:rsidP="00AD1DCC">
      <w:pPr>
        <w:pStyle w:val="NoSpacing"/>
      </w:pPr>
      <w:r w:rsidRPr="00BA4A5E">
        <w:t>Chisholm provided a loan of $711,538 (2016: $305,217) to TAFE Online Pty Ltd during the current financial year.</w:t>
      </w:r>
    </w:p>
    <w:p w:rsidR="00AD1DCC" w:rsidRPr="00BA4A5E" w:rsidRDefault="00AD1DCC" w:rsidP="00AD1DCC">
      <w:pPr>
        <w:pStyle w:val="NoSpacing"/>
      </w:pPr>
      <w:r w:rsidRPr="00BA4A5E">
        <w:t>Chisholm provided a donation of $155,072 (2016: $123,890) and resources free of charge of $110,067 (2016:$98,318) to</w:t>
      </w:r>
    </w:p>
    <w:p w:rsidR="00AD1DCC" w:rsidRPr="00BA4A5E" w:rsidRDefault="00AD1DCC" w:rsidP="00AD1DCC">
      <w:pPr>
        <w:pStyle w:val="NoSpacing"/>
      </w:pPr>
      <w:r w:rsidRPr="00BA4A5E">
        <w:t>Caroline Chisholm Education Foundation during the current financial year.</w:t>
      </w:r>
    </w:p>
    <w:p w:rsidR="00AD1DCC" w:rsidRPr="00BA4A5E" w:rsidRDefault="00AD1DCC" w:rsidP="00AD1DCC">
      <w:pPr>
        <w:pStyle w:val="NoSpacing"/>
      </w:pPr>
      <w:r w:rsidRPr="00BA4A5E">
        <w:t>Chisholm provided a loan of $1,471,679 (2016: $2,420,882) to Chisholm Academy Pty Ltd from 1 January to 30 November.</w:t>
      </w:r>
    </w:p>
    <w:p w:rsidR="00AD1DCC" w:rsidRDefault="00AD1DCC" w:rsidP="00AD1DCC">
      <w:pPr>
        <w:pStyle w:val="NoSpacing"/>
      </w:pPr>
      <w:r w:rsidRPr="00BA4A5E">
        <w:t>The entire loan amount was forgiven by Chisholm as part of the voluntary de-registration of Chisholm Academy Pty Ltd.</w:t>
      </w:r>
    </w:p>
    <w:p w:rsidR="00AD1DCC" w:rsidRDefault="00AD1DCC" w:rsidP="00AD1DCC">
      <w:pPr>
        <w:pStyle w:val="NoSpacing"/>
      </w:pPr>
    </w:p>
    <w:p w:rsidR="00AD1DCC" w:rsidRDefault="00AD1DCC" w:rsidP="00AD1DCC">
      <w:pPr>
        <w:pStyle w:val="NoSpacing"/>
      </w:pPr>
      <w:r>
        <w:t>Related party transactions</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AD1DCC" w:rsidRPr="00AE2D8D" w:rsidTr="006914D6">
        <w:tc>
          <w:tcPr>
            <w:tcW w:w="2693" w:type="dxa"/>
            <w:gridSpan w:val="2"/>
          </w:tcPr>
          <w:p w:rsidR="00AD1DCC" w:rsidRPr="00AE2D8D" w:rsidRDefault="00AD1DCC" w:rsidP="006914D6">
            <w:pPr>
              <w:pStyle w:val="NoSpacing"/>
              <w:jc w:val="center"/>
              <w:rPr>
                <w:rFonts w:cstheme="minorHAnsi"/>
                <w:bCs/>
                <w:w w:val="105"/>
              </w:rPr>
            </w:pPr>
            <w:r>
              <w:rPr>
                <w:rFonts w:cstheme="minorHAnsi"/>
                <w:bCs/>
                <w:w w:val="105"/>
              </w:rPr>
              <w:t xml:space="preserve">Transaction values for year ended 31 December </w:t>
            </w:r>
          </w:p>
        </w:tc>
        <w:tc>
          <w:tcPr>
            <w:tcW w:w="2410" w:type="dxa"/>
            <w:gridSpan w:val="2"/>
          </w:tcPr>
          <w:p w:rsidR="00AD1DCC" w:rsidRPr="00AE2D8D" w:rsidRDefault="00AD1DCC" w:rsidP="006914D6">
            <w:pPr>
              <w:pStyle w:val="NoSpacing"/>
              <w:jc w:val="center"/>
              <w:rPr>
                <w:rFonts w:cstheme="minorHAnsi"/>
                <w:bCs/>
                <w:w w:val="105"/>
              </w:rPr>
            </w:pPr>
            <w:r>
              <w:rPr>
                <w:rFonts w:cstheme="minorHAnsi"/>
                <w:bCs/>
                <w:w w:val="105"/>
              </w:rPr>
              <w:t>Balances outstanding as at 31 December</w:t>
            </w:r>
          </w:p>
        </w:tc>
      </w:tr>
      <w:tr w:rsidR="00AD1DCC" w:rsidRPr="00AE2D8D" w:rsidTr="006914D6">
        <w:tc>
          <w:tcPr>
            <w:tcW w:w="1417" w:type="dxa"/>
          </w:tcPr>
          <w:p w:rsidR="00AD1DCC" w:rsidRPr="00AE2D8D" w:rsidRDefault="00AD1DCC" w:rsidP="006914D6">
            <w:pPr>
              <w:pStyle w:val="NoSpacing"/>
              <w:jc w:val="right"/>
              <w:rPr>
                <w:rFonts w:cstheme="minorHAnsi"/>
                <w:bCs/>
                <w:w w:val="105"/>
              </w:rPr>
            </w:pPr>
            <w:r w:rsidRPr="00AE2D8D">
              <w:rPr>
                <w:rFonts w:cstheme="minorHAnsi"/>
                <w:bCs/>
                <w:w w:val="105"/>
              </w:rPr>
              <w:t>2017</w:t>
            </w:r>
          </w:p>
        </w:tc>
        <w:tc>
          <w:tcPr>
            <w:tcW w:w="1276" w:type="dxa"/>
          </w:tcPr>
          <w:p w:rsidR="00AD1DCC" w:rsidRPr="00AE2D8D" w:rsidRDefault="00AD1DCC" w:rsidP="006914D6">
            <w:pPr>
              <w:pStyle w:val="NoSpacing"/>
              <w:jc w:val="right"/>
              <w:rPr>
                <w:rFonts w:cstheme="minorHAnsi"/>
                <w:bCs/>
                <w:w w:val="105"/>
              </w:rPr>
            </w:pPr>
            <w:r w:rsidRPr="00AE2D8D">
              <w:rPr>
                <w:rFonts w:cstheme="minorHAnsi"/>
                <w:bCs/>
                <w:w w:val="105"/>
              </w:rPr>
              <w:t>2016</w:t>
            </w:r>
          </w:p>
        </w:tc>
        <w:tc>
          <w:tcPr>
            <w:tcW w:w="1276" w:type="dxa"/>
          </w:tcPr>
          <w:p w:rsidR="00AD1DCC" w:rsidRPr="00AE2D8D" w:rsidRDefault="00AD1DCC" w:rsidP="006914D6">
            <w:pPr>
              <w:pStyle w:val="NoSpacing"/>
              <w:jc w:val="right"/>
              <w:rPr>
                <w:rFonts w:cstheme="minorHAnsi"/>
                <w:bCs/>
                <w:w w:val="105"/>
              </w:rPr>
            </w:pPr>
            <w:r w:rsidRPr="00AE2D8D">
              <w:rPr>
                <w:rFonts w:cstheme="minorHAnsi"/>
                <w:bCs/>
                <w:w w:val="105"/>
              </w:rPr>
              <w:t>2017</w:t>
            </w:r>
          </w:p>
        </w:tc>
        <w:tc>
          <w:tcPr>
            <w:tcW w:w="1134" w:type="dxa"/>
          </w:tcPr>
          <w:p w:rsidR="00AD1DCC" w:rsidRPr="00AE2D8D" w:rsidRDefault="00AD1DCC" w:rsidP="006914D6">
            <w:pPr>
              <w:pStyle w:val="NoSpacing"/>
              <w:jc w:val="right"/>
              <w:rPr>
                <w:rFonts w:cstheme="minorHAnsi"/>
                <w:bCs/>
                <w:w w:val="105"/>
              </w:rPr>
            </w:pPr>
            <w:r w:rsidRPr="00AE2D8D">
              <w:rPr>
                <w:rFonts w:cstheme="minorHAnsi"/>
                <w:bCs/>
                <w:w w:val="105"/>
              </w:rPr>
              <w:t>2016</w:t>
            </w:r>
          </w:p>
        </w:tc>
      </w:tr>
      <w:tr w:rsidR="00AD1DCC" w:rsidRPr="00AE2D8D" w:rsidTr="006914D6">
        <w:tc>
          <w:tcPr>
            <w:tcW w:w="1417" w:type="dxa"/>
          </w:tcPr>
          <w:p w:rsidR="00AD1DCC" w:rsidRPr="00AE2D8D" w:rsidRDefault="00AD1DCC" w:rsidP="006914D6">
            <w:pPr>
              <w:jc w:val="right"/>
              <w:rPr>
                <w:rFonts w:cstheme="minorHAnsi"/>
              </w:rPr>
            </w:pPr>
            <w:r w:rsidRPr="00AE2D8D">
              <w:rPr>
                <w:rFonts w:cstheme="minorHAnsi"/>
                <w:bCs/>
                <w:w w:val="105"/>
              </w:rPr>
              <w:t>$’000</w:t>
            </w:r>
          </w:p>
        </w:tc>
        <w:tc>
          <w:tcPr>
            <w:tcW w:w="1276" w:type="dxa"/>
          </w:tcPr>
          <w:p w:rsidR="00AD1DCC" w:rsidRPr="00AE2D8D" w:rsidRDefault="00AD1DCC" w:rsidP="006914D6">
            <w:pPr>
              <w:jc w:val="right"/>
              <w:rPr>
                <w:rFonts w:cstheme="minorHAnsi"/>
              </w:rPr>
            </w:pPr>
            <w:r w:rsidRPr="00AE2D8D">
              <w:rPr>
                <w:rFonts w:cstheme="minorHAnsi"/>
                <w:bCs/>
                <w:w w:val="105"/>
              </w:rPr>
              <w:t>$’000</w:t>
            </w:r>
          </w:p>
        </w:tc>
        <w:tc>
          <w:tcPr>
            <w:tcW w:w="1276" w:type="dxa"/>
          </w:tcPr>
          <w:p w:rsidR="00AD1DCC" w:rsidRPr="00AE2D8D" w:rsidRDefault="00AD1DCC" w:rsidP="006914D6">
            <w:pPr>
              <w:jc w:val="right"/>
              <w:rPr>
                <w:rFonts w:cstheme="minorHAnsi"/>
              </w:rPr>
            </w:pPr>
            <w:r w:rsidRPr="00AE2D8D">
              <w:rPr>
                <w:rFonts w:cstheme="minorHAnsi"/>
                <w:bCs/>
                <w:w w:val="105"/>
              </w:rPr>
              <w:t>$’000</w:t>
            </w:r>
          </w:p>
        </w:tc>
        <w:tc>
          <w:tcPr>
            <w:tcW w:w="1134" w:type="dxa"/>
          </w:tcPr>
          <w:p w:rsidR="00AD1DCC" w:rsidRPr="00AE2D8D" w:rsidRDefault="00AD1DCC" w:rsidP="006914D6">
            <w:pPr>
              <w:pStyle w:val="NoSpacing"/>
              <w:jc w:val="right"/>
              <w:rPr>
                <w:rFonts w:cstheme="minorHAnsi"/>
                <w:bCs/>
                <w:w w:val="105"/>
              </w:rPr>
            </w:pPr>
            <w:r w:rsidRPr="00AE2D8D">
              <w:rPr>
                <w:rFonts w:cstheme="minorHAnsi"/>
                <w:bCs/>
                <w:w w:val="105"/>
              </w:rPr>
              <w:t>$’000</w:t>
            </w:r>
          </w:p>
        </w:tc>
      </w:tr>
    </w:tbl>
    <w:p w:rsidR="00AD1DCC" w:rsidRDefault="00AD1DCC" w:rsidP="00AD1DCC">
      <w:pPr>
        <w:pStyle w:val="NoSpacing"/>
      </w:pPr>
      <w:r>
        <w:t>Related party transactions</w:t>
      </w:r>
    </w:p>
    <w:tbl>
      <w:tblPr>
        <w:tblStyle w:val="TableGrid"/>
        <w:tblW w:w="0" w:type="auto"/>
        <w:tblLook w:val="04A0" w:firstRow="1" w:lastRow="0" w:firstColumn="1" w:lastColumn="0" w:noHBand="0" w:noVBand="1"/>
      </w:tblPr>
      <w:tblGrid>
        <w:gridCol w:w="8784"/>
        <w:gridCol w:w="1417"/>
        <w:gridCol w:w="1276"/>
        <w:gridCol w:w="1134"/>
        <w:gridCol w:w="1276"/>
      </w:tblGrid>
      <w:tr w:rsidR="00AD1DCC" w:rsidTr="006914D6">
        <w:tc>
          <w:tcPr>
            <w:tcW w:w="8784" w:type="dxa"/>
          </w:tcPr>
          <w:p w:rsidR="00AD1DCC" w:rsidRDefault="00AD1DCC" w:rsidP="006914D6">
            <w:pPr>
              <w:pStyle w:val="NoSpacing"/>
            </w:pPr>
            <w:r>
              <w:t>Debtor – TAFE Online Pty Ltd</w:t>
            </w:r>
          </w:p>
        </w:tc>
        <w:tc>
          <w:tcPr>
            <w:tcW w:w="1417"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1,933</w:t>
            </w:r>
          </w:p>
        </w:tc>
        <w:tc>
          <w:tcPr>
            <w:tcW w:w="1276" w:type="dxa"/>
          </w:tcPr>
          <w:p w:rsidR="00AD1DCC" w:rsidRDefault="00AD1DCC" w:rsidP="006914D6">
            <w:pPr>
              <w:pStyle w:val="NoSpacing"/>
              <w:jc w:val="right"/>
            </w:pPr>
            <w:r>
              <w:t>1,222</w:t>
            </w:r>
          </w:p>
        </w:tc>
      </w:tr>
      <w:tr w:rsidR="00AD1DCC" w:rsidTr="006914D6">
        <w:tc>
          <w:tcPr>
            <w:tcW w:w="8784" w:type="dxa"/>
          </w:tcPr>
          <w:p w:rsidR="00AD1DCC" w:rsidRDefault="00AD1DCC" w:rsidP="006914D6">
            <w:pPr>
              <w:pStyle w:val="NoSpacing"/>
            </w:pPr>
            <w:r>
              <w:t>Debtor – Caroline Chisholm Education Foundation (CCEF)</w:t>
            </w:r>
          </w:p>
        </w:tc>
        <w:tc>
          <w:tcPr>
            <w:tcW w:w="1417"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c>
          <w:tcPr>
            <w:tcW w:w="1134" w:type="dxa"/>
          </w:tcPr>
          <w:p w:rsidR="00AD1DCC" w:rsidRDefault="00AD1DCC" w:rsidP="006914D6">
            <w:pPr>
              <w:pStyle w:val="NoSpacing"/>
              <w:jc w:val="right"/>
            </w:pPr>
            <w:r>
              <w:t>253</w:t>
            </w:r>
          </w:p>
        </w:tc>
        <w:tc>
          <w:tcPr>
            <w:tcW w:w="1276" w:type="dxa"/>
          </w:tcPr>
          <w:p w:rsidR="00AD1DCC" w:rsidRDefault="00AD1DCC" w:rsidP="006914D6">
            <w:pPr>
              <w:pStyle w:val="NoSpacing"/>
              <w:jc w:val="right"/>
            </w:pPr>
            <w:r>
              <w:t>284</w:t>
            </w:r>
          </w:p>
        </w:tc>
      </w:tr>
      <w:tr w:rsidR="00AD1DCC" w:rsidTr="006914D6">
        <w:tc>
          <w:tcPr>
            <w:tcW w:w="8784" w:type="dxa"/>
          </w:tcPr>
          <w:p w:rsidR="00AD1DCC" w:rsidRDefault="00AD1DCC" w:rsidP="006914D6">
            <w:pPr>
              <w:pStyle w:val="NoSpacing"/>
            </w:pPr>
            <w:r>
              <w:t>Donations provided to CCEF</w:t>
            </w:r>
          </w:p>
        </w:tc>
        <w:tc>
          <w:tcPr>
            <w:tcW w:w="1417" w:type="dxa"/>
          </w:tcPr>
          <w:p w:rsidR="00AD1DCC" w:rsidRDefault="00AD1DCC" w:rsidP="006914D6">
            <w:pPr>
              <w:pStyle w:val="NoSpacing"/>
              <w:jc w:val="right"/>
            </w:pPr>
            <w:r>
              <w:t>155</w:t>
            </w:r>
          </w:p>
        </w:tc>
        <w:tc>
          <w:tcPr>
            <w:tcW w:w="1276" w:type="dxa"/>
          </w:tcPr>
          <w:p w:rsidR="00AD1DCC" w:rsidRDefault="00AD1DCC" w:rsidP="006914D6">
            <w:pPr>
              <w:pStyle w:val="NoSpacing"/>
              <w:jc w:val="right"/>
            </w:pPr>
            <w:r>
              <w:t>124</w:t>
            </w:r>
          </w:p>
        </w:tc>
        <w:tc>
          <w:tcPr>
            <w:tcW w:w="1134"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Resources provided free of charge to CCEF</w:t>
            </w:r>
          </w:p>
        </w:tc>
        <w:tc>
          <w:tcPr>
            <w:tcW w:w="1417" w:type="dxa"/>
          </w:tcPr>
          <w:p w:rsidR="00AD1DCC" w:rsidRDefault="00AD1DCC" w:rsidP="006914D6">
            <w:pPr>
              <w:pStyle w:val="NoSpacing"/>
              <w:jc w:val="right"/>
            </w:pPr>
            <w:r>
              <w:t>110</w:t>
            </w:r>
          </w:p>
        </w:tc>
        <w:tc>
          <w:tcPr>
            <w:tcW w:w="1276" w:type="dxa"/>
          </w:tcPr>
          <w:p w:rsidR="00AD1DCC" w:rsidRDefault="00AD1DCC" w:rsidP="006914D6">
            <w:pPr>
              <w:pStyle w:val="NoSpacing"/>
              <w:jc w:val="right"/>
            </w:pPr>
            <w:r>
              <w:t>98</w:t>
            </w:r>
          </w:p>
        </w:tc>
        <w:tc>
          <w:tcPr>
            <w:tcW w:w="1134"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lastRenderedPageBreak/>
              <w:t>Revenue collected for TAFE Online Pty Ltd</w:t>
            </w:r>
          </w:p>
        </w:tc>
        <w:tc>
          <w:tcPr>
            <w:tcW w:w="1417" w:type="dxa"/>
          </w:tcPr>
          <w:p w:rsidR="00AD1DCC" w:rsidRDefault="00AD1DCC" w:rsidP="006914D6">
            <w:pPr>
              <w:pStyle w:val="NoSpacing"/>
              <w:jc w:val="right"/>
            </w:pPr>
            <w:r>
              <w:t>88</w:t>
            </w:r>
          </w:p>
        </w:tc>
        <w:tc>
          <w:tcPr>
            <w:tcW w:w="1276" w:type="dxa"/>
          </w:tcPr>
          <w:p w:rsidR="00AD1DCC" w:rsidRDefault="00AD1DCC" w:rsidP="006914D6">
            <w:pPr>
              <w:pStyle w:val="NoSpacing"/>
              <w:jc w:val="right"/>
            </w:pPr>
            <w:r>
              <w:t>250</w:t>
            </w:r>
          </w:p>
        </w:tc>
        <w:tc>
          <w:tcPr>
            <w:tcW w:w="1134"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Expenses paid for TAFE Online Pty Ltd</w:t>
            </w:r>
          </w:p>
        </w:tc>
        <w:tc>
          <w:tcPr>
            <w:tcW w:w="1417" w:type="dxa"/>
          </w:tcPr>
          <w:p w:rsidR="00AD1DCC" w:rsidRDefault="00AD1DCC" w:rsidP="006914D6">
            <w:pPr>
              <w:pStyle w:val="NoSpacing"/>
              <w:jc w:val="right"/>
            </w:pPr>
            <w:r>
              <w:t>500</w:t>
            </w:r>
          </w:p>
        </w:tc>
        <w:tc>
          <w:tcPr>
            <w:tcW w:w="1276" w:type="dxa"/>
          </w:tcPr>
          <w:p w:rsidR="00AD1DCC" w:rsidRDefault="00AD1DCC" w:rsidP="006914D6">
            <w:pPr>
              <w:pStyle w:val="NoSpacing"/>
              <w:jc w:val="right"/>
            </w:pPr>
            <w:r>
              <w:t>555</w:t>
            </w:r>
          </w:p>
        </w:tc>
        <w:tc>
          <w:tcPr>
            <w:tcW w:w="1134"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Revenue collected for Chisholm Academy Pty Ltd</w:t>
            </w:r>
          </w:p>
        </w:tc>
        <w:tc>
          <w:tcPr>
            <w:tcW w:w="1417" w:type="dxa"/>
          </w:tcPr>
          <w:p w:rsidR="00AD1DCC" w:rsidRDefault="00AD1DCC" w:rsidP="006914D6">
            <w:pPr>
              <w:pStyle w:val="NoSpacing"/>
              <w:jc w:val="right"/>
            </w:pPr>
            <w:r>
              <w:t>1,320</w:t>
            </w:r>
          </w:p>
        </w:tc>
        <w:tc>
          <w:tcPr>
            <w:tcW w:w="1276" w:type="dxa"/>
          </w:tcPr>
          <w:p w:rsidR="00AD1DCC" w:rsidRDefault="00AD1DCC" w:rsidP="006914D6">
            <w:pPr>
              <w:pStyle w:val="NoSpacing"/>
              <w:jc w:val="right"/>
            </w:pPr>
            <w:r>
              <w:t>482</w:t>
            </w:r>
          </w:p>
        </w:tc>
        <w:tc>
          <w:tcPr>
            <w:tcW w:w="1134"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Expenses paid for Chisholm Academy Pty Ltd</w:t>
            </w:r>
          </w:p>
        </w:tc>
        <w:tc>
          <w:tcPr>
            <w:tcW w:w="1417" w:type="dxa"/>
          </w:tcPr>
          <w:p w:rsidR="00AD1DCC" w:rsidRDefault="00AD1DCC" w:rsidP="006914D6">
            <w:pPr>
              <w:pStyle w:val="NoSpacing"/>
              <w:jc w:val="right"/>
            </w:pPr>
            <w:r>
              <w:t>2,792</w:t>
            </w:r>
          </w:p>
        </w:tc>
        <w:tc>
          <w:tcPr>
            <w:tcW w:w="1276" w:type="dxa"/>
          </w:tcPr>
          <w:p w:rsidR="00AD1DCC" w:rsidRDefault="00AD1DCC" w:rsidP="006914D6">
            <w:pPr>
              <w:pStyle w:val="NoSpacing"/>
              <w:jc w:val="right"/>
            </w:pPr>
            <w:r>
              <w:t>2,903</w:t>
            </w:r>
          </w:p>
        </w:tc>
        <w:tc>
          <w:tcPr>
            <w:tcW w:w="1134" w:type="dxa"/>
          </w:tcPr>
          <w:p w:rsidR="00AD1DCC" w:rsidRDefault="00AD1DCC" w:rsidP="006914D6">
            <w:pPr>
              <w:pStyle w:val="NoSpacing"/>
              <w:jc w:val="right"/>
            </w:pPr>
            <w:r>
              <w:t>-</w:t>
            </w:r>
          </w:p>
        </w:tc>
        <w:tc>
          <w:tcPr>
            <w:tcW w:w="1276" w:type="dxa"/>
          </w:tcPr>
          <w:p w:rsidR="00AD1DCC" w:rsidRDefault="00AD1DCC" w:rsidP="006914D6">
            <w:pPr>
              <w:pStyle w:val="NoSpacing"/>
              <w:jc w:val="right"/>
            </w:pPr>
            <w:r>
              <w:t>-</w:t>
            </w:r>
          </w:p>
        </w:tc>
      </w:tr>
      <w:tr w:rsidR="00AD1DCC" w:rsidTr="006914D6">
        <w:tc>
          <w:tcPr>
            <w:tcW w:w="8784" w:type="dxa"/>
          </w:tcPr>
          <w:p w:rsidR="00AD1DCC" w:rsidRDefault="00AD1DCC" w:rsidP="006914D6">
            <w:pPr>
              <w:pStyle w:val="NoSpacing"/>
            </w:pPr>
            <w:r>
              <w:t>Total</w:t>
            </w:r>
          </w:p>
        </w:tc>
        <w:tc>
          <w:tcPr>
            <w:tcW w:w="1417" w:type="dxa"/>
          </w:tcPr>
          <w:p w:rsidR="00AD1DCC" w:rsidRDefault="00AD1DCC" w:rsidP="006914D6">
            <w:pPr>
              <w:pStyle w:val="NoSpacing"/>
              <w:jc w:val="right"/>
            </w:pPr>
            <w:r>
              <w:t>5,265</w:t>
            </w:r>
          </w:p>
        </w:tc>
        <w:tc>
          <w:tcPr>
            <w:tcW w:w="1276" w:type="dxa"/>
          </w:tcPr>
          <w:p w:rsidR="00AD1DCC" w:rsidRDefault="00AD1DCC" w:rsidP="006914D6">
            <w:pPr>
              <w:pStyle w:val="NoSpacing"/>
              <w:jc w:val="right"/>
            </w:pPr>
            <w:r>
              <w:t>4,412</w:t>
            </w:r>
          </w:p>
        </w:tc>
        <w:tc>
          <w:tcPr>
            <w:tcW w:w="1134" w:type="dxa"/>
          </w:tcPr>
          <w:p w:rsidR="00AD1DCC" w:rsidRDefault="00AD1DCC" w:rsidP="006914D6">
            <w:pPr>
              <w:pStyle w:val="NoSpacing"/>
              <w:jc w:val="right"/>
            </w:pPr>
            <w:r>
              <w:t>2,186</w:t>
            </w:r>
          </w:p>
        </w:tc>
        <w:tc>
          <w:tcPr>
            <w:tcW w:w="1276" w:type="dxa"/>
          </w:tcPr>
          <w:p w:rsidR="00AD1DCC" w:rsidRDefault="00AD1DCC" w:rsidP="006914D6">
            <w:pPr>
              <w:pStyle w:val="NoSpacing"/>
              <w:jc w:val="right"/>
            </w:pPr>
            <w:r>
              <w:t>1,506</w:t>
            </w:r>
          </w:p>
        </w:tc>
      </w:tr>
    </w:tbl>
    <w:p w:rsidR="00AD1DCC" w:rsidRDefault="00AD1DCC" w:rsidP="00AD1DCC">
      <w:pPr>
        <w:pStyle w:val="NoSpacing"/>
      </w:pPr>
    </w:p>
    <w:p w:rsidR="00AD1DCC" w:rsidRDefault="00AD1DCC" w:rsidP="00AD1DCC">
      <w:pPr>
        <w:pStyle w:val="NoSpacing"/>
      </w:pPr>
      <w:r>
        <w:t>&lt;pp&gt;84</w:t>
      </w:r>
    </w:p>
    <w:p w:rsidR="00AD1DCC" w:rsidRDefault="00AD1DCC" w:rsidP="00AD1DCC">
      <w:pPr>
        <w:pStyle w:val="NoSpacing"/>
      </w:pPr>
    </w:p>
    <w:p w:rsidR="00AD1DCC" w:rsidRPr="009E3926" w:rsidRDefault="00AD1DCC" w:rsidP="00234E85">
      <w:pPr>
        <w:pStyle w:val="Heading3"/>
      </w:pPr>
      <w:r w:rsidRPr="009E3926">
        <w:t xml:space="preserve">8. Governance Disclosures </w:t>
      </w:r>
      <w:r>
        <w:t>(continued)</w:t>
      </w:r>
    </w:p>
    <w:p w:rsidR="00AD1DCC" w:rsidRDefault="00AD1DCC" w:rsidP="00AD1DCC">
      <w:pPr>
        <w:pStyle w:val="NoSpacing"/>
        <w:rPr>
          <w:rFonts w:cstheme="minorHAnsi"/>
        </w:rPr>
      </w:pPr>
    </w:p>
    <w:p w:rsidR="00AD1DCC" w:rsidRDefault="00AD1DCC" w:rsidP="00234E85">
      <w:pPr>
        <w:pStyle w:val="Heading3"/>
      </w:pPr>
      <w:r>
        <w:t>8.3 Related parties (continued)</w:t>
      </w:r>
    </w:p>
    <w:p w:rsidR="00AD1DCC" w:rsidRDefault="00AD1DCC" w:rsidP="00AD1DCC">
      <w:pPr>
        <w:pStyle w:val="NoSpacing"/>
      </w:pPr>
    </w:p>
    <w:p w:rsidR="00AD1DCC" w:rsidRDefault="00AD1DCC" w:rsidP="00AD1DCC">
      <w:pPr>
        <w:pStyle w:val="NoSpacing"/>
      </w:pPr>
      <w:r>
        <w:t>Key management personnel of Chisholm includes the members of the Chisholm Institute Board, the Chief Executive Officer and the Chief Operating Officer, Grant Radford.</w:t>
      </w:r>
    </w:p>
    <w:p w:rsidR="00AD1DCC" w:rsidRDefault="00AD1DCC" w:rsidP="00AD1DCC">
      <w:pPr>
        <w:pStyle w:val="NoSpacing"/>
      </w:pPr>
    </w:p>
    <w:p w:rsidR="00AD1DCC" w:rsidRDefault="00AD1DCC" w:rsidP="00AD1DCC">
      <w:pPr>
        <w:pStyle w:val="NoSpacing"/>
      </w:pPr>
      <w:r>
        <w:t>Compensation of key management personnel</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0972E4" w:rsidRPr="00AE2D8D" w:rsidTr="006914D6">
        <w:tc>
          <w:tcPr>
            <w:tcW w:w="2693" w:type="dxa"/>
            <w:gridSpan w:val="2"/>
          </w:tcPr>
          <w:p w:rsidR="000972E4" w:rsidRPr="00AE2D8D" w:rsidRDefault="000972E4" w:rsidP="006914D6">
            <w:pPr>
              <w:pStyle w:val="NoSpacing"/>
              <w:jc w:val="center"/>
              <w:rPr>
                <w:rFonts w:cstheme="minorHAnsi"/>
                <w:bCs/>
                <w:w w:val="105"/>
              </w:rPr>
            </w:pPr>
            <w:r>
              <w:rPr>
                <w:rFonts w:cstheme="minorHAnsi"/>
                <w:bCs/>
                <w:w w:val="105"/>
              </w:rPr>
              <w:t xml:space="preserve">Consolidated </w:t>
            </w:r>
          </w:p>
        </w:tc>
        <w:tc>
          <w:tcPr>
            <w:tcW w:w="2410" w:type="dxa"/>
            <w:gridSpan w:val="2"/>
          </w:tcPr>
          <w:p w:rsidR="000972E4" w:rsidRPr="00AE2D8D" w:rsidRDefault="000972E4" w:rsidP="006914D6">
            <w:pPr>
              <w:pStyle w:val="NoSpacing"/>
              <w:jc w:val="center"/>
              <w:rPr>
                <w:rFonts w:cstheme="minorHAnsi"/>
                <w:bCs/>
                <w:w w:val="105"/>
              </w:rPr>
            </w:pPr>
            <w:r>
              <w:rPr>
                <w:rFonts w:cstheme="minorHAnsi"/>
                <w:bCs/>
                <w:w w:val="105"/>
              </w:rPr>
              <w:t>Chisholm</w:t>
            </w:r>
          </w:p>
        </w:tc>
      </w:tr>
      <w:tr w:rsidR="000972E4" w:rsidRPr="00AE2D8D" w:rsidTr="006914D6">
        <w:tc>
          <w:tcPr>
            <w:tcW w:w="1417" w:type="dxa"/>
          </w:tcPr>
          <w:p w:rsidR="000972E4" w:rsidRPr="00AE2D8D" w:rsidRDefault="000972E4" w:rsidP="006914D6">
            <w:pPr>
              <w:pStyle w:val="NoSpacing"/>
              <w:jc w:val="right"/>
              <w:rPr>
                <w:rFonts w:cstheme="minorHAnsi"/>
                <w:bCs/>
                <w:w w:val="105"/>
              </w:rPr>
            </w:pPr>
            <w:r w:rsidRPr="00AE2D8D">
              <w:rPr>
                <w:rFonts w:cstheme="minorHAnsi"/>
                <w:bCs/>
                <w:w w:val="105"/>
              </w:rPr>
              <w:t>2017</w:t>
            </w:r>
          </w:p>
        </w:tc>
        <w:tc>
          <w:tcPr>
            <w:tcW w:w="1276" w:type="dxa"/>
          </w:tcPr>
          <w:p w:rsidR="000972E4" w:rsidRPr="00AE2D8D" w:rsidRDefault="000972E4" w:rsidP="006914D6">
            <w:pPr>
              <w:pStyle w:val="NoSpacing"/>
              <w:jc w:val="right"/>
              <w:rPr>
                <w:rFonts w:cstheme="minorHAnsi"/>
                <w:bCs/>
                <w:w w:val="105"/>
              </w:rPr>
            </w:pPr>
            <w:r w:rsidRPr="00AE2D8D">
              <w:rPr>
                <w:rFonts w:cstheme="minorHAnsi"/>
                <w:bCs/>
                <w:w w:val="105"/>
              </w:rPr>
              <w:t>2016</w:t>
            </w:r>
            <w:r>
              <w:rPr>
                <w:rFonts w:cstheme="minorHAnsi"/>
                <w:bCs/>
                <w:w w:val="105"/>
              </w:rPr>
              <w:t>(i)</w:t>
            </w:r>
          </w:p>
        </w:tc>
        <w:tc>
          <w:tcPr>
            <w:tcW w:w="1276" w:type="dxa"/>
          </w:tcPr>
          <w:p w:rsidR="000972E4" w:rsidRPr="00AE2D8D" w:rsidRDefault="000972E4" w:rsidP="006914D6">
            <w:pPr>
              <w:pStyle w:val="NoSpacing"/>
              <w:jc w:val="right"/>
              <w:rPr>
                <w:rFonts w:cstheme="minorHAnsi"/>
                <w:bCs/>
                <w:w w:val="105"/>
              </w:rPr>
            </w:pPr>
            <w:r w:rsidRPr="00AE2D8D">
              <w:rPr>
                <w:rFonts w:cstheme="minorHAnsi"/>
                <w:bCs/>
                <w:w w:val="105"/>
              </w:rPr>
              <w:t>2017</w:t>
            </w:r>
          </w:p>
        </w:tc>
        <w:tc>
          <w:tcPr>
            <w:tcW w:w="1134" w:type="dxa"/>
          </w:tcPr>
          <w:p w:rsidR="000972E4" w:rsidRPr="00AE2D8D" w:rsidRDefault="000972E4" w:rsidP="006914D6">
            <w:pPr>
              <w:pStyle w:val="NoSpacing"/>
              <w:jc w:val="right"/>
              <w:rPr>
                <w:rFonts w:cstheme="minorHAnsi"/>
                <w:bCs/>
                <w:w w:val="105"/>
              </w:rPr>
            </w:pPr>
            <w:r w:rsidRPr="00AE2D8D">
              <w:rPr>
                <w:rFonts w:cstheme="minorHAnsi"/>
                <w:bCs/>
                <w:w w:val="105"/>
              </w:rPr>
              <w:t>2016</w:t>
            </w:r>
            <w:r>
              <w:rPr>
                <w:rFonts w:cstheme="minorHAnsi"/>
                <w:bCs/>
                <w:w w:val="105"/>
              </w:rPr>
              <w:t>(i)</w:t>
            </w:r>
          </w:p>
        </w:tc>
      </w:tr>
      <w:tr w:rsidR="000972E4" w:rsidRPr="00AE2D8D" w:rsidTr="006914D6">
        <w:tc>
          <w:tcPr>
            <w:tcW w:w="1417" w:type="dxa"/>
          </w:tcPr>
          <w:p w:rsidR="000972E4" w:rsidRPr="00AE2D8D" w:rsidRDefault="000972E4" w:rsidP="006914D6">
            <w:pPr>
              <w:jc w:val="right"/>
              <w:rPr>
                <w:rFonts w:cstheme="minorHAnsi"/>
              </w:rPr>
            </w:pPr>
            <w:r w:rsidRPr="00AE2D8D">
              <w:rPr>
                <w:rFonts w:cstheme="minorHAnsi"/>
                <w:bCs/>
                <w:w w:val="105"/>
              </w:rPr>
              <w:t>$’000</w:t>
            </w:r>
          </w:p>
        </w:tc>
        <w:tc>
          <w:tcPr>
            <w:tcW w:w="1276" w:type="dxa"/>
          </w:tcPr>
          <w:p w:rsidR="000972E4" w:rsidRPr="00AE2D8D" w:rsidRDefault="000972E4" w:rsidP="006914D6">
            <w:pPr>
              <w:jc w:val="right"/>
              <w:rPr>
                <w:rFonts w:cstheme="minorHAnsi"/>
              </w:rPr>
            </w:pPr>
            <w:r w:rsidRPr="00AE2D8D">
              <w:rPr>
                <w:rFonts w:cstheme="minorHAnsi"/>
                <w:bCs/>
                <w:w w:val="105"/>
              </w:rPr>
              <w:t>$’000</w:t>
            </w:r>
          </w:p>
        </w:tc>
        <w:tc>
          <w:tcPr>
            <w:tcW w:w="1276" w:type="dxa"/>
          </w:tcPr>
          <w:p w:rsidR="000972E4" w:rsidRPr="00AE2D8D" w:rsidRDefault="000972E4" w:rsidP="006914D6">
            <w:pPr>
              <w:jc w:val="right"/>
              <w:rPr>
                <w:rFonts w:cstheme="minorHAnsi"/>
              </w:rPr>
            </w:pPr>
            <w:r w:rsidRPr="00AE2D8D">
              <w:rPr>
                <w:rFonts w:cstheme="minorHAnsi"/>
                <w:bCs/>
                <w:w w:val="105"/>
              </w:rPr>
              <w:t>$’000</w:t>
            </w:r>
          </w:p>
        </w:tc>
        <w:tc>
          <w:tcPr>
            <w:tcW w:w="1134" w:type="dxa"/>
          </w:tcPr>
          <w:p w:rsidR="000972E4" w:rsidRPr="00AE2D8D" w:rsidRDefault="000972E4" w:rsidP="006914D6">
            <w:pPr>
              <w:pStyle w:val="NoSpacing"/>
              <w:jc w:val="right"/>
              <w:rPr>
                <w:rFonts w:cstheme="minorHAnsi"/>
                <w:bCs/>
                <w:w w:val="105"/>
              </w:rPr>
            </w:pPr>
            <w:r w:rsidRPr="00AE2D8D">
              <w:rPr>
                <w:rFonts w:cstheme="minorHAnsi"/>
                <w:bCs/>
                <w:w w:val="105"/>
              </w:rPr>
              <w:t>$’000</w:t>
            </w:r>
          </w:p>
        </w:tc>
      </w:tr>
    </w:tbl>
    <w:p w:rsidR="000972E4" w:rsidRDefault="000972E4" w:rsidP="00AD1DCC">
      <w:pPr>
        <w:pStyle w:val="NoSpacing"/>
      </w:pPr>
      <w:r>
        <w:t>Remuneration</w:t>
      </w:r>
    </w:p>
    <w:tbl>
      <w:tblPr>
        <w:tblStyle w:val="TableGrid"/>
        <w:tblW w:w="0" w:type="auto"/>
        <w:tblLook w:val="04A0" w:firstRow="1" w:lastRow="0" w:firstColumn="1" w:lastColumn="0" w:noHBand="0" w:noVBand="1"/>
      </w:tblPr>
      <w:tblGrid>
        <w:gridCol w:w="8784"/>
        <w:gridCol w:w="1417"/>
        <w:gridCol w:w="1276"/>
        <w:gridCol w:w="1134"/>
        <w:gridCol w:w="1276"/>
      </w:tblGrid>
      <w:tr w:rsidR="000972E4" w:rsidTr="006914D6">
        <w:tc>
          <w:tcPr>
            <w:tcW w:w="8784" w:type="dxa"/>
          </w:tcPr>
          <w:p w:rsidR="000972E4" w:rsidRDefault="000972E4" w:rsidP="006914D6">
            <w:pPr>
              <w:pStyle w:val="NoSpacing"/>
            </w:pPr>
            <w:r>
              <w:t>Short-term employee benefits</w:t>
            </w:r>
          </w:p>
        </w:tc>
        <w:tc>
          <w:tcPr>
            <w:tcW w:w="1417" w:type="dxa"/>
          </w:tcPr>
          <w:p w:rsidR="000972E4" w:rsidRDefault="000972E4" w:rsidP="006914D6">
            <w:pPr>
              <w:pStyle w:val="NoSpacing"/>
              <w:jc w:val="right"/>
            </w:pPr>
            <w:r>
              <w:t>1,361</w:t>
            </w:r>
          </w:p>
        </w:tc>
        <w:tc>
          <w:tcPr>
            <w:tcW w:w="1276" w:type="dxa"/>
          </w:tcPr>
          <w:p w:rsidR="000972E4" w:rsidRDefault="000972E4" w:rsidP="006914D6">
            <w:pPr>
              <w:pStyle w:val="NoSpacing"/>
              <w:jc w:val="right"/>
            </w:pPr>
            <w:r>
              <w:t>-</w:t>
            </w:r>
          </w:p>
        </w:tc>
        <w:tc>
          <w:tcPr>
            <w:tcW w:w="1134" w:type="dxa"/>
          </w:tcPr>
          <w:p w:rsidR="000972E4" w:rsidRDefault="000972E4" w:rsidP="006914D6">
            <w:pPr>
              <w:pStyle w:val="NoSpacing"/>
              <w:jc w:val="right"/>
            </w:pPr>
            <w:r>
              <w:t>1,361</w:t>
            </w:r>
          </w:p>
        </w:tc>
        <w:tc>
          <w:tcPr>
            <w:tcW w:w="1276" w:type="dxa"/>
          </w:tcPr>
          <w:p w:rsidR="000972E4" w:rsidRDefault="000972E4" w:rsidP="006914D6">
            <w:pPr>
              <w:pStyle w:val="NoSpacing"/>
              <w:jc w:val="right"/>
            </w:pPr>
            <w:r>
              <w:t>-</w:t>
            </w:r>
          </w:p>
        </w:tc>
      </w:tr>
      <w:tr w:rsidR="000972E4" w:rsidTr="006914D6">
        <w:tc>
          <w:tcPr>
            <w:tcW w:w="8784" w:type="dxa"/>
          </w:tcPr>
          <w:p w:rsidR="000972E4" w:rsidRDefault="000972E4" w:rsidP="006914D6">
            <w:pPr>
              <w:pStyle w:val="NoSpacing"/>
            </w:pPr>
            <w:r>
              <w:t>Other long-term benefits</w:t>
            </w:r>
          </w:p>
        </w:tc>
        <w:tc>
          <w:tcPr>
            <w:tcW w:w="1417" w:type="dxa"/>
          </w:tcPr>
          <w:p w:rsidR="000972E4" w:rsidRDefault="000972E4" w:rsidP="006914D6">
            <w:pPr>
              <w:pStyle w:val="NoSpacing"/>
              <w:jc w:val="right"/>
            </w:pPr>
            <w:r>
              <w:t>90</w:t>
            </w:r>
          </w:p>
        </w:tc>
        <w:tc>
          <w:tcPr>
            <w:tcW w:w="1276" w:type="dxa"/>
          </w:tcPr>
          <w:p w:rsidR="000972E4" w:rsidRDefault="000972E4" w:rsidP="006914D6">
            <w:pPr>
              <w:pStyle w:val="NoSpacing"/>
              <w:jc w:val="right"/>
            </w:pPr>
            <w:r>
              <w:t>-</w:t>
            </w:r>
          </w:p>
        </w:tc>
        <w:tc>
          <w:tcPr>
            <w:tcW w:w="1134" w:type="dxa"/>
          </w:tcPr>
          <w:p w:rsidR="000972E4" w:rsidRDefault="000972E4" w:rsidP="006914D6">
            <w:pPr>
              <w:pStyle w:val="NoSpacing"/>
              <w:jc w:val="right"/>
            </w:pPr>
            <w:r>
              <w:t>90</w:t>
            </w:r>
          </w:p>
        </w:tc>
        <w:tc>
          <w:tcPr>
            <w:tcW w:w="1276" w:type="dxa"/>
          </w:tcPr>
          <w:p w:rsidR="000972E4" w:rsidRDefault="000972E4" w:rsidP="006914D6">
            <w:pPr>
              <w:pStyle w:val="NoSpacing"/>
              <w:jc w:val="right"/>
            </w:pPr>
            <w:r>
              <w:t>-</w:t>
            </w:r>
          </w:p>
        </w:tc>
      </w:tr>
      <w:tr w:rsidR="000972E4" w:rsidTr="006914D6">
        <w:tc>
          <w:tcPr>
            <w:tcW w:w="8784" w:type="dxa"/>
          </w:tcPr>
          <w:p w:rsidR="000972E4" w:rsidRDefault="000972E4" w:rsidP="006914D6">
            <w:pPr>
              <w:pStyle w:val="NoSpacing"/>
            </w:pPr>
            <w:r>
              <w:t>Total remuneration</w:t>
            </w:r>
          </w:p>
        </w:tc>
        <w:tc>
          <w:tcPr>
            <w:tcW w:w="1417" w:type="dxa"/>
          </w:tcPr>
          <w:p w:rsidR="000972E4" w:rsidRDefault="000972E4" w:rsidP="006914D6">
            <w:pPr>
              <w:pStyle w:val="NoSpacing"/>
              <w:jc w:val="right"/>
            </w:pPr>
            <w:r>
              <w:t>1,451</w:t>
            </w:r>
          </w:p>
        </w:tc>
        <w:tc>
          <w:tcPr>
            <w:tcW w:w="1276" w:type="dxa"/>
          </w:tcPr>
          <w:p w:rsidR="000972E4" w:rsidRDefault="000972E4" w:rsidP="006914D6">
            <w:pPr>
              <w:pStyle w:val="NoSpacing"/>
              <w:jc w:val="right"/>
            </w:pPr>
            <w:r>
              <w:t>-</w:t>
            </w:r>
          </w:p>
        </w:tc>
        <w:tc>
          <w:tcPr>
            <w:tcW w:w="1134" w:type="dxa"/>
          </w:tcPr>
          <w:p w:rsidR="000972E4" w:rsidRDefault="000972E4" w:rsidP="006914D6">
            <w:pPr>
              <w:pStyle w:val="NoSpacing"/>
              <w:jc w:val="right"/>
            </w:pPr>
            <w:r>
              <w:t>1,451</w:t>
            </w:r>
          </w:p>
        </w:tc>
        <w:tc>
          <w:tcPr>
            <w:tcW w:w="1276" w:type="dxa"/>
          </w:tcPr>
          <w:p w:rsidR="000972E4" w:rsidRDefault="000972E4" w:rsidP="006914D6">
            <w:pPr>
              <w:pStyle w:val="NoSpacing"/>
              <w:jc w:val="right"/>
            </w:pPr>
            <w:r>
              <w:t>-</w:t>
            </w:r>
          </w:p>
        </w:tc>
      </w:tr>
    </w:tbl>
    <w:p w:rsidR="000972E4" w:rsidRPr="00BA4A5E" w:rsidRDefault="000972E4" w:rsidP="000972E4">
      <w:pPr>
        <w:pStyle w:val="NoSpacing"/>
      </w:pPr>
      <w:r w:rsidRPr="00BA4A5E">
        <w:t>(i) Note that for the first year of implementation (2017), no comparatives will be required.</w:t>
      </w:r>
    </w:p>
    <w:p w:rsidR="000972E4" w:rsidRPr="00BA4A5E" w:rsidRDefault="000972E4" w:rsidP="000972E4">
      <w:pPr>
        <w:pStyle w:val="NoSpacing"/>
      </w:pPr>
    </w:p>
    <w:p w:rsidR="000972E4" w:rsidRPr="00BA4A5E" w:rsidRDefault="000972E4" w:rsidP="000972E4">
      <w:pPr>
        <w:pStyle w:val="NoSpacing"/>
      </w:pPr>
      <w:r w:rsidRPr="00BA4A5E">
        <w:t>Transactions and balances with key management personnel and other related parties</w:t>
      </w:r>
    </w:p>
    <w:p w:rsidR="000972E4" w:rsidRDefault="000972E4" w:rsidP="000972E4">
      <w:pPr>
        <w:pStyle w:val="NoSpacing"/>
      </w:pPr>
    </w:p>
    <w:p w:rsidR="000972E4" w:rsidRPr="00BA4A5E" w:rsidRDefault="000972E4" w:rsidP="000972E4">
      <w:pPr>
        <w:pStyle w:val="NoSpacing"/>
      </w:pPr>
      <w:r w:rsidRPr="00BA4A5E">
        <w:t>Other related transactions and loans requiring disclosure under the Directions of the</w:t>
      </w:r>
      <w:r>
        <w:t xml:space="preserve"> Minister for Finance have been </w:t>
      </w:r>
      <w:r w:rsidRPr="00BA4A5E">
        <w:t>considered and there are no matters to report.</w:t>
      </w:r>
    </w:p>
    <w:p w:rsidR="000972E4" w:rsidRDefault="000972E4" w:rsidP="000972E4">
      <w:pPr>
        <w:pStyle w:val="NoSpacing"/>
      </w:pPr>
      <w:r w:rsidRPr="00BA4A5E">
        <w:t>Outside of normal citizen type transactions with Chisholm, there were no related party transactions that involved key</w:t>
      </w:r>
      <w:r>
        <w:t xml:space="preserve"> </w:t>
      </w:r>
      <w:r w:rsidRPr="00BA4A5E">
        <w:t xml:space="preserve">management personnel, their close family members and their personal business interests. </w:t>
      </w:r>
      <w:r>
        <w:t xml:space="preserve">No provision has been required, </w:t>
      </w:r>
      <w:r w:rsidRPr="00BA4A5E">
        <w:t>nor any expense recognised, for impairment of receivables from related parties.</w:t>
      </w:r>
    </w:p>
    <w:p w:rsidR="000972E4" w:rsidRDefault="000972E4" w:rsidP="000972E4">
      <w:pPr>
        <w:pStyle w:val="NoSpacing"/>
      </w:pPr>
    </w:p>
    <w:p w:rsidR="000972E4" w:rsidRDefault="000972E4" w:rsidP="00234E85">
      <w:pPr>
        <w:pStyle w:val="Heading4"/>
      </w:pPr>
      <w:r>
        <w:t>8.4 Remuneration of auditors</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0972E4" w:rsidRPr="00AE2D8D" w:rsidTr="006914D6">
        <w:tc>
          <w:tcPr>
            <w:tcW w:w="2693" w:type="dxa"/>
            <w:gridSpan w:val="2"/>
          </w:tcPr>
          <w:p w:rsidR="000972E4" w:rsidRPr="00AE2D8D" w:rsidRDefault="000972E4" w:rsidP="006914D6">
            <w:pPr>
              <w:pStyle w:val="NoSpacing"/>
              <w:jc w:val="center"/>
              <w:rPr>
                <w:rFonts w:cstheme="minorHAnsi"/>
                <w:bCs/>
                <w:w w:val="105"/>
              </w:rPr>
            </w:pPr>
            <w:r>
              <w:rPr>
                <w:rFonts w:cstheme="minorHAnsi"/>
                <w:bCs/>
                <w:w w:val="105"/>
              </w:rPr>
              <w:t xml:space="preserve">Consolidated </w:t>
            </w:r>
          </w:p>
        </w:tc>
        <w:tc>
          <w:tcPr>
            <w:tcW w:w="2410" w:type="dxa"/>
            <w:gridSpan w:val="2"/>
          </w:tcPr>
          <w:p w:rsidR="000972E4" w:rsidRPr="00AE2D8D" w:rsidRDefault="000972E4" w:rsidP="006914D6">
            <w:pPr>
              <w:pStyle w:val="NoSpacing"/>
              <w:jc w:val="center"/>
              <w:rPr>
                <w:rFonts w:cstheme="minorHAnsi"/>
                <w:bCs/>
                <w:w w:val="105"/>
              </w:rPr>
            </w:pPr>
            <w:r>
              <w:rPr>
                <w:rFonts w:cstheme="minorHAnsi"/>
                <w:bCs/>
                <w:w w:val="105"/>
              </w:rPr>
              <w:t>Chisholm</w:t>
            </w:r>
          </w:p>
        </w:tc>
      </w:tr>
      <w:tr w:rsidR="000972E4" w:rsidRPr="00AE2D8D" w:rsidTr="006914D6">
        <w:tc>
          <w:tcPr>
            <w:tcW w:w="1417" w:type="dxa"/>
          </w:tcPr>
          <w:p w:rsidR="000972E4" w:rsidRPr="00AE2D8D" w:rsidRDefault="000972E4" w:rsidP="006914D6">
            <w:pPr>
              <w:pStyle w:val="NoSpacing"/>
              <w:jc w:val="right"/>
              <w:rPr>
                <w:rFonts w:cstheme="minorHAnsi"/>
                <w:bCs/>
                <w:w w:val="105"/>
              </w:rPr>
            </w:pPr>
            <w:r w:rsidRPr="00AE2D8D">
              <w:rPr>
                <w:rFonts w:cstheme="minorHAnsi"/>
                <w:bCs/>
                <w:w w:val="105"/>
              </w:rPr>
              <w:t>2017</w:t>
            </w:r>
          </w:p>
        </w:tc>
        <w:tc>
          <w:tcPr>
            <w:tcW w:w="1276" w:type="dxa"/>
          </w:tcPr>
          <w:p w:rsidR="000972E4" w:rsidRPr="00AE2D8D" w:rsidRDefault="000972E4" w:rsidP="006914D6">
            <w:pPr>
              <w:pStyle w:val="NoSpacing"/>
              <w:jc w:val="right"/>
              <w:rPr>
                <w:rFonts w:cstheme="minorHAnsi"/>
                <w:bCs/>
                <w:w w:val="105"/>
              </w:rPr>
            </w:pPr>
            <w:r w:rsidRPr="00AE2D8D">
              <w:rPr>
                <w:rFonts w:cstheme="minorHAnsi"/>
                <w:bCs/>
                <w:w w:val="105"/>
              </w:rPr>
              <w:t>2016</w:t>
            </w:r>
          </w:p>
        </w:tc>
        <w:tc>
          <w:tcPr>
            <w:tcW w:w="1276" w:type="dxa"/>
          </w:tcPr>
          <w:p w:rsidR="000972E4" w:rsidRPr="00AE2D8D" w:rsidRDefault="000972E4" w:rsidP="006914D6">
            <w:pPr>
              <w:pStyle w:val="NoSpacing"/>
              <w:jc w:val="right"/>
              <w:rPr>
                <w:rFonts w:cstheme="minorHAnsi"/>
                <w:bCs/>
                <w:w w:val="105"/>
              </w:rPr>
            </w:pPr>
            <w:r w:rsidRPr="00AE2D8D">
              <w:rPr>
                <w:rFonts w:cstheme="minorHAnsi"/>
                <w:bCs/>
                <w:w w:val="105"/>
              </w:rPr>
              <w:t>2017</w:t>
            </w:r>
          </w:p>
        </w:tc>
        <w:tc>
          <w:tcPr>
            <w:tcW w:w="1134" w:type="dxa"/>
          </w:tcPr>
          <w:p w:rsidR="000972E4" w:rsidRPr="00AE2D8D" w:rsidRDefault="000972E4" w:rsidP="006914D6">
            <w:pPr>
              <w:pStyle w:val="NoSpacing"/>
              <w:jc w:val="right"/>
              <w:rPr>
                <w:rFonts w:cstheme="minorHAnsi"/>
                <w:bCs/>
                <w:w w:val="105"/>
              </w:rPr>
            </w:pPr>
            <w:r w:rsidRPr="00AE2D8D">
              <w:rPr>
                <w:rFonts w:cstheme="minorHAnsi"/>
                <w:bCs/>
                <w:w w:val="105"/>
              </w:rPr>
              <w:t>2016</w:t>
            </w:r>
          </w:p>
        </w:tc>
      </w:tr>
      <w:tr w:rsidR="000972E4" w:rsidRPr="00AE2D8D" w:rsidTr="006914D6">
        <w:tc>
          <w:tcPr>
            <w:tcW w:w="1417" w:type="dxa"/>
          </w:tcPr>
          <w:p w:rsidR="000972E4" w:rsidRPr="00AE2D8D" w:rsidRDefault="000972E4" w:rsidP="006914D6">
            <w:pPr>
              <w:jc w:val="right"/>
              <w:rPr>
                <w:rFonts w:cstheme="minorHAnsi"/>
              </w:rPr>
            </w:pPr>
            <w:r w:rsidRPr="00AE2D8D">
              <w:rPr>
                <w:rFonts w:cstheme="minorHAnsi"/>
                <w:bCs/>
                <w:w w:val="105"/>
              </w:rPr>
              <w:t>$’000</w:t>
            </w:r>
          </w:p>
        </w:tc>
        <w:tc>
          <w:tcPr>
            <w:tcW w:w="1276" w:type="dxa"/>
          </w:tcPr>
          <w:p w:rsidR="000972E4" w:rsidRPr="00AE2D8D" w:rsidRDefault="000972E4" w:rsidP="006914D6">
            <w:pPr>
              <w:jc w:val="right"/>
              <w:rPr>
                <w:rFonts w:cstheme="minorHAnsi"/>
              </w:rPr>
            </w:pPr>
            <w:r w:rsidRPr="00AE2D8D">
              <w:rPr>
                <w:rFonts w:cstheme="minorHAnsi"/>
                <w:bCs/>
                <w:w w:val="105"/>
              </w:rPr>
              <w:t>$’000</w:t>
            </w:r>
          </w:p>
        </w:tc>
        <w:tc>
          <w:tcPr>
            <w:tcW w:w="1276" w:type="dxa"/>
          </w:tcPr>
          <w:p w:rsidR="000972E4" w:rsidRPr="00AE2D8D" w:rsidRDefault="000972E4" w:rsidP="006914D6">
            <w:pPr>
              <w:jc w:val="right"/>
              <w:rPr>
                <w:rFonts w:cstheme="minorHAnsi"/>
              </w:rPr>
            </w:pPr>
            <w:r w:rsidRPr="00AE2D8D">
              <w:rPr>
                <w:rFonts w:cstheme="minorHAnsi"/>
                <w:bCs/>
                <w:w w:val="105"/>
              </w:rPr>
              <w:t>$’000</w:t>
            </w:r>
          </w:p>
        </w:tc>
        <w:tc>
          <w:tcPr>
            <w:tcW w:w="1134" w:type="dxa"/>
          </w:tcPr>
          <w:p w:rsidR="000972E4" w:rsidRPr="00AE2D8D" w:rsidRDefault="000972E4" w:rsidP="006914D6">
            <w:pPr>
              <w:pStyle w:val="NoSpacing"/>
              <w:jc w:val="right"/>
              <w:rPr>
                <w:rFonts w:cstheme="minorHAnsi"/>
                <w:bCs/>
                <w:w w:val="105"/>
              </w:rPr>
            </w:pPr>
            <w:r w:rsidRPr="00AE2D8D">
              <w:rPr>
                <w:rFonts w:cstheme="minorHAnsi"/>
                <w:bCs/>
                <w:w w:val="105"/>
              </w:rPr>
              <w:t>$’000</w:t>
            </w:r>
          </w:p>
        </w:tc>
      </w:tr>
    </w:tbl>
    <w:p w:rsidR="000972E4" w:rsidRDefault="000972E4" w:rsidP="000972E4">
      <w:pPr>
        <w:pStyle w:val="NoSpacing"/>
      </w:pPr>
      <w:r>
        <w:t>Remuneration of the Victorian Auditor-General’s Office for:</w:t>
      </w:r>
    </w:p>
    <w:tbl>
      <w:tblPr>
        <w:tblStyle w:val="TableGrid"/>
        <w:tblW w:w="0" w:type="auto"/>
        <w:tblLook w:val="04A0" w:firstRow="1" w:lastRow="0" w:firstColumn="1" w:lastColumn="0" w:noHBand="0" w:noVBand="1"/>
      </w:tblPr>
      <w:tblGrid>
        <w:gridCol w:w="8784"/>
        <w:gridCol w:w="1417"/>
        <w:gridCol w:w="1276"/>
        <w:gridCol w:w="1134"/>
        <w:gridCol w:w="1276"/>
      </w:tblGrid>
      <w:tr w:rsidR="000972E4" w:rsidTr="006914D6">
        <w:tc>
          <w:tcPr>
            <w:tcW w:w="8784" w:type="dxa"/>
          </w:tcPr>
          <w:p w:rsidR="000972E4" w:rsidRDefault="000972E4" w:rsidP="006914D6">
            <w:pPr>
              <w:pStyle w:val="NoSpacing"/>
            </w:pPr>
            <w:r>
              <w:t>Audit of the financial statements</w:t>
            </w:r>
          </w:p>
        </w:tc>
        <w:tc>
          <w:tcPr>
            <w:tcW w:w="1417" w:type="dxa"/>
          </w:tcPr>
          <w:p w:rsidR="000972E4" w:rsidRDefault="000972E4" w:rsidP="006914D6">
            <w:pPr>
              <w:pStyle w:val="NoSpacing"/>
              <w:jc w:val="right"/>
            </w:pPr>
            <w:r>
              <w:t>73</w:t>
            </w:r>
          </w:p>
        </w:tc>
        <w:tc>
          <w:tcPr>
            <w:tcW w:w="1276" w:type="dxa"/>
          </w:tcPr>
          <w:p w:rsidR="000972E4" w:rsidRDefault="000972E4" w:rsidP="006914D6">
            <w:pPr>
              <w:pStyle w:val="NoSpacing"/>
              <w:jc w:val="right"/>
            </w:pPr>
            <w:r>
              <w:t>64</w:t>
            </w:r>
          </w:p>
        </w:tc>
        <w:tc>
          <w:tcPr>
            <w:tcW w:w="1134" w:type="dxa"/>
          </w:tcPr>
          <w:p w:rsidR="000972E4" w:rsidRDefault="000972E4" w:rsidP="006914D6">
            <w:pPr>
              <w:pStyle w:val="NoSpacing"/>
              <w:jc w:val="right"/>
            </w:pPr>
            <w:r>
              <w:t>56</w:t>
            </w:r>
          </w:p>
        </w:tc>
        <w:tc>
          <w:tcPr>
            <w:tcW w:w="1276" w:type="dxa"/>
          </w:tcPr>
          <w:p w:rsidR="000972E4" w:rsidRDefault="000972E4" w:rsidP="006914D6">
            <w:pPr>
              <w:pStyle w:val="NoSpacing"/>
              <w:jc w:val="right"/>
            </w:pPr>
            <w:r>
              <w:t>50</w:t>
            </w:r>
          </w:p>
        </w:tc>
      </w:tr>
      <w:tr w:rsidR="000972E4" w:rsidTr="006914D6">
        <w:tc>
          <w:tcPr>
            <w:tcW w:w="8784" w:type="dxa"/>
          </w:tcPr>
          <w:p w:rsidR="000972E4" w:rsidRDefault="000972E4" w:rsidP="006914D6">
            <w:pPr>
              <w:pStyle w:val="NoSpacing"/>
            </w:pPr>
            <w:r>
              <w:t>Total remuneration of the Victorian Auditor-General’s Office</w:t>
            </w:r>
          </w:p>
        </w:tc>
        <w:tc>
          <w:tcPr>
            <w:tcW w:w="1417" w:type="dxa"/>
          </w:tcPr>
          <w:p w:rsidR="000972E4" w:rsidRDefault="000972E4" w:rsidP="006914D6">
            <w:pPr>
              <w:pStyle w:val="NoSpacing"/>
              <w:jc w:val="right"/>
            </w:pPr>
            <w:r>
              <w:t>73</w:t>
            </w:r>
          </w:p>
        </w:tc>
        <w:tc>
          <w:tcPr>
            <w:tcW w:w="1276" w:type="dxa"/>
          </w:tcPr>
          <w:p w:rsidR="000972E4" w:rsidRDefault="000972E4" w:rsidP="006914D6">
            <w:pPr>
              <w:pStyle w:val="NoSpacing"/>
              <w:jc w:val="right"/>
            </w:pPr>
            <w:r>
              <w:t>64</w:t>
            </w:r>
          </w:p>
        </w:tc>
        <w:tc>
          <w:tcPr>
            <w:tcW w:w="1134" w:type="dxa"/>
          </w:tcPr>
          <w:p w:rsidR="000972E4" w:rsidRDefault="000972E4" w:rsidP="006914D6">
            <w:pPr>
              <w:pStyle w:val="NoSpacing"/>
              <w:jc w:val="right"/>
            </w:pPr>
            <w:r>
              <w:t>56</w:t>
            </w:r>
          </w:p>
        </w:tc>
        <w:tc>
          <w:tcPr>
            <w:tcW w:w="1276" w:type="dxa"/>
          </w:tcPr>
          <w:p w:rsidR="000972E4" w:rsidRDefault="000972E4" w:rsidP="006914D6">
            <w:pPr>
              <w:pStyle w:val="NoSpacing"/>
              <w:jc w:val="right"/>
            </w:pPr>
            <w:r>
              <w:t>50</w:t>
            </w:r>
          </w:p>
        </w:tc>
      </w:tr>
    </w:tbl>
    <w:p w:rsidR="000972E4" w:rsidRDefault="000972E4" w:rsidP="000972E4">
      <w:pPr>
        <w:pStyle w:val="NoSpacing"/>
      </w:pPr>
    </w:p>
    <w:p w:rsidR="000972E4" w:rsidRDefault="000972E4" w:rsidP="000972E4">
      <w:pPr>
        <w:pStyle w:val="NoSpacing"/>
      </w:pPr>
      <w:r>
        <w:t>Remuneration of the Victorian Auditor-General’s Office for:</w:t>
      </w:r>
    </w:p>
    <w:tbl>
      <w:tblPr>
        <w:tblStyle w:val="TableGrid"/>
        <w:tblW w:w="0" w:type="auto"/>
        <w:tblLook w:val="04A0" w:firstRow="1" w:lastRow="0" w:firstColumn="1" w:lastColumn="0" w:noHBand="0" w:noVBand="1"/>
      </w:tblPr>
      <w:tblGrid>
        <w:gridCol w:w="8784"/>
        <w:gridCol w:w="1417"/>
        <w:gridCol w:w="1276"/>
        <w:gridCol w:w="1134"/>
        <w:gridCol w:w="1276"/>
      </w:tblGrid>
      <w:tr w:rsidR="000972E4" w:rsidTr="006914D6">
        <w:tc>
          <w:tcPr>
            <w:tcW w:w="8784" w:type="dxa"/>
          </w:tcPr>
          <w:p w:rsidR="000972E4" w:rsidRDefault="000972E4" w:rsidP="006914D6">
            <w:pPr>
              <w:pStyle w:val="NoSpacing"/>
            </w:pPr>
            <w:r>
              <w:t>Internal audit services</w:t>
            </w:r>
          </w:p>
        </w:tc>
        <w:tc>
          <w:tcPr>
            <w:tcW w:w="1417" w:type="dxa"/>
          </w:tcPr>
          <w:p w:rsidR="000972E4" w:rsidRDefault="000972E4" w:rsidP="006914D6">
            <w:pPr>
              <w:pStyle w:val="NoSpacing"/>
              <w:jc w:val="right"/>
            </w:pPr>
            <w:r>
              <w:t>181</w:t>
            </w:r>
          </w:p>
        </w:tc>
        <w:tc>
          <w:tcPr>
            <w:tcW w:w="1276" w:type="dxa"/>
          </w:tcPr>
          <w:p w:rsidR="000972E4" w:rsidRDefault="000972E4" w:rsidP="006914D6">
            <w:pPr>
              <w:pStyle w:val="NoSpacing"/>
              <w:jc w:val="right"/>
            </w:pPr>
            <w:r>
              <w:t>171</w:t>
            </w:r>
          </w:p>
        </w:tc>
        <w:tc>
          <w:tcPr>
            <w:tcW w:w="1134" w:type="dxa"/>
          </w:tcPr>
          <w:p w:rsidR="000972E4" w:rsidRDefault="000972E4" w:rsidP="006914D6">
            <w:pPr>
              <w:pStyle w:val="NoSpacing"/>
              <w:jc w:val="right"/>
            </w:pPr>
            <w:r>
              <w:t>181</w:t>
            </w:r>
          </w:p>
        </w:tc>
        <w:tc>
          <w:tcPr>
            <w:tcW w:w="1276" w:type="dxa"/>
          </w:tcPr>
          <w:p w:rsidR="000972E4" w:rsidRDefault="000972E4" w:rsidP="006914D6">
            <w:pPr>
              <w:pStyle w:val="NoSpacing"/>
              <w:jc w:val="right"/>
            </w:pPr>
            <w:r>
              <w:t>171</w:t>
            </w:r>
          </w:p>
        </w:tc>
      </w:tr>
      <w:tr w:rsidR="000972E4" w:rsidTr="006914D6">
        <w:tc>
          <w:tcPr>
            <w:tcW w:w="8784" w:type="dxa"/>
          </w:tcPr>
          <w:p w:rsidR="000972E4" w:rsidRDefault="000972E4" w:rsidP="006914D6">
            <w:pPr>
              <w:pStyle w:val="NoSpacing"/>
            </w:pPr>
            <w:r>
              <w:t>Total remuneration of other auditors</w:t>
            </w:r>
          </w:p>
        </w:tc>
        <w:tc>
          <w:tcPr>
            <w:tcW w:w="1417" w:type="dxa"/>
          </w:tcPr>
          <w:p w:rsidR="000972E4" w:rsidRDefault="000972E4" w:rsidP="006914D6">
            <w:pPr>
              <w:pStyle w:val="NoSpacing"/>
              <w:jc w:val="right"/>
            </w:pPr>
            <w:r>
              <w:t>181</w:t>
            </w:r>
          </w:p>
        </w:tc>
        <w:tc>
          <w:tcPr>
            <w:tcW w:w="1276" w:type="dxa"/>
          </w:tcPr>
          <w:p w:rsidR="000972E4" w:rsidRDefault="000972E4" w:rsidP="006914D6">
            <w:pPr>
              <w:pStyle w:val="NoSpacing"/>
              <w:jc w:val="right"/>
            </w:pPr>
            <w:r>
              <w:t>171</w:t>
            </w:r>
          </w:p>
        </w:tc>
        <w:tc>
          <w:tcPr>
            <w:tcW w:w="1134" w:type="dxa"/>
          </w:tcPr>
          <w:p w:rsidR="000972E4" w:rsidRDefault="000972E4" w:rsidP="006914D6">
            <w:pPr>
              <w:pStyle w:val="NoSpacing"/>
              <w:jc w:val="right"/>
            </w:pPr>
            <w:r>
              <w:t>181</w:t>
            </w:r>
          </w:p>
        </w:tc>
        <w:tc>
          <w:tcPr>
            <w:tcW w:w="1276" w:type="dxa"/>
          </w:tcPr>
          <w:p w:rsidR="000972E4" w:rsidRDefault="000972E4" w:rsidP="006914D6">
            <w:pPr>
              <w:pStyle w:val="NoSpacing"/>
              <w:jc w:val="right"/>
            </w:pPr>
            <w:r>
              <w:t>171</w:t>
            </w:r>
          </w:p>
        </w:tc>
      </w:tr>
    </w:tbl>
    <w:p w:rsidR="000972E4" w:rsidRDefault="000972E4" w:rsidP="000972E4">
      <w:pPr>
        <w:pStyle w:val="NoSpacing"/>
      </w:pPr>
    </w:p>
    <w:tbl>
      <w:tblPr>
        <w:tblStyle w:val="TableGrid"/>
        <w:tblW w:w="0" w:type="auto"/>
        <w:tblLook w:val="04A0" w:firstRow="1" w:lastRow="0" w:firstColumn="1" w:lastColumn="0" w:noHBand="0" w:noVBand="1"/>
      </w:tblPr>
      <w:tblGrid>
        <w:gridCol w:w="8784"/>
        <w:gridCol w:w="1417"/>
        <w:gridCol w:w="1276"/>
        <w:gridCol w:w="1134"/>
        <w:gridCol w:w="1276"/>
      </w:tblGrid>
      <w:tr w:rsidR="000972E4" w:rsidTr="006914D6">
        <w:tc>
          <w:tcPr>
            <w:tcW w:w="8784" w:type="dxa"/>
          </w:tcPr>
          <w:p w:rsidR="000972E4" w:rsidRDefault="000972E4" w:rsidP="006914D6">
            <w:pPr>
              <w:pStyle w:val="NoSpacing"/>
            </w:pPr>
            <w:r>
              <w:t xml:space="preserve">Total </w:t>
            </w:r>
          </w:p>
        </w:tc>
        <w:tc>
          <w:tcPr>
            <w:tcW w:w="1417" w:type="dxa"/>
          </w:tcPr>
          <w:p w:rsidR="000972E4" w:rsidRDefault="000972E4" w:rsidP="006914D6">
            <w:pPr>
              <w:pStyle w:val="NoSpacing"/>
              <w:jc w:val="right"/>
            </w:pPr>
            <w:r>
              <w:t>254</w:t>
            </w:r>
          </w:p>
        </w:tc>
        <w:tc>
          <w:tcPr>
            <w:tcW w:w="1276" w:type="dxa"/>
          </w:tcPr>
          <w:p w:rsidR="000972E4" w:rsidRDefault="000972E4" w:rsidP="006914D6">
            <w:pPr>
              <w:pStyle w:val="NoSpacing"/>
              <w:jc w:val="right"/>
            </w:pPr>
            <w:r>
              <w:t>235</w:t>
            </w:r>
          </w:p>
        </w:tc>
        <w:tc>
          <w:tcPr>
            <w:tcW w:w="1134" w:type="dxa"/>
          </w:tcPr>
          <w:p w:rsidR="000972E4" w:rsidRDefault="000972E4" w:rsidP="006914D6">
            <w:pPr>
              <w:pStyle w:val="NoSpacing"/>
              <w:jc w:val="right"/>
            </w:pPr>
            <w:r>
              <w:t>237</w:t>
            </w:r>
          </w:p>
        </w:tc>
        <w:tc>
          <w:tcPr>
            <w:tcW w:w="1276" w:type="dxa"/>
          </w:tcPr>
          <w:p w:rsidR="000972E4" w:rsidRDefault="000972E4" w:rsidP="006914D6">
            <w:pPr>
              <w:pStyle w:val="NoSpacing"/>
              <w:jc w:val="right"/>
            </w:pPr>
            <w:r>
              <w:t>221</w:t>
            </w:r>
          </w:p>
        </w:tc>
      </w:tr>
    </w:tbl>
    <w:p w:rsidR="00AD1DCC" w:rsidRDefault="00AD1DCC" w:rsidP="00AD1DCC">
      <w:pPr>
        <w:pStyle w:val="NoSpacing"/>
      </w:pPr>
    </w:p>
    <w:p w:rsidR="000972E4" w:rsidRDefault="000972E4" w:rsidP="000972E4">
      <w:pPr>
        <w:pStyle w:val="NoSpacing"/>
      </w:pPr>
      <w:r>
        <w:t>The Victorian Auditor-General’s Office is not allowed to provide non-audit services.</w:t>
      </w:r>
    </w:p>
    <w:p w:rsidR="000972E4" w:rsidRDefault="000972E4" w:rsidP="00AD1DCC">
      <w:pPr>
        <w:pStyle w:val="NoSpacing"/>
      </w:pPr>
    </w:p>
    <w:p w:rsidR="000972E4" w:rsidRDefault="000972E4" w:rsidP="000972E4">
      <w:pPr>
        <w:pStyle w:val="NoSpacing"/>
      </w:pPr>
      <w:r>
        <w:t>&lt;pp&gt;85</w:t>
      </w:r>
    </w:p>
    <w:p w:rsidR="000972E4" w:rsidRDefault="000972E4" w:rsidP="00AD1DCC">
      <w:pPr>
        <w:pStyle w:val="NoSpacing"/>
      </w:pPr>
    </w:p>
    <w:p w:rsidR="000972E4" w:rsidRPr="00BA4A5E" w:rsidRDefault="000972E4" w:rsidP="00234E85">
      <w:pPr>
        <w:pStyle w:val="Heading3"/>
      </w:pPr>
      <w:r w:rsidRPr="00BA4A5E">
        <w:t>9. Other note disclosures</w:t>
      </w:r>
    </w:p>
    <w:p w:rsidR="000972E4" w:rsidRDefault="000972E4" w:rsidP="000972E4">
      <w:pPr>
        <w:pStyle w:val="NoSpacing"/>
      </w:pPr>
    </w:p>
    <w:p w:rsidR="000972E4" w:rsidRDefault="000972E4" w:rsidP="00234E85">
      <w:pPr>
        <w:pStyle w:val="Heading4"/>
      </w:pPr>
      <w:r>
        <w:t>9.1 Other econom</w:t>
      </w:r>
      <w:r w:rsidR="002F1865">
        <w:t>ic flows included in net result</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0972E4" w:rsidRPr="00AE2D8D" w:rsidTr="006914D6">
        <w:tc>
          <w:tcPr>
            <w:tcW w:w="2693" w:type="dxa"/>
            <w:gridSpan w:val="2"/>
          </w:tcPr>
          <w:p w:rsidR="000972E4" w:rsidRPr="00AE2D8D" w:rsidRDefault="000972E4" w:rsidP="006914D6">
            <w:pPr>
              <w:pStyle w:val="NoSpacing"/>
              <w:jc w:val="center"/>
              <w:rPr>
                <w:rFonts w:cstheme="minorHAnsi"/>
                <w:bCs/>
                <w:w w:val="105"/>
              </w:rPr>
            </w:pPr>
            <w:r>
              <w:rPr>
                <w:rFonts w:cstheme="minorHAnsi"/>
                <w:bCs/>
                <w:w w:val="105"/>
              </w:rPr>
              <w:t xml:space="preserve">Consolidated </w:t>
            </w:r>
          </w:p>
        </w:tc>
        <w:tc>
          <w:tcPr>
            <w:tcW w:w="2410" w:type="dxa"/>
            <w:gridSpan w:val="2"/>
          </w:tcPr>
          <w:p w:rsidR="000972E4" w:rsidRPr="00AE2D8D" w:rsidRDefault="000972E4" w:rsidP="006914D6">
            <w:pPr>
              <w:pStyle w:val="NoSpacing"/>
              <w:jc w:val="center"/>
              <w:rPr>
                <w:rFonts w:cstheme="minorHAnsi"/>
                <w:bCs/>
                <w:w w:val="105"/>
              </w:rPr>
            </w:pPr>
            <w:r>
              <w:rPr>
                <w:rFonts w:cstheme="minorHAnsi"/>
                <w:bCs/>
                <w:w w:val="105"/>
              </w:rPr>
              <w:t>Chisholm</w:t>
            </w:r>
          </w:p>
        </w:tc>
      </w:tr>
      <w:tr w:rsidR="000972E4" w:rsidRPr="00AE2D8D" w:rsidTr="006914D6">
        <w:tc>
          <w:tcPr>
            <w:tcW w:w="1417" w:type="dxa"/>
          </w:tcPr>
          <w:p w:rsidR="000972E4" w:rsidRPr="00AE2D8D" w:rsidRDefault="000972E4" w:rsidP="006914D6">
            <w:pPr>
              <w:pStyle w:val="NoSpacing"/>
              <w:jc w:val="right"/>
              <w:rPr>
                <w:rFonts w:cstheme="minorHAnsi"/>
                <w:bCs/>
                <w:w w:val="105"/>
              </w:rPr>
            </w:pPr>
            <w:r w:rsidRPr="00AE2D8D">
              <w:rPr>
                <w:rFonts w:cstheme="minorHAnsi"/>
                <w:bCs/>
                <w:w w:val="105"/>
              </w:rPr>
              <w:t>2017</w:t>
            </w:r>
          </w:p>
        </w:tc>
        <w:tc>
          <w:tcPr>
            <w:tcW w:w="1276" w:type="dxa"/>
          </w:tcPr>
          <w:p w:rsidR="000972E4" w:rsidRPr="00AE2D8D" w:rsidRDefault="000972E4" w:rsidP="006914D6">
            <w:pPr>
              <w:pStyle w:val="NoSpacing"/>
              <w:jc w:val="right"/>
              <w:rPr>
                <w:rFonts w:cstheme="minorHAnsi"/>
                <w:bCs/>
                <w:w w:val="105"/>
              </w:rPr>
            </w:pPr>
            <w:r w:rsidRPr="00AE2D8D">
              <w:rPr>
                <w:rFonts w:cstheme="minorHAnsi"/>
                <w:bCs/>
                <w:w w:val="105"/>
              </w:rPr>
              <w:t>2016</w:t>
            </w:r>
          </w:p>
        </w:tc>
        <w:tc>
          <w:tcPr>
            <w:tcW w:w="1276" w:type="dxa"/>
          </w:tcPr>
          <w:p w:rsidR="000972E4" w:rsidRPr="00AE2D8D" w:rsidRDefault="000972E4" w:rsidP="006914D6">
            <w:pPr>
              <w:pStyle w:val="NoSpacing"/>
              <w:jc w:val="right"/>
              <w:rPr>
                <w:rFonts w:cstheme="minorHAnsi"/>
                <w:bCs/>
                <w:w w:val="105"/>
              </w:rPr>
            </w:pPr>
            <w:r w:rsidRPr="00AE2D8D">
              <w:rPr>
                <w:rFonts w:cstheme="minorHAnsi"/>
                <w:bCs/>
                <w:w w:val="105"/>
              </w:rPr>
              <w:t>2017</w:t>
            </w:r>
          </w:p>
        </w:tc>
        <w:tc>
          <w:tcPr>
            <w:tcW w:w="1134" w:type="dxa"/>
          </w:tcPr>
          <w:p w:rsidR="000972E4" w:rsidRPr="00AE2D8D" w:rsidRDefault="000972E4" w:rsidP="006914D6">
            <w:pPr>
              <w:pStyle w:val="NoSpacing"/>
              <w:jc w:val="right"/>
              <w:rPr>
                <w:rFonts w:cstheme="minorHAnsi"/>
                <w:bCs/>
                <w:w w:val="105"/>
              </w:rPr>
            </w:pPr>
            <w:r w:rsidRPr="00AE2D8D">
              <w:rPr>
                <w:rFonts w:cstheme="minorHAnsi"/>
                <w:bCs/>
                <w:w w:val="105"/>
              </w:rPr>
              <w:t>2016</w:t>
            </w:r>
          </w:p>
        </w:tc>
      </w:tr>
      <w:tr w:rsidR="000972E4" w:rsidRPr="00AE2D8D" w:rsidTr="006914D6">
        <w:tc>
          <w:tcPr>
            <w:tcW w:w="1417" w:type="dxa"/>
          </w:tcPr>
          <w:p w:rsidR="000972E4" w:rsidRPr="00AE2D8D" w:rsidRDefault="000972E4" w:rsidP="006914D6">
            <w:pPr>
              <w:jc w:val="right"/>
              <w:rPr>
                <w:rFonts w:cstheme="minorHAnsi"/>
              </w:rPr>
            </w:pPr>
            <w:r w:rsidRPr="00AE2D8D">
              <w:rPr>
                <w:rFonts w:cstheme="minorHAnsi"/>
                <w:bCs/>
                <w:w w:val="105"/>
              </w:rPr>
              <w:t>$’000</w:t>
            </w:r>
          </w:p>
        </w:tc>
        <w:tc>
          <w:tcPr>
            <w:tcW w:w="1276" w:type="dxa"/>
          </w:tcPr>
          <w:p w:rsidR="000972E4" w:rsidRPr="00AE2D8D" w:rsidRDefault="000972E4" w:rsidP="006914D6">
            <w:pPr>
              <w:jc w:val="right"/>
              <w:rPr>
                <w:rFonts w:cstheme="minorHAnsi"/>
              </w:rPr>
            </w:pPr>
            <w:r w:rsidRPr="00AE2D8D">
              <w:rPr>
                <w:rFonts w:cstheme="minorHAnsi"/>
                <w:bCs/>
                <w:w w:val="105"/>
              </w:rPr>
              <w:t>$’000</w:t>
            </w:r>
          </w:p>
        </w:tc>
        <w:tc>
          <w:tcPr>
            <w:tcW w:w="1276" w:type="dxa"/>
          </w:tcPr>
          <w:p w:rsidR="000972E4" w:rsidRPr="00AE2D8D" w:rsidRDefault="000972E4" w:rsidP="006914D6">
            <w:pPr>
              <w:jc w:val="right"/>
              <w:rPr>
                <w:rFonts w:cstheme="minorHAnsi"/>
              </w:rPr>
            </w:pPr>
            <w:r w:rsidRPr="00AE2D8D">
              <w:rPr>
                <w:rFonts w:cstheme="minorHAnsi"/>
                <w:bCs/>
                <w:w w:val="105"/>
              </w:rPr>
              <w:t>$’000</w:t>
            </w:r>
          </w:p>
        </w:tc>
        <w:tc>
          <w:tcPr>
            <w:tcW w:w="1134" w:type="dxa"/>
          </w:tcPr>
          <w:p w:rsidR="000972E4" w:rsidRPr="00AE2D8D" w:rsidRDefault="000972E4" w:rsidP="006914D6">
            <w:pPr>
              <w:pStyle w:val="NoSpacing"/>
              <w:jc w:val="right"/>
              <w:rPr>
                <w:rFonts w:cstheme="minorHAnsi"/>
                <w:bCs/>
                <w:w w:val="105"/>
              </w:rPr>
            </w:pPr>
            <w:r w:rsidRPr="00AE2D8D">
              <w:rPr>
                <w:rFonts w:cstheme="minorHAnsi"/>
                <w:bCs/>
                <w:w w:val="105"/>
              </w:rPr>
              <w:t>$’000</w:t>
            </w:r>
          </w:p>
        </w:tc>
      </w:tr>
    </w:tbl>
    <w:p w:rsidR="000972E4" w:rsidRDefault="000972E4" w:rsidP="000972E4">
      <w:pPr>
        <w:pStyle w:val="NoSpacing"/>
        <w:ind w:left="283"/>
      </w:pPr>
      <w:r>
        <w:t xml:space="preserve">(a) Net gain/ (loss) on financial instruments </w:t>
      </w:r>
    </w:p>
    <w:tbl>
      <w:tblPr>
        <w:tblStyle w:val="TableGrid"/>
        <w:tblW w:w="0" w:type="auto"/>
        <w:tblLook w:val="04A0" w:firstRow="1" w:lastRow="0" w:firstColumn="1" w:lastColumn="0" w:noHBand="0" w:noVBand="1"/>
      </w:tblPr>
      <w:tblGrid>
        <w:gridCol w:w="8784"/>
        <w:gridCol w:w="1417"/>
        <w:gridCol w:w="1276"/>
        <w:gridCol w:w="1134"/>
        <w:gridCol w:w="1276"/>
      </w:tblGrid>
      <w:tr w:rsidR="002F1865" w:rsidTr="006914D6">
        <w:tc>
          <w:tcPr>
            <w:tcW w:w="8784" w:type="dxa"/>
          </w:tcPr>
          <w:p w:rsidR="002F1865" w:rsidRDefault="002F1865" w:rsidP="002F1865">
            <w:pPr>
              <w:pStyle w:val="NoSpacing"/>
            </w:pPr>
            <w:r>
              <w:t>Foreign currency exchange (gain/ (loss)</w:t>
            </w:r>
          </w:p>
        </w:tc>
        <w:tc>
          <w:tcPr>
            <w:tcW w:w="1417" w:type="dxa"/>
          </w:tcPr>
          <w:p w:rsidR="002F1865" w:rsidRDefault="002F1865" w:rsidP="002F1865">
            <w:pPr>
              <w:pStyle w:val="NoSpacing"/>
              <w:jc w:val="right"/>
            </w:pPr>
            <w:r>
              <w:t>(92)</w:t>
            </w:r>
          </w:p>
        </w:tc>
        <w:tc>
          <w:tcPr>
            <w:tcW w:w="1276" w:type="dxa"/>
          </w:tcPr>
          <w:p w:rsidR="002F1865" w:rsidRDefault="002F1865" w:rsidP="002F1865">
            <w:pPr>
              <w:pStyle w:val="NoSpacing"/>
              <w:jc w:val="right"/>
            </w:pPr>
            <w:r>
              <w:t>(177)</w:t>
            </w:r>
          </w:p>
        </w:tc>
        <w:tc>
          <w:tcPr>
            <w:tcW w:w="1134" w:type="dxa"/>
          </w:tcPr>
          <w:p w:rsidR="002F1865" w:rsidRDefault="002F1865" w:rsidP="002F1865">
            <w:pPr>
              <w:pStyle w:val="NoSpacing"/>
              <w:jc w:val="right"/>
            </w:pPr>
            <w:r>
              <w:t>(92)</w:t>
            </w:r>
          </w:p>
        </w:tc>
        <w:tc>
          <w:tcPr>
            <w:tcW w:w="1276" w:type="dxa"/>
          </w:tcPr>
          <w:p w:rsidR="002F1865" w:rsidRPr="00141A57" w:rsidRDefault="002F1865" w:rsidP="002F1865">
            <w:pPr>
              <w:jc w:val="right"/>
            </w:pPr>
            <w:r w:rsidRPr="00141A57">
              <w:t>(177)</w:t>
            </w:r>
          </w:p>
        </w:tc>
      </w:tr>
      <w:tr w:rsidR="002F1865" w:rsidTr="006914D6">
        <w:tc>
          <w:tcPr>
            <w:tcW w:w="8784" w:type="dxa"/>
          </w:tcPr>
          <w:p w:rsidR="002F1865" w:rsidRDefault="002F1865" w:rsidP="002F1865">
            <w:pPr>
              <w:pStyle w:val="NoSpacing"/>
            </w:pPr>
            <w:r>
              <w:t>Greener Government loan discount</w:t>
            </w:r>
          </w:p>
        </w:tc>
        <w:tc>
          <w:tcPr>
            <w:tcW w:w="1417" w:type="dxa"/>
          </w:tcPr>
          <w:p w:rsidR="002F1865" w:rsidRDefault="002F1865" w:rsidP="002F1865">
            <w:pPr>
              <w:pStyle w:val="NoSpacing"/>
              <w:jc w:val="right"/>
            </w:pPr>
            <w:r>
              <w:t>(55)</w:t>
            </w:r>
          </w:p>
        </w:tc>
        <w:tc>
          <w:tcPr>
            <w:tcW w:w="1276" w:type="dxa"/>
          </w:tcPr>
          <w:p w:rsidR="002F1865" w:rsidRDefault="002F1865" w:rsidP="002F1865">
            <w:pPr>
              <w:pStyle w:val="NoSpacing"/>
              <w:jc w:val="right"/>
            </w:pPr>
            <w:r>
              <w:t>(64)</w:t>
            </w:r>
          </w:p>
        </w:tc>
        <w:tc>
          <w:tcPr>
            <w:tcW w:w="1134" w:type="dxa"/>
          </w:tcPr>
          <w:p w:rsidR="002F1865" w:rsidRDefault="002F1865" w:rsidP="002F1865">
            <w:pPr>
              <w:pStyle w:val="NoSpacing"/>
              <w:jc w:val="right"/>
            </w:pPr>
            <w:r>
              <w:t>(55)</w:t>
            </w:r>
          </w:p>
        </w:tc>
        <w:tc>
          <w:tcPr>
            <w:tcW w:w="1276" w:type="dxa"/>
          </w:tcPr>
          <w:p w:rsidR="002F1865" w:rsidRPr="00141A57" w:rsidRDefault="002F1865" w:rsidP="002F1865">
            <w:pPr>
              <w:jc w:val="right"/>
            </w:pPr>
            <w:r w:rsidRPr="00141A57">
              <w:t>(64)</w:t>
            </w:r>
          </w:p>
        </w:tc>
      </w:tr>
      <w:tr w:rsidR="002F1865" w:rsidTr="006914D6">
        <w:tc>
          <w:tcPr>
            <w:tcW w:w="8784" w:type="dxa"/>
          </w:tcPr>
          <w:p w:rsidR="002F1865" w:rsidRDefault="002F1865" w:rsidP="002F1865">
            <w:pPr>
              <w:pStyle w:val="NoSpacing"/>
            </w:pPr>
            <w:r>
              <w:t>Impairment of loans and receivables</w:t>
            </w:r>
          </w:p>
        </w:tc>
        <w:tc>
          <w:tcPr>
            <w:tcW w:w="1417" w:type="dxa"/>
          </w:tcPr>
          <w:p w:rsidR="002F1865" w:rsidRDefault="002F1865" w:rsidP="002F1865">
            <w:pPr>
              <w:pStyle w:val="NoSpacing"/>
              <w:jc w:val="right"/>
            </w:pPr>
            <w:r>
              <w:t>(338)</w:t>
            </w:r>
          </w:p>
        </w:tc>
        <w:tc>
          <w:tcPr>
            <w:tcW w:w="1276" w:type="dxa"/>
          </w:tcPr>
          <w:p w:rsidR="002F1865" w:rsidRDefault="002F1865" w:rsidP="002F1865">
            <w:pPr>
              <w:pStyle w:val="NoSpacing"/>
              <w:jc w:val="right"/>
            </w:pPr>
            <w:r>
              <w:t>(201)</w:t>
            </w:r>
          </w:p>
        </w:tc>
        <w:tc>
          <w:tcPr>
            <w:tcW w:w="1134" w:type="dxa"/>
          </w:tcPr>
          <w:p w:rsidR="002F1865" w:rsidRDefault="002F1865" w:rsidP="002F1865">
            <w:pPr>
              <w:pStyle w:val="NoSpacing"/>
              <w:jc w:val="right"/>
            </w:pPr>
            <w:r>
              <w:t>(338)</w:t>
            </w:r>
          </w:p>
        </w:tc>
        <w:tc>
          <w:tcPr>
            <w:tcW w:w="1276" w:type="dxa"/>
          </w:tcPr>
          <w:p w:rsidR="002F1865" w:rsidRPr="00141A57" w:rsidRDefault="002F1865" w:rsidP="002F1865">
            <w:pPr>
              <w:jc w:val="right"/>
            </w:pPr>
            <w:r w:rsidRPr="00141A57">
              <w:t>(201)</w:t>
            </w:r>
          </w:p>
        </w:tc>
      </w:tr>
      <w:tr w:rsidR="002F1865" w:rsidTr="006914D6">
        <w:tc>
          <w:tcPr>
            <w:tcW w:w="8784" w:type="dxa"/>
          </w:tcPr>
          <w:p w:rsidR="002F1865" w:rsidRDefault="002F1865" w:rsidP="002F1865">
            <w:pPr>
              <w:pStyle w:val="NoSpacing"/>
            </w:pPr>
            <w:r>
              <w:t>Total net gain/ (loss) on financial instruments</w:t>
            </w:r>
          </w:p>
        </w:tc>
        <w:tc>
          <w:tcPr>
            <w:tcW w:w="1417" w:type="dxa"/>
          </w:tcPr>
          <w:p w:rsidR="002F1865" w:rsidRDefault="002F1865" w:rsidP="002F1865">
            <w:pPr>
              <w:pStyle w:val="NoSpacing"/>
              <w:jc w:val="right"/>
            </w:pPr>
            <w:r>
              <w:t>(485)</w:t>
            </w:r>
          </w:p>
        </w:tc>
        <w:tc>
          <w:tcPr>
            <w:tcW w:w="1276" w:type="dxa"/>
          </w:tcPr>
          <w:p w:rsidR="002F1865" w:rsidRDefault="002F1865" w:rsidP="002F1865">
            <w:pPr>
              <w:pStyle w:val="NoSpacing"/>
              <w:jc w:val="right"/>
            </w:pPr>
            <w:r>
              <w:t>(442)</w:t>
            </w:r>
          </w:p>
        </w:tc>
        <w:tc>
          <w:tcPr>
            <w:tcW w:w="1134" w:type="dxa"/>
          </w:tcPr>
          <w:p w:rsidR="002F1865" w:rsidRDefault="002F1865" w:rsidP="002F1865">
            <w:pPr>
              <w:pStyle w:val="NoSpacing"/>
              <w:jc w:val="right"/>
            </w:pPr>
            <w:r>
              <w:t>(485)</w:t>
            </w:r>
          </w:p>
        </w:tc>
        <w:tc>
          <w:tcPr>
            <w:tcW w:w="1276" w:type="dxa"/>
          </w:tcPr>
          <w:p w:rsidR="002F1865" w:rsidRDefault="002F1865" w:rsidP="002F1865">
            <w:pPr>
              <w:jc w:val="right"/>
            </w:pPr>
            <w:r w:rsidRPr="00141A57">
              <w:t>(442)</w:t>
            </w:r>
          </w:p>
        </w:tc>
      </w:tr>
    </w:tbl>
    <w:p w:rsidR="000972E4" w:rsidRDefault="000972E4" w:rsidP="000972E4">
      <w:pPr>
        <w:pStyle w:val="NoSpacing"/>
        <w:ind w:left="283"/>
      </w:pPr>
    </w:p>
    <w:p w:rsidR="000972E4" w:rsidRDefault="000972E4" w:rsidP="000972E4">
      <w:pPr>
        <w:pStyle w:val="NoSpacing"/>
        <w:ind w:left="283"/>
      </w:pPr>
      <w:r>
        <w:t xml:space="preserve">(b) </w:t>
      </w:r>
      <w:r w:rsidR="00AA46FA">
        <w:t xml:space="preserve">Other </w:t>
      </w:r>
      <w:r>
        <w:t>gain</w:t>
      </w:r>
      <w:r w:rsidR="00AA46FA">
        <w:t>s</w:t>
      </w:r>
      <w:r>
        <w:t>/ (loss</w:t>
      </w:r>
      <w:r w:rsidR="00AA46FA">
        <w:t>es</w:t>
      </w:r>
      <w:r>
        <w:t xml:space="preserve">) on </w:t>
      </w:r>
      <w:r w:rsidR="00AA46FA">
        <w:t>from other economic flows</w:t>
      </w:r>
      <w:r>
        <w:t xml:space="preserve"> </w:t>
      </w:r>
    </w:p>
    <w:tbl>
      <w:tblPr>
        <w:tblStyle w:val="TableGrid"/>
        <w:tblW w:w="0" w:type="auto"/>
        <w:tblLook w:val="04A0" w:firstRow="1" w:lastRow="0" w:firstColumn="1" w:lastColumn="0" w:noHBand="0" w:noVBand="1"/>
      </w:tblPr>
      <w:tblGrid>
        <w:gridCol w:w="8784"/>
        <w:gridCol w:w="1417"/>
        <w:gridCol w:w="1276"/>
        <w:gridCol w:w="1134"/>
        <w:gridCol w:w="1276"/>
      </w:tblGrid>
      <w:tr w:rsidR="000972E4" w:rsidTr="006914D6">
        <w:tc>
          <w:tcPr>
            <w:tcW w:w="8784" w:type="dxa"/>
          </w:tcPr>
          <w:p w:rsidR="000972E4" w:rsidRDefault="002F1865" w:rsidP="006914D6">
            <w:pPr>
              <w:pStyle w:val="NoSpacing"/>
            </w:pPr>
            <w:r>
              <w:lastRenderedPageBreak/>
              <w:t xml:space="preserve">Net gain/ (loss) arising from revaluation of long service leave liability </w:t>
            </w:r>
          </w:p>
        </w:tc>
        <w:tc>
          <w:tcPr>
            <w:tcW w:w="1417" w:type="dxa"/>
          </w:tcPr>
          <w:p w:rsidR="000972E4" w:rsidRDefault="002F1865" w:rsidP="006914D6">
            <w:pPr>
              <w:pStyle w:val="NoSpacing"/>
              <w:jc w:val="right"/>
            </w:pPr>
            <w:r>
              <w:t>371</w:t>
            </w:r>
          </w:p>
        </w:tc>
        <w:tc>
          <w:tcPr>
            <w:tcW w:w="1276" w:type="dxa"/>
          </w:tcPr>
          <w:p w:rsidR="000972E4" w:rsidRDefault="002F1865" w:rsidP="006914D6">
            <w:pPr>
              <w:pStyle w:val="NoSpacing"/>
              <w:jc w:val="right"/>
            </w:pPr>
            <w:r>
              <w:t>(588)</w:t>
            </w:r>
          </w:p>
        </w:tc>
        <w:tc>
          <w:tcPr>
            <w:tcW w:w="1134" w:type="dxa"/>
          </w:tcPr>
          <w:p w:rsidR="000972E4" w:rsidRDefault="002F1865" w:rsidP="006914D6">
            <w:pPr>
              <w:pStyle w:val="NoSpacing"/>
              <w:jc w:val="right"/>
            </w:pPr>
            <w:r>
              <w:t>345</w:t>
            </w:r>
          </w:p>
        </w:tc>
        <w:tc>
          <w:tcPr>
            <w:tcW w:w="1276" w:type="dxa"/>
          </w:tcPr>
          <w:p w:rsidR="000972E4" w:rsidRDefault="002F1865" w:rsidP="006914D6">
            <w:pPr>
              <w:pStyle w:val="NoSpacing"/>
              <w:jc w:val="right"/>
            </w:pPr>
            <w:r>
              <w:t>(613)</w:t>
            </w:r>
          </w:p>
        </w:tc>
      </w:tr>
      <w:tr w:rsidR="000972E4" w:rsidTr="006914D6">
        <w:tc>
          <w:tcPr>
            <w:tcW w:w="8784" w:type="dxa"/>
          </w:tcPr>
          <w:p w:rsidR="000972E4" w:rsidRDefault="002F1865" w:rsidP="006914D6">
            <w:pPr>
              <w:pStyle w:val="NoSpacing"/>
            </w:pPr>
            <w:r>
              <w:t>Net gain/ (loss) arising from revaluation of annual leave liability</w:t>
            </w:r>
          </w:p>
        </w:tc>
        <w:tc>
          <w:tcPr>
            <w:tcW w:w="1417" w:type="dxa"/>
          </w:tcPr>
          <w:p w:rsidR="000972E4" w:rsidRDefault="002F1865" w:rsidP="006914D6">
            <w:pPr>
              <w:pStyle w:val="NoSpacing"/>
              <w:jc w:val="right"/>
            </w:pPr>
            <w:r>
              <w:t>5</w:t>
            </w:r>
          </w:p>
        </w:tc>
        <w:tc>
          <w:tcPr>
            <w:tcW w:w="1276" w:type="dxa"/>
          </w:tcPr>
          <w:p w:rsidR="000972E4" w:rsidRDefault="002F1865" w:rsidP="006914D6">
            <w:pPr>
              <w:pStyle w:val="NoSpacing"/>
              <w:jc w:val="right"/>
            </w:pPr>
            <w:r>
              <w:t>(534)</w:t>
            </w:r>
          </w:p>
        </w:tc>
        <w:tc>
          <w:tcPr>
            <w:tcW w:w="1134" w:type="dxa"/>
          </w:tcPr>
          <w:p w:rsidR="000972E4" w:rsidRDefault="002F1865" w:rsidP="006914D6">
            <w:pPr>
              <w:pStyle w:val="NoSpacing"/>
              <w:jc w:val="right"/>
            </w:pPr>
            <w:r>
              <w:t>5</w:t>
            </w:r>
          </w:p>
        </w:tc>
        <w:tc>
          <w:tcPr>
            <w:tcW w:w="1276" w:type="dxa"/>
          </w:tcPr>
          <w:p w:rsidR="000972E4" w:rsidRDefault="002F1865" w:rsidP="006914D6">
            <w:pPr>
              <w:pStyle w:val="NoSpacing"/>
              <w:jc w:val="right"/>
            </w:pPr>
            <w:r>
              <w:t>(518)</w:t>
            </w:r>
          </w:p>
        </w:tc>
      </w:tr>
      <w:tr w:rsidR="000972E4" w:rsidTr="006914D6">
        <w:tc>
          <w:tcPr>
            <w:tcW w:w="8784" w:type="dxa"/>
          </w:tcPr>
          <w:p w:rsidR="000972E4" w:rsidRDefault="002F1865" w:rsidP="006914D6">
            <w:pPr>
              <w:pStyle w:val="NoSpacing"/>
            </w:pPr>
            <w:r>
              <w:t>Total other gains/ (losses) from other economic flows</w:t>
            </w:r>
          </w:p>
        </w:tc>
        <w:tc>
          <w:tcPr>
            <w:tcW w:w="1417" w:type="dxa"/>
          </w:tcPr>
          <w:p w:rsidR="000972E4" w:rsidRDefault="002F1865" w:rsidP="006914D6">
            <w:pPr>
              <w:pStyle w:val="NoSpacing"/>
              <w:jc w:val="right"/>
            </w:pPr>
            <w:r>
              <w:t>376</w:t>
            </w:r>
          </w:p>
        </w:tc>
        <w:tc>
          <w:tcPr>
            <w:tcW w:w="1276" w:type="dxa"/>
          </w:tcPr>
          <w:p w:rsidR="000972E4" w:rsidRDefault="002F1865" w:rsidP="006914D6">
            <w:pPr>
              <w:pStyle w:val="NoSpacing"/>
              <w:jc w:val="right"/>
            </w:pPr>
            <w:r>
              <w:t>(1,122)</w:t>
            </w:r>
          </w:p>
        </w:tc>
        <w:tc>
          <w:tcPr>
            <w:tcW w:w="1134" w:type="dxa"/>
          </w:tcPr>
          <w:p w:rsidR="000972E4" w:rsidRDefault="002F1865" w:rsidP="006914D6">
            <w:pPr>
              <w:pStyle w:val="NoSpacing"/>
              <w:jc w:val="right"/>
            </w:pPr>
            <w:r>
              <w:t>350</w:t>
            </w:r>
          </w:p>
        </w:tc>
        <w:tc>
          <w:tcPr>
            <w:tcW w:w="1276" w:type="dxa"/>
          </w:tcPr>
          <w:p w:rsidR="000972E4" w:rsidRDefault="002F1865" w:rsidP="006914D6">
            <w:pPr>
              <w:pStyle w:val="NoSpacing"/>
              <w:jc w:val="right"/>
            </w:pPr>
            <w:r>
              <w:t>(1,131)</w:t>
            </w:r>
          </w:p>
        </w:tc>
      </w:tr>
    </w:tbl>
    <w:p w:rsidR="000972E4" w:rsidRDefault="000972E4" w:rsidP="000972E4">
      <w:pPr>
        <w:pStyle w:val="NoSpacing"/>
        <w:ind w:left="283"/>
      </w:pPr>
    </w:p>
    <w:tbl>
      <w:tblPr>
        <w:tblStyle w:val="TableGrid"/>
        <w:tblW w:w="0" w:type="auto"/>
        <w:tblLook w:val="04A0" w:firstRow="1" w:lastRow="0" w:firstColumn="1" w:lastColumn="0" w:noHBand="0" w:noVBand="1"/>
      </w:tblPr>
      <w:tblGrid>
        <w:gridCol w:w="8784"/>
        <w:gridCol w:w="1417"/>
        <w:gridCol w:w="1276"/>
        <w:gridCol w:w="1134"/>
        <w:gridCol w:w="1276"/>
      </w:tblGrid>
      <w:tr w:rsidR="000972E4" w:rsidTr="006914D6">
        <w:tc>
          <w:tcPr>
            <w:tcW w:w="8784" w:type="dxa"/>
          </w:tcPr>
          <w:p w:rsidR="000972E4" w:rsidRDefault="002F1865" w:rsidP="006914D6">
            <w:pPr>
              <w:pStyle w:val="NoSpacing"/>
            </w:pPr>
            <w:r>
              <w:t>Total other economic flows included in net result</w:t>
            </w:r>
          </w:p>
        </w:tc>
        <w:tc>
          <w:tcPr>
            <w:tcW w:w="1417" w:type="dxa"/>
          </w:tcPr>
          <w:p w:rsidR="000972E4" w:rsidRDefault="002F1865" w:rsidP="006914D6">
            <w:pPr>
              <w:pStyle w:val="NoSpacing"/>
              <w:jc w:val="right"/>
            </w:pPr>
            <w:r>
              <w:t>(109)</w:t>
            </w:r>
          </w:p>
        </w:tc>
        <w:tc>
          <w:tcPr>
            <w:tcW w:w="1276" w:type="dxa"/>
          </w:tcPr>
          <w:p w:rsidR="000972E4" w:rsidRDefault="002F1865" w:rsidP="006914D6">
            <w:pPr>
              <w:pStyle w:val="NoSpacing"/>
              <w:jc w:val="right"/>
            </w:pPr>
            <w:r>
              <w:t>(1,564)</w:t>
            </w:r>
          </w:p>
        </w:tc>
        <w:tc>
          <w:tcPr>
            <w:tcW w:w="1134" w:type="dxa"/>
          </w:tcPr>
          <w:p w:rsidR="000972E4" w:rsidRDefault="002F1865" w:rsidP="006914D6">
            <w:pPr>
              <w:pStyle w:val="NoSpacing"/>
              <w:jc w:val="right"/>
            </w:pPr>
            <w:r>
              <w:t>(135)</w:t>
            </w:r>
          </w:p>
        </w:tc>
        <w:tc>
          <w:tcPr>
            <w:tcW w:w="1276" w:type="dxa"/>
          </w:tcPr>
          <w:p w:rsidR="000972E4" w:rsidRDefault="002F1865" w:rsidP="006914D6">
            <w:pPr>
              <w:pStyle w:val="NoSpacing"/>
              <w:jc w:val="right"/>
            </w:pPr>
            <w:r>
              <w:t>(1,573)</w:t>
            </w:r>
          </w:p>
        </w:tc>
      </w:tr>
    </w:tbl>
    <w:p w:rsidR="000972E4" w:rsidRDefault="000972E4" w:rsidP="00AD1DCC">
      <w:pPr>
        <w:pStyle w:val="NoSpacing"/>
      </w:pPr>
    </w:p>
    <w:p w:rsidR="002F1865" w:rsidRPr="00BA4A5E" w:rsidRDefault="002F1865" w:rsidP="002F1865">
      <w:pPr>
        <w:pStyle w:val="NoSpacing"/>
      </w:pPr>
      <w:r w:rsidRPr="00BA4A5E">
        <w:t>Net gain/ (loss) from revaluation of long service leave liability and annual liability are changes arising due to changes in bond rates.</w:t>
      </w:r>
    </w:p>
    <w:p w:rsidR="002F1865" w:rsidRPr="00BA4A5E" w:rsidRDefault="002F1865" w:rsidP="002F1865">
      <w:pPr>
        <w:pStyle w:val="NoSpacing"/>
      </w:pPr>
      <w:r w:rsidRPr="00BA4A5E">
        <w:t>‘Other economic flows’ are changes arising from market remeasurements. They include:</w:t>
      </w:r>
    </w:p>
    <w:p w:rsidR="002F1865" w:rsidRPr="00BA4A5E" w:rsidRDefault="002F1865" w:rsidP="002F1865">
      <w:pPr>
        <w:pStyle w:val="NoSpacing"/>
      </w:pPr>
      <w:r w:rsidRPr="00BA4A5E">
        <w:t>• Gains and losses from disposals of non-financial assets (refer to Note 4.1);</w:t>
      </w:r>
    </w:p>
    <w:p w:rsidR="002F1865" w:rsidRPr="00BA4A5E" w:rsidRDefault="002F1865" w:rsidP="002F1865">
      <w:pPr>
        <w:pStyle w:val="NoSpacing"/>
      </w:pPr>
      <w:r w:rsidRPr="00BA4A5E">
        <w:t>• Revaluations and impairments of non-financial physical and intangible assets (refer to Note 4.1 and Note 4.2);</w:t>
      </w:r>
    </w:p>
    <w:p w:rsidR="002F1865" w:rsidRPr="00BA4A5E" w:rsidRDefault="002F1865" w:rsidP="002F1865">
      <w:pPr>
        <w:pStyle w:val="NoSpacing"/>
      </w:pPr>
      <w:r w:rsidRPr="00BA4A5E">
        <w:t xml:space="preserve">• </w:t>
      </w:r>
      <w:r>
        <w:t>R</w:t>
      </w:r>
      <w:r w:rsidRPr="00BA4A5E">
        <w:t>emeasurement arising from employee benefits (refer to Note 3.1) and</w:t>
      </w:r>
    </w:p>
    <w:p w:rsidR="002F1865" w:rsidRPr="00BA4A5E" w:rsidRDefault="002F1865" w:rsidP="002F1865">
      <w:pPr>
        <w:pStyle w:val="NoSpacing"/>
      </w:pPr>
      <w:r w:rsidRPr="00BA4A5E">
        <w:t>• Fair value changes of financial instruments (refer to Note 7.3).</w:t>
      </w:r>
    </w:p>
    <w:p w:rsidR="000972E4" w:rsidRDefault="002F1865" w:rsidP="002F1865">
      <w:pPr>
        <w:pStyle w:val="NoSpacing"/>
      </w:pPr>
      <w:r w:rsidRPr="00BA4A5E">
        <w:t>This classification is consistent with the whole of government reporting format and is allowed</w:t>
      </w:r>
      <w:r>
        <w:t xml:space="preserve"> under AASB 101 Presentation of </w:t>
      </w:r>
      <w:r w:rsidRPr="00BA4A5E">
        <w:t>Financial Statements.</w:t>
      </w:r>
    </w:p>
    <w:p w:rsidR="002F1865" w:rsidRDefault="002F1865" w:rsidP="002F1865">
      <w:pPr>
        <w:pStyle w:val="NoSpacing"/>
      </w:pPr>
    </w:p>
    <w:p w:rsidR="002F1865" w:rsidRDefault="002F1865" w:rsidP="00234E85">
      <w:pPr>
        <w:pStyle w:val="Heading4"/>
      </w:pPr>
      <w:r>
        <w:t>9.2 Other equity reserves</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2F1865" w:rsidRPr="00AE2D8D" w:rsidTr="006914D6">
        <w:tc>
          <w:tcPr>
            <w:tcW w:w="2693" w:type="dxa"/>
            <w:gridSpan w:val="2"/>
          </w:tcPr>
          <w:p w:rsidR="002F1865" w:rsidRPr="00AE2D8D" w:rsidRDefault="002F1865" w:rsidP="006914D6">
            <w:pPr>
              <w:pStyle w:val="NoSpacing"/>
              <w:jc w:val="center"/>
              <w:rPr>
                <w:rFonts w:cstheme="minorHAnsi"/>
                <w:bCs/>
                <w:w w:val="105"/>
              </w:rPr>
            </w:pPr>
            <w:r>
              <w:rPr>
                <w:rFonts w:cstheme="minorHAnsi"/>
                <w:bCs/>
                <w:w w:val="105"/>
              </w:rPr>
              <w:t xml:space="preserve">Consolidated </w:t>
            </w:r>
          </w:p>
        </w:tc>
        <w:tc>
          <w:tcPr>
            <w:tcW w:w="2410" w:type="dxa"/>
            <w:gridSpan w:val="2"/>
          </w:tcPr>
          <w:p w:rsidR="002F1865" w:rsidRPr="00AE2D8D" w:rsidRDefault="002F1865" w:rsidP="006914D6">
            <w:pPr>
              <w:pStyle w:val="NoSpacing"/>
              <w:jc w:val="center"/>
              <w:rPr>
                <w:rFonts w:cstheme="minorHAnsi"/>
                <w:bCs/>
                <w:w w:val="105"/>
              </w:rPr>
            </w:pPr>
            <w:r>
              <w:rPr>
                <w:rFonts w:cstheme="minorHAnsi"/>
                <w:bCs/>
                <w:w w:val="105"/>
              </w:rPr>
              <w:t>Chisholm</w:t>
            </w:r>
          </w:p>
        </w:tc>
      </w:tr>
      <w:tr w:rsidR="002F1865" w:rsidRPr="00AE2D8D" w:rsidTr="006914D6">
        <w:tc>
          <w:tcPr>
            <w:tcW w:w="1417" w:type="dxa"/>
          </w:tcPr>
          <w:p w:rsidR="002F1865" w:rsidRPr="00AE2D8D" w:rsidRDefault="002F1865" w:rsidP="006914D6">
            <w:pPr>
              <w:pStyle w:val="NoSpacing"/>
              <w:jc w:val="right"/>
              <w:rPr>
                <w:rFonts w:cstheme="minorHAnsi"/>
                <w:bCs/>
                <w:w w:val="105"/>
              </w:rPr>
            </w:pPr>
            <w:r w:rsidRPr="00AE2D8D">
              <w:rPr>
                <w:rFonts w:cstheme="minorHAnsi"/>
                <w:bCs/>
                <w:w w:val="105"/>
              </w:rPr>
              <w:t>2017</w:t>
            </w:r>
          </w:p>
        </w:tc>
        <w:tc>
          <w:tcPr>
            <w:tcW w:w="1276" w:type="dxa"/>
          </w:tcPr>
          <w:p w:rsidR="002F1865" w:rsidRPr="00AE2D8D" w:rsidRDefault="002F1865" w:rsidP="006914D6">
            <w:pPr>
              <w:pStyle w:val="NoSpacing"/>
              <w:jc w:val="right"/>
              <w:rPr>
                <w:rFonts w:cstheme="minorHAnsi"/>
                <w:bCs/>
                <w:w w:val="105"/>
              </w:rPr>
            </w:pPr>
            <w:r w:rsidRPr="00AE2D8D">
              <w:rPr>
                <w:rFonts w:cstheme="minorHAnsi"/>
                <w:bCs/>
                <w:w w:val="105"/>
              </w:rPr>
              <w:t>2016</w:t>
            </w:r>
          </w:p>
        </w:tc>
        <w:tc>
          <w:tcPr>
            <w:tcW w:w="1276" w:type="dxa"/>
          </w:tcPr>
          <w:p w:rsidR="002F1865" w:rsidRPr="00AE2D8D" w:rsidRDefault="002F1865" w:rsidP="006914D6">
            <w:pPr>
              <w:pStyle w:val="NoSpacing"/>
              <w:jc w:val="right"/>
              <w:rPr>
                <w:rFonts w:cstheme="minorHAnsi"/>
                <w:bCs/>
                <w:w w:val="105"/>
              </w:rPr>
            </w:pPr>
            <w:r w:rsidRPr="00AE2D8D">
              <w:rPr>
                <w:rFonts w:cstheme="minorHAnsi"/>
                <w:bCs/>
                <w:w w:val="105"/>
              </w:rPr>
              <w:t>2017</w:t>
            </w:r>
          </w:p>
        </w:tc>
        <w:tc>
          <w:tcPr>
            <w:tcW w:w="1134" w:type="dxa"/>
          </w:tcPr>
          <w:p w:rsidR="002F1865" w:rsidRPr="00AE2D8D" w:rsidRDefault="002F1865" w:rsidP="006914D6">
            <w:pPr>
              <w:pStyle w:val="NoSpacing"/>
              <w:jc w:val="right"/>
              <w:rPr>
                <w:rFonts w:cstheme="minorHAnsi"/>
                <w:bCs/>
                <w:w w:val="105"/>
              </w:rPr>
            </w:pPr>
            <w:r w:rsidRPr="00AE2D8D">
              <w:rPr>
                <w:rFonts w:cstheme="minorHAnsi"/>
                <w:bCs/>
                <w:w w:val="105"/>
              </w:rPr>
              <w:t>2016</w:t>
            </w:r>
          </w:p>
        </w:tc>
      </w:tr>
      <w:tr w:rsidR="002F1865" w:rsidRPr="00AE2D8D" w:rsidTr="006914D6">
        <w:tc>
          <w:tcPr>
            <w:tcW w:w="1417" w:type="dxa"/>
          </w:tcPr>
          <w:p w:rsidR="002F1865" w:rsidRPr="00AE2D8D" w:rsidRDefault="002F1865" w:rsidP="006914D6">
            <w:pPr>
              <w:jc w:val="right"/>
              <w:rPr>
                <w:rFonts w:cstheme="minorHAnsi"/>
              </w:rPr>
            </w:pPr>
            <w:r w:rsidRPr="00AE2D8D">
              <w:rPr>
                <w:rFonts w:cstheme="minorHAnsi"/>
                <w:bCs/>
                <w:w w:val="105"/>
              </w:rPr>
              <w:t>$’000</w:t>
            </w:r>
          </w:p>
        </w:tc>
        <w:tc>
          <w:tcPr>
            <w:tcW w:w="1276" w:type="dxa"/>
          </w:tcPr>
          <w:p w:rsidR="002F1865" w:rsidRPr="00AE2D8D" w:rsidRDefault="002F1865" w:rsidP="006914D6">
            <w:pPr>
              <w:jc w:val="right"/>
              <w:rPr>
                <w:rFonts w:cstheme="minorHAnsi"/>
              </w:rPr>
            </w:pPr>
            <w:r w:rsidRPr="00AE2D8D">
              <w:rPr>
                <w:rFonts w:cstheme="minorHAnsi"/>
                <w:bCs/>
                <w:w w:val="105"/>
              </w:rPr>
              <w:t>$’000</w:t>
            </w:r>
          </w:p>
        </w:tc>
        <w:tc>
          <w:tcPr>
            <w:tcW w:w="1276" w:type="dxa"/>
          </w:tcPr>
          <w:p w:rsidR="002F1865" w:rsidRPr="00AE2D8D" w:rsidRDefault="002F1865" w:rsidP="006914D6">
            <w:pPr>
              <w:jc w:val="right"/>
              <w:rPr>
                <w:rFonts w:cstheme="minorHAnsi"/>
              </w:rPr>
            </w:pPr>
            <w:r w:rsidRPr="00AE2D8D">
              <w:rPr>
                <w:rFonts w:cstheme="minorHAnsi"/>
                <w:bCs/>
                <w:w w:val="105"/>
              </w:rPr>
              <w:t>$’000</w:t>
            </w:r>
          </w:p>
        </w:tc>
        <w:tc>
          <w:tcPr>
            <w:tcW w:w="1134" w:type="dxa"/>
          </w:tcPr>
          <w:p w:rsidR="002F1865" w:rsidRPr="00AE2D8D" w:rsidRDefault="002F1865" w:rsidP="006914D6">
            <w:pPr>
              <w:pStyle w:val="NoSpacing"/>
              <w:jc w:val="right"/>
              <w:rPr>
                <w:rFonts w:cstheme="minorHAnsi"/>
                <w:bCs/>
                <w:w w:val="105"/>
              </w:rPr>
            </w:pPr>
            <w:r w:rsidRPr="00AE2D8D">
              <w:rPr>
                <w:rFonts w:cstheme="minorHAnsi"/>
                <w:bCs/>
                <w:w w:val="105"/>
              </w:rPr>
              <w:t>$’000</w:t>
            </w:r>
          </w:p>
        </w:tc>
      </w:tr>
    </w:tbl>
    <w:p w:rsidR="002F1865" w:rsidRDefault="002F1865" w:rsidP="002F1865">
      <w:pPr>
        <w:pStyle w:val="NoSpacing"/>
      </w:pPr>
      <w:r>
        <w:t>Physical asset revaluation surplus</w:t>
      </w:r>
    </w:p>
    <w:tbl>
      <w:tblPr>
        <w:tblStyle w:val="TableGrid"/>
        <w:tblW w:w="0" w:type="auto"/>
        <w:tblLook w:val="04A0" w:firstRow="1" w:lastRow="0" w:firstColumn="1" w:lastColumn="0" w:noHBand="0" w:noVBand="1"/>
      </w:tblPr>
      <w:tblGrid>
        <w:gridCol w:w="8784"/>
        <w:gridCol w:w="1417"/>
        <w:gridCol w:w="1276"/>
        <w:gridCol w:w="1134"/>
        <w:gridCol w:w="1276"/>
      </w:tblGrid>
      <w:tr w:rsidR="002F1865" w:rsidRPr="00141A57" w:rsidTr="006914D6">
        <w:tc>
          <w:tcPr>
            <w:tcW w:w="8784" w:type="dxa"/>
          </w:tcPr>
          <w:p w:rsidR="002F1865" w:rsidRDefault="002F1865" w:rsidP="006914D6">
            <w:pPr>
              <w:pStyle w:val="NoSpacing"/>
            </w:pPr>
            <w:r>
              <w:t>Balance at 1 January</w:t>
            </w:r>
          </w:p>
        </w:tc>
        <w:tc>
          <w:tcPr>
            <w:tcW w:w="1417" w:type="dxa"/>
          </w:tcPr>
          <w:p w:rsidR="002F1865" w:rsidRDefault="002F1865" w:rsidP="006914D6">
            <w:pPr>
              <w:pStyle w:val="NoSpacing"/>
              <w:jc w:val="right"/>
            </w:pPr>
            <w:r>
              <w:t>60,513</w:t>
            </w:r>
          </w:p>
        </w:tc>
        <w:tc>
          <w:tcPr>
            <w:tcW w:w="1276" w:type="dxa"/>
          </w:tcPr>
          <w:p w:rsidR="002F1865" w:rsidRDefault="002F1865" w:rsidP="006914D6">
            <w:pPr>
              <w:pStyle w:val="NoSpacing"/>
              <w:jc w:val="right"/>
            </w:pPr>
            <w:r>
              <w:t>50,709</w:t>
            </w:r>
          </w:p>
        </w:tc>
        <w:tc>
          <w:tcPr>
            <w:tcW w:w="1134" w:type="dxa"/>
          </w:tcPr>
          <w:p w:rsidR="002F1865" w:rsidRDefault="002F1865" w:rsidP="006914D6">
            <w:pPr>
              <w:pStyle w:val="NoSpacing"/>
              <w:jc w:val="right"/>
            </w:pPr>
            <w:r>
              <w:t>60,513</w:t>
            </w:r>
          </w:p>
        </w:tc>
        <w:tc>
          <w:tcPr>
            <w:tcW w:w="1276" w:type="dxa"/>
          </w:tcPr>
          <w:p w:rsidR="002F1865" w:rsidRPr="00141A57" w:rsidRDefault="002F1865" w:rsidP="006914D6">
            <w:pPr>
              <w:jc w:val="right"/>
            </w:pPr>
            <w:r>
              <w:t>50,709</w:t>
            </w:r>
          </w:p>
        </w:tc>
      </w:tr>
      <w:tr w:rsidR="002F1865" w:rsidRPr="00141A57" w:rsidTr="006914D6">
        <w:tc>
          <w:tcPr>
            <w:tcW w:w="8784" w:type="dxa"/>
          </w:tcPr>
          <w:p w:rsidR="002F1865" w:rsidRDefault="002F1865" w:rsidP="006914D6">
            <w:pPr>
              <w:pStyle w:val="NoSpacing"/>
            </w:pPr>
            <w:r>
              <w:t>Revaluation increment on non-current asset</w:t>
            </w:r>
          </w:p>
        </w:tc>
        <w:tc>
          <w:tcPr>
            <w:tcW w:w="1417" w:type="dxa"/>
          </w:tcPr>
          <w:p w:rsidR="002F1865" w:rsidRDefault="002F1865" w:rsidP="006914D6">
            <w:pPr>
              <w:pStyle w:val="NoSpacing"/>
              <w:jc w:val="right"/>
            </w:pPr>
            <w:r>
              <w:t>18,325</w:t>
            </w:r>
          </w:p>
        </w:tc>
        <w:tc>
          <w:tcPr>
            <w:tcW w:w="1276" w:type="dxa"/>
          </w:tcPr>
          <w:p w:rsidR="002F1865" w:rsidRDefault="002F1865" w:rsidP="006914D6">
            <w:pPr>
              <w:pStyle w:val="NoSpacing"/>
              <w:jc w:val="right"/>
            </w:pPr>
            <w:r>
              <w:t>7,870</w:t>
            </w:r>
          </w:p>
        </w:tc>
        <w:tc>
          <w:tcPr>
            <w:tcW w:w="1134" w:type="dxa"/>
          </w:tcPr>
          <w:p w:rsidR="002F1865" w:rsidRDefault="002F1865" w:rsidP="006914D6">
            <w:pPr>
              <w:pStyle w:val="NoSpacing"/>
              <w:jc w:val="right"/>
            </w:pPr>
            <w:r>
              <w:t>18,325</w:t>
            </w:r>
          </w:p>
        </w:tc>
        <w:tc>
          <w:tcPr>
            <w:tcW w:w="1276" w:type="dxa"/>
          </w:tcPr>
          <w:p w:rsidR="002F1865" w:rsidRPr="00141A57" w:rsidRDefault="002F1865" w:rsidP="006914D6">
            <w:pPr>
              <w:jc w:val="right"/>
            </w:pPr>
            <w:r>
              <w:t>7,870</w:t>
            </w:r>
          </w:p>
        </w:tc>
      </w:tr>
      <w:tr w:rsidR="002F1865" w:rsidRPr="00141A57" w:rsidTr="006914D6">
        <w:tc>
          <w:tcPr>
            <w:tcW w:w="8784" w:type="dxa"/>
          </w:tcPr>
          <w:p w:rsidR="002F1865" w:rsidRDefault="002F1865" w:rsidP="006914D6">
            <w:pPr>
              <w:pStyle w:val="NoSpacing"/>
            </w:pPr>
            <w:r>
              <w:t>Reversal of impairment losses</w:t>
            </w:r>
          </w:p>
        </w:tc>
        <w:tc>
          <w:tcPr>
            <w:tcW w:w="1417" w:type="dxa"/>
          </w:tcPr>
          <w:p w:rsidR="002F1865" w:rsidRDefault="002F1865" w:rsidP="006914D6">
            <w:pPr>
              <w:pStyle w:val="NoSpacing"/>
              <w:jc w:val="right"/>
            </w:pPr>
            <w:r>
              <w:t>-</w:t>
            </w:r>
          </w:p>
        </w:tc>
        <w:tc>
          <w:tcPr>
            <w:tcW w:w="1276" w:type="dxa"/>
          </w:tcPr>
          <w:p w:rsidR="002F1865" w:rsidRDefault="002F1865" w:rsidP="006914D6">
            <w:pPr>
              <w:pStyle w:val="NoSpacing"/>
              <w:jc w:val="right"/>
            </w:pPr>
            <w:r>
              <w:t>1,934</w:t>
            </w:r>
          </w:p>
        </w:tc>
        <w:tc>
          <w:tcPr>
            <w:tcW w:w="1134" w:type="dxa"/>
          </w:tcPr>
          <w:p w:rsidR="002F1865" w:rsidRDefault="002F1865" w:rsidP="006914D6">
            <w:pPr>
              <w:pStyle w:val="NoSpacing"/>
              <w:jc w:val="right"/>
            </w:pPr>
            <w:r>
              <w:t>-</w:t>
            </w:r>
          </w:p>
        </w:tc>
        <w:tc>
          <w:tcPr>
            <w:tcW w:w="1276" w:type="dxa"/>
          </w:tcPr>
          <w:p w:rsidR="002F1865" w:rsidRPr="00141A57" w:rsidRDefault="002F1865" w:rsidP="006914D6">
            <w:pPr>
              <w:jc w:val="right"/>
            </w:pPr>
            <w:r>
              <w:t>1,934</w:t>
            </w:r>
          </w:p>
        </w:tc>
      </w:tr>
      <w:tr w:rsidR="002F1865" w:rsidTr="006914D6">
        <w:tc>
          <w:tcPr>
            <w:tcW w:w="8784" w:type="dxa"/>
          </w:tcPr>
          <w:p w:rsidR="002F1865" w:rsidRDefault="002F1865" w:rsidP="006914D6">
            <w:pPr>
              <w:pStyle w:val="NoSpacing"/>
            </w:pPr>
            <w:r>
              <w:t xml:space="preserve">Balance at 31 December </w:t>
            </w:r>
          </w:p>
        </w:tc>
        <w:tc>
          <w:tcPr>
            <w:tcW w:w="1417" w:type="dxa"/>
          </w:tcPr>
          <w:p w:rsidR="002F1865" w:rsidRDefault="002F1865" w:rsidP="006914D6">
            <w:pPr>
              <w:pStyle w:val="NoSpacing"/>
              <w:jc w:val="right"/>
            </w:pPr>
            <w:r>
              <w:t>78,838</w:t>
            </w:r>
          </w:p>
        </w:tc>
        <w:tc>
          <w:tcPr>
            <w:tcW w:w="1276" w:type="dxa"/>
          </w:tcPr>
          <w:p w:rsidR="002F1865" w:rsidRDefault="002F1865" w:rsidP="006914D6">
            <w:pPr>
              <w:pStyle w:val="NoSpacing"/>
              <w:jc w:val="right"/>
            </w:pPr>
            <w:r>
              <w:t>60,513</w:t>
            </w:r>
          </w:p>
        </w:tc>
        <w:tc>
          <w:tcPr>
            <w:tcW w:w="1134" w:type="dxa"/>
          </w:tcPr>
          <w:p w:rsidR="002F1865" w:rsidRDefault="002F1865" w:rsidP="006914D6">
            <w:pPr>
              <w:pStyle w:val="NoSpacing"/>
              <w:jc w:val="right"/>
            </w:pPr>
            <w:r>
              <w:t>78,838</w:t>
            </w:r>
          </w:p>
        </w:tc>
        <w:tc>
          <w:tcPr>
            <w:tcW w:w="1276" w:type="dxa"/>
          </w:tcPr>
          <w:p w:rsidR="002F1865" w:rsidRDefault="002F1865" w:rsidP="006914D6">
            <w:pPr>
              <w:jc w:val="right"/>
            </w:pPr>
            <w:r>
              <w:t>60,513</w:t>
            </w:r>
          </w:p>
        </w:tc>
      </w:tr>
    </w:tbl>
    <w:p w:rsidR="002F1865" w:rsidRDefault="002F1865" w:rsidP="002F1865">
      <w:pPr>
        <w:pStyle w:val="NoSpacing"/>
      </w:pPr>
      <w:r>
        <w:t>Note: The physical asset revaluation surplus arises on the revaluation of land and buildings.</w:t>
      </w:r>
    </w:p>
    <w:p w:rsidR="002F1865" w:rsidRDefault="002F1865" w:rsidP="002F1865">
      <w:pPr>
        <w:pStyle w:val="NoSpacing"/>
      </w:pPr>
    </w:p>
    <w:p w:rsidR="002F1865" w:rsidRDefault="002F1865" w:rsidP="002F1865">
      <w:pPr>
        <w:pStyle w:val="NoSpacing"/>
      </w:pPr>
      <w:r>
        <w:t>&lt;pp&gt;86</w:t>
      </w:r>
    </w:p>
    <w:p w:rsidR="00AD1DCC" w:rsidRDefault="00AD1DCC" w:rsidP="00AD1DCC">
      <w:pPr>
        <w:pStyle w:val="NoSpacing"/>
      </w:pPr>
    </w:p>
    <w:p w:rsidR="002F1865" w:rsidRPr="00BA4A5E" w:rsidRDefault="002F1865" w:rsidP="00234E85">
      <w:pPr>
        <w:pStyle w:val="Heading3"/>
      </w:pPr>
      <w:r w:rsidRPr="00BA4A5E">
        <w:t>9. Other note disclosures</w:t>
      </w:r>
      <w:r>
        <w:t xml:space="preserve"> (continued)</w:t>
      </w:r>
    </w:p>
    <w:p w:rsidR="002F1865" w:rsidRPr="00BA4A5E" w:rsidRDefault="002F1865" w:rsidP="002F1865">
      <w:pPr>
        <w:pStyle w:val="NoSpacing"/>
      </w:pPr>
    </w:p>
    <w:p w:rsidR="00AD1DCC" w:rsidRDefault="002F1865" w:rsidP="00234E85">
      <w:pPr>
        <w:pStyle w:val="Heading4"/>
      </w:pPr>
      <w:r>
        <w:t>9.3 Ex-gratia expenses</w:t>
      </w:r>
    </w:p>
    <w:tbl>
      <w:tblPr>
        <w:tblStyle w:val="TableGrid"/>
        <w:tblW w:w="5103" w:type="dxa"/>
        <w:tblInd w:w="8784" w:type="dxa"/>
        <w:tblLayout w:type="fixed"/>
        <w:tblLook w:val="04A0" w:firstRow="1" w:lastRow="0" w:firstColumn="1" w:lastColumn="0" w:noHBand="0" w:noVBand="1"/>
      </w:tblPr>
      <w:tblGrid>
        <w:gridCol w:w="1417"/>
        <w:gridCol w:w="1276"/>
        <w:gridCol w:w="1276"/>
        <w:gridCol w:w="1134"/>
      </w:tblGrid>
      <w:tr w:rsidR="002077DA" w:rsidRPr="00AE2D8D" w:rsidTr="006914D6">
        <w:tc>
          <w:tcPr>
            <w:tcW w:w="2693" w:type="dxa"/>
            <w:gridSpan w:val="2"/>
          </w:tcPr>
          <w:p w:rsidR="002077DA" w:rsidRPr="00AE2D8D" w:rsidRDefault="002077DA" w:rsidP="006914D6">
            <w:pPr>
              <w:pStyle w:val="NoSpacing"/>
              <w:jc w:val="center"/>
              <w:rPr>
                <w:rFonts w:cstheme="minorHAnsi"/>
                <w:bCs/>
                <w:w w:val="105"/>
              </w:rPr>
            </w:pPr>
            <w:r>
              <w:rPr>
                <w:rFonts w:cstheme="minorHAnsi"/>
                <w:bCs/>
                <w:w w:val="105"/>
              </w:rPr>
              <w:t xml:space="preserve">Consolidated </w:t>
            </w:r>
          </w:p>
        </w:tc>
        <w:tc>
          <w:tcPr>
            <w:tcW w:w="2410" w:type="dxa"/>
            <w:gridSpan w:val="2"/>
          </w:tcPr>
          <w:p w:rsidR="002077DA" w:rsidRPr="00AE2D8D" w:rsidRDefault="002077DA" w:rsidP="006914D6">
            <w:pPr>
              <w:pStyle w:val="NoSpacing"/>
              <w:jc w:val="center"/>
              <w:rPr>
                <w:rFonts w:cstheme="minorHAnsi"/>
                <w:bCs/>
                <w:w w:val="105"/>
              </w:rPr>
            </w:pPr>
            <w:r>
              <w:rPr>
                <w:rFonts w:cstheme="minorHAnsi"/>
                <w:bCs/>
                <w:w w:val="105"/>
              </w:rPr>
              <w:t>Chisholm</w:t>
            </w:r>
          </w:p>
        </w:tc>
      </w:tr>
      <w:tr w:rsidR="002077DA" w:rsidRPr="00AE2D8D" w:rsidTr="006914D6">
        <w:tc>
          <w:tcPr>
            <w:tcW w:w="1417" w:type="dxa"/>
          </w:tcPr>
          <w:p w:rsidR="002077DA" w:rsidRPr="00AE2D8D" w:rsidRDefault="002077DA" w:rsidP="006914D6">
            <w:pPr>
              <w:pStyle w:val="NoSpacing"/>
              <w:jc w:val="right"/>
              <w:rPr>
                <w:rFonts w:cstheme="minorHAnsi"/>
                <w:bCs/>
                <w:w w:val="105"/>
              </w:rPr>
            </w:pPr>
            <w:r w:rsidRPr="00AE2D8D">
              <w:rPr>
                <w:rFonts w:cstheme="minorHAnsi"/>
                <w:bCs/>
                <w:w w:val="105"/>
              </w:rPr>
              <w:t>2017</w:t>
            </w:r>
          </w:p>
        </w:tc>
        <w:tc>
          <w:tcPr>
            <w:tcW w:w="1276" w:type="dxa"/>
          </w:tcPr>
          <w:p w:rsidR="002077DA" w:rsidRPr="00AE2D8D" w:rsidRDefault="002077DA" w:rsidP="006914D6">
            <w:pPr>
              <w:pStyle w:val="NoSpacing"/>
              <w:jc w:val="right"/>
              <w:rPr>
                <w:rFonts w:cstheme="minorHAnsi"/>
                <w:bCs/>
                <w:w w:val="105"/>
              </w:rPr>
            </w:pPr>
            <w:r w:rsidRPr="00AE2D8D">
              <w:rPr>
                <w:rFonts w:cstheme="minorHAnsi"/>
                <w:bCs/>
                <w:w w:val="105"/>
              </w:rPr>
              <w:t>2016</w:t>
            </w:r>
          </w:p>
        </w:tc>
        <w:tc>
          <w:tcPr>
            <w:tcW w:w="1276" w:type="dxa"/>
          </w:tcPr>
          <w:p w:rsidR="002077DA" w:rsidRPr="00AE2D8D" w:rsidRDefault="002077DA" w:rsidP="006914D6">
            <w:pPr>
              <w:pStyle w:val="NoSpacing"/>
              <w:jc w:val="right"/>
              <w:rPr>
                <w:rFonts w:cstheme="minorHAnsi"/>
                <w:bCs/>
                <w:w w:val="105"/>
              </w:rPr>
            </w:pPr>
            <w:r w:rsidRPr="00AE2D8D">
              <w:rPr>
                <w:rFonts w:cstheme="minorHAnsi"/>
                <w:bCs/>
                <w:w w:val="105"/>
              </w:rPr>
              <w:t>2017</w:t>
            </w:r>
          </w:p>
        </w:tc>
        <w:tc>
          <w:tcPr>
            <w:tcW w:w="1134" w:type="dxa"/>
          </w:tcPr>
          <w:p w:rsidR="002077DA" w:rsidRPr="00AE2D8D" w:rsidRDefault="002077DA" w:rsidP="006914D6">
            <w:pPr>
              <w:pStyle w:val="NoSpacing"/>
              <w:jc w:val="right"/>
              <w:rPr>
                <w:rFonts w:cstheme="minorHAnsi"/>
                <w:bCs/>
                <w:w w:val="105"/>
              </w:rPr>
            </w:pPr>
            <w:r w:rsidRPr="00AE2D8D">
              <w:rPr>
                <w:rFonts w:cstheme="minorHAnsi"/>
                <w:bCs/>
                <w:w w:val="105"/>
              </w:rPr>
              <w:t>2016</w:t>
            </w:r>
          </w:p>
        </w:tc>
      </w:tr>
      <w:tr w:rsidR="002077DA" w:rsidRPr="00AE2D8D" w:rsidTr="006914D6">
        <w:tc>
          <w:tcPr>
            <w:tcW w:w="1417" w:type="dxa"/>
          </w:tcPr>
          <w:p w:rsidR="002077DA" w:rsidRPr="00AE2D8D" w:rsidRDefault="002077DA" w:rsidP="006914D6">
            <w:pPr>
              <w:jc w:val="right"/>
              <w:rPr>
                <w:rFonts w:cstheme="minorHAnsi"/>
              </w:rPr>
            </w:pPr>
            <w:r w:rsidRPr="00AE2D8D">
              <w:rPr>
                <w:rFonts w:cstheme="minorHAnsi"/>
                <w:bCs/>
                <w:w w:val="105"/>
              </w:rPr>
              <w:lastRenderedPageBreak/>
              <w:t>$’000</w:t>
            </w:r>
          </w:p>
        </w:tc>
        <w:tc>
          <w:tcPr>
            <w:tcW w:w="1276" w:type="dxa"/>
          </w:tcPr>
          <w:p w:rsidR="002077DA" w:rsidRPr="00AE2D8D" w:rsidRDefault="002077DA" w:rsidP="006914D6">
            <w:pPr>
              <w:jc w:val="right"/>
              <w:rPr>
                <w:rFonts w:cstheme="minorHAnsi"/>
              </w:rPr>
            </w:pPr>
            <w:r w:rsidRPr="00AE2D8D">
              <w:rPr>
                <w:rFonts w:cstheme="minorHAnsi"/>
                <w:bCs/>
                <w:w w:val="105"/>
              </w:rPr>
              <w:t>$’000</w:t>
            </w:r>
          </w:p>
        </w:tc>
        <w:tc>
          <w:tcPr>
            <w:tcW w:w="1276" w:type="dxa"/>
          </w:tcPr>
          <w:p w:rsidR="002077DA" w:rsidRPr="00AE2D8D" w:rsidRDefault="002077DA" w:rsidP="006914D6">
            <w:pPr>
              <w:jc w:val="right"/>
              <w:rPr>
                <w:rFonts w:cstheme="minorHAnsi"/>
              </w:rPr>
            </w:pPr>
            <w:r w:rsidRPr="00AE2D8D">
              <w:rPr>
                <w:rFonts w:cstheme="minorHAnsi"/>
                <w:bCs/>
                <w:w w:val="105"/>
              </w:rPr>
              <w:t>$’000</w:t>
            </w:r>
          </w:p>
        </w:tc>
        <w:tc>
          <w:tcPr>
            <w:tcW w:w="1134" w:type="dxa"/>
          </w:tcPr>
          <w:p w:rsidR="002077DA" w:rsidRPr="00AE2D8D" w:rsidRDefault="002077DA" w:rsidP="006914D6">
            <w:pPr>
              <w:pStyle w:val="NoSpacing"/>
              <w:jc w:val="right"/>
              <w:rPr>
                <w:rFonts w:cstheme="minorHAnsi"/>
                <w:bCs/>
                <w:w w:val="105"/>
              </w:rPr>
            </w:pPr>
            <w:r w:rsidRPr="00AE2D8D">
              <w:rPr>
                <w:rFonts w:cstheme="minorHAnsi"/>
                <w:bCs/>
                <w:w w:val="105"/>
              </w:rPr>
              <w:t>$’000</w:t>
            </w:r>
          </w:p>
        </w:tc>
      </w:tr>
    </w:tbl>
    <w:p w:rsidR="002F1865" w:rsidRDefault="002F1865" w:rsidP="002F1865">
      <w:pPr>
        <w:pStyle w:val="NoSpacing"/>
      </w:pPr>
    </w:p>
    <w:tbl>
      <w:tblPr>
        <w:tblStyle w:val="TableGrid"/>
        <w:tblW w:w="0" w:type="auto"/>
        <w:tblLook w:val="04A0" w:firstRow="1" w:lastRow="0" w:firstColumn="1" w:lastColumn="0" w:noHBand="0" w:noVBand="1"/>
      </w:tblPr>
      <w:tblGrid>
        <w:gridCol w:w="8784"/>
        <w:gridCol w:w="1417"/>
        <w:gridCol w:w="1276"/>
        <w:gridCol w:w="1134"/>
        <w:gridCol w:w="1276"/>
      </w:tblGrid>
      <w:tr w:rsidR="002077DA" w:rsidRPr="00141A57" w:rsidTr="006914D6">
        <w:tc>
          <w:tcPr>
            <w:tcW w:w="8784" w:type="dxa"/>
          </w:tcPr>
          <w:p w:rsidR="002077DA" w:rsidRDefault="002077DA" w:rsidP="006914D6">
            <w:pPr>
              <w:pStyle w:val="NoSpacing"/>
            </w:pPr>
            <w:r>
              <w:t>Compensation for economic loss</w:t>
            </w:r>
          </w:p>
        </w:tc>
        <w:tc>
          <w:tcPr>
            <w:tcW w:w="1417" w:type="dxa"/>
          </w:tcPr>
          <w:p w:rsidR="002077DA" w:rsidRDefault="002077DA" w:rsidP="006914D6">
            <w:pPr>
              <w:pStyle w:val="NoSpacing"/>
              <w:jc w:val="right"/>
            </w:pPr>
            <w:r>
              <w:t>316</w:t>
            </w:r>
          </w:p>
        </w:tc>
        <w:tc>
          <w:tcPr>
            <w:tcW w:w="1276" w:type="dxa"/>
          </w:tcPr>
          <w:p w:rsidR="002077DA" w:rsidRDefault="002077DA" w:rsidP="006914D6">
            <w:pPr>
              <w:pStyle w:val="NoSpacing"/>
              <w:jc w:val="right"/>
            </w:pPr>
            <w:r>
              <w:t>78</w:t>
            </w:r>
          </w:p>
        </w:tc>
        <w:tc>
          <w:tcPr>
            <w:tcW w:w="1134" w:type="dxa"/>
          </w:tcPr>
          <w:p w:rsidR="002077DA" w:rsidRDefault="002077DA" w:rsidP="006914D6">
            <w:pPr>
              <w:pStyle w:val="NoSpacing"/>
              <w:jc w:val="right"/>
            </w:pPr>
            <w:r>
              <w:t>316</w:t>
            </w:r>
          </w:p>
        </w:tc>
        <w:tc>
          <w:tcPr>
            <w:tcW w:w="1276" w:type="dxa"/>
          </w:tcPr>
          <w:p w:rsidR="002077DA" w:rsidRPr="00141A57" w:rsidRDefault="002077DA" w:rsidP="006914D6">
            <w:pPr>
              <w:jc w:val="right"/>
            </w:pPr>
            <w:r>
              <w:t>78</w:t>
            </w:r>
          </w:p>
        </w:tc>
      </w:tr>
      <w:tr w:rsidR="002077DA" w:rsidRPr="00141A57" w:rsidTr="006914D6">
        <w:tc>
          <w:tcPr>
            <w:tcW w:w="8784" w:type="dxa"/>
          </w:tcPr>
          <w:p w:rsidR="002077DA" w:rsidRDefault="002077DA" w:rsidP="002077DA">
            <w:pPr>
              <w:pStyle w:val="NoSpacing"/>
            </w:pPr>
            <w:r>
              <w:t xml:space="preserve">Total ex-gratia payments </w:t>
            </w:r>
          </w:p>
        </w:tc>
        <w:tc>
          <w:tcPr>
            <w:tcW w:w="1417" w:type="dxa"/>
          </w:tcPr>
          <w:p w:rsidR="002077DA" w:rsidRDefault="002077DA" w:rsidP="002077DA">
            <w:pPr>
              <w:pStyle w:val="NoSpacing"/>
              <w:jc w:val="right"/>
            </w:pPr>
            <w:r>
              <w:t>316</w:t>
            </w:r>
          </w:p>
        </w:tc>
        <w:tc>
          <w:tcPr>
            <w:tcW w:w="1276" w:type="dxa"/>
          </w:tcPr>
          <w:p w:rsidR="002077DA" w:rsidRDefault="002077DA" w:rsidP="002077DA">
            <w:pPr>
              <w:pStyle w:val="NoSpacing"/>
              <w:jc w:val="right"/>
            </w:pPr>
            <w:r>
              <w:t>78</w:t>
            </w:r>
          </w:p>
        </w:tc>
        <w:tc>
          <w:tcPr>
            <w:tcW w:w="1134" w:type="dxa"/>
          </w:tcPr>
          <w:p w:rsidR="002077DA" w:rsidRDefault="002077DA" w:rsidP="002077DA">
            <w:pPr>
              <w:pStyle w:val="NoSpacing"/>
              <w:jc w:val="right"/>
            </w:pPr>
            <w:r>
              <w:t>316</w:t>
            </w:r>
          </w:p>
        </w:tc>
        <w:tc>
          <w:tcPr>
            <w:tcW w:w="1276" w:type="dxa"/>
          </w:tcPr>
          <w:p w:rsidR="002077DA" w:rsidRPr="00141A57" w:rsidRDefault="002077DA" w:rsidP="002077DA">
            <w:pPr>
              <w:jc w:val="right"/>
            </w:pPr>
            <w:r>
              <w:t>78</w:t>
            </w:r>
          </w:p>
        </w:tc>
      </w:tr>
    </w:tbl>
    <w:p w:rsidR="002077DA" w:rsidRDefault="002077DA" w:rsidP="002F1865">
      <w:pPr>
        <w:pStyle w:val="NoSpacing"/>
      </w:pPr>
    </w:p>
    <w:p w:rsidR="002077DA" w:rsidRDefault="002077DA" w:rsidP="002F1865">
      <w:pPr>
        <w:pStyle w:val="NoSpacing"/>
      </w:pPr>
      <w:r w:rsidRPr="00BA4A5E">
        <w:t>All ex-gratia payments made during 2017 and 2016 related to departing employees.</w:t>
      </w:r>
    </w:p>
    <w:p w:rsidR="002077DA" w:rsidRDefault="002077DA" w:rsidP="002F1865">
      <w:pPr>
        <w:pStyle w:val="NoSpacing"/>
      </w:pPr>
    </w:p>
    <w:p w:rsidR="002077DA" w:rsidRDefault="002077DA" w:rsidP="00234E85">
      <w:pPr>
        <w:pStyle w:val="Heading4"/>
      </w:pPr>
      <w:r>
        <w:t>9.4 Controlled entities</w:t>
      </w:r>
    </w:p>
    <w:p w:rsidR="002F1865" w:rsidRDefault="002F1865" w:rsidP="002F1865">
      <w:pPr>
        <w:pStyle w:val="NoSpacing"/>
      </w:pPr>
    </w:p>
    <w:p w:rsidR="002077DA" w:rsidRDefault="002077DA" w:rsidP="002077DA">
      <w:pPr>
        <w:pStyle w:val="NoSpacing"/>
      </w:pPr>
      <w:r>
        <w:t>The consolidated financial statements incorporate the assets, liabilities and results of the following controlled entities:</w:t>
      </w:r>
    </w:p>
    <w:p w:rsidR="002F1865" w:rsidRDefault="002F1865" w:rsidP="002F1865">
      <w:pPr>
        <w:pStyle w:val="NoSpacing"/>
      </w:pPr>
    </w:p>
    <w:tbl>
      <w:tblPr>
        <w:tblStyle w:val="TableGrid"/>
        <w:tblW w:w="14743" w:type="dxa"/>
        <w:tblInd w:w="-289" w:type="dxa"/>
        <w:tblLook w:val="04A0" w:firstRow="1" w:lastRow="0" w:firstColumn="1" w:lastColumn="0" w:noHBand="0" w:noVBand="1"/>
      </w:tblPr>
      <w:tblGrid>
        <w:gridCol w:w="5387"/>
        <w:gridCol w:w="993"/>
        <w:gridCol w:w="2693"/>
        <w:gridCol w:w="2126"/>
        <w:gridCol w:w="1701"/>
        <w:gridCol w:w="1843"/>
      </w:tblGrid>
      <w:tr w:rsidR="002077DA" w:rsidTr="002077DA">
        <w:tc>
          <w:tcPr>
            <w:tcW w:w="5387" w:type="dxa"/>
            <w:vAlign w:val="bottom"/>
          </w:tcPr>
          <w:p w:rsidR="002077DA" w:rsidRDefault="002077DA" w:rsidP="002077DA">
            <w:pPr>
              <w:pStyle w:val="NoSpacing"/>
            </w:pPr>
            <w:r>
              <w:t>Controlled entities</w:t>
            </w:r>
          </w:p>
        </w:tc>
        <w:tc>
          <w:tcPr>
            <w:tcW w:w="993" w:type="dxa"/>
            <w:vAlign w:val="bottom"/>
          </w:tcPr>
          <w:p w:rsidR="002077DA" w:rsidRDefault="002077DA" w:rsidP="002077DA">
            <w:pPr>
              <w:pStyle w:val="NoSpacing"/>
              <w:jc w:val="right"/>
            </w:pPr>
            <w:r>
              <w:t>Note</w:t>
            </w:r>
          </w:p>
        </w:tc>
        <w:tc>
          <w:tcPr>
            <w:tcW w:w="2693" w:type="dxa"/>
            <w:vAlign w:val="bottom"/>
          </w:tcPr>
          <w:p w:rsidR="002077DA" w:rsidRDefault="002077DA" w:rsidP="002077DA">
            <w:pPr>
              <w:pStyle w:val="NoSpacing"/>
              <w:jc w:val="right"/>
            </w:pPr>
            <w:r>
              <w:t>Country of incorporation</w:t>
            </w:r>
          </w:p>
        </w:tc>
        <w:tc>
          <w:tcPr>
            <w:tcW w:w="2126" w:type="dxa"/>
            <w:vAlign w:val="bottom"/>
          </w:tcPr>
          <w:p w:rsidR="002077DA" w:rsidRDefault="002077DA" w:rsidP="002077DA">
            <w:pPr>
              <w:pStyle w:val="NoSpacing"/>
              <w:jc w:val="right"/>
            </w:pPr>
            <w:r>
              <w:t>Class of shares</w:t>
            </w:r>
          </w:p>
        </w:tc>
        <w:tc>
          <w:tcPr>
            <w:tcW w:w="1701" w:type="dxa"/>
            <w:vAlign w:val="bottom"/>
          </w:tcPr>
          <w:p w:rsidR="002077DA" w:rsidRDefault="002077DA" w:rsidP="002077DA">
            <w:pPr>
              <w:pStyle w:val="NoSpacing"/>
              <w:jc w:val="right"/>
            </w:pPr>
            <w:r>
              <w:t>2017 %</w:t>
            </w:r>
          </w:p>
        </w:tc>
        <w:tc>
          <w:tcPr>
            <w:tcW w:w="1843" w:type="dxa"/>
            <w:vAlign w:val="bottom"/>
          </w:tcPr>
          <w:p w:rsidR="002077DA" w:rsidRDefault="002077DA" w:rsidP="002077DA">
            <w:pPr>
              <w:pStyle w:val="NoSpacing"/>
              <w:jc w:val="right"/>
            </w:pPr>
            <w:r>
              <w:t>2016 %</w:t>
            </w:r>
          </w:p>
        </w:tc>
      </w:tr>
      <w:tr w:rsidR="002077DA" w:rsidTr="002077DA">
        <w:tc>
          <w:tcPr>
            <w:tcW w:w="5387" w:type="dxa"/>
          </w:tcPr>
          <w:p w:rsidR="002077DA" w:rsidRDefault="002077DA" w:rsidP="006914D6">
            <w:pPr>
              <w:pStyle w:val="NoSpacing"/>
            </w:pPr>
            <w:r>
              <w:t>TAFE Online Pty Ltd</w:t>
            </w:r>
          </w:p>
        </w:tc>
        <w:tc>
          <w:tcPr>
            <w:tcW w:w="993" w:type="dxa"/>
          </w:tcPr>
          <w:p w:rsidR="002077DA" w:rsidRDefault="002077DA" w:rsidP="006914D6">
            <w:pPr>
              <w:pStyle w:val="NoSpacing"/>
              <w:jc w:val="right"/>
            </w:pPr>
            <w:r>
              <w:t>(a)</w:t>
            </w:r>
          </w:p>
        </w:tc>
        <w:tc>
          <w:tcPr>
            <w:tcW w:w="2693" w:type="dxa"/>
          </w:tcPr>
          <w:p w:rsidR="002077DA" w:rsidRDefault="002077DA" w:rsidP="006914D6">
            <w:pPr>
              <w:pStyle w:val="NoSpacing"/>
              <w:jc w:val="right"/>
            </w:pPr>
            <w:r>
              <w:t>Australian</w:t>
            </w:r>
          </w:p>
        </w:tc>
        <w:tc>
          <w:tcPr>
            <w:tcW w:w="2126" w:type="dxa"/>
          </w:tcPr>
          <w:p w:rsidR="002077DA" w:rsidRDefault="002077DA" w:rsidP="006914D6">
            <w:pPr>
              <w:pStyle w:val="NoSpacing"/>
              <w:jc w:val="right"/>
            </w:pPr>
            <w:r>
              <w:t>Ordinary</w:t>
            </w:r>
          </w:p>
        </w:tc>
        <w:tc>
          <w:tcPr>
            <w:tcW w:w="1701" w:type="dxa"/>
          </w:tcPr>
          <w:p w:rsidR="002077DA" w:rsidRDefault="002077DA" w:rsidP="006914D6">
            <w:pPr>
              <w:pStyle w:val="NoSpacing"/>
              <w:jc w:val="right"/>
            </w:pPr>
            <w:r>
              <w:t>100</w:t>
            </w:r>
          </w:p>
        </w:tc>
        <w:tc>
          <w:tcPr>
            <w:tcW w:w="1843" w:type="dxa"/>
          </w:tcPr>
          <w:p w:rsidR="002077DA" w:rsidRDefault="002077DA" w:rsidP="006914D6">
            <w:pPr>
              <w:pStyle w:val="NoSpacing"/>
              <w:jc w:val="right"/>
            </w:pPr>
            <w:r>
              <w:t>100</w:t>
            </w:r>
          </w:p>
        </w:tc>
      </w:tr>
      <w:tr w:rsidR="002077DA" w:rsidTr="002077DA">
        <w:tc>
          <w:tcPr>
            <w:tcW w:w="5387" w:type="dxa"/>
          </w:tcPr>
          <w:p w:rsidR="002077DA" w:rsidRDefault="002077DA" w:rsidP="006914D6">
            <w:pPr>
              <w:pStyle w:val="NoSpacing"/>
            </w:pPr>
            <w:r>
              <w:t>Chisholm Academy Pty Ltd</w:t>
            </w:r>
          </w:p>
        </w:tc>
        <w:tc>
          <w:tcPr>
            <w:tcW w:w="993" w:type="dxa"/>
          </w:tcPr>
          <w:p w:rsidR="002077DA" w:rsidRDefault="002077DA" w:rsidP="006914D6">
            <w:pPr>
              <w:pStyle w:val="NoSpacing"/>
              <w:jc w:val="right"/>
            </w:pPr>
            <w:r>
              <w:t>(b)</w:t>
            </w:r>
          </w:p>
        </w:tc>
        <w:tc>
          <w:tcPr>
            <w:tcW w:w="2693" w:type="dxa"/>
          </w:tcPr>
          <w:p w:rsidR="002077DA" w:rsidRDefault="002077DA" w:rsidP="006914D6">
            <w:pPr>
              <w:pStyle w:val="NoSpacing"/>
              <w:jc w:val="right"/>
            </w:pPr>
            <w:r>
              <w:t>Australian</w:t>
            </w:r>
          </w:p>
        </w:tc>
        <w:tc>
          <w:tcPr>
            <w:tcW w:w="2126" w:type="dxa"/>
          </w:tcPr>
          <w:p w:rsidR="002077DA" w:rsidRDefault="002077DA" w:rsidP="006914D6">
            <w:pPr>
              <w:pStyle w:val="NoSpacing"/>
              <w:jc w:val="right"/>
            </w:pPr>
            <w:r>
              <w:t>Ordinary</w:t>
            </w:r>
          </w:p>
        </w:tc>
        <w:tc>
          <w:tcPr>
            <w:tcW w:w="1701" w:type="dxa"/>
          </w:tcPr>
          <w:p w:rsidR="002077DA" w:rsidRDefault="002077DA" w:rsidP="006914D6">
            <w:pPr>
              <w:pStyle w:val="NoSpacing"/>
              <w:jc w:val="right"/>
            </w:pPr>
            <w:r>
              <w:t>100</w:t>
            </w:r>
          </w:p>
        </w:tc>
        <w:tc>
          <w:tcPr>
            <w:tcW w:w="1843" w:type="dxa"/>
          </w:tcPr>
          <w:p w:rsidR="002077DA" w:rsidRDefault="002077DA" w:rsidP="006914D6">
            <w:pPr>
              <w:pStyle w:val="NoSpacing"/>
              <w:jc w:val="right"/>
            </w:pPr>
            <w:r>
              <w:t>100</w:t>
            </w:r>
          </w:p>
        </w:tc>
      </w:tr>
      <w:tr w:rsidR="002077DA" w:rsidTr="002077DA">
        <w:tc>
          <w:tcPr>
            <w:tcW w:w="5387" w:type="dxa"/>
          </w:tcPr>
          <w:p w:rsidR="002077DA" w:rsidRDefault="002077DA" w:rsidP="006914D6">
            <w:pPr>
              <w:pStyle w:val="NoSpacing"/>
            </w:pPr>
            <w:r>
              <w:t xml:space="preserve">Caroline Chisholm Education Foundation </w:t>
            </w:r>
          </w:p>
        </w:tc>
        <w:tc>
          <w:tcPr>
            <w:tcW w:w="993" w:type="dxa"/>
          </w:tcPr>
          <w:p w:rsidR="002077DA" w:rsidRDefault="002077DA" w:rsidP="006914D6">
            <w:pPr>
              <w:pStyle w:val="NoSpacing"/>
              <w:jc w:val="right"/>
            </w:pPr>
            <w:r>
              <w:t>(c)</w:t>
            </w:r>
          </w:p>
        </w:tc>
        <w:tc>
          <w:tcPr>
            <w:tcW w:w="2693" w:type="dxa"/>
          </w:tcPr>
          <w:p w:rsidR="002077DA" w:rsidRDefault="002077DA" w:rsidP="006914D6">
            <w:pPr>
              <w:pStyle w:val="NoSpacing"/>
              <w:jc w:val="right"/>
            </w:pPr>
            <w:r>
              <w:t>Unincorporated entity</w:t>
            </w:r>
          </w:p>
        </w:tc>
        <w:tc>
          <w:tcPr>
            <w:tcW w:w="2126" w:type="dxa"/>
          </w:tcPr>
          <w:p w:rsidR="002077DA" w:rsidRDefault="002077DA" w:rsidP="006914D6">
            <w:pPr>
              <w:pStyle w:val="NoSpacing"/>
              <w:jc w:val="right"/>
            </w:pPr>
          </w:p>
        </w:tc>
        <w:tc>
          <w:tcPr>
            <w:tcW w:w="1701" w:type="dxa"/>
          </w:tcPr>
          <w:p w:rsidR="002077DA" w:rsidRDefault="002077DA" w:rsidP="006914D6">
            <w:pPr>
              <w:pStyle w:val="NoSpacing"/>
              <w:jc w:val="right"/>
            </w:pPr>
          </w:p>
        </w:tc>
        <w:tc>
          <w:tcPr>
            <w:tcW w:w="1843" w:type="dxa"/>
          </w:tcPr>
          <w:p w:rsidR="002077DA" w:rsidRDefault="002077DA" w:rsidP="006914D6">
            <w:pPr>
              <w:pStyle w:val="NoSpacing"/>
              <w:jc w:val="right"/>
            </w:pPr>
          </w:p>
        </w:tc>
      </w:tr>
    </w:tbl>
    <w:p w:rsidR="002077DA" w:rsidRDefault="002077DA" w:rsidP="002F1865">
      <w:pPr>
        <w:pStyle w:val="NoSpacing"/>
      </w:pPr>
    </w:p>
    <w:p w:rsidR="002077DA" w:rsidRPr="00BA4A5E" w:rsidRDefault="002077DA" w:rsidP="002077DA">
      <w:pPr>
        <w:pStyle w:val="NoSpacing"/>
      </w:pPr>
      <w:r w:rsidRPr="00BA4A5E">
        <w:t>(a) TAFE Online Pty Ltd is a company incorporated under the Corporations Act 2001 with share capital of 6,000,000 ordinary</w:t>
      </w:r>
      <w:r>
        <w:t xml:space="preserve"> </w:t>
      </w:r>
      <w:r w:rsidRPr="00BA4A5E">
        <w:t>shares at $1 each.</w:t>
      </w:r>
    </w:p>
    <w:p w:rsidR="002077DA" w:rsidRPr="00BA4A5E" w:rsidRDefault="002077DA" w:rsidP="002077DA">
      <w:pPr>
        <w:pStyle w:val="NoSpacing"/>
      </w:pPr>
      <w:r w:rsidRPr="00BA4A5E">
        <w:t>(b) Chisholm Academy Pty Ltd is a company incorporated under the Corporations Act 2001 with share capital at $2.</w:t>
      </w:r>
    </w:p>
    <w:p w:rsidR="002F1865" w:rsidRDefault="002077DA" w:rsidP="002F1865">
      <w:pPr>
        <w:pStyle w:val="NoSpacing"/>
      </w:pPr>
      <w:r w:rsidRPr="00BA4A5E">
        <w:t>(c) Caroline Chisholm Education Foundation is a trust. Its principle purpose is to assist students</w:t>
      </w:r>
      <w:r>
        <w:t xml:space="preserve"> in financial hardship receive </w:t>
      </w:r>
      <w:r w:rsidRPr="00BA4A5E">
        <w:t>a high quality vocational educational qualification from Chisholm.</w:t>
      </w:r>
    </w:p>
    <w:p w:rsidR="002F1865" w:rsidRDefault="002F1865" w:rsidP="002F1865">
      <w:pPr>
        <w:pStyle w:val="NoSpacing"/>
      </w:pPr>
    </w:p>
    <w:p w:rsidR="002F1865" w:rsidRDefault="002F1865" w:rsidP="002F1865">
      <w:pPr>
        <w:pStyle w:val="NoSpacing"/>
        <w:sectPr w:rsidR="002F1865" w:rsidSect="004B54F6">
          <w:pgSz w:w="16838" w:h="11906" w:orient="landscape"/>
          <w:pgMar w:top="1440" w:right="1440" w:bottom="1440" w:left="1440" w:header="709" w:footer="709" w:gutter="0"/>
          <w:cols w:space="708"/>
          <w:docGrid w:linePitch="360"/>
        </w:sectPr>
      </w:pPr>
    </w:p>
    <w:p w:rsidR="00BA4A5E" w:rsidRPr="00BA4A5E" w:rsidRDefault="00BA4A5E" w:rsidP="00BA4A5E">
      <w:pPr>
        <w:pStyle w:val="NoSpacing"/>
      </w:pPr>
      <w:r w:rsidRPr="00BA4A5E">
        <w:lastRenderedPageBreak/>
        <w:t>TAFE Online Pty Ltd</w:t>
      </w:r>
    </w:p>
    <w:p w:rsidR="008D1AE6" w:rsidRDefault="008D1AE6" w:rsidP="00BA4A5E">
      <w:pPr>
        <w:pStyle w:val="NoSpacing"/>
      </w:pPr>
    </w:p>
    <w:p w:rsidR="00BA4A5E" w:rsidRPr="00BA4A5E" w:rsidRDefault="00BA4A5E" w:rsidP="00BA4A5E">
      <w:pPr>
        <w:pStyle w:val="NoSpacing"/>
      </w:pPr>
      <w:r w:rsidRPr="00BA4A5E">
        <w:t>TAFE Online Pty Ltd commenced operations in 2001 as a provider of nationally accredited vocational education courses online.</w:t>
      </w:r>
    </w:p>
    <w:p w:rsidR="00BA4A5E" w:rsidRDefault="00BA4A5E" w:rsidP="00BA4A5E">
      <w:pPr>
        <w:pStyle w:val="NoSpacing"/>
      </w:pPr>
      <w:r w:rsidRPr="00BA4A5E">
        <w:t>Chisholm is deemed to have control over TAFE Online Pty Ltd as Chisholm holds 100% of the share capital issued by TAFE</w:t>
      </w:r>
      <w:r>
        <w:t xml:space="preserve"> </w:t>
      </w:r>
      <w:r w:rsidRPr="00BA4A5E">
        <w:t>Online Pty Ltd.</w:t>
      </w:r>
    </w:p>
    <w:p w:rsidR="00BA4A5E" w:rsidRDefault="00BA4A5E" w:rsidP="00BA4A5E">
      <w:pPr>
        <w:pStyle w:val="NoSpacing"/>
      </w:pPr>
    </w:p>
    <w:p w:rsidR="00F93D24" w:rsidRPr="00F93D24" w:rsidRDefault="00F93D24" w:rsidP="00F93D24">
      <w:pPr>
        <w:pStyle w:val="NoSpacing"/>
      </w:pPr>
      <w:r w:rsidRPr="00F93D24">
        <w:t>Caroline Chisholm Education Foundation (CCEF)</w:t>
      </w:r>
    </w:p>
    <w:p w:rsidR="008D1AE6" w:rsidRDefault="008D1AE6" w:rsidP="00F93D24">
      <w:pPr>
        <w:pStyle w:val="NoSpacing"/>
      </w:pPr>
    </w:p>
    <w:p w:rsidR="00F93D24" w:rsidRPr="00F93D24" w:rsidRDefault="00F93D24" w:rsidP="00F93D24">
      <w:pPr>
        <w:pStyle w:val="NoSpacing"/>
      </w:pPr>
      <w:r w:rsidRPr="00F93D24">
        <w:t>CCEF was established in 2007 as an independent charitable trust which aims to assist student</w:t>
      </w:r>
      <w:r>
        <w:t xml:space="preserve">s in financial hardship receive </w:t>
      </w:r>
      <w:r w:rsidRPr="00F93D24">
        <w:t>a high quality vocational educational qualification from Chisholm.</w:t>
      </w:r>
    </w:p>
    <w:p w:rsidR="00F93D24" w:rsidRPr="00F93D24" w:rsidRDefault="00F93D24" w:rsidP="00F93D24">
      <w:pPr>
        <w:pStyle w:val="NoSpacing"/>
      </w:pPr>
      <w:r w:rsidRPr="00F93D24">
        <w:t>Chisholm is deemed to have control over CCEF due to the following factors:</w:t>
      </w:r>
    </w:p>
    <w:p w:rsidR="00F93D24" w:rsidRPr="00F93D24" w:rsidRDefault="00F93D24" w:rsidP="00F93D24">
      <w:pPr>
        <w:pStyle w:val="NoSpacing"/>
      </w:pPr>
      <w:r w:rsidRPr="00F93D24">
        <w:t xml:space="preserve">• CCEF is administered by an independent Board of trustees including a Chisholm Board </w:t>
      </w:r>
      <w:r>
        <w:t xml:space="preserve">appointed trustee, the Chisholm </w:t>
      </w:r>
      <w:r w:rsidRPr="00F93D24">
        <w:t>CEO as well as two Chisholm staff trustees.</w:t>
      </w:r>
    </w:p>
    <w:p w:rsidR="00F93D24" w:rsidRPr="00F93D24" w:rsidRDefault="00F93D24" w:rsidP="00F93D24">
      <w:pPr>
        <w:pStyle w:val="NoSpacing"/>
      </w:pPr>
      <w:r w:rsidRPr="00F93D24">
        <w:t>• All non-Chisholm related trustees must be approved by the Chisholm Board.</w:t>
      </w:r>
    </w:p>
    <w:p w:rsidR="00F93D24" w:rsidRPr="00F93D24" w:rsidRDefault="00F93D24" w:rsidP="00F93D24">
      <w:pPr>
        <w:pStyle w:val="NoSpacing"/>
      </w:pPr>
      <w:r w:rsidRPr="00F93D24">
        <w:t>• The beneficiaries of the trust are Chisholm students.</w:t>
      </w:r>
    </w:p>
    <w:p w:rsidR="00BA4A5E" w:rsidRDefault="00F93D24" w:rsidP="00F93D24">
      <w:pPr>
        <w:pStyle w:val="NoSpacing"/>
      </w:pPr>
      <w:r w:rsidRPr="00F93D24">
        <w:t>• Chisholm provides significant financial and administration support to CCEF.</w:t>
      </w:r>
    </w:p>
    <w:p w:rsidR="00F93D24" w:rsidRDefault="00F93D24" w:rsidP="00F93D24">
      <w:pPr>
        <w:pStyle w:val="NoSpacing"/>
      </w:pPr>
    </w:p>
    <w:p w:rsidR="00F93D24" w:rsidRPr="00F93D24" w:rsidRDefault="00F93D24" w:rsidP="00F93D24">
      <w:pPr>
        <w:pStyle w:val="NoSpacing"/>
      </w:pPr>
      <w:r w:rsidRPr="00F93D24">
        <w:t>Chisholm Academy Pty Ltd</w:t>
      </w:r>
    </w:p>
    <w:p w:rsidR="008D1AE6" w:rsidRDefault="008D1AE6" w:rsidP="00F93D24">
      <w:pPr>
        <w:pStyle w:val="NoSpacing"/>
      </w:pPr>
    </w:p>
    <w:p w:rsidR="00F93D24" w:rsidRPr="00F93D24" w:rsidRDefault="00F93D24" w:rsidP="00F93D24">
      <w:pPr>
        <w:pStyle w:val="NoSpacing"/>
      </w:pPr>
      <w:r w:rsidRPr="00F93D24">
        <w:t>In 2017, the Chisholm Institute Board approved for Chisholm Hair Academy’s assets, liabilities a</w:t>
      </w:r>
      <w:r>
        <w:t xml:space="preserve">nd operations to be transferred </w:t>
      </w:r>
      <w:r w:rsidRPr="00F93D24">
        <w:t>to Chisholm Institute and forgave the related party debt owed to Chisholm Institute.</w:t>
      </w:r>
    </w:p>
    <w:p w:rsidR="00F93D24" w:rsidRDefault="00F93D24" w:rsidP="00F93D24">
      <w:pPr>
        <w:pStyle w:val="NoSpacing"/>
      </w:pPr>
    </w:p>
    <w:p w:rsidR="00F93D24" w:rsidRDefault="00F93D24" w:rsidP="00F93D24">
      <w:pPr>
        <w:pStyle w:val="NoSpacing"/>
      </w:pPr>
      <w:r>
        <w:t>&lt;pp&gt;87</w:t>
      </w:r>
    </w:p>
    <w:p w:rsidR="00F93D24" w:rsidRDefault="00F93D24" w:rsidP="00F93D24">
      <w:pPr>
        <w:pStyle w:val="NoSpacing"/>
      </w:pPr>
    </w:p>
    <w:p w:rsidR="00F93D24" w:rsidRPr="00BA4A5E" w:rsidRDefault="00F93D24" w:rsidP="00234E85">
      <w:pPr>
        <w:pStyle w:val="Heading3"/>
      </w:pPr>
      <w:r w:rsidRPr="00BA4A5E">
        <w:t>9. Other note disclosures</w:t>
      </w:r>
      <w:r>
        <w:t xml:space="preserve"> (continued)</w:t>
      </w:r>
    </w:p>
    <w:p w:rsidR="00F93D24" w:rsidRDefault="00F93D24" w:rsidP="00F93D24">
      <w:pPr>
        <w:pStyle w:val="NoSpacing"/>
      </w:pPr>
    </w:p>
    <w:p w:rsidR="00F93D24" w:rsidRDefault="00F93D24" w:rsidP="00234E85">
      <w:pPr>
        <w:pStyle w:val="Heading4"/>
      </w:pPr>
      <w:r>
        <w:t>9.5 Events after reporting dates</w:t>
      </w:r>
    </w:p>
    <w:p w:rsidR="00F93D24" w:rsidRDefault="00F93D24" w:rsidP="00F93D24">
      <w:pPr>
        <w:pStyle w:val="NoSpacing"/>
      </w:pPr>
    </w:p>
    <w:p w:rsidR="00F93D24" w:rsidRDefault="00F93D24" w:rsidP="00F93D24">
      <w:pPr>
        <w:pStyle w:val="NoSpacing"/>
      </w:pPr>
      <w:r w:rsidRPr="00F93D24">
        <w:t>No matters or circumstances have occurred subsequent to period end that has significantly affected, or may significantly</w:t>
      </w:r>
      <w:r>
        <w:t xml:space="preserve"> </w:t>
      </w:r>
      <w:r w:rsidRPr="00F93D24">
        <w:t>affect, the operations of Chisholm and the Consolidated Group, the results of those operations or the state of affairs of</w:t>
      </w:r>
      <w:r>
        <w:t xml:space="preserve"> </w:t>
      </w:r>
      <w:r w:rsidRPr="00F93D24">
        <w:t>Chisholm and the Consolidated Group in subsequent financial years. Chisholm Academ</w:t>
      </w:r>
      <w:r>
        <w:t xml:space="preserve">y Pty </w:t>
      </w:r>
      <w:r w:rsidR="008D1AE6">
        <w:t>Ltd’s</w:t>
      </w:r>
      <w:r>
        <w:t xml:space="preserve"> operations have now </w:t>
      </w:r>
      <w:r w:rsidRPr="00F93D24">
        <w:t>been integrated into Chisholm Institute and the entity has been deregistered.</w:t>
      </w:r>
    </w:p>
    <w:p w:rsidR="00F93D24" w:rsidRDefault="00F93D24" w:rsidP="00F93D24">
      <w:pPr>
        <w:pStyle w:val="NoSpacing"/>
      </w:pPr>
    </w:p>
    <w:p w:rsidR="008D1AE6" w:rsidRDefault="008D1AE6" w:rsidP="00F93D24">
      <w:pPr>
        <w:pStyle w:val="NoSpacing"/>
        <w:sectPr w:rsidR="008D1AE6">
          <w:pgSz w:w="11906" w:h="16838"/>
          <w:pgMar w:top="1440" w:right="1440" w:bottom="1440" w:left="1440" w:header="708" w:footer="708" w:gutter="0"/>
          <w:cols w:space="708"/>
          <w:docGrid w:linePitch="360"/>
        </w:sectPr>
      </w:pPr>
    </w:p>
    <w:p w:rsidR="00F93D24" w:rsidRDefault="00F93D24" w:rsidP="00234E85">
      <w:pPr>
        <w:pStyle w:val="Heading4"/>
      </w:pPr>
      <w:r>
        <w:lastRenderedPageBreak/>
        <w:t>9.6 Application of standards issued but not yet effective</w:t>
      </w:r>
    </w:p>
    <w:p w:rsidR="00F93D24" w:rsidRDefault="00F93D24" w:rsidP="00F93D24">
      <w:pPr>
        <w:pStyle w:val="NoSpacing"/>
      </w:pPr>
    </w:p>
    <w:p w:rsidR="00F93D24" w:rsidRPr="00F93D24" w:rsidRDefault="00F93D24" w:rsidP="00F93D24">
      <w:pPr>
        <w:pStyle w:val="NoSpacing"/>
      </w:pPr>
      <w:r w:rsidRPr="00F93D24">
        <w:t>Certain new Australian Accounting Standards and interpretations have been published that are not mandatory for the 31</w:t>
      </w:r>
      <w:r>
        <w:t xml:space="preserve"> </w:t>
      </w:r>
      <w:r w:rsidRPr="00F93D24">
        <w:t>December 2017 reporting period. The Department of Treasury and Finance assesses th</w:t>
      </w:r>
      <w:r>
        <w:t xml:space="preserve">e impact of these new standards </w:t>
      </w:r>
      <w:r w:rsidRPr="00F93D24">
        <w:t>and advises Chisholm of their applicability and early adoption where applicable.</w:t>
      </w:r>
    </w:p>
    <w:p w:rsidR="00F93D24" w:rsidRDefault="00F93D24" w:rsidP="00F93D24">
      <w:pPr>
        <w:pStyle w:val="NoSpacing"/>
      </w:pPr>
      <w:r w:rsidRPr="00F93D24">
        <w:t>As at 31 December 2017, the following Australian Accounting Standards have been issued by the AASB, but are not</w:t>
      </w:r>
      <w:r>
        <w:t xml:space="preserve"> </w:t>
      </w:r>
      <w:r w:rsidRPr="00F93D24">
        <w:t>mandatory for year ending 31 December 2017. Chisholm has not, and does not intend to, adopt these standards early.</w:t>
      </w:r>
    </w:p>
    <w:p w:rsidR="00F93D24" w:rsidRDefault="00F93D24" w:rsidP="00F93D24">
      <w:pPr>
        <w:pStyle w:val="NoSpacing"/>
      </w:pPr>
    </w:p>
    <w:tbl>
      <w:tblPr>
        <w:tblStyle w:val="TableGrid"/>
        <w:tblW w:w="14184" w:type="dxa"/>
        <w:tblLook w:val="04A0" w:firstRow="1" w:lastRow="0" w:firstColumn="1" w:lastColumn="0" w:noHBand="0" w:noVBand="1"/>
      </w:tblPr>
      <w:tblGrid>
        <w:gridCol w:w="2547"/>
        <w:gridCol w:w="4427"/>
        <w:gridCol w:w="3086"/>
        <w:gridCol w:w="4124"/>
      </w:tblGrid>
      <w:tr w:rsidR="008D1AE6" w:rsidTr="008D1AE6">
        <w:tc>
          <w:tcPr>
            <w:tcW w:w="2547" w:type="dxa"/>
            <w:vAlign w:val="bottom"/>
          </w:tcPr>
          <w:p w:rsidR="008D1AE6" w:rsidRDefault="008D1AE6" w:rsidP="008D1AE6">
            <w:pPr>
              <w:pStyle w:val="NoSpacing"/>
              <w:jc w:val="both"/>
            </w:pPr>
            <w:r>
              <w:t>Standard/ Interpretation</w:t>
            </w:r>
          </w:p>
        </w:tc>
        <w:tc>
          <w:tcPr>
            <w:tcW w:w="4427" w:type="dxa"/>
            <w:vAlign w:val="bottom"/>
          </w:tcPr>
          <w:p w:rsidR="008D1AE6" w:rsidRDefault="008D1AE6" w:rsidP="008D1AE6">
            <w:pPr>
              <w:pStyle w:val="NoSpacing"/>
              <w:jc w:val="both"/>
            </w:pPr>
            <w:r>
              <w:t>Summary</w:t>
            </w:r>
          </w:p>
        </w:tc>
        <w:tc>
          <w:tcPr>
            <w:tcW w:w="3086" w:type="dxa"/>
            <w:vAlign w:val="bottom"/>
          </w:tcPr>
          <w:p w:rsidR="008D1AE6" w:rsidRDefault="008D1AE6" w:rsidP="008D1AE6">
            <w:pPr>
              <w:pStyle w:val="NoSpacing"/>
              <w:jc w:val="both"/>
            </w:pPr>
            <w:r>
              <w:t xml:space="preserve">Applicable for annual reporting periods beginning on </w:t>
            </w:r>
          </w:p>
        </w:tc>
        <w:tc>
          <w:tcPr>
            <w:tcW w:w="4124" w:type="dxa"/>
            <w:vAlign w:val="bottom"/>
          </w:tcPr>
          <w:p w:rsidR="008D1AE6" w:rsidRDefault="008D1AE6" w:rsidP="008D1AE6">
            <w:pPr>
              <w:pStyle w:val="NoSpacing"/>
              <w:jc w:val="both"/>
            </w:pPr>
            <w:r>
              <w:t>Impact on entity financial statements</w:t>
            </w:r>
          </w:p>
        </w:tc>
      </w:tr>
      <w:tr w:rsidR="008D1AE6" w:rsidTr="008D1AE6">
        <w:tc>
          <w:tcPr>
            <w:tcW w:w="2547" w:type="dxa"/>
          </w:tcPr>
          <w:p w:rsidR="008D1AE6" w:rsidRDefault="008D1AE6" w:rsidP="00F93D24">
            <w:pPr>
              <w:pStyle w:val="NoSpacing"/>
            </w:pPr>
            <w:r>
              <w:t>AASB 9 Financial Instruments</w:t>
            </w:r>
          </w:p>
        </w:tc>
        <w:tc>
          <w:tcPr>
            <w:tcW w:w="4427" w:type="dxa"/>
          </w:tcPr>
          <w:p w:rsidR="008D1AE6" w:rsidRDefault="008D1AE6" w:rsidP="00F93D24">
            <w:pPr>
              <w:pStyle w:val="NoSpacing"/>
            </w:pPr>
            <w:r>
              <w:t>The key changes include the simplified requirements for the classification and measurement of financial assets, a new hedging accounting model and a revised impairment loss model to recognise impairment</w:t>
            </w:r>
            <w:r w:rsidR="00D32014">
              <w:t xml:space="preserve"> losses earlier, as opposed to the current approach that recognises impairment only when incurred.</w:t>
            </w:r>
          </w:p>
        </w:tc>
        <w:tc>
          <w:tcPr>
            <w:tcW w:w="3086" w:type="dxa"/>
          </w:tcPr>
          <w:p w:rsidR="008D1AE6" w:rsidRDefault="00D32014" w:rsidP="00F93D24">
            <w:pPr>
              <w:pStyle w:val="NoSpacing"/>
            </w:pPr>
            <w:r>
              <w:t>1/01/2018</w:t>
            </w:r>
          </w:p>
        </w:tc>
        <w:tc>
          <w:tcPr>
            <w:tcW w:w="4124" w:type="dxa"/>
          </w:tcPr>
          <w:p w:rsidR="008D1AE6" w:rsidRDefault="00D32014" w:rsidP="00F93D24">
            <w:pPr>
              <w:pStyle w:val="NoSpacing"/>
            </w:pPr>
            <w:r>
              <w:t>The assessment has identified that the amendments are likely to result in earlier recognition of impairment losses and at more regular intervals. While there will be no significant impact arising from AASB 9, there will be a change to the way financial instruments are disclosed.</w:t>
            </w:r>
          </w:p>
        </w:tc>
      </w:tr>
      <w:tr w:rsidR="008D1AE6" w:rsidTr="008D1AE6">
        <w:tc>
          <w:tcPr>
            <w:tcW w:w="2547" w:type="dxa"/>
          </w:tcPr>
          <w:p w:rsidR="008D1AE6" w:rsidRDefault="00D32014" w:rsidP="00F93D24">
            <w:pPr>
              <w:pStyle w:val="NoSpacing"/>
            </w:pPr>
            <w:r>
              <w:t>AASB 16 Leases</w:t>
            </w:r>
          </w:p>
        </w:tc>
        <w:tc>
          <w:tcPr>
            <w:tcW w:w="4427" w:type="dxa"/>
          </w:tcPr>
          <w:p w:rsidR="008D1AE6" w:rsidRDefault="00D32014" w:rsidP="00F93D24">
            <w:pPr>
              <w:pStyle w:val="NoSpacing"/>
            </w:pPr>
            <w:r>
              <w:t>The key changes introduced by AASB 16 include the recognition of most operating leases (which are currently not recognised) on balance sheet.</w:t>
            </w:r>
          </w:p>
        </w:tc>
        <w:tc>
          <w:tcPr>
            <w:tcW w:w="3086" w:type="dxa"/>
          </w:tcPr>
          <w:p w:rsidR="008D1AE6" w:rsidRDefault="00D32014" w:rsidP="00F93D24">
            <w:pPr>
              <w:pStyle w:val="NoSpacing"/>
            </w:pPr>
            <w:r>
              <w:t>1/01/2019</w:t>
            </w:r>
          </w:p>
        </w:tc>
        <w:tc>
          <w:tcPr>
            <w:tcW w:w="4124" w:type="dxa"/>
          </w:tcPr>
          <w:p w:rsidR="008D1AE6" w:rsidRDefault="00D32014" w:rsidP="00F93D24">
            <w:pPr>
              <w:pStyle w:val="NoSpacing"/>
            </w:pPr>
            <w:r>
              <w:t>The assessment has indicated that as most operating leases will come on balance sheet, recognition of the right-of-use assets and lease liabilities will cause net debt to increase. Rather than expensing the lease payments, depreciation of the right-of-use assets and interest on lease liabilities will be recognised in the income statement with marginal impact on the operating surplus. No change for lessors.</w:t>
            </w:r>
          </w:p>
        </w:tc>
      </w:tr>
      <w:tr w:rsidR="008D1AE6" w:rsidTr="008D1AE6">
        <w:tc>
          <w:tcPr>
            <w:tcW w:w="2547" w:type="dxa"/>
          </w:tcPr>
          <w:p w:rsidR="008D1AE6" w:rsidRDefault="00D32014" w:rsidP="00F93D24">
            <w:pPr>
              <w:pStyle w:val="NoSpacing"/>
            </w:pPr>
            <w:r>
              <w:t>AASB 15 Revenue from Contracts with Customers</w:t>
            </w:r>
          </w:p>
        </w:tc>
        <w:tc>
          <w:tcPr>
            <w:tcW w:w="4427" w:type="dxa"/>
          </w:tcPr>
          <w:p w:rsidR="008D1AE6" w:rsidRDefault="00D32014" w:rsidP="00F93D24">
            <w:pPr>
              <w:pStyle w:val="NoSpacing"/>
            </w:pPr>
            <w:r>
              <w:t>The core principle of AASB 15 requires an entity to recognise revenue when the entity satisfies a performance obligation by transferring a promised good or service to a customer.</w:t>
            </w:r>
          </w:p>
        </w:tc>
        <w:tc>
          <w:tcPr>
            <w:tcW w:w="3086" w:type="dxa"/>
          </w:tcPr>
          <w:p w:rsidR="008D1AE6" w:rsidRDefault="00D32014" w:rsidP="00F93D24">
            <w:pPr>
              <w:pStyle w:val="NoSpacing"/>
            </w:pPr>
            <w:r>
              <w:t>1/01/2019</w:t>
            </w:r>
          </w:p>
        </w:tc>
        <w:tc>
          <w:tcPr>
            <w:tcW w:w="4124" w:type="dxa"/>
          </w:tcPr>
          <w:p w:rsidR="008D1AE6" w:rsidRDefault="00D32014" w:rsidP="00F93D24">
            <w:pPr>
              <w:pStyle w:val="NoSpacing"/>
            </w:pPr>
            <w:r>
              <w:t xml:space="preserve">The changes in revenue recognition requirements in AASB 15 may result in changes to the timing and amount of revenue recorded in the financial statements. The Standard will also require </w:t>
            </w:r>
            <w:r>
              <w:lastRenderedPageBreak/>
              <w:t>additional disclosures on service revenue and contract modifications.</w:t>
            </w:r>
          </w:p>
        </w:tc>
      </w:tr>
      <w:tr w:rsidR="008D1AE6" w:rsidTr="008D1AE6">
        <w:tc>
          <w:tcPr>
            <w:tcW w:w="2547" w:type="dxa"/>
          </w:tcPr>
          <w:p w:rsidR="008D1AE6" w:rsidRDefault="00D6608D" w:rsidP="00F93D24">
            <w:pPr>
              <w:pStyle w:val="NoSpacing"/>
            </w:pPr>
            <w:r>
              <w:lastRenderedPageBreak/>
              <w:t>AASB 1058 Income of Not-for-Profit Entities</w:t>
            </w:r>
          </w:p>
        </w:tc>
        <w:tc>
          <w:tcPr>
            <w:tcW w:w="4427" w:type="dxa"/>
          </w:tcPr>
          <w:p w:rsidR="008D1AE6" w:rsidRDefault="00D6608D" w:rsidP="00F93D24">
            <w:pPr>
              <w:pStyle w:val="NoSpacing"/>
            </w:pPr>
            <w:r>
              <w:t>This Standard replaces AASB 1004 contributions and establishes revenue recognition principles for transactions where the consideration to acquire an asset is significantly less than fair value to enable a not-for-profit entity to further its objectives.</w:t>
            </w:r>
          </w:p>
        </w:tc>
        <w:tc>
          <w:tcPr>
            <w:tcW w:w="3086" w:type="dxa"/>
          </w:tcPr>
          <w:p w:rsidR="008D1AE6" w:rsidRDefault="00D6608D" w:rsidP="00F93D24">
            <w:pPr>
              <w:pStyle w:val="NoSpacing"/>
            </w:pPr>
            <w:r>
              <w:t>1/01/2019</w:t>
            </w:r>
          </w:p>
        </w:tc>
        <w:tc>
          <w:tcPr>
            <w:tcW w:w="4124" w:type="dxa"/>
          </w:tcPr>
          <w:p w:rsidR="008D1AE6" w:rsidRDefault="00D6608D" w:rsidP="00F93D24">
            <w:pPr>
              <w:pStyle w:val="NoSpacing"/>
            </w:pPr>
            <w:r>
              <w:t>The assessment has indicated that revenue from capital grants that are provided under as enforceable agreement that have sufficiently specific obligations, will now be deferred and recognised as performance obligations are satisfied. As a result, the timing recognition of revenue will change.</w:t>
            </w:r>
          </w:p>
        </w:tc>
      </w:tr>
    </w:tbl>
    <w:p w:rsidR="008D1AE6" w:rsidRDefault="008D1AE6" w:rsidP="00F93D24">
      <w:pPr>
        <w:pStyle w:val="NoSpacing"/>
      </w:pPr>
    </w:p>
    <w:p w:rsidR="008D1AE6" w:rsidRDefault="00F93D24" w:rsidP="00F93D24">
      <w:pPr>
        <w:pStyle w:val="NoSpacing"/>
      </w:pPr>
      <w:r>
        <w:t>&lt;pp&gt;88</w:t>
      </w:r>
    </w:p>
    <w:p w:rsidR="00D62814" w:rsidRDefault="00D62814" w:rsidP="00F93D24">
      <w:pPr>
        <w:pStyle w:val="NoSpacing"/>
      </w:pPr>
    </w:p>
    <w:p w:rsidR="00D62814" w:rsidRDefault="00D62814" w:rsidP="00F93D24">
      <w:pPr>
        <w:pStyle w:val="NoSpacing"/>
        <w:sectPr w:rsidR="00D62814" w:rsidSect="008D1AE6">
          <w:pgSz w:w="16838" w:h="11906" w:orient="landscape"/>
          <w:pgMar w:top="1440" w:right="1440" w:bottom="1440" w:left="1440" w:header="709" w:footer="709" w:gutter="0"/>
          <w:cols w:space="708"/>
          <w:docGrid w:linePitch="360"/>
        </w:sectPr>
      </w:pPr>
    </w:p>
    <w:p w:rsidR="00F93D24" w:rsidRDefault="00F93D24" w:rsidP="00F93D24">
      <w:pPr>
        <w:pStyle w:val="NoSpacing"/>
      </w:pPr>
    </w:p>
    <w:p w:rsidR="00F93D24" w:rsidRDefault="00F93D24" w:rsidP="00F93D24">
      <w:pPr>
        <w:pStyle w:val="NoSpacing"/>
      </w:pPr>
    </w:p>
    <w:p w:rsidR="00F93D24" w:rsidRDefault="00F93D24" w:rsidP="00234E85">
      <w:pPr>
        <w:pStyle w:val="Heading2"/>
      </w:pPr>
      <w:r>
        <w:t>VAGO INDEPENDENT AUDITOR’S REPORT</w:t>
      </w:r>
    </w:p>
    <w:p w:rsidR="00463D64" w:rsidRDefault="00463D64" w:rsidP="00F93D24">
      <w:pPr>
        <w:pStyle w:val="NoSpacing"/>
      </w:pPr>
    </w:p>
    <w:p w:rsidR="00463D64" w:rsidRDefault="00463D64" w:rsidP="00F93D24">
      <w:pPr>
        <w:pStyle w:val="NoSpacing"/>
      </w:pPr>
      <w:r>
        <w:t>Independent Auditor’s Report</w:t>
      </w:r>
    </w:p>
    <w:p w:rsidR="00463D64" w:rsidRDefault="00463D64" w:rsidP="00F93D24">
      <w:pPr>
        <w:pStyle w:val="NoSpacing"/>
      </w:pPr>
    </w:p>
    <w:p w:rsidR="00463D64" w:rsidRDefault="00463D64" w:rsidP="00F93D24">
      <w:pPr>
        <w:pStyle w:val="NoSpacing"/>
      </w:pPr>
      <w:r>
        <w:t>To the Board of Chisholm Institute</w:t>
      </w:r>
    </w:p>
    <w:p w:rsidR="00463D64" w:rsidRDefault="00463D64" w:rsidP="00F93D24">
      <w:pPr>
        <w:pStyle w:val="NoSpacing"/>
      </w:pPr>
    </w:p>
    <w:p w:rsidR="00463D64" w:rsidRDefault="00463D64" w:rsidP="00F93D24">
      <w:pPr>
        <w:pStyle w:val="NoSpacing"/>
      </w:pPr>
      <w:r>
        <w:t>Opinion</w:t>
      </w:r>
    </w:p>
    <w:p w:rsidR="00463D64" w:rsidRDefault="00463D64" w:rsidP="00F93D24">
      <w:pPr>
        <w:pStyle w:val="NoSpacing"/>
      </w:pPr>
    </w:p>
    <w:p w:rsidR="00463D64" w:rsidRDefault="00463D64" w:rsidP="00F93D24">
      <w:pPr>
        <w:pStyle w:val="NoSpacing"/>
      </w:pPr>
      <w:r>
        <w:t>I have audited the accompanying performance statement of the Chisholm Institute (the institute) which comprises the:</w:t>
      </w:r>
    </w:p>
    <w:p w:rsidR="00F93D24" w:rsidRDefault="00463D64" w:rsidP="00463D64">
      <w:pPr>
        <w:pStyle w:val="NoSpacing"/>
        <w:numPr>
          <w:ilvl w:val="0"/>
          <w:numId w:val="14"/>
        </w:numPr>
      </w:pPr>
      <w:r>
        <w:t>Performance statement</w:t>
      </w:r>
    </w:p>
    <w:p w:rsidR="00463D64" w:rsidRDefault="00463D64" w:rsidP="00463D64">
      <w:pPr>
        <w:pStyle w:val="NoSpacing"/>
        <w:numPr>
          <w:ilvl w:val="0"/>
          <w:numId w:val="14"/>
        </w:numPr>
      </w:pPr>
      <w:r>
        <w:t>Declaration by Board Chair, Chief Executive Officer and Chief Finance Officer</w:t>
      </w:r>
    </w:p>
    <w:p w:rsidR="00463D64" w:rsidRDefault="00463D64" w:rsidP="00463D64">
      <w:pPr>
        <w:pStyle w:val="NoSpacing"/>
      </w:pPr>
      <w:r>
        <w:t xml:space="preserve">In my opinion, the performance statement of the Chisholm Institute in respect of the year ended 31 December 2017 presents fairly, in all material respects </w:t>
      </w:r>
    </w:p>
    <w:p w:rsidR="00463D64" w:rsidRDefault="00463D64" w:rsidP="00463D64">
      <w:pPr>
        <w:pStyle w:val="NoSpacing"/>
      </w:pPr>
    </w:p>
    <w:p w:rsidR="00463D64" w:rsidRDefault="00273C10" w:rsidP="00463D64">
      <w:pPr>
        <w:pStyle w:val="NoSpacing"/>
      </w:pPr>
      <w:r>
        <w:t>Basis for Opinion</w:t>
      </w:r>
    </w:p>
    <w:p w:rsidR="00273C10" w:rsidRDefault="00273C10" w:rsidP="00463D64">
      <w:pPr>
        <w:pStyle w:val="NoSpacing"/>
      </w:pPr>
    </w:p>
    <w:p w:rsidR="00273C10" w:rsidRDefault="00273C10" w:rsidP="00463D64">
      <w:pPr>
        <w:pStyle w:val="NoSpacing"/>
      </w:pPr>
      <w:r>
        <w:t>I have conducted my audit in accordance with the Audit Act 1994 which incorporates the Australian Standards on Assurance Engagements. My responsibilities under the Act are further described in the Auditor’s responsibilities for the audit of the performance statement section of my report.</w:t>
      </w:r>
    </w:p>
    <w:p w:rsidR="00273C10" w:rsidRDefault="00273C10" w:rsidP="00463D64">
      <w:pPr>
        <w:pStyle w:val="NoSpacing"/>
      </w:pPr>
      <w:r>
        <w:t>My independence in established by the Constitution Act 1975. I and my staff are independent of the institute in accordance with the ethical requirements of the Accounting Professional Accountants (the Code) that are relevant to my audit of the statement of performance in Australia and have also fulfilled our other ethical responsibilities in accordance with the Code.</w:t>
      </w:r>
    </w:p>
    <w:p w:rsidR="00273C10" w:rsidRDefault="00273C10" w:rsidP="00463D64">
      <w:pPr>
        <w:pStyle w:val="NoSpacing"/>
      </w:pPr>
      <w:r>
        <w:t>I believe that the audit evidence I have obtained is sufficient and appropriate to provide a basis for my opinion.</w:t>
      </w:r>
    </w:p>
    <w:p w:rsidR="00273C10" w:rsidRDefault="00273C10" w:rsidP="00463D64">
      <w:pPr>
        <w:pStyle w:val="NoSpacing"/>
      </w:pPr>
    </w:p>
    <w:p w:rsidR="00273C10" w:rsidRDefault="00273C10" w:rsidP="00463D64">
      <w:pPr>
        <w:pStyle w:val="NoSpacing"/>
      </w:pPr>
      <w:r>
        <w:t>Board’s responsibilities for the statement of performance</w:t>
      </w:r>
    </w:p>
    <w:p w:rsidR="00273C10" w:rsidRDefault="00273C10" w:rsidP="00463D64">
      <w:pPr>
        <w:pStyle w:val="NoSpacing"/>
      </w:pPr>
    </w:p>
    <w:p w:rsidR="00273C10" w:rsidRDefault="00273C10" w:rsidP="00463D64">
      <w:pPr>
        <w:pStyle w:val="NoSpacing"/>
      </w:pPr>
      <w:r>
        <w:t>The Board is responsible for the preparation and fair presentation of the performance statement and for such internal control as the Board determines in necessary to enable to preparation and fair presentation of the performance statement that is free from material misstatement, whether due to fraud or error.</w:t>
      </w:r>
    </w:p>
    <w:p w:rsidR="00273C10" w:rsidRDefault="00273C10" w:rsidP="00463D64">
      <w:pPr>
        <w:pStyle w:val="NoSpacing"/>
      </w:pPr>
    </w:p>
    <w:p w:rsidR="00273C10" w:rsidRDefault="00273C10" w:rsidP="00463D64">
      <w:pPr>
        <w:pStyle w:val="NoSpacing"/>
      </w:pPr>
      <w:r>
        <w:t>Auditor’s responsibilities for the audit of the statement of performance</w:t>
      </w:r>
    </w:p>
    <w:p w:rsidR="00273C10" w:rsidRDefault="00273C10" w:rsidP="00463D64">
      <w:pPr>
        <w:pStyle w:val="NoSpacing"/>
      </w:pPr>
    </w:p>
    <w:p w:rsidR="00273C10" w:rsidRDefault="00273C10" w:rsidP="00463D64">
      <w:pPr>
        <w:pStyle w:val="NoSpacing"/>
      </w:pPr>
      <w:r>
        <w:t>As required by the Audit Act 1994, my responsibility is to express an opinion on the performance statement based on the audit. My objectives for the audit are to obtain reasonable assurance about whether the performance statement as a whole is free from material misstatement. Whether due to fraud or error, and to issue an auditor’s report that includes my opinion.</w:t>
      </w:r>
    </w:p>
    <w:p w:rsidR="00273C10" w:rsidRDefault="00273C10" w:rsidP="00463D64">
      <w:pPr>
        <w:pStyle w:val="NoSpacing"/>
      </w:pPr>
      <w:r>
        <w:t>Reasonable assurance is a high level of assurance, but is not a guarantee that an audit conducted in accordance with the Australian Standards on Assurance Engagements will always detect a material misstatement when it exists.</w:t>
      </w:r>
    </w:p>
    <w:p w:rsidR="00273C10" w:rsidRDefault="00273C10" w:rsidP="00463D64">
      <w:pPr>
        <w:pStyle w:val="NoSpacing"/>
      </w:pPr>
      <w:r>
        <w:t>Misstatements can arise from fraud or error and are considered material if, individually or in the aggregate, they could reasonably be expected to influence the decisions of users taken on the basis of this performance statement.</w:t>
      </w:r>
    </w:p>
    <w:p w:rsidR="00273C10" w:rsidRDefault="00273C10" w:rsidP="00463D64">
      <w:pPr>
        <w:pStyle w:val="NoSpacing"/>
      </w:pPr>
    </w:p>
    <w:p w:rsidR="00273C10" w:rsidRDefault="00273C10" w:rsidP="00463D64">
      <w:pPr>
        <w:pStyle w:val="NoSpacing"/>
      </w:pPr>
      <w:r>
        <w:t>Level 31/35 Collins Street, Melbourne Vic 3000</w:t>
      </w:r>
    </w:p>
    <w:p w:rsidR="00273C10" w:rsidRDefault="00273C10" w:rsidP="00463D64">
      <w:pPr>
        <w:pStyle w:val="NoSpacing"/>
      </w:pPr>
      <w:r>
        <w:t xml:space="preserve">T 03 8601 7000 </w:t>
      </w:r>
      <w:hyperlink r:id="rId6" w:history="1">
        <w:r w:rsidRPr="00970526">
          <w:rPr>
            <w:rStyle w:val="Hyperlink"/>
          </w:rPr>
          <w:t>enquiries@audit.vic.gov.au</w:t>
        </w:r>
      </w:hyperlink>
      <w:r>
        <w:t xml:space="preserve">  </w:t>
      </w:r>
      <w:hyperlink r:id="rId7" w:history="1">
        <w:r w:rsidRPr="00970526">
          <w:rPr>
            <w:rStyle w:val="Hyperlink"/>
          </w:rPr>
          <w:t>www.audit.vic.gov.au</w:t>
        </w:r>
      </w:hyperlink>
      <w:r>
        <w:tab/>
      </w:r>
    </w:p>
    <w:p w:rsidR="00273C10" w:rsidRDefault="00273C10" w:rsidP="00463D64">
      <w:pPr>
        <w:pStyle w:val="NoSpacing"/>
      </w:pPr>
    </w:p>
    <w:p w:rsidR="00273C10" w:rsidRDefault="00273C10" w:rsidP="00463D64">
      <w:pPr>
        <w:pStyle w:val="NoSpacing"/>
      </w:pPr>
      <w:r>
        <w:t>&lt;pp&gt;89</w:t>
      </w:r>
    </w:p>
    <w:p w:rsidR="00273C10" w:rsidRDefault="00273C10" w:rsidP="00463D64">
      <w:pPr>
        <w:pStyle w:val="NoSpacing"/>
      </w:pPr>
    </w:p>
    <w:p w:rsidR="00D71378" w:rsidRDefault="00D71378" w:rsidP="00234E85">
      <w:pPr>
        <w:pStyle w:val="Heading3"/>
      </w:pPr>
      <w:r>
        <w:t>VAGO INDEPENDENT AUDITOR’S REPORT</w:t>
      </w:r>
    </w:p>
    <w:p w:rsidR="00D71378" w:rsidRDefault="00D71378" w:rsidP="00463D64">
      <w:pPr>
        <w:pStyle w:val="NoSpacing"/>
      </w:pPr>
    </w:p>
    <w:p w:rsidR="00D71378" w:rsidRDefault="00D71378" w:rsidP="00463D64">
      <w:pPr>
        <w:pStyle w:val="NoSpacing"/>
      </w:pPr>
      <w:r>
        <w:t>As part of an audit in accordance with the Australian Standards on Assurance Engagements, I exercise professional judgement and maintain professional scepticism throughout the audit. I also:</w:t>
      </w:r>
    </w:p>
    <w:p w:rsidR="00D71378" w:rsidRDefault="00D71378" w:rsidP="00463D64">
      <w:pPr>
        <w:pStyle w:val="NoSpacing"/>
      </w:pPr>
    </w:p>
    <w:p w:rsidR="00D71378" w:rsidRDefault="00D71378" w:rsidP="00D71378">
      <w:pPr>
        <w:pStyle w:val="NoSpacing"/>
        <w:numPr>
          <w:ilvl w:val="0"/>
          <w:numId w:val="15"/>
        </w:numPr>
      </w:pPr>
      <w:r>
        <w:t>Identify and assess the risks of material misstatement of the performance statement, whether dur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in error, as fraud may involve collusion, forgery, intentional omissions, misrepresentations, or the override of internal control.</w:t>
      </w:r>
    </w:p>
    <w:p w:rsidR="00D71378" w:rsidRDefault="00D71378" w:rsidP="00D71378">
      <w:pPr>
        <w:pStyle w:val="NoSpacing"/>
        <w:numPr>
          <w:ilvl w:val="0"/>
          <w:numId w:val="15"/>
        </w:numPr>
      </w:pPr>
      <w:r>
        <w:t>Obtain an understanding of internal control relevant to the audit in order to design audit procedures that are appropriate in the circumstances, but not for the purpose of expressing an opinion on the effectiveness of the institute’s internal control.</w:t>
      </w:r>
    </w:p>
    <w:p w:rsidR="00D71378" w:rsidRDefault="00D71378" w:rsidP="00D71378">
      <w:pPr>
        <w:pStyle w:val="NoSpacing"/>
        <w:numPr>
          <w:ilvl w:val="0"/>
          <w:numId w:val="15"/>
        </w:numPr>
      </w:pPr>
      <w:r>
        <w:t>Evaluate the overall presentation, structure and content of the performance statement, including the disclosures, and whether the performance statement represents the underlying events and results in a manner that achieves fair presentation.</w:t>
      </w:r>
    </w:p>
    <w:p w:rsidR="00D71378" w:rsidRDefault="00D71378" w:rsidP="00D71378">
      <w:pPr>
        <w:pStyle w:val="NoSpacing"/>
      </w:pPr>
    </w:p>
    <w:p w:rsidR="00273C10" w:rsidRDefault="00D71378" w:rsidP="00D71378">
      <w:pPr>
        <w:pStyle w:val="NoSpacing"/>
      </w:pPr>
      <w:r>
        <w:t xml:space="preserve">I communicate with the Board regarding, among other matters, the planned scope and timing of the audit and significant audit findings, including and significant deficiencies in internal control that I identify during my audit.  </w:t>
      </w:r>
    </w:p>
    <w:p w:rsidR="00F93D24" w:rsidRPr="00F93D24" w:rsidRDefault="00F93D24" w:rsidP="00F93D24">
      <w:pPr>
        <w:pStyle w:val="NoSpacing"/>
      </w:pPr>
    </w:p>
    <w:p w:rsidR="00B004A1" w:rsidRDefault="00D71378" w:rsidP="00F93D24">
      <w:pPr>
        <w:pStyle w:val="NoSpacing"/>
      </w:pPr>
      <w:r>
        <w:t>Charlotte Jeffries</w:t>
      </w:r>
    </w:p>
    <w:p w:rsidR="00D71378" w:rsidRDefault="00D71378" w:rsidP="00F93D24">
      <w:pPr>
        <w:pStyle w:val="NoSpacing"/>
      </w:pPr>
      <w:r>
        <w:t>As delegate for the Auditor-General of Victoria</w:t>
      </w:r>
    </w:p>
    <w:p w:rsidR="00D71378" w:rsidRPr="00D71378" w:rsidRDefault="00D71378" w:rsidP="00F93D24">
      <w:pPr>
        <w:pStyle w:val="NoSpacing"/>
        <w:rPr>
          <w:caps/>
        </w:rPr>
      </w:pPr>
      <w:r w:rsidRPr="00D71378">
        <w:rPr>
          <w:caps/>
        </w:rPr>
        <w:t xml:space="preserve">Melbourne </w:t>
      </w:r>
    </w:p>
    <w:p w:rsidR="00D71378" w:rsidRDefault="00D71378" w:rsidP="00F93D24">
      <w:pPr>
        <w:pStyle w:val="NoSpacing"/>
      </w:pPr>
      <w:r>
        <w:t>9 March 2018</w:t>
      </w:r>
    </w:p>
    <w:p w:rsidR="00D71378" w:rsidRDefault="00D71378" w:rsidP="00F93D24">
      <w:pPr>
        <w:pStyle w:val="NoSpacing"/>
      </w:pPr>
    </w:p>
    <w:p w:rsidR="00D71378" w:rsidRDefault="00D71378" w:rsidP="00F93D24">
      <w:pPr>
        <w:pStyle w:val="NoSpacing"/>
      </w:pPr>
      <w:r>
        <w:t>&lt;pp&gt;90</w:t>
      </w:r>
    </w:p>
    <w:p w:rsidR="003A30A3" w:rsidRDefault="003A30A3" w:rsidP="00F93D24">
      <w:pPr>
        <w:pStyle w:val="NoSpacing"/>
      </w:pPr>
    </w:p>
    <w:p w:rsidR="003A30A3" w:rsidRPr="00D45C46" w:rsidRDefault="003D3419" w:rsidP="00234E85">
      <w:pPr>
        <w:pStyle w:val="Heading2"/>
      </w:pPr>
      <w:r>
        <w:t>DECLARATION BY BOARD CHAIR, CHIEF EXECUTIVE OFFICER AND CHIEF FINANCE OFFICER</w:t>
      </w:r>
    </w:p>
    <w:p w:rsidR="00623165" w:rsidRDefault="00623165" w:rsidP="00F93D24">
      <w:pPr>
        <w:pStyle w:val="NoSpacing"/>
        <w:rPr>
          <w:b/>
        </w:rPr>
      </w:pPr>
    </w:p>
    <w:p w:rsidR="003D3419" w:rsidRPr="003D3419" w:rsidRDefault="003D3419" w:rsidP="003D3419">
      <w:pPr>
        <w:pStyle w:val="NoSpacing"/>
      </w:pPr>
      <w:r>
        <w:t xml:space="preserve">In our opinion, the accompanying </w:t>
      </w:r>
      <w:r w:rsidRPr="003D3419">
        <w:t>Performance Statement of Chisholm</w:t>
      </w:r>
      <w:r>
        <w:t xml:space="preserve"> </w:t>
      </w:r>
      <w:r w:rsidRPr="003D3419">
        <w:t>Group in respect of the 2017 financial</w:t>
      </w:r>
      <w:r>
        <w:t xml:space="preserve"> </w:t>
      </w:r>
      <w:r w:rsidRPr="003D3419">
        <w:t>year is presented fairly.</w:t>
      </w:r>
    </w:p>
    <w:p w:rsidR="003D3419" w:rsidRPr="003D3419" w:rsidRDefault="003D3419" w:rsidP="003D3419">
      <w:pPr>
        <w:pStyle w:val="NoSpacing"/>
      </w:pPr>
      <w:r w:rsidRPr="003D3419">
        <w:t>The Sta</w:t>
      </w:r>
      <w:r>
        <w:t xml:space="preserve">tement outlines the performance indicators as determined by the </w:t>
      </w:r>
      <w:r w:rsidRPr="003D3419">
        <w:t>responsible Minister, pre-determined</w:t>
      </w:r>
      <w:r>
        <w:t xml:space="preserve"> </w:t>
      </w:r>
      <w:r w:rsidRPr="003D3419">
        <w:t>targets</w:t>
      </w:r>
      <w:r>
        <w:t xml:space="preserve"> and the actual results for the </w:t>
      </w:r>
      <w:r w:rsidRPr="003D3419">
        <w:t>year a</w:t>
      </w:r>
      <w:r>
        <w:t xml:space="preserve">gainst these indicators, and an </w:t>
      </w:r>
      <w:r w:rsidRPr="003D3419">
        <w:t>explanation of any significant variance</w:t>
      </w:r>
      <w:r>
        <w:t xml:space="preserve"> </w:t>
      </w:r>
      <w:r w:rsidRPr="003D3419">
        <w:t>between the actual results and</w:t>
      </w:r>
      <w:r>
        <w:t xml:space="preserve"> </w:t>
      </w:r>
      <w:r w:rsidRPr="003D3419">
        <w:t>performance targets.</w:t>
      </w:r>
    </w:p>
    <w:p w:rsidR="003D3419" w:rsidRDefault="003D3419" w:rsidP="003D3419">
      <w:pPr>
        <w:pStyle w:val="NoSpacing"/>
      </w:pPr>
      <w:r w:rsidRPr="003D3419">
        <w:t>As at the date of signing, we are not</w:t>
      </w:r>
      <w:r>
        <w:t xml:space="preserve"> </w:t>
      </w:r>
      <w:r w:rsidRPr="003D3419">
        <w:t xml:space="preserve">aware </w:t>
      </w:r>
      <w:r>
        <w:t xml:space="preserve">of any circumstance which would </w:t>
      </w:r>
      <w:r w:rsidRPr="003D3419">
        <w:t>render any particulars in the Statement</w:t>
      </w:r>
      <w:r>
        <w:t xml:space="preserve"> </w:t>
      </w:r>
      <w:r w:rsidRPr="003D3419">
        <w:t>to be misleading or inaccurate.</w:t>
      </w:r>
    </w:p>
    <w:p w:rsidR="003D3419" w:rsidRDefault="003D3419" w:rsidP="003D3419">
      <w:pPr>
        <w:pStyle w:val="NoSpacing"/>
      </w:pPr>
    </w:p>
    <w:p w:rsidR="003D3419" w:rsidRPr="003D3419" w:rsidRDefault="003D3419" w:rsidP="003D3419">
      <w:pPr>
        <w:pStyle w:val="NoSpacing"/>
      </w:pPr>
      <w:r w:rsidRPr="003D3419">
        <w:t>STEPHEN G MARKS</w:t>
      </w:r>
    </w:p>
    <w:p w:rsidR="003D3419" w:rsidRPr="003D3419" w:rsidRDefault="003D3419" w:rsidP="003D3419">
      <w:pPr>
        <w:pStyle w:val="NoSpacing"/>
      </w:pPr>
      <w:r w:rsidRPr="003D3419">
        <w:t>Board Chair</w:t>
      </w:r>
    </w:p>
    <w:p w:rsidR="003D3419" w:rsidRPr="003D3419" w:rsidRDefault="003D3419" w:rsidP="003D3419">
      <w:pPr>
        <w:pStyle w:val="NoSpacing"/>
      </w:pPr>
      <w:r w:rsidRPr="003D3419">
        <w:t>Date: 28 February 2018</w:t>
      </w:r>
    </w:p>
    <w:p w:rsidR="003D3419" w:rsidRPr="003D3419" w:rsidRDefault="003D3419" w:rsidP="003D3419">
      <w:pPr>
        <w:pStyle w:val="NoSpacing"/>
      </w:pPr>
      <w:r w:rsidRPr="003D3419">
        <w:t>Place: Dandenong</w:t>
      </w:r>
    </w:p>
    <w:p w:rsidR="003D3419" w:rsidRPr="003D3419" w:rsidRDefault="003D3419" w:rsidP="003D3419">
      <w:pPr>
        <w:pStyle w:val="NoSpacing"/>
      </w:pPr>
    </w:p>
    <w:p w:rsidR="003D3419" w:rsidRPr="003D3419" w:rsidRDefault="003D3419" w:rsidP="003D3419">
      <w:pPr>
        <w:pStyle w:val="NoSpacing"/>
      </w:pPr>
      <w:r w:rsidRPr="003D3419">
        <w:t>GRANT RADFORD</w:t>
      </w:r>
    </w:p>
    <w:p w:rsidR="003D3419" w:rsidRPr="003D3419" w:rsidRDefault="003D3419" w:rsidP="003D3419">
      <w:pPr>
        <w:pStyle w:val="NoSpacing"/>
      </w:pPr>
      <w:r w:rsidRPr="003D3419">
        <w:t>Acting Chief Executive Officer</w:t>
      </w:r>
    </w:p>
    <w:p w:rsidR="003D3419" w:rsidRPr="003D3419" w:rsidRDefault="003D3419" w:rsidP="003D3419">
      <w:pPr>
        <w:pStyle w:val="NoSpacing"/>
      </w:pPr>
      <w:r w:rsidRPr="003D3419">
        <w:lastRenderedPageBreak/>
        <w:t>Date: 28 February 2018</w:t>
      </w:r>
    </w:p>
    <w:p w:rsidR="003D3419" w:rsidRPr="003D3419" w:rsidRDefault="003D3419" w:rsidP="003D3419">
      <w:pPr>
        <w:pStyle w:val="NoSpacing"/>
      </w:pPr>
      <w:r w:rsidRPr="003D3419">
        <w:t>Place: Dandenong</w:t>
      </w:r>
    </w:p>
    <w:p w:rsidR="003D3419" w:rsidRPr="003D3419" w:rsidRDefault="003D3419" w:rsidP="003D3419">
      <w:pPr>
        <w:pStyle w:val="NoSpacing"/>
      </w:pPr>
    </w:p>
    <w:p w:rsidR="003D3419" w:rsidRPr="003D3419" w:rsidRDefault="003D3419" w:rsidP="003D3419">
      <w:pPr>
        <w:pStyle w:val="NoSpacing"/>
      </w:pPr>
      <w:r w:rsidRPr="003D3419">
        <w:t>SHEHANI MENDIS</w:t>
      </w:r>
    </w:p>
    <w:p w:rsidR="003D3419" w:rsidRPr="003D3419" w:rsidRDefault="003D3419" w:rsidP="003D3419">
      <w:pPr>
        <w:pStyle w:val="NoSpacing"/>
      </w:pPr>
      <w:r w:rsidRPr="003D3419">
        <w:t>Chief Finance Officer</w:t>
      </w:r>
    </w:p>
    <w:p w:rsidR="003D3419" w:rsidRPr="003D3419" w:rsidRDefault="003D3419" w:rsidP="003D3419">
      <w:pPr>
        <w:pStyle w:val="NoSpacing"/>
      </w:pPr>
      <w:r w:rsidRPr="003D3419">
        <w:t>Date: 28 February 2018</w:t>
      </w:r>
    </w:p>
    <w:p w:rsidR="003D3419" w:rsidRDefault="003D3419" w:rsidP="003D3419">
      <w:pPr>
        <w:pStyle w:val="NoSpacing"/>
      </w:pPr>
      <w:r w:rsidRPr="003D3419">
        <w:t>Place: Dandenong</w:t>
      </w:r>
    </w:p>
    <w:p w:rsidR="003D3419" w:rsidRDefault="003D3419" w:rsidP="003D3419">
      <w:pPr>
        <w:pStyle w:val="NoSpacing"/>
      </w:pPr>
    </w:p>
    <w:p w:rsidR="003D3419" w:rsidRDefault="003D3419" w:rsidP="003D3419">
      <w:pPr>
        <w:pStyle w:val="NoSpacing"/>
      </w:pPr>
      <w:r>
        <w:t>&lt;PP&gt;91</w:t>
      </w:r>
    </w:p>
    <w:p w:rsidR="003D3419" w:rsidRDefault="003D3419" w:rsidP="003D3419">
      <w:pPr>
        <w:pStyle w:val="NoSpacing"/>
      </w:pPr>
    </w:p>
    <w:p w:rsidR="003D3419" w:rsidRDefault="002C4C34" w:rsidP="00234E85">
      <w:pPr>
        <w:pStyle w:val="Heading2"/>
      </w:pPr>
      <w:r>
        <w:t>PERFORMANCE STATEMENT</w:t>
      </w:r>
    </w:p>
    <w:p w:rsidR="002C4C34" w:rsidRDefault="002C4C34" w:rsidP="003D3419">
      <w:pPr>
        <w:pStyle w:val="NoSpacing"/>
        <w:rPr>
          <w:rFonts w:ascii="ProximaNovaA-Light" w:hAnsi="ProximaNovaA-Light" w:cs="ProximaNovaA-Light"/>
          <w:sz w:val="18"/>
          <w:szCs w:val="18"/>
        </w:rPr>
      </w:pPr>
    </w:p>
    <w:p w:rsidR="00871D73" w:rsidRDefault="00871D73" w:rsidP="002C4C34">
      <w:pPr>
        <w:pStyle w:val="NoSpacing"/>
        <w:sectPr w:rsidR="00871D73">
          <w:pgSz w:w="11906" w:h="16838"/>
          <w:pgMar w:top="1440" w:right="1440" w:bottom="1440" w:left="1440" w:header="708" w:footer="708" w:gutter="0"/>
          <w:cols w:space="708"/>
          <w:docGrid w:linePitch="360"/>
        </w:sectPr>
      </w:pPr>
    </w:p>
    <w:p w:rsidR="002C4C34" w:rsidRPr="002C4C34" w:rsidRDefault="002C4C34" w:rsidP="002C4C34">
      <w:pPr>
        <w:pStyle w:val="NoSpacing"/>
      </w:pPr>
      <w:r w:rsidRPr="002C4C34">
        <w:lastRenderedPageBreak/>
        <w:t>For the year ended 31 December 2017</w:t>
      </w:r>
    </w:p>
    <w:p w:rsidR="00871D73" w:rsidRDefault="00871D73" w:rsidP="00871D73">
      <w:pPr>
        <w:pStyle w:val="NoSpacing"/>
      </w:pPr>
    </w:p>
    <w:p w:rsidR="00871D73" w:rsidRDefault="00871D73" w:rsidP="00871D73">
      <w:pPr>
        <w:pStyle w:val="NoSpacing"/>
      </w:pPr>
      <w:r>
        <w:t>Chisholm Group</w:t>
      </w:r>
    </w:p>
    <w:tbl>
      <w:tblPr>
        <w:tblStyle w:val="TableGrid"/>
        <w:tblW w:w="14454" w:type="dxa"/>
        <w:tblLook w:val="04A0" w:firstRow="1" w:lastRow="0" w:firstColumn="1" w:lastColumn="0" w:noHBand="0" w:noVBand="1"/>
      </w:tblPr>
      <w:tblGrid>
        <w:gridCol w:w="3167"/>
        <w:gridCol w:w="3582"/>
        <w:gridCol w:w="1274"/>
        <w:gridCol w:w="1052"/>
        <w:gridCol w:w="1052"/>
        <w:gridCol w:w="1545"/>
        <w:gridCol w:w="1381"/>
        <w:gridCol w:w="1401"/>
      </w:tblGrid>
      <w:tr w:rsidR="00151224" w:rsidTr="00151224">
        <w:tc>
          <w:tcPr>
            <w:tcW w:w="3256" w:type="dxa"/>
            <w:vAlign w:val="bottom"/>
          </w:tcPr>
          <w:p w:rsidR="00871D73" w:rsidRDefault="00871D73" w:rsidP="00151224">
            <w:pPr>
              <w:pStyle w:val="NoSpacing"/>
            </w:pPr>
            <w:r>
              <w:t>Key performance indicators (KPIs)</w:t>
            </w:r>
          </w:p>
        </w:tc>
        <w:tc>
          <w:tcPr>
            <w:tcW w:w="3685" w:type="dxa"/>
            <w:vAlign w:val="bottom"/>
          </w:tcPr>
          <w:p w:rsidR="00871D73" w:rsidRDefault="00871D73" w:rsidP="00151224">
            <w:pPr>
              <w:pStyle w:val="NoSpacing"/>
            </w:pPr>
            <w:r>
              <w:t>Description and methodology</w:t>
            </w:r>
          </w:p>
        </w:tc>
        <w:tc>
          <w:tcPr>
            <w:tcW w:w="1276" w:type="dxa"/>
            <w:vAlign w:val="bottom"/>
          </w:tcPr>
          <w:p w:rsidR="00871D73" w:rsidRDefault="00871D73" w:rsidP="00151224">
            <w:pPr>
              <w:pStyle w:val="NoSpacing"/>
              <w:jc w:val="right"/>
            </w:pPr>
            <w:r>
              <w:t>Metric</w:t>
            </w:r>
          </w:p>
        </w:tc>
        <w:tc>
          <w:tcPr>
            <w:tcW w:w="992" w:type="dxa"/>
            <w:vAlign w:val="bottom"/>
          </w:tcPr>
          <w:p w:rsidR="00871D73" w:rsidRDefault="00871D73" w:rsidP="00151224">
            <w:pPr>
              <w:pStyle w:val="NoSpacing"/>
              <w:jc w:val="right"/>
            </w:pPr>
            <w:r>
              <w:t>2017 Target</w:t>
            </w:r>
          </w:p>
        </w:tc>
        <w:tc>
          <w:tcPr>
            <w:tcW w:w="851" w:type="dxa"/>
            <w:vAlign w:val="bottom"/>
          </w:tcPr>
          <w:p w:rsidR="00871D73" w:rsidRDefault="00871D73" w:rsidP="00151224">
            <w:pPr>
              <w:pStyle w:val="NoSpacing"/>
              <w:jc w:val="right"/>
            </w:pPr>
            <w:r>
              <w:t>2017 Actual</w:t>
            </w:r>
          </w:p>
        </w:tc>
        <w:tc>
          <w:tcPr>
            <w:tcW w:w="1559" w:type="dxa"/>
            <w:vAlign w:val="bottom"/>
          </w:tcPr>
          <w:p w:rsidR="00871D73" w:rsidRDefault="00871D73" w:rsidP="00151224">
            <w:pPr>
              <w:pStyle w:val="NoSpacing"/>
              <w:jc w:val="right"/>
            </w:pPr>
            <w:r>
              <w:t xml:space="preserve">Explanation of variances </w:t>
            </w:r>
          </w:p>
        </w:tc>
        <w:tc>
          <w:tcPr>
            <w:tcW w:w="1417" w:type="dxa"/>
            <w:vAlign w:val="bottom"/>
          </w:tcPr>
          <w:p w:rsidR="00871D73" w:rsidRDefault="00871D73" w:rsidP="00151224">
            <w:pPr>
              <w:pStyle w:val="NoSpacing"/>
              <w:jc w:val="right"/>
            </w:pPr>
            <w:r>
              <w:t>Note</w:t>
            </w:r>
          </w:p>
        </w:tc>
        <w:tc>
          <w:tcPr>
            <w:tcW w:w="1418" w:type="dxa"/>
            <w:vAlign w:val="bottom"/>
          </w:tcPr>
          <w:p w:rsidR="00871D73" w:rsidRDefault="00871D73" w:rsidP="00151224">
            <w:pPr>
              <w:pStyle w:val="NoSpacing"/>
              <w:jc w:val="right"/>
            </w:pPr>
            <w:r>
              <w:t>Prior year result</w:t>
            </w:r>
          </w:p>
        </w:tc>
      </w:tr>
      <w:tr w:rsidR="00151224" w:rsidTr="00151224">
        <w:tc>
          <w:tcPr>
            <w:tcW w:w="3256" w:type="dxa"/>
          </w:tcPr>
          <w:p w:rsidR="00871D73" w:rsidRDefault="00151224" w:rsidP="00151224">
            <w:pPr>
              <w:pStyle w:val="NoSpacing"/>
            </w:pPr>
            <w:r>
              <w:t>Training revenue diversity</w:t>
            </w:r>
          </w:p>
        </w:tc>
        <w:tc>
          <w:tcPr>
            <w:tcW w:w="3685" w:type="dxa"/>
          </w:tcPr>
          <w:p w:rsidR="00871D73" w:rsidRDefault="00151224" w:rsidP="00151224">
            <w:pPr>
              <w:pStyle w:val="NoSpacing"/>
            </w:pPr>
            <w:r>
              <w:t>Government Funded</w:t>
            </w:r>
          </w:p>
          <w:p w:rsidR="00151224" w:rsidRDefault="00151224" w:rsidP="00151224">
            <w:pPr>
              <w:pStyle w:val="NoSpacing"/>
            </w:pPr>
            <w:r>
              <w:t>Fee for Service</w:t>
            </w:r>
          </w:p>
          <w:p w:rsidR="00151224" w:rsidRDefault="00151224" w:rsidP="00151224">
            <w:pPr>
              <w:pStyle w:val="NoSpacing"/>
            </w:pPr>
            <w:r>
              <w:t>Student Fees and Charges</w:t>
            </w:r>
          </w:p>
        </w:tc>
        <w:tc>
          <w:tcPr>
            <w:tcW w:w="1276" w:type="dxa"/>
          </w:tcPr>
          <w:p w:rsidR="00871D73" w:rsidRDefault="00151224" w:rsidP="00151224">
            <w:pPr>
              <w:pStyle w:val="NoSpacing"/>
              <w:jc w:val="right"/>
            </w:pPr>
            <w:r>
              <w:t>Percentage</w:t>
            </w:r>
          </w:p>
        </w:tc>
        <w:tc>
          <w:tcPr>
            <w:tcW w:w="992" w:type="dxa"/>
          </w:tcPr>
          <w:p w:rsidR="00871D73" w:rsidRDefault="00151224" w:rsidP="00151224">
            <w:pPr>
              <w:pStyle w:val="NoSpacing"/>
              <w:jc w:val="right"/>
            </w:pPr>
            <w:r>
              <w:t>54.0%</w:t>
            </w:r>
          </w:p>
          <w:p w:rsidR="00151224" w:rsidRDefault="00151224" w:rsidP="00151224">
            <w:pPr>
              <w:pStyle w:val="NoSpacing"/>
              <w:jc w:val="right"/>
            </w:pPr>
            <w:r>
              <w:t>27.0%</w:t>
            </w:r>
          </w:p>
          <w:p w:rsidR="00151224" w:rsidRDefault="00151224" w:rsidP="00151224">
            <w:pPr>
              <w:pStyle w:val="NoSpacing"/>
              <w:jc w:val="right"/>
            </w:pPr>
            <w:r>
              <w:t>19.0%</w:t>
            </w:r>
          </w:p>
        </w:tc>
        <w:tc>
          <w:tcPr>
            <w:tcW w:w="851" w:type="dxa"/>
          </w:tcPr>
          <w:p w:rsidR="00871D73" w:rsidRDefault="00151224" w:rsidP="00151224">
            <w:pPr>
              <w:pStyle w:val="NoSpacing"/>
              <w:jc w:val="right"/>
            </w:pPr>
            <w:r>
              <w:t>59.1%</w:t>
            </w:r>
          </w:p>
          <w:p w:rsidR="00151224" w:rsidRDefault="00151224" w:rsidP="00151224">
            <w:pPr>
              <w:pStyle w:val="NoSpacing"/>
              <w:jc w:val="right"/>
            </w:pPr>
            <w:r>
              <w:t>22.1%</w:t>
            </w:r>
          </w:p>
          <w:p w:rsidR="00151224" w:rsidRDefault="00151224" w:rsidP="00151224">
            <w:pPr>
              <w:pStyle w:val="NoSpacing"/>
              <w:jc w:val="right"/>
            </w:pPr>
            <w:r>
              <w:t>18.7%</w:t>
            </w:r>
          </w:p>
        </w:tc>
        <w:tc>
          <w:tcPr>
            <w:tcW w:w="1559" w:type="dxa"/>
          </w:tcPr>
          <w:p w:rsidR="00871D73" w:rsidRDefault="00151224" w:rsidP="00151224">
            <w:pPr>
              <w:pStyle w:val="NoSpacing"/>
              <w:jc w:val="right"/>
            </w:pPr>
            <w:r>
              <w:t>Not achieved</w:t>
            </w:r>
          </w:p>
          <w:p w:rsidR="00151224" w:rsidRDefault="00151224" w:rsidP="00151224">
            <w:pPr>
              <w:pStyle w:val="NoSpacing"/>
              <w:jc w:val="right"/>
            </w:pPr>
            <w:r>
              <w:t>Not achieved</w:t>
            </w:r>
          </w:p>
          <w:p w:rsidR="00151224" w:rsidRDefault="00151224" w:rsidP="00151224">
            <w:pPr>
              <w:pStyle w:val="NoSpacing"/>
              <w:jc w:val="right"/>
            </w:pPr>
            <w:r>
              <w:t>Not achieved</w:t>
            </w:r>
          </w:p>
        </w:tc>
        <w:tc>
          <w:tcPr>
            <w:tcW w:w="1417" w:type="dxa"/>
          </w:tcPr>
          <w:p w:rsidR="00871D73" w:rsidRDefault="00151224" w:rsidP="00151224">
            <w:pPr>
              <w:pStyle w:val="NoSpacing"/>
              <w:jc w:val="right"/>
            </w:pPr>
            <w:r>
              <w:t>a</w:t>
            </w:r>
          </w:p>
          <w:p w:rsidR="00151224" w:rsidRDefault="00151224" w:rsidP="00151224">
            <w:pPr>
              <w:pStyle w:val="NoSpacing"/>
              <w:jc w:val="right"/>
            </w:pPr>
            <w:r>
              <w:t>a</w:t>
            </w:r>
          </w:p>
          <w:p w:rsidR="00151224" w:rsidRDefault="00151224" w:rsidP="00151224">
            <w:pPr>
              <w:pStyle w:val="NoSpacing"/>
              <w:jc w:val="right"/>
            </w:pPr>
            <w:r>
              <w:t>a</w:t>
            </w:r>
          </w:p>
        </w:tc>
        <w:tc>
          <w:tcPr>
            <w:tcW w:w="1418" w:type="dxa"/>
          </w:tcPr>
          <w:p w:rsidR="00871D73" w:rsidRDefault="00151224" w:rsidP="00151224">
            <w:pPr>
              <w:pStyle w:val="NoSpacing"/>
              <w:jc w:val="right"/>
            </w:pPr>
            <w:r>
              <w:t>54.7%</w:t>
            </w:r>
          </w:p>
          <w:p w:rsidR="00151224" w:rsidRDefault="00151224" w:rsidP="00151224">
            <w:pPr>
              <w:pStyle w:val="NoSpacing"/>
              <w:jc w:val="right"/>
            </w:pPr>
            <w:r>
              <w:t>25.7%</w:t>
            </w:r>
          </w:p>
          <w:p w:rsidR="00151224" w:rsidRDefault="00151224" w:rsidP="00151224">
            <w:pPr>
              <w:pStyle w:val="NoSpacing"/>
              <w:jc w:val="right"/>
            </w:pPr>
            <w:r>
              <w:t>19.6%</w:t>
            </w:r>
          </w:p>
        </w:tc>
      </w:tr>
      <w:tr w:rsidR="00151224" w:rsidTr="00151224">
        <w:tc>
          <w:tcPr>
            <w:tcW w:w="3256" w:type="dxa"/>
          </w:tcPr>
          <w:p w:rsidR="00871D73" w:rsidRDefault="00151224" w:rsidP="00151224">
            <w:pPr>
              <w:pStyle w:val="NoSpacing"/>
            </w:pPr>
            <w:r>
              <w:t>Employment costs as a proportion of training revenue</w:t>
            </w:r>
          </w:p>
        </w:tc>
        <w:tc>
          <w:tcPr>
            <w:tcW w:w="3685" w:type="dxa"/>
          </w:tcPr>
          <w:p w:rsidR="00151224" w:rsidRDefault="00151224" w:rsidP="00151224">
            <w:pPr>
              <w:pStyle w:val="NoSpacing"/>
            </w:pPr>
            <w:r>
              <w:t>Employment and third party training delivery costs as a proportion of training revenue (VTG and FFS)</w:t>
            </w:r>
          </w:p>
        </w:tc>
        <w:tc>
          <w:tcPr>
            <w:tcW w:w="1276" w:type="dxa"/>
          </w:tcPr>
          <w:p w:rsidR="00871D73" w:rsidRDefault="00151224" w:rsidP="00151224">
            <w:pPr>
              <w:pStyle w:val="NoSpacing"/>
              <w:jc w:val="right"/>
            </w:pPr>
            <w:r>
              <w:t>Percentage</w:t>
            </w:r>
          </w:p>
        </w:tc>
        <w:tc>
          <w:tcPr>
            <w:tcW w:w="992" w:type="dxa"/>
          </w:tcPr>
          <w:p w:rsidR="00871D73" w:rsidRDefault="00151224" w:rsidP="00151224">
            <w:pPr>
              <w:pStyle w:val="NoSpacing"/>
              <w:jc w:val="right"/>
            </w:pPr>
            <w:r>
              <w:t>70.0%</w:t>
            </w:r>
          </w:p>
        </w:tc>
        <w:tc>
          <w:tcPr>
            <w:tcW w:w="851" w:type="dxa"/>
          </w:tcPr>
          <w:p w:rsidR="00871D73" w:rsidRDefault="00151224" w:rsidP="00151224">
            <w:pPr>
              <w:pStyle w:val="NoSpacing"/>
              <w:jc w:val="right"/>
            </w:pPr>
            <w:r>
              <w:t>65.6%</w:t>
            </w:r>
          </w:p>
        </w:tc>
        <w:tc>
          <w:tcPr>
            <w:tcW w:w="1559" w:type="dxa"/>
          </w:tcPr>
          <w:p w:rsidR="00871D73" w:rsidRDefault="00151224" w:rsidP="00151224">
            <w:pPr>
              <w:pStyle w:val="NoSpacing"/>
              <w:jc w:val="right"/>
            </w:pPr>
            <w:r>
              <w:t>Achieved</w:t>
            </w:r>
          </w:p>
        </w:tc>
        <w:tc>
          <w:tcPr>
            <w:tcW w:w="1417" w:type="dxa"/>
          </w:tcPr>
          <w:p w:rsidR="00871D73" w:rsidRDefault="00871D73" w:rsidP="00151224">
            <w:pPr>
              <w:pStyle w:val="NoSpacing"/>
              <w:jc w:val="right"/>
            </w:pPr>
          </w:p>
        </w:tc>
        <w:tc>
          <w:tcPr>
            <w:tcW w:w="1418" w:type="dxa"/>
          </w:tcPr>
          <w:p w:rsidR="00871D73" w:rsidRDefault="00151224" w:rsidP="00151224">
            <w:pPr>
              <w:pStyle w:val="NoSpacing"/>
              <w:jc w:val="right"/>
            </w:pPr>
            <w:r>
              <w:t>69.8%</w:t>
            </w:r>
          </w:p>
        </w:tc>
      </w:tr>
      <w:tr w:rsidR="00151224" w:rsidTr="00151224">
        <w:tc>
          <w:tcPr>
            <w:tcW w:w="3256" w:type="dxa"/>
          </w:tcPr>
          <w:p w:rsidR="00871D73" w:rsidRDefault="00151224" w:rsidP="00151224">
            <w:pPr>
              <w:pStyle w:val="NoSpacing"/>
            </w:pPr>
            <w:r>
              <w:t xml:space="preserve">Training revenue per teaching FTE </w:t>
            </w:r>
          </w:p>
        </w:tc>
        <w:tc>
          <w:tcPr>
            <w:tcW w:w="3685" w:type="dxa"/>
          </w:tcPr>
          <w:p w:rsidR="00871D73" w:rsidRDefault="00151224" w:rsidP="00151224">
            <w:pPr>
              <w:pStyle w:val="NoSpacing"/>
            </w:pPr>
            <w:r>
              <w:t>Training revenue (excl. revenue delivered by third parties) / Teaching FTEs</w:t>
            </w:r>
          </w:p>
        </w:tc>
        <w:tc>
          <w:tcPr>
            <w:tcW w:w="1276" w:type="dxa"/>
          </w:tcPr>
          <w:p w:rsidR="00871D73" w:rsidRDefault="00151224" w:rsidP="00151224">
            <w:pPr>
              <w:pStyle w:val="NoSpacing"/>
              <w:jc w:val="right"/>
            </w:pPr>
            <w:r>
              <w:t>Dollars</w:t>
            </w:r>
          </w:p>
        </w:tc>
        <w:tc>
          <w:tcPr>
            <w:tcW w:w="992" w:type="dxa"/>
          </w:tcPr>
          <w:p w:rsidR="00871D73" w:rsidRDefault="00151224" w:rsidP="00151224">
            <w:pPr>
              <w:pStyle w:val="NoSpacing"/>
              <w:jc w:val="right"/>
            </w:pPr>
            <w:r>
              <w:t>$200,000</w:t>
            </w:r>
          </w:p>
        </w:tc>
        <w:tc>
          <w:tcPr>
            <w:tcW w:w="851" w:type="dxa"/>
          </w:tcPr>
          <w:p w:rsidR="00871D73" w:rsidRDefault="00151224" w:rsidP="00151224">
            <w:pPr>
              <w:pStyle w:val="NoSpacing"/>
              <w:jc w:val="right"/>
            </w:pPr>
            <w:r>
              <w:t>$213,150</w:t>
            </w:r>
          </w:p>
        </w:tc>
        <w:tc>
          <w:tcPr>
            <w:tcW w:w="1559" w:type="dxa"/>
          </w:tcPr>
          <w:p w:rsidR="00871D73" w:rsidRDefault="00151224" w:rsidP="00151224">
            <w:pPr>
              <w:pStyle w:val="NoSpacing"/>
              <w:jc w:val="right"/>
            </w:pPr>
            <w:r>
              <w:t>Achieved</w:t>
            </w:r>
          </w:p>
        </w:tc>
        <w:tc>
          <w:tcPr>
            <w:tcW w:w="1417" w:type="dxa"/>
          </w:tcPr>
          <w:p w:rsidR="00871D73" w:rsidRDefault="00871D73" w:rsidP="00151224">
            <w:pPr>
              <w:pStyle w:val="NoSpacing"/>
              <w:jc w:val="right"/>
            </w:pPr>
          </w:p>
        </w:tc>
        <w:tc>
          <w:tcPr>
            <w:tcW w:w="1418" w:type="dxa"/>
          </w:tcPr>
          <w:p w:rsidR="00871D73" w:rsidRDefault="00151224" w:rsidP="00151224">
            <w:pPr>
              <w:pStyle w:val="NoSpacing"/>
              <w:jc w:val="right"/>
            </w:pPr>
            <w:r>
              <w:t>$192,752</w:t>
            </w:r>
          </w:p>
        </w:tc>
      </w:tr>
      <w:tr w:rsidR="00151224" w:rsidTr="00151224">
        <w:tc>
          <w:tcPr>
            <w:tcW w:w="3256" w:type="dxa"/>
          </w:tcPr>
          <w:p w:rsidR="00871D73" w:rsidRDefault="00151224" w:rsidP="00151224">
            <w:pPr>
              <w:pStyle w:val="NoSpacing"/>
            </w:pPr>
            <w:r>
              <w:t>Operating margin percentage</w:t>
            </w:r>
          </w:p>
        </w:tc>
        <w:tc>
          <w:tcPr>
            <w:tcW w:w="3685" w:type="dxa"/>
          </w:tcPr>
          <w:p w:rsidR="00871D73" w:rsidRDefault="00151224" w:rsidP="00151224">
            <w:pPr>
              <w:pStyle w:val="NoSpacing"/>
            </w:pPr>
            <w:r>
              <w:t>EBIT (excl. Capital Contributions) / Total Revenue (excl. Capital Contributions)</w:t>
            </w:r>
          </w:p>
        </w:tc>
        <w:tc>
          <w:tcPr>
            <w:tcW w:w="1276" w:type="dxa"/>
          </w:tcPr>
          <w:p w:rsidR="00871D73" w:rsidRDefault="00151224" w:rsidP="00151224">
            <w:pPr>
              <w:pStyle w:val="NoSpacing"/>
              <w:jc w:val="right"/>
            </w:pPr>
            <w:r>
              <w:t>Percentage</w:t>
            </w:r>
          </w:p>
        </w:tc>
        <w:tc>
          <w:tcPr>
            <w:tcW w:w="992" w:type="dxa"/>
          </w:tcPr>
          <w:p w:rsidR="00871D73" w:rsidRDefault="00151224" w:rsidP="00151224">
            <w:pPr>
              <w:pStyle w:val="NoSpacing"/>
              <w:jc w:val="right"/>
            </w:pPr>
            <w:r>
              <w:t>&gt;0.0%</w:t>
            </w:r>
          </w:p>
        </w:tc>
        <w:tc>
          <w:tcPr>
            <w:tcW w:w="851" w:type="dxa"/>
          </w:tcPr>
          <w:p w:rsidR="00871D73" w:rsidRDefault="00151224" w:rsidP="00151224">
            <w:pPr>
              <w:pStyle w:val="NoSpacing"/>
              <w:jc w:val="right"/>
            </w:pPr>
            <w:r>
              <w:t>7.9%</w:t>
            </w:r>
          </w:p>
        </w:tc>
        <w:tc>
          <w:tcPr>
            <w:tcW w:w="1559" w:type="dxa"/>
          </w:tcPr>
          <w:p w:rsidR="00871D73" w:rsidRDefault="00151224" w:rsidP="00151224">
            <w:pPr>
              <w:pStyle w:val="NoSpacing"/>
              <w:jc w:val="right"/>
            </w:pPr>
            <w:r>
              <w:t>Achieved</w:t>
            </w:r>
          </w:p>
        </w:tc>
        <w:tc>
          <w:tcPr>
            <w:tcW w:w="1417" w:type="dxa"/>
          </w:tcPr>
          <w:p w:rsidR="00871D73" w:rsidRDefault="00871D73" w:rsidP="00151224">
            <w:pPr>
              <w:pStyle w:val="NoSpacing"/>
              <w:jc w:val="right"/>
            </w:pPr>
          </w:p>
        </w:tc>
        <w:tc>
          <w:tcPr>
            <w:tcW w:w="1418" w:type="dxa"/>
          </w:tcPr>
          <w:p w:rsidR="00871D73" w:rsidRDefault="00151224" w:rsidP="00151224">
            <w:pPr>
              <w:pStyle w:val="NoSpacing"/>
              <w:jc w:val="right"/>
            </w:pPr>
            <w:r>
              <w:t>1.0%</w:t>
            </w:r>
          </w:p>
        </w:tc>
      </w:tr>
    </w:tbl>
    <w:p w:rsidR="002C4C34" w:rsidRDefault="002C4C34" w:rsidP="003D3419">
      <w:pPr>
        <w:pStyle w:val="NoSpacing"/>
      </w:pPr>
    </w:p>
    <w:p w:rsidR="00151224" w:rsidRDefault="00151224" w:rsidP="003D3419">
      <w:pPr>
        <w:pStyle w:val="NoSpacing"/>
      </w:pPr>
      <w:r>
        <w:t>KPIs against the 2017 Statement of Corporate Intent</w:t>
      </w:r>
    </w:p>
    <w:tbl>
      <w:tblPr>
        <w:tblStyle w:val="TableGrid"/>
        <w:tblW w:w="14454" w:type="dxa"/>
        <w:tblLook w:val="04A0" w:firstRow="1" w:lastRow="0" w:firstColumn="1" w:lastColumn="0" w:noHBand="0" w:noVBand="1"/>
      </w:tblPr>
      <w:tblGrid>
        <w:gridCol w:w="3256"/>
        <w:gridCol w:w="3543"/>
        <w:gridCol w:w="1276"/>
        <w:gridCol w:w="992"/>
        <w:gridCol w:w="993"/>
        <w:gridCol w:w="1559"/>
        <w:gridCol w:w="1417"/>
        <w:gridCol w:w="1418"/>
      </w:tblGrid>
      <w:tr w:rsidR="00151224" w:rsidTr="00151224">
        <w:tc>
          <w:tcPr>
            <w:tcW w:w="3256" w:type="dxa"/>
          </w:tcPr>
          <w:p w:rsidR="00151224" w:rsidRDefault="00151224" w:rsidP="006914D6">
            <w:pPr>
              <w:pStyle w:val="NoSpacing"/>
            </w:pPr>
            <w:r>
              <w:t>Growth in Skills First student enrolments of 1%</w:t>
            </w:r>
          </w:p>
        </w:tc>
        <w:tc>
          <w:tcPr>
            <w:tcW w:w="3543" w:type="dxa"/>
          </w:tcPr>
          <w:p w:rsidR="00151224" w:rsidRDefault="00151224" w:rsidP="006914D6">
            <w:pPr>
              <w:pStyle w:val="NoSpacing"/>
            </w:pPr>
            <w:r>
              <w:t>Number of students enrolled who qualify for the Victorian Training Guarantee</w:t>
            </w:r>
          </w:p>
        </w:tc>
        <w:tc>
          <w:tcPr>
            <w:tcW w:w="1276" w:type="dxa"/>
          </w:tcPr>
          <w:p w:rsidR="00151224" w:rsidRDefault="00151224" w:rsidP="006914D6">
            <w:pPr>
              <w:pStyle w:val="NoSpacing"/>
              <w:jc w:val="right"/>
            </w:pPr>
            <w:r>
              <w:t>Number of students</w:t>
            </w:r>
          </w:p>
        </w:tc>
        <w:tc>
          <w:tcPr>
            <w:tcW w:w="992" w:type="dxa"/>
          </w:tcPr>
          <w:p w:rsidR="00151224" w:rsidRDefault="00151224" w:rsidP="006914D6">
            <w:pPr>
              <w:pStyle w:val="NoSpacing"/>
              <w:jc w:val="right"/>
            </w:pPr>
            <w:r>
              <w:t>15,358</w:t>
            </w:r>
          </w:p>
        </w:tc>
        <w:tc>
          <w:tcPr>
            <w:tcW w:w="993" w:type="dxa"/>
          </w:tcPr>
          <w:p w:rsidR="00151224" w:rsidRDefault="00151224" w:rsidP="006914D6">
            <w:pPr>
              <w:pStyle w:val="NoSpacing"/>
              <w:jc w:val="right"/>
            </w:pPr>
            <w:r>
              <w:t>16,095</w:t>
            </w:r>
          </w:p>
        </w:tc>
        <w:tc>
          <w:tcPr>
            <w:tcW w:w="1559" w:type="dxa"/>
          </w:tcPr>
          <w:p w:rsidR="00151224" w:rsidRDefault="00151224" w:rsidP="006914D6">
            <w:pPr>
              <w:pStyle w:val="NoSpacing"/>
              <w:jc w:val="right"/>
            </w:pPr>
            <w:r>
              <w:t>Achieved</w:t>
            </w:r>
          </w:p>
        </w:tc>
        <w:tc>
          <w:tcPr>
            <w:tcW w:w="1417" w:type="dxa"/>
          </w:tcPr>
          <w:p w:rsidR="00151224" w:rsidRDefault="00151224" w:rsidP="006914D6">
            <w:pPr>
              <w:pStyle w:val="NoSpacing"/>
              <w:jc w:val="right"/>
            </w:pPr>
          </w:p>
        </w:tc>
        <w:tc>
          <w:tcPr>
            <w:tcW w:w="1418" w:type="dxa"/>
          </w:tcPr>
          <w:p w:rsidR="00151224" w:rsidRDefault="00706BC7" w:rsidP="006914D6">
            <w:pPr>
              <w:pStyle w:val="NoSpacing"/>
              <w:jc w:val="right"/>
            </w:pPr>
            <w:r>
              <w:t>15,206</w:t>
            </w:r>
          </w:p>
        </w:tc>
      </w:tr>
      <w:tr w:rsidR="00151224" w:rsidTr="00151224">
        <w:tc>
          <w:tcPr>
            <w:tcW w:w="3256" w:type="dxa"/>
          </w:tcPr>
          <w:p w:rsidR="00151224" w:rsidRDefault="00151224" w:rsidP="006914D6">
            <w:pPr>
              <w:pStyle w:val="NoSpacing"/>
            </w:pPr>
            <w:r>
              <w:t>Growth in fee for service enrolments of 1%</w:t>
            </w:r>
          </w:p>
        </w:tc>
        <w:tc>
          <w:tcPr>
            <w:tcW w:w="3543" w:type="dxa"/>
          </w:tcPr>
          <w:p w:rsidR="00151224" w:rsidRDefault="00151224" w:rsidP="006914D6">
            <w:pPr>
              <w:pStyle w:val="NoSpacing"/>
            </w:pPr>
            <w:r>
              <w:t>Number of students enrolled in fee for service courses</w:t>
            </w:r>
          </w:p>
        </w:tc>
        <w:tc>
          <w:tcPr>
            <w:tcW w:w="1276" w:type="dxa"/>
          </w:tcPr>
          <w:p w:rsidR="00151224" w:rsidRDefault="00151224" w:rsidP="006914D6">
            <w:pPr>
              <w:pStyle w:val="NoSpacing"/>
              <w:jc w:val="right"/>
            </w:pPr>
            <w:r>
              <w:t>Number of students</w:t>
            </w:r>
          </w:p>
        </w:tc>
        <w:tc>
          <w:tcPr>
            <w:tcW w:w="992" w:type="dxa"/>
          </w:tcPr>
          <w:p w:rsidR="00151224" w:rsidRDefault="00151224" w:rsidP="006914D6">
            <w:pPr>
              <w:pStyle w:val="NoSpacing"/>
              <w:jc w:val="right"/>
            </w:pPr>
            <w:r>
              <w:t>19,210</w:t>
            </w:r>
          </w:p>
        </w:tc>
        <w:tc>
          <w:tcPr>
            <w:tcW w:w="993" w:type="dxa"/>
          </w:tcPr>
          <w:p w:rsidR="00151224" w:rsidRDefault="00151224" w:rsidP="006914D6">
            <w:pPr>
              <w:pStyle w:val="NoSpacing"/>
              <w:jc w:val="right"/>
            </w:pPr>
            <w:r>
              <w:t>18,890</w:t>
            </w:r>
          </w:p>
        </w:tc>
        <w:tc>
          <w:tcPr>
            <w:tcW w:w="1559" w:type="dxa"/>
          </w:tcPr>
          <w:p w:rsidR="00151224" w:rsidRDefault="00151224" w:rsidP="006914D6">
            <w:pPr>
              <w:pStyle w:val="NoSpacing"/>
              <w:jc w:val="right"/>
            </w:pPr>
            <w:r>
              <w:t>Not achieved</w:t>
            </w:r>
          </w:p>
        </w:tc>
        <w:tc>
          <w:tcPr>
            <w:tcW w:w="1417" w:type="dxa"/>
          </w:tcPr>
          <w:p w:rsidR="00151224" w:rsidRDefault="00706BC7" w:rsidP="006914D6">
            <w:pPr>
              <w:pStyle w:val="NoSpacing"/>
              <w:jc w:val="right"/>
            </w:pPr>
            <w:r>
              <w:t>a</w:t>
            </w:r>
          </w:p>
        </w:tc>
        <w:tc>
          <w:tcPr>
            <w:tcW w:w="1418" w:type="dxa"/>
          </w:tcPr>
          <w:p w:rsidR="00151224" w:rsidRDefault="00706BC7" w:rsidP="006914D6">
            <w:pPr>
              <w:pStyle w:val="NoSpacing"/>
              <w:jc w:val="right"/>
            </w:pPr>
            <w:r>
              <w:t>19,020</w:t>
            </w:r>
          </w:p>
        </w:tc>
      </w:tr>
      <w:tr w:rsidR="00151224" w:rsidTr="00151224">
        <w:tc>
          <w:tcPr>
            <w:tcW w:w="3256" w:type="dxa"/>
          </w:tcPr>
          <w:p w:rsidR="00151224" w:rsidRDefault="00151224" w:rsidP="006914D6">
            <w:pPr>
              <w:pStyle w:val="NoSpacing"/>
            </w:pPr>
            <w:r>
              <w:t>A positive EBITDA in 2017 (excl. Capital Contributions)</w:t>
            </w:r>
          </w:p>
        </w:tc>
        <w:tc>
          <w:tcPr>
            <w:tcW w:w="3543" w:type="dxa"/>
          </w:tcPr>
          <w:p w:rsidR="00151224" w:rsidRDefault="00151224" w:rsidP="006914D6">
            <w:pPr>
              <w:pStyle w:val="NoSpacing"/>
            </w:pPr>
            <w:r>
              <w:t>Earnings before income tax and depreciation/ amortisation (EBITDA) ($’000)</w:t>
            </w:r>
          </w:p>
        </w:tc>
        <w:tc>
          <w:tcPr>
            <w:tcW w:w="1276" w:type="dxa"/>
          </w:tcPr>
          <w:p w:rsidR="00151224" w:rsidRDefault="00151224" w:rsidP="006914D6">
            <w:pPr>
              <w:pStyle w:val="NoSpacing"/>
              <w:jc w:val="right"/>
            </w:pPr>
            <w:r>
              <w:t>Dollars</w:t>
            </w:r>
          </w:p>
        </w:tc>
        <w:tc>
          <w:tcPr>
            <w:tcW w:w="992" w:type="dxa"/>
          </w:tcPr>
          <w:p w:rsidR="00151224" w:rsidRDefault="00151224" w:rsidP="006914D6">
            <w:pPr>
              <w:pStyle w:val="NoSpacing"/>
              <w:jc w:val="right"/>
            </w:pPr>
            <w:r>
              <w:t>$8,000</w:t>
            </w:r>
          </w:p>
        </w:tc>
        <w:tc>
          <w:tcPr>
            <w:tcW w:w="993" w:type="dxa"/>
          </w:tcPr>
          <w:p w:rsidR="00151224" w:rsidRDefault="00151224" w:rsidP="006914D6">
            <w:pPr>
              <w:pStyle w:val="NoSpacing"/>
              <w:jc w:val="right"/>
            </w:pPr>
            <w:r>
              <w:t>$19,618</w:t>
            </w:r>
          </w:p>
        </w:tc>
        <w:tc>
          <w:tcPr>
            <w:tcW w:w="1559" w:type="dxa"/>
          </w:tcPr>
          <w:p w:rsidR="00151224" w:rsidRDefault="00706BC7" w:rsidP="006914D6">
            <w:pPr>
              <w:pStyle w:val="NoSpacing"/>
              <w:jc w:val="right"/>
            </w:pPr>
            <w:r>
              <w:t>Achieved</w:t>
            </w:r>
          </w:p>
        </w:tc>
        <w:tc>
          <w:tcPr>
            <w:tcW w:w="1417" w:type="dxa"/>
          </w:tcPr>
          <w:p w:rsidR="00151224" w:rsidRDefault="00151224" w:rsidP="006914D6">
            <w:pPr>
              <w:pStyle w:val="NoSpacing"/>
              <w:jc w:val="right"/>
            </w:pPr>
          </w:p>
        </w:tc>
        <w:tc>
          <w:tcPr>
            <w:tcW w:w="1418" w:type="dxa"/>
          </w:tcPr>
          <w:p w:rsidR="00151224" w:rsidRDefault="00706BC7" w:rsidP="006914D6">
            <w:pPr>
              <w:pStyle w:val="NoSpacing"/>
              <w:jc w:val="right"/>
            </w:pPr>
            <w:r>
              <w:t>$9,610</w:t>
            </w:r>
          </w:p>
        </w:tc>
      </w:tr>
      <w:tr w:rsidR="00151224" w:rsidTr="00151224">
        <w:tc>
          <w:tcPr>
            <w:tcW w:w="3256" w:type="dxa"/>
          </w:tcPr>
          <w:p w:rsidR="00151224" w:rsidRDefault="00151224" w:rsidP="006914D6">
            <w:pPr>
              <w:pStyle w:val="NoSpacing"/>
            </w:pPr>
            <w:r>
              <w:t>Increased market share in south east of Melbourne</w:t>
            </w:r>
          </w:p>
        </w:tc>
        <w:tc>
          <w:tcPr>
            <w:tcW w:w="3543" w:type="dxa"/>
          </w:tcPr>
          <w:p w:rsidR="00151224" w:rsidRDefault="00151224" w:rsidP="006914D6">
            <w:pPr>
              <w:pStyle w:val="NoSpacing"/>
            </w:pPr>
            <w:r>
              <w:t>Percentage market share</w:t>
            </w:r>
          </w:p>
        </w:tc>
        <w:tc>
          <w:tcPr>
            <w:tcW w:w="1276" w:type="dxa"/>
          </w:tcPr>
          <w:p w:rsidR="00151224" w:rsidRDefault="00151224" w:rsidP="006914D6">
            <w:pPr>
              <w:pStyle w:val="NoSpacing"/>
              <w:jc w:val="right"/>
            </w:pPr>
            <w:r>
              <w:t>Percentage</w:t>
            </w:r>
          </w:p>
        </w:tc>
        <w:tc>
          <w:tcPr>
            <w:tcW w:w="992" w:type="dxa"/>
          </w:tcPr>
          <w:p w:rsidR="00151224" w:rsidRDefault="00151224" w:rsidP="006914D6">
            <w:pPr>
              <w:pStyle w:val="NoSpacing"/>
              <w:jc w:val="right"/>
            </w:pPr>
            <w:r>
              <w:t>30%</w:t>
            </w:r>
          </w:p>
        </w:tc>
        <w:tc>
          <w:tcPr>
            <w:tcW w:w="993" w:type="dxa"/>
          </w:tcPr>
          <w:p w:rsidR="00151224" w:rsidRDefault="00151224" w:rsidP="006914D6">
            <w:pPr>
              <w:pStyle w:val="NoSpacing"/>
              <w:jc w:val="right"/>
            </w:pPr>
            <w:r>
              <w:t>30.9%</w:t>
            </w:r>
          </w:p>
        </w:tc>
        <w:tc>
          <w:tcPr>
            <w:tcW w:w="1559" w:type="dxa"/>
          </w:tcPr>
          <w:p w:rsidR="00151224" w:rsidRDefault="00706BC7" w:rsidP="006914D6">
            <w:pPr>
              <w:pStyle w:val="NoSpacing"/>
              <w:jc w:val="right"/>
            </w:pPr>
            <w:r>
              <w:t>Achieved</w:t>
            </w:r>
          </w:p>
        </w:tc>
        <w:tc>
          <w:tcPr>
            <w:tcW w:w="1417" w:type="dxa"/>
          </w:tcPr>
          <w:p w:rsidR="00151224" w:rsidRDefault="00151224" w:rsidP="006914D6">
            <w:pPr>
              <w:pStyle w:val="NoSpacing"/>
              <w:jc w:val="right"/>
            </w:pPr>
          </w:p>
        </w:tc>
        <w:tc>
          <w:tcPr>
            <w:tcW w:w="1418" w:type="dxa"/>
          </w:tcPr>
          <w:p w:rsidR="00151224" w:rsidRDefault="00706BC7" w:rsidP="006914D6">
            <w:pPr>
              <w:pStyle w:val="NoSpacing"/>
              <w:jc w:val="right"/>
            </w:pPr>
            <w:r>
              <w:t>26.9%</w:t>
            </w:r>
          </w:p>
        </w:tc>
      </w:tr>
    </w:tbl>
    <w:p w:rsidR="00871D73" w:rsidRDefault="00871D73" w:rsidP="003D3419">
      <w:pPr>
        <w:pStyle w:val="NoSpacing"/>
      </w:pPr>
    </w:p>
    <w:p w:rsidR="00084A82" w:rsidRDefault="00084A82" w:rsidP="00084A82">
      <w:pPr>
        <w:pStyle w:val="NoSpacing"/>
      </w:pPr>
      <w:r>
        <w:t>Notes</w:t>
      </w:r>
    </w:p>
    <w:p w:rsidR="00871D73" w:rsidRDefault="00084A82" w:rsidP="00084A82">
      <w:pPr>
        <w:pStyle w:val="NoSpacing"/>
        <w:numPr>
          <w:ilvl w:val="0"/>
          <w:numId w:val="16"/>
        </w:numPr>
      </w:pPr>
      <w:r>
        <w:t>Growth in Government funded training revenues coupled with a reduction in fee for service revenues resulted in Chisholm not achieving its 2017 revenue diversity target.</w:t>
      </w:r>
    </w:p>
    <w:p w:rsidR="00871D73" w:rsidRDefault="00706BC7" w:rsidP="00084A82">
      <w:pPr>
        <w:pStyle w:val="NoSpacing"/>
        <w:sectPr w:rsidR="00871D73" w:rsidSect="00871D73">
          <w:pgSz w:w="16838" w:h="11906" w:orient="landscape"/>
          <w:pgMar w:top="1440" w:right="1440" w:bottom="1440" w:left="1440" w:header="709" w:footer="709" w:gutter="0"/>
          <w:cols w:space="708"/>
          <w:docGrid w:linePitch="360"/>
        </w:sectPr>
      </w:pPr>
      <w:r>
        <w:lastRenderedPageBreak/>
        <w:t>&lt;pp&gt;</w:t>
      </w:r>
    </w:p>
    <w:p w:rsidR="00060E29" w:rsidRDefault="00060E29" w:rsidP="00706BC7">
      <w:pPr>
        <w:pStyle w:val="AnnualReportHeading1"/>
        <w:jc w:val="left"/>
        <w:sectPr w:rsidR="00060E29">
          <w:pgSz w:w="11906" w:h="16838"/>
          <w:pgMar w:top="1440" w:right="1440" w:bottom="1440" w:left="1440" w:header="708" w:footer="708" w:gutter="0"/>
          <w:cols w:space="708"/>
          <w:docGrid w:linePitch="360"/>
        </w:sectPr>
      </w:pPr>
    </w:p>
    <w:p w:rsidR="00706BC7" w:rsidRDefault="00706BC7" w:rsidP="00706BC7">
      <w:pPr>
        <w:pStyle w:val="AnnualReportHeading1"/>
      </w:pPr>
    </w:p>
    <w:p w:rsidR="00084A82" w:rsidRPr="00706BC7" w:rsidRDefault="00084A82" w:rsidP="00234E85">
      <w:pPr>
        <w:pStyle w:val="Heading2"/>
      </w:pPr>
      <w:r w:rsidRPr="00706BC7">
        <w:t>Disclosure Index</w:t>
      </w:r>
    </w:p>
    <w:p w:rsidR="00084A82" w:rsidRDefault="00084A82" w:rsidP="00084A82">
      <w:pPr>
        <w:pStyle w:val="NoSpacing"/>
      </w:pPr>
    </w:p>
    <w:p w:rsidR="00084A82" w:rsidRPr="00F5306D" w:rsidRDefault="00F5306D" w:rsidP="00084A82">
      <w:pPr>
        <w:pStyle w:val="NoSpacing"/>
        <w:rPr>
          <w:caps/>
        </w:rPr>
      </w:pPr>
      <w:r w:rsidRPr="00F5306D">
        <w:rPr>
          <w:caps/>
        </w:rPr>
        <w:t>Standard disclosures in the report of operations (2017)</w:t>
      </w:r>
    </w:p>
    <w:p w:rsidR="00F5306D" w:rsidRDefault="00F5306D" w:rsidP="00084A82">
      <w:pPr>
        <w:pStyle w:val="NoSpacing"/>
      </w:pPr>
    </w:p>
    <w:tbl>
      <w:tblPr>
        <w:tblStyle w:val="TableGrid"/>
        <w:tblW w:w="0" w:type="auto"/>
        <w:tblInd w:w="-5" w:type="dxa"/>
        <w:tblLook w:val="04A0" w:firstRow="1" w:lastRow="0" w:firstColumn="1" w:lastColumn="0" w:noHBand="0" w:noVBand="1"/>
      </w:tblPr>
      <w:tblGrid>
        <w:gridCol w:w="709"/>
        <w:gridCol w:w="1559"/>
        <w:gridCol w:w="10206"/>
        <w:gridCol w:w="1418"/>
      </w:tblGrid>
      <w:tr w:rsidR="00F5306D" w:rsidTr="00060E29">
        <w:tc>
          <w:tcPr>
            <w:tcW w:w="709" w:type="dxa"/>
          </w:tcPr>
          <w:p w:rsidR="00F5306D" w:rsidRDefault="00F5306D" w:rsidP="00084A82">
            <w:pPr>
              <w:pStyle w:val="NoSpacing"/>
            </w:pPr>
            <w:r>
              <w:t>Item No.</w:t>
            </w:r>
          </w:p>
        </w:tc>
        <w:tc>
          <w:tcPr>
            <w:tcW w:w="1559" w:type="dxa"/>
          </w:tcPr>
          <w:p w:rsidR="00F5306D" w:rsidRDefault="00F5306D" w:rsidP="00084A82">
            <w:pPr>
              <w:pStyle w:val="NoSpacing"/>
            </w:pPr>
            <w:r>
              <w:t>Source</w:t>
            </w:r>
          </w:p>
        </w:tc>
        <w:tc>
          <w:tcPr>
            <w:tcW w:w="10206" w:type="dxa"/>
          </w:tcPr>
          <w:p w:rsidR="00F5306D" w:rsidRDefault="00F5306D" w:rsidP="00084A82">
            <w:pPr>
              <w:pStyle w:val="NoSpacing"/>
            </w:pPr>
            <w:r>
              <w:t>Summary of reporting requirement</w:t>
            </w:r>
          </w:p>
        </w:tc>
        <w:tc>
          <w:tcPr>
            <w:tcW w:w="1418" w:type="dxa"/>
          </w:tcPr>
          <w:p w:rsidR="00F5306D" w:rsidRDefault="00F5306D" w:rsidP="00084A82">
            <w:pPr>
              <w:pStyle w:val="NoSpacing"/>
            </w:pPr>
            <w:r>
              <w:t xml:space="preserve">Page number </w:t>
            </w:r>
          </w:p>
        </w:tc>
      </w:tr>
    </w:tbl>
    <w:p w:rsidR="00060E29" w:rsidRDefault="00060E29" w:rsidP="00084A82">
      <w:pPr>
        <w:pStyle w:val="NoSpacing"/>
      </w:pPr>
    </w:p>
    <w:p w:rsidR="00060E29" w:rsidRDefault="00060E29" w:rsidP="00084A82">
      <w:pPr>
        <w:pStyle w:val="NoSpacing"/>
      </w:pPr>
      <w:r>
        <w:t>Report of Operations</w:t>
      </w:r>
    </w:p>
    <w:p w:rsidR="00060E29" w:rsidRDefault="00060E29" w:rsidP="00084A82">
      <w:pPr>
        <w:pStyle w:val="NoSpacing"/>
      </w:pPr>
    </w:p>
    <w:tbl>
      <w:tblPr>
        <w:tblStyle w:val="TableGrid"/>
        <w:tblW w:w="0" w:type="auto"/>
        <w:tblLook w:val="04A0" w:firstRow="1" w:lastRow="0" w:firstColumn="1" w:lastColumn="0" w:noHBand="0" w:noVBand="1"/>
      </w:tblPr>
      <w:tblGrid>
        <w:gridCol w:w="704"/>
        <w:gridCol w:w="1559"/>
        <w:gridCol w:w="10206"/>
        <w:gridCol w:w="1479"/>
      </w:tblGrid>
      <w:tr w:rsidR="00C24C0E" w:rsidRPr="00C24C0E" w:rsidTr="00C24C0E">
        <w:tc>
          <w:tcPr>
            <w:tcW w:w="13948" w:type="dxa"/>
            <w:gridSpan w:val="4"/>
          </w:tcPr>
          <w:p w:rsidR="00C24C0E" w:rsidRPr="00C24C0E" w:rsidRDefault="00C24C0E" w:rsidP="00D06A30">
            <w:pPr>
              <w:pStyle w:val="NoSpacing"/>
            </w:pPr>
            <w:r w:rsidRPr="00C24C0E">
              <w:t>Charter and purpose</w:t>
            </w:r>
          </w:p>
        </w:tc>
      </w:tr>
      <w:tr w:rsidR="00060E29" w:rsidTr="00C24C0E">
        <w:tc>
          <w:tcPr>
            <w:tcW w:w="704" w:type="dxa"/>
          </w:tcPr>
          <w:p w:rsidR="00060E29" w:rsidRDefault="00060E29" w:rsidP="00084A82">
            <w:pPr>
              <w:pStyle w:val="NoSpacing"/>
            </w:pPr>
            <w:r>
              <w:t>1</w:t>
            </w:r>
          </w:p>
        </w:tc>
        <w:tc>
          <w:tcPr>
            <w:tcW w:w="1559" w:type="dxa"/>
          </w:tcPr>
          <w:p w:rsidR="00060E29" w:rsidRDefault="00060E29" w:rsidP="00084A82">
            <w:pPr>
              <w:pStyle w:val="NoSpacing"/>
            </w:pPr>
            <w:r>
              <w:t>FRD 22H</w:t>
            </w:r>
          </w:p>
        </w:tc>
        <w:tc>
          <w:tcPr>
            <w:tcW w:w="10206" w:type="dxa"/>
          </w:tcPr>
          <w:p w:rsidR="00060E29" w:rsidRDefault="00060E29" w:rsidP="00084A82">
            <w:pPr>
              <w:pStyle w:val="NoSpacing"/>
            </w:pPr>
            <w:r>
              <w:t>Manner of establishment and the relevant Minister</w:t>
            </w:r>
          </w:p>
        </w:tc>
        <w:tc>
          <w:tcPr>
            <w:tcW w:w="1479" w:type="dxa"/>
          </w:tcPr>
          <w:p w:rsidR="00060E29" w:rsidRDefault="00060E29" w:rsidP="00084A82">
            <w:pPr>
              <w:pStyle w:val="NoSpacing"/>
            </w:pPr>
            <w:r>
              <w:t>3, 34</w:t>
            </w:r>
          </w:p>
        </w:tc>
      </w:tr>
      <w:tr w:rsidR="00060E29" w:rsidTr="00C24C0E">
        <w:tc>
          <w:tcPr>
            <w:tcW w:w="704" w:type="dxa"/>
          </w:tcPr>
          <w:p w:rsidR="00060E29" w:rsidRDefault="00060E29" w:rsidP="00084A82">
            <w:pPr>
              <w:pStyle w:val="NoSpacing"/>
            </w:pPr>
            <w:r>
              <w:t>2</w:t>
            </w:r>
          </w:p>
        </w:tc>
        <w:tc>
          <w:tcPr>
            <w:tcW w:w="1559" w:type="dxa"/>
          </w:tcPr>
          <w:p w:rsidR="00060E29" w:rsidRDefault="00060E29" w:rsidP="00084A82">
            <w:pPr>
              <w:pStyle w:val="NoSpacing"/>
            </w:pPr>
            <w:r>
              <w:t>FRD 22H</w:t>
            </w:r>
          </w:p>
        </w:tc>
        <w:tc>
          <w:tcPr>
            <w:tcW w:w="10206" w:type="dxa"/>
          </w:tcPr>
          <w:p w:rsidR="00060E29" w:rsidRDefault="00060E29" w:rsidP="00084A82">
            <w:pPr>
              <w:pStyle w:val="NoSpacing"/>
            </w:pPr>
            <w:r>
              <w:t>Purpose, functions, powers and duties linked to a summary of activities, programs and achievements</w:t>
            </w:r>
          </w:p>
        </w:tc>
        <w:tc>
          <w:tcPr>
            <w:tcW w:w="1479" w:type="dxa"/>
          </w:tcPr>
          <w:p w:rsidR="00060E29" w:rsidRDefault="00060E29" w:rsidP="00084A82">
            <w:pPr>
              <w:pStyle w:val="NoSpacing"/>
            </w:pPr>
            <w:r>
              <w:t>34</w:t>
            </w:r>
          </w:p>
        </w:tc>
      </w:tr>
      <w:tr w:rsidR="00060E29" w:rsidTr="00C24C0E">
        <w:tc>
          <w:tcPr>
            <w:tcW w:w="704" w:type="dxa"/>
          </w:tcPr>
          <w:p w:rsidR="00060E29" w:rsidRDefault="00060E29" w:rsidP="00084A82">
            <w:pPr>
              <w:pStyle w:val="NoSpacing"/>
            </w:pPr>
            <w:r>
              <w:t>3</w:t>
            </w:r>
          </w:p>
        </w:tc>
        <w:tc>
          <w:tcPr>
            <w:tcW w:w="1559" w:type="dxa"/>
          </w:tcPr>
          <w:p w:rsidR="00060E29" w:rsidRDefault="00060E29" w:rsidP="00084A82">
            <w:pPr>
              <w:pStyle w:val="NoSpacing"/>
            </w:pPr>
            <w:r>
              <w:t>FRD 22H</w:t>
            </w:r>
          </w:p>
        </w:tc>
        <w:tc>
          <w:tcPr>
            <w:tcW w:w="10206" w:type="dxa"/>
          </w:tcPr>
          <w:p w:rsidR="00060E29" w:rsidRDefault="00C24C0E" w:rsidP="00084A82">
            <w:pPr>
              <w:pStyle w:val="NoSpacing"/>
            </w:pPr>
            <w:r>
              <w:t>Nature and range of services provided including communities served</w:t>
            </w:r>
          </w:p>
        </w:tc>
        <w:tc>
          <w:tcPr>
            <w:tcW w:w="1479" w:type="dxa"/>
          </w:tcPr>
          <w:p w:rsidR="00060E29" w:rsidRDefault="00060E29" w:rsidP="00084A82">
            <w:pPr>
              <w:pStyle w:val="NoSpacing"/>
            </w:pPr>
            <w:r>
              <w:t>3, 34</w:t>
            </w:r>
          </w:p>
        </w:tc>
      </w:tr>
    </w:tbl>
    <w:p w:rsidR="00060E29" w:rsidRDefault="00060E29" w:rsidP="00084A82">
      <w:pPr>
        <w:pStyle w:val="NoSpacing"/>
      </w:pPr>
    </w:p>
    <w:tbl>
      <w:tblPr>
        <w:tblStyle w:val="TableGrid"/>
        <w:tblW w:w="0" w:type="auto"/>
        <w:tblLook w:val="04A0" w:firstRow="1" w:lastRow="0" w:firstColumn="1" w:lastColumn="0" w:noHBand="0" w:noVBand="1"/>
      </w:tblPr>
      <w:tblGrid>
        <w:gridCol w:w="704"/>
        <w:gridCol w:w="1559"/>
        <w:gridCol w:w="10206"/>
        <w:gridCol w:w="1479"/>
      </w:tblGrid>
      <w:tr w:rsidR="00C24C0E" w:rsidRPr="00C24C0E" w:rsidTr="00C24C0E">
        <w:tc>
          <w:tcPr>
            <w:tcW w:w="13948" w:type="dxa"/>
            <w:gridSpan w:val="4"/>
          </w:tcPr>
          <w:p w:rsidR="00C24C0E" w:rsidRPr="00C24C0E" w:rsidRDefault="00C24C0E" w:rsidP="00D06A30">
            <w:pPr>
              <w:pStyle w:val="NoSpacing"/>
            </w:pPr>
            <w:r w:rsidRPr="00C24C0E">
              <w:t xml:space="preserve">Management and structure </w:t>
            </w:r>
          </w:p>
        </w:tc>
      </w:tr>
      <w:tr w:rsidR="00060E29" w:rsidTr="00C24C0E">
        <w:tc>
          <w:tcPr>
            <w:tcW w:w="704" w:type="dxa"/>
          </w:tcPr>
          <w:p w:rsidR="00060E29" w:rsidRDefault="00060E29" w:rsidP="00D06A30">
            <w:pPr>
              <w:pStyle w:val="NoSpacing"/>
            </w:pPr>
            <w:r>
              <w:t>4</w:t>
            </w:r>
          </w:p>
        </w:tc>
        <w:tc>
          <w:tcPr>
            <w:tcW w:w="1559" w:type="dxa"/>
          </w:tcPr>
          <w:p w:rsidR="00060E29" w:rsidRDefault="00060E29" w:rsidP="00D06A30">
            <w:pPr>
              <w:pStyle w:val="NoSpacing"/>
            </w:pPr>
            <w:r>
              <w:t>FRD 22H</w:t>
            </w:r>
          </w:p>
        </w:tc>
        <w:tc>
          <w:tcPr>
            <w:tcW w:w="10206" w:type="dxa"/>
          </w:tcPr>
          <w:p w:rsidR="00060E29" w:rsidRDefault="00060E29" w:rsidP="00D06A30">
            <w:pPr>
              <w:pStyle w:val="NoSpacing"/>
            </w:pPr>
            <w:r>
              <w:t>Organisational structure and chart, including responsibilities and details of the accountabilities of an entity’s main activities</w:t>
            </w:r>
          </w:p>
        </w:tc>
        <w:tc>
          <w:tcPr>
            <w:tcW w:w="1479" w:type="dxa"/>
          </w:tcPr>
          <w:p w:rsidR="00060E29" w:rsidRDefault="00060E29" w:rsidP="00D06A30">
            <w:pPr>
              <w:pStyle w:val="NoSpacing"/>
            </w:pPr>
            <w:r>
              <w:t>30-33, 35-36</w:t>
            </w:r>
          </w:p>
        </w:tc>
      </w:tr>
      <w:tr w:rsidR="00060E29" w:rsidTr="00C24C0E">
        <w:tc>
          <w:tcPr>
            <w:tcW w:w="704" w:type="dxa"/>
          </w:tcPr>
          <w:p w:rsidR="00060E29" w:rsidRDefault="00060E29" w:rsidP="00D06A30">
            <w:pPr>
              <w:pStyle w:val="NoSpacing"/>
            </w:pPr>
            <w:r>
              <w:t>5</w:t>
            </w:r>
          </w:p>
        </w:tc>
        <w:tc>
          <w:tcPr>
            <w:tcW w:w="1559" w:type="dxa"/>
          </w:tcPr>
          <w:p w:rsidR="00060E29" w:rsidRDefault="00060E29" w:rsidP="00D06A30">
            <w:pPr>
              <w:pStyle w:val="NoSpacing"/>
            </w:pPr>
            <w:r>
              <w:t>FRD 22H</w:t>
            </w:r>
          </w:p>
        </w:tc>
        <w:tc>
          <w:tcPr>
            <w:tcW w:w="10206" w:type="dxa"/>
          </w:tcPr>
          <w:p w:rsidR="00060E29" w:rsidRDefault="00060E29" w:rsidP="00D06A30">
            <w:pPr>
              <w:pStyle w:val="NoSpacing"/>
            </w:pPr>
            <w:r>
              <w:t>Names of Board and committee members</w:t>
            </w:r>
          </w:p>
        </w:tc>
        <w:tc>
          <w:tcPr>
            <w:tcW w:w="1479" w:type="dxa"/>
          </w:tcPr>
          <w:p w:rsidR="00060E29" w:rsidRDefault="00060E29" w:rsidP="00D06A30">
            <w:pPr>
              <w:pStyle w:val="NoSpacing"/>
            </w:pPr>
            <w:r>
              <w:t>30, 35-36</w:t>
            </w:r>
          </w:p>
        </w:tc>
      </w:tr>
    </w:tbl>
    <w:p w:rsidR="00060E29" w:rsidRDefault="00060E29" w:rsidP="00084A82">
      <w:pPr>
        <w:pStyle w:val="NoSpacing"/>
      </w:pPr>
    </w:p>
    <w:tbl>
      <w:tblPr>
        <w:tblStyle w:val="TableGrid"/>
        <w:tblW w:w="0" w:type="auto"/>
        <w:tblLook w:val="04A0" w:firstRow="1" w:lastRow="0" w:firstColumn="1" w:lastColumn="0" w:noHBand="0" w:noVBand="1"/>
      </w:tblPr>
      <w:tblGrid>
        <w:gridCol w:w="704"/>
        <w:gridCol w:w="1559"/>
        <w:gridCol w:w="10206"/>
        <w:gridCol w:w="1479"/>
      </w:tblGrid>
      <w:tr w:rsidR="007F0535" w:rsidRPr="007F0535" w:rsidTr="007F0535">
        <w:tc>
          <w:tcPr>
            <w:tcW w:w="13948" w:type="dxa"/>
            <w:gridSpan w:val="4"/>
          </w:tcPr>
          <w:p w:rsidR="007F0535" w:rsidRPr="007F0535" w:rsidRDefault="007F0535" w:rsidP="00D06A30">
            <w:pPr>
              <w:pStyle w:val="NoSpacing"/>
            </w:pPr>
            <w:r w:rsidRPr="007F0535">
              <w:t>Financial and other information</w:t>
            </w:r>
          </w:p>
        </w:tc>
      </w:tr>
      <w:tr w:rsidR="00C24C0E" w:rsidTr="007F0535">
        <w:tc>
          <w:tcPr>
            <w:tcW w:w="704" w:type="dxa"/>
          </w:tcPr>
          <w:p w:rsidR="00C24C0E" w:rsidRDefault="00C24C0E" w:rsidP="00D06A30">
            <w:pPr>
              <w:pStyle w:val="NoSpacing"/>
            </w:pPr>
            <w:r>
              <w:t>6</w:t>
            </w:r>
          </w:p>
        </w:tc>
        <w:tc>
          <w:tcPr>
            <w:tcW w:w="1559" w:type="dxa"/>
          </w:tcPr>
          <w:p w:rsidR="00C24C0E" w:rsidRDefault="00C24C0E" w:rsidP="00D06A30">
            <w:pPr>
              <w:pStyle w:val="NoSpacing"/>
            </w:pPr>
            <w:r>
              <w:t>FRD 03A</w:t>
            </w:r>
          </w:p>
        </w:tc>
        <w:tc>
          <w:tcPr>
            <w:tcW w:w="10206" w:type="dxa"/>
          </w:tcPr>
          <w:p w:rsidR="00C24C0E" w:rsidRDefault="00C24C0E" w:rsidP="00D06A30">
            <w:pPr>
              <w:pStyle w:val="NoSpacing"/>
            </w:pPr>
            <w:r>
              <w:t>Accounting for Dividends</w:t>
            </w:r>
          </w:p>
        </w:tc>
        <w:tc>
          <w:tcPr>
            <w:tcW w:w="1479" w:type="dxa"/>
          </w:tcPr>
          <w:p w:rsidR="00C24C0E" w:rsidRDefault="00C24C0E" w:rsidP="00D06A30">
            <w:pPr>
              <w:pStyle w:val="NoSpacing"/>
            </w:pPr>
            <w:r>
              <w:t>N/A</w:t>
            </w:r>
          </w:p>
        </w:tc>
      </w:tr>
      <w:tr w:rsidR="00C24C0E" w:rsidTr="007F0535">
        <w:tc>
          <w:tcPr>
            <w:tcW w:w="704" w:type="dxa"/>
          </w:tcPr>
          <w:p w:rsidR="00C24C0E" w:rsidRDefault="00C24C0E" w:rsidP="00D06A30">
            <w:pPr>
              <w:pStyle w:val="NoSpacing"/>
            </w:pPr>
            <w:r>
              <w:t>7</w:t>
            </w:r>
          </w:p>
        </w:tc>
        <w:tc>
          <w:tcPr>
            <w:tcW w:w="1559" w:type="dxa"/>
          </w:tcPr>
          <w:p w:rsidR="00C24C0E" w:rsidRDefault="00C24C0E" w:rsidP="00D06A30">
            <w:pPr>
              <w:pStyle w:val="NoSpacing"/>
            </w:pPr>
            <w:r>
              <w:t>FRD 07B</w:t>
            </w:r>
          </w:p>
        </w:tc>
        <w:tc>
          <w:tcPr>
            <w:tcW w:w="10206" w:type="dxa"/>
          </w:tcPr>
          <w:p w:rsidR="00C24C0E" w:rsidRDefault="00C24C0E" w:rsidP="00D06A30">
            <w:pPr>
              <w:pStyle w:val="NoSpacing"/>
            </w:pPr>
            <w:r>
              <w:t>Early adoption of authoritative accounting pronouncements</w:t>
            </w:r>
          </w:p>
        </w:tc>
        <w:tc>
          <w:tcPr>
            <w:tcW w:w="1479" w:type="dxa"/>
          </w:tcPr>
          <w:p w:rsidR="00C24C0E" w:rsidRDefault="00C24C0E" w:rsidP="00D06A30">
            <w:pPr>
              <w:pStyle w:val="NoSpacing"/>
            </w:pPr>
            <w:r>
              <w:t>88</w:t>
            </w:r>
          </w:p>
        </w:tc>
      </w:tr>
      <w:tr w:rsidR="00C24C0E" w:rsidTr="007F0535">
        <w:tc>
          <w:tcPr>
            <w:tcW w:w="704" w:type="dxa"/>
          </w:tcPr>
          <w:p w:rsidR="00C24C0E" w:rsidRDefault="00C24C0E" w:rsidP="00D06A30">
            <w:pPr>
              <w:pStyle w:val="NoSpacing"/>
            </w:pPr>
            <w:r>
              <w:t>8</w:t>
            </w:r>
          </w:p>
        </w:tc>
        <w:tc>
          <w:tcPr>
            <w:tcW w:w="1559" w:type="dxa"/>
          </w:tcPr>
          <w:p w:rsidR="00C24C0E" w:rsidRDefault="00C24C0E" w:rsidP="00D06A30">
            <w:pPr>
              <w:pStyle w:val="NoSpacing"/>
            </w:pPr>
            <w:r>
              <w:t>FRD 10A</w:t>
            </w:r>
          </w:p>
        </w:tc>
        <w:tc>
          <w:tcPr>
            <w:tcW w:w="10206" w:type="dxa"/>
          </w:tcPr>
          <w:p w:rsidR="00C24C0E" w:rsidRDefault="00C24C0E" w:rsidP="00D06A30">
            <w:pPr>
              <w:pStyle w:val="NoSpacing"/>
            </w:pPr>
            <w:r>
              <w:t>Disclosure Index</w:t>
            </w:r>
          </w:p>
        </w:tc>
        <w:tc>
          <w:tcPr>
            <w:tcW w:w="1479" w:type="dxa"/>
          </w:tcPr>
          <w:p w:rsidR="00C24C0E" w:rsidRDefault="00C24C0E" w:rsidP="00D06A30">
            <w:pPr>
              <w:pStyle w:val="NoSpacing"/>
            </w:pPr>
            <w:r>
              <w:t>93-96</w:t>
            </w:r>
          </w:p>
        </w:tc>
      </w:tr>
      <w:tr w:rsidR="00C24C0E" w:rsidTr="007F0535">
        <w:tc>
          <w:tcPr>
            <w:tcW w:w="704" w:type="dxa"/>
          </w:tcPr>
          <w:p w:rsidR="00C24C0E" w:rsidRDefault="00C24C0E" w:rsidP="00D06A30">
            <w:pPr>
              <w:pStyle w:val="NoSpacing"/>
            </w:pPr>
            <w:r>
              <w:t>9</w:t>
            </w:r>
          </w:p>
        </w:tc>
        <w:tc>
          <w:tcPr>
            <w:tcW w:w="1559" w:type="dxa"/>
          </w:tcPr>
          <w:p w:rsidR="00C24C0E" w:rsidRDefault="00C24C0E" w:rsidP="00D06A30">
            <w:pPr>
              <w:pStyle w:val="NoSpacing"/>
            </w:pPr>
            <w:r>
              <w:t>FRD 17B</w:t>
            </w:r>
          </w:p>
        </w:tc>
        <w:tc>
          <w:tcPr>
            <w:tcW w:w="10206" w:type="dxa"/>
          </w:tcPr>
          <w:p w:rsidR="00C24C0E" w:rsidRDefault="00C24C0E" w:rsidP="00D06A30">
            <w:pPr>
              <w:pStyle w:val="NoSpacing"/>
            </w:pPr>
            <w:r>
              <w:t>Long service leave and annual leave for employees</w:t>
            </w:r>
          </w:p>
        </w:tc>
        <w:tc>
          <w:tcPr>
            <w:tcW w:w="1479" w:type="dxa"/>
          </w:tcPr>
          <w:p w:rsidR="00C24C0E" w:rsidRDefault="00C24C0E" w:rsidP="00D06A30">
            <w:pPr>
              <w:pStyle w:val="NoSpacing"/>
            </w:pPr>
            <w:r>
              <w:t>51-52</w:t>
            </w:r>
          </w:p>
        </w:tc>
      </w:tr>
      <w:tr w:rsidR="00C24C0E" w:rsidTr="007F0535">
        <w:tc>
          <w:tcPr>
            <w:tcW w:w="704" w:type="dxa"/>
          </w:tcPr>
          <w:p w:rsidR="00C24C0E" w:rsidRDefault="00C24C0E" w:rsidP="00D06A30">
            <w:pPr>
              <w:pStyle w:val="NoSpacing"/>
            </w:pPr>
            <w:r>
              <w:t>10</w:t>
            </w:r>
          </w:p>
        </w:tc>
        <w:tc>
          <w:tcPr>
            <w:tcW w:w="1559" w:type="dxa"/>
          </w:tcPr>
          <w:p w:rsidR="00C24C0E" w:rsidRDefault="00C24C0E" w:rsidP="00D06A30">
            <w:pPr>
              <w:pStyle w:val="NoSpacing"/>
            </w:pPr>
            <w:r>
              <w:t>FRD 20A</w:t>
            </w:r>
          </w:p>
        </w:tc>
        <w:tc>
          <w:tcPr>
            <w:tcW w:w="10206" w:type="dxa"/>
          </w:tcPr>
          <w:p w:rsidR="00C24C0E" w:rsidRDefault="00C24C0E" w:rsidP="00D06A30">
            <w:pPr>
              <w:pStyle w:val="NoSpacing"/>
            </w:pPr>
            <w:r>
              <w:t>Accounting for State motor vehicle lease arrangements prior to 1 Feb 2004</w:t>
            </w:r>
          </w:p>
        </w:tc>
        <w:tc>
          <w:tcPr>
            <w:tcW w:w="1479" w:type="dxa"/>
          </w:tcPr>
          <w:p w:rsidR="00C24C0E" w:rsidRDefault="00C24C0E" w:rsidP="00D06A30">
            <w:pPr>
              <w:pStyle w:val="NoSpacing"/>
            </w:pPr>
            <w:r>
              <w:t>N/A</w:t>
            </w:r>
          </w:p>
        </w:tc>
      </w:tr>
      <w:tr w:rsidR="00C24C0E" w:rsidTr="007F0535">
        <w:tc>
          <w:tcPr>
            <w:tcW w:w="704" w:type="dxa"/>
          </w:tcPr>
          <w:p w:rsidR="00C24C0E" w:rsidRDefault="00C24C0E" w:rsidP="00D06A30">
            <w:pPr>
              <w:pStyle w:val="NoSpacing"/>
            </w:pPr>
            <w:r>
              <w:t>11</w:t>
            </w:r>
          </w:p>
        </w:tc>
        <w:tc>
          <w:tcPr>
            <w:tcW w:w="1559" w:type="dxa"/>
          </w:tcPr>
          <w:p w:rsidR="00C24C0E" w:rsidRDefault="00C24C0E" w:rsidP="00D06A30">
            <w:pPr>
              <w:pStyle w:val="NoSpacing"/>
            </w:pPr>
            <w:r>
              <w:t>FRD 22H</w:t>
            </w:r>
          </w:p>
        </w:tc>
        <w:tc>
          <w:tcPr>
            <w:tcW w:w="10206" w:type="dxa"/>
          </w:tcPr>
          <w:p w:rsidR="00C24C0E" w:rsidRDefault="00C24C0E" w:rsidP="00D06A30">
            <w:pPr>
              <w:pStyle w:val="NoSpacing"/>
            </w:pPr>
            <w:r>
              <w:t xml:space="preserve">Operational and budgetary objectives, performance against objectives and achievements </w:t>
            </w:r>
          </w:p>
        </w:tc>
        <w:tc>
          <w:tcPr>
            <w:tcW w:w="1479" w:type="dxa"/>
          </w:tcPr>
          <w:p w:rsidR="00C24C0E" w:rsidRDefault="00C24C0E" w:rsidP="00D06A30">
            <w:pPr>
              <w:pStyle w:val="NoSpacing"/>
            </w:pPr>
            <w:r>
              <w:t>29, 92</w:t>
            </w:r>
          </w:p>
        </w:tc>
      </w:tr>
      <w:tr w:rsidR="00C24C0E" w:rsidTr="007F0535">
        <w:tc>
          <w:tcPr>
            <w:tcW w:w="704" w:type="dxa"/>
          </w:tcPr>
          <w:p w:rsidR="00C24C0E" w:rsidRDefault="00C24C0E" w:rsidP="00C24C0E">
            <w:pPr>
              <w:pStyle w:val="NoSpacing"/>
            </w:pPr>
            <w:r>
              <w:t>12</w:t>
            </w:r>
          </w:p>
        </w:tc>
        <w:tc>
          <w:tcPr>
            <w:tcW w:w="1559" w:type="dxa"/>
          </w:tcPr>
          <w:p w:rsidR="00C24C0E" w:rsidRDefault="00C24C0E" w:rsidP="00C24C0E">
            <w:r w:rsidRPr="00447C75">
              <w:t>FRD 22H</w:t>
            </w:r>
          </w:p>
        </w:tc>
        <w:tc>
          <w:tcPr>
            <w:tcW w:w="10206" w:type="dxa"/>
          </w:tcPr>
          <w:p w:rsidR="00C24C0E" w:rsidRDefault="00C24C0E" w:rsidP="00C24C0E">
            <w:pPr>
              <w:pStyle w:val="NoSpacing"/>
            </w:pPr>
            <w:r w:rsidRPr="00C24C0E">
              <w:t>Occupational health and safety statement including performance indicators, performance</w:t>
            </w:r>
            <w:r>
              <w:t xml:space="preserve"> </w:t>
            </w:r>
            <w:r w:rsidRPr="00C24C0E">
              <w:t>against those indicators. Reporting must be on the items listed at 5.10(a) to (e) in the FRD.</w:t>
            </w:r>
          </w:p>
        </w:tc>
        <w:tc>
          <w:tcPr>
            <w:tcW w:w="1479" w:type="dxa"/>
          </w:tcPr>
          <w:p w:rsidR="00C24C0E" w:rsidRDefault="00C24C0E" w:rsidP="00C24C0E">
            <w:pPr>
              <w:pStyle w:val="NoSpacing"/>
            </w:pPr>
            <w:r>
              <w:t>22</w:t>
            </w:r>
          </w:p>
        </w:tc>
      </w:tr>
      <w:tr w:rsidR="00C24C0E" w:rsidTr="007F0535">
        <w:tc>
          <w:tcPr>
            <w:tcW w:w="704" w:type="dxa"/>
          </w:tcPr>
          <w:p w:rsidR="00C24C0E" w:rsidRDefault="00C24C0E" w:rsidP="00C24C0E">
            <w:pPr>
              <w:pStyle w:val="NoSpacing"/>
            </w:pPr>
            <w:r>
              <w:t>13</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Workforce data for current and previous reporting period including a statement on the</w:t>
            </w:r>
            <w:r>
              <w:t xml:space="preserve"> </w:t>
            </w:r>
            <w:r w:rsidRPr="00C24C0E">
              <w:t>application of employment and conduct principles and tha</w:t>
            </w:r>
            <w:r>
              <w:t xml:space="preserve">t employees have been correctly </w:t>
            </w:r>
            <w:r w:rsidRPr="00C24C0E">
              <w:t xml:space="preserve">classified in the workforce data </w:t>
            </w:r>
            <w:r w:rsidRPr="00C24C0E">
              <w:lastRenderedPageBreak/>
              <w:t>collections (see Attachment B for details of the Department’s</w:t>
            </w:r>
            <w:r>
              <w:t xml:space="preserve"> </w:t>
            </w:r>
            <w:r w:rsidRPr="00C24C0E">
              <w:t>required reporting approach to all workforce data).</w:t>
            </w:r>
          </w:p>
        </w:tc>
        <w:tc>
          <w:tcPr>
            <w:tcW w:w="1479" w:type="dxa"/>
          </w:tcPr>
          <w:p w:rsidR="00C24C0E" w:rsidRDefault="00C24C0E" w:rsidP="00C24C0E">
            <w:pPr>
              <w:pStyle w:val="NoSpacing"/>
            </w:pPr>
            <w:r>
              <w:lastRenderedPageBreak/>
              <w:t>20</w:t>
            </w:r>
          </w:p>
        </w:tc>
      </w:tr>
      <w:tr w:rsidR="00C24C0E" w:rsidTr="007F0535">
        <w:tc>
          <w:tcPr>
            <w:tcW w:w="704" w:type="dxa"/>
          </w:tcPr>
          <w:p w:rsidR="00C24C0E" w:rsidRDefault="00C24C0E" w:rsidP="00C24C0E">
            <w:pPr>
              <w:pStyle w:val="NoSpacing"/>
            </w:pPr>
            <w:r>
              <w:t>14</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Summary of the financial results, with comparative information for the preceding four</w:t>
            </w:r>
            <w:r>
              <w:t xml:space="preserve"> </w:t>
            </w:r>
            <w:r w:rsidRPr="00C24C0E">
              <w:t>reporting periods</w:t>
            </w:r>
          </w:p>
        </w:tc>
        <w:tc>
          <w:tcPr>
            <w:tcW w:w="1479" w:type="dxa"/>
          </w:tcPr>
          <w:p w:rsidR="00C24C0E" w:rsidRDefault="00C24C0E" w:rsidP="00C24C0E">
            <w:pPr>
              <w:pStyle w:val="NoSpacing"/>
            </w:pPr>
            <w:r>
              <w:t>29</w:t>
            </w:r>
          </w:p>
        </w:tc>
      </w:tr>
      <w:tr w:rsidR="00C24C0E" w:rsidTr="007F0535">
        <w:tc>
          <w:tcPr>
            <w:tcW w:w="704" w:type="dxa"/>
          </w:tcPr>
          <w:p w:rsidR="00C24C0E" w:rsidRDefault="00C24C0E" w:rsidP="00C24C0E">
            <w:pPr>
              <w:pStyle w:val="NoSpacing"/>
            </w:pPr>
            <w:r>
              <w:t>15</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Summary of significant changes in financial position</w:t>
            </w:r>
          </w:p>
        </w:tc>
        <w:tc>
          <w:tcPr>
            <w:tcW w:w="1479" w:type="dxa"/>
          </w:tcPr>
          <w:p w:rsidR="00C24C0E" w:rsidRDefault="00C24C0E" w:rsidP="00C24C0E">
            <w:pPr>
              <w:pStyle w:val="NoSpacing"/>
            </w:pPr>
            <w:r>
              <w:t>43</w:t>
            </w:r>
          </w:p>
        </w:tc>
      </w:tr>
      <w:tr w:rsidR="00C24C0E" w:rsidTr="007F0535">
        <w:tc>
          <w:tcPr>
            <w:tcW w:w="704" w:type="dxa"/>
          </w:tcPr>
          <w:p w:rsidR="00C24C0E" w:rsidRDefault="00C24C0E" w:rsidP="00C24C0E">
            <w:pPr>
              <w:pStyle w:val="NoSpacing"/>
            </w:pPr>
            <w:r>
              <w:t>16</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Key initiatives and projects, including significant changes in key initiatives and projects from</w:t>
            </w:r>
            <w:r>
              <w:t xml:space="preserve"> </w:t>
            </w:r>
            <w:r w:rsidRPr="00C24C0E">
              <w:t>previous years and expectations for the future</w:t>
            </w:r>
          </w:p>
        </w:tc>
        <w:tc>
          <w:tcPr>
            <w:tcW w:w="1479" w:type="dxa"/>
          </w:tcPr>
          <w:p w:rsidR="00C24C0E" w:rsidRDefault="00C24C0E" w:rsidP="00C24C0E">
            <w:pPr>
              <w:pStyle w:val="NoSpacing"/>
            </w:pPr>
            <w:r>
              <w:t>6-19</w:t>
            </w:r>
          </w:p>
        </w:tc>
      </w:tr>
      <w:tr w:rsidR="00C24C0E" w:rsidTr="007F0535">
        <w:tc>
          <w:tcPr>
            <w:tcW w:w="704" w:type="dxa"/>
          </w:tcPr>
          <w:p w:rsidR="00C24C0E" w:rsidRDefault="00C24C0E" w:rsidP="00C24C0E">
            <w:pPr>
              <w:pStyle w:val="NoSpacing"/>
            </w:pPr>
            <w:r>
              <w:t>17</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Post-balance sheet date events likely to significantly affect subsequent reporting periods</w:t>
            </w:r>
          </w:p>
        </w:tc>
        <w:tc>
          <w:tcPr>
            <w:tcW w:w="1479" w:type="dxa"/>
          </w:tcPr>
          <w:p w:rsidR="00C24C0E" w:rsidRDefault="00C24C0E" w:rsidP="00C24C0E">
            <w:pPr>
              <w:pStyle w:val="NoSpacing"/>
            </w:pPr>
            <w:r>
              <w:t>88</w:t>
            </w:r>
          </w:p>
        </w:tc>
      </w:tr>
      <w:tr w:rsidR="00C24C0E" w:rsidTr="007F0535">
        <w:tc>
          <w:tcPr>
            <w:tcW w:w="704" w:type="dxa"/>
          </w:tcPr>
          <w:p w:rsidR="00C24C0E" w:rsidRDefault="00C24C0E" w:rsidP="00C24C0E">
            <w:pPr>
              <w:pStyle w:val="NoSpacing"/>
            </w:pPr>
            <w:r>
              <w:t>18</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Summary of application and operation of the Freedom of Information Act 1982</w:t>
            </w:r>
          </w:p>
        </w:tc>
        <w:tc>
          <w:tcPr>
            <w:tcW w:w="1479" w:type="dxa"/>
          </w:tcPr>
          <w:p w:rsidR="00C24C0E" w:rsidRDefault="00C24C0E" w:rsidP="00C24C0E">
            <w:pPr>
              <w:pStyle w:val="NoSpacing"/>
            </w:pPr>
            <w:r>
              <w:t>101</w:t>
            </w:r>
          </w:p>
        </w:tc>
      </w:tr>
      <w:tr w:rsidR="00C24C0E" w:rsidTr="007F0535">
        <w:tc>
          <w:tcPr>
            <w:tcW w:w="704" w:type="dxa"/>
          </w:tcPr>
          <w:p w:rsidR="00C24C0E" w:rsidRDefault="00C24C0E" w:rsidP="00C24C0E">
            <w:pPr>
              <w:pStyle w:val="NoSpacing"/>
            </w:pPr>
            <w:r>
              <w:t>19</w:t>
            </w:r>
          </w:p>
        </w:tc>
        <w:tc>
          <w:tcPr>
            <w:tcW w:w="1559" w:type="dxa"/>
          </w:tcPr>
          <w:p w:rsidR="00C24C0E" w:rsidRDefault="00C24C0E" w:rsidP="00C24C0E">
            <w:r w:rsidRPr="00447C75">
              <w:t>FRD 22H</w:t>
            </w:r>
          </w:p>
        </w:tc>
        <w:tc>
          <w:tcPr>
            <w:tcW w:w="10206" w:type="dxa"/>
          </w:tcPr>
          <w:p w:rsidR="00C24C0E" w:rsidRPr="00C24C0E" w:rsidRDefault="00C24C0E" w:rsidP="00C24C0E">
            <w:pPr>
              <w:pStyle w:val="NoSpacing"/>
            </w:pPr>
            <w:r w:rsidRPr="00C24C0E">
              <w:t>Discussion and analysis of operating results and financial results</w:t>
            </w:r>
          </w:p>
        </w:tc>
        <w:tc>
          <w:tcPr>
            <w:tcW w:w="1479" w:type="dxa"/>
          </w:tcPr>
          <w:p w:rsidR="00C24C0E" w:rsidRDefault="00C24C0E" w:rsidP="00C24C0E">
            <w:pPr>
              <w:pStyle w:val="NoSpacing"/>
            </w:pPr>
            <w:r>
              <w:t>29</w:t>
            </w:r>
          </w:p>
        </w:tc>
      </w:tr>
    </w:tbl>
    <w:p w:rsidR="00C24C0E" w:rsidRDefault="00C24C0E" w:rsidP="00084A82">
      <w:pPr>
        <w:pStyle w:val="NoSpacing"/>
      </w:pPr>
    </w:p>
    <w:p w:rsidR="00095FF3" w:rsidRDefault="00095FF3" w:rsidP="00084A82">
      <w:pPr>
        <w:pStyle w:val="NoSpacing"/>
      </w:pPr>
      <w:r>
        <w:t>&lt;pp&gt;93</w:t>
      </w:r>
    </w:p>
    <w:p w:rsidR="00095FF3" w:rsidRDefault="00095FF3" w:rsidP="00084A82">
      <w:pPr>
        <w:pStyle w:val="NoSpacing"/>
      </w:pPr>
    </w:p>
    <w:tbl>
      <w:tblPr>
        <w:tblStyle w:val="TableGrid"/>
        <w:tblW w:w="0" w:type="auto"/>
        <w:tblLook w:val="04A0" w:firstRow="1" w:lastRow="0" w:firstColumn="1" w:lastColumn="0" w:noHBand="0" w:noVBand="1"/>
      </w:tblPr>
      <w:tblGrid>
        <w:gridCol w:w="704"/>
        <w:gridCol w:w="1559"/>
        <w:gridCol w:w="10206"/>
        <w:gridCol w:w="1479"/>
      </w:tblGrid>
      <w:tr w:rsidR="00095FF3" w:rsidTr="00D06A30">
        <w:tc>
          <w:tcPr>
            <w:tcW w:w="704" w:type="dxa"/>
          </w:tcPr>
          <w:p w:rsidR="00095FF3" w:rsidRDefault="00095FF3" w:rsidP="00D06A30">
            <w:pPr>
              <w:pStyle w:val="NoSpacing"/>
            </w:pPr>
            <w:r>
              <w:t>20</w:t>
            </w:r>
          </w:p>
        </w:tc>
        <w:tc>
          <w:tcPr>
            <w:tcW w:w="1559" w:type="dxa"/>
          </w:tcPr>
          <w:p w:rsidR="00095FF3" w:rsidRDefault="00095FF3" w:rsidP="00D06A30">
            <w:pPr>
              <w:pStyle w:val="NoSpacing"/>
            </w:pPr>
            <w:r>
              <w:t xml:space="preserve">FRD 22H </w:t>
            </w:r>
          </w:p>
        </w:tc>
        <w:tc>
          <w:tcPr>
            <w:tcW w:w="10206" w:type="dxa"/>
          </w:tcPr>
          <w:p w:rsidR="00095FF3" w:rsidRPr="00AE5086" w:rsidRDefault="00AE5086" w:rsidP="00AE5086">
            <w:pPr>
              <w:pStyle w:val="NoSpacing"/>
            </w:pPr>
            <w:r w:rsidRPr="00AE5086">
              <w:t>Significant factors affecting performance</w:t>
            </w:r>
          </w:p>
        </w:tc>
        <w:tc>
          <w:tcPr>
            <w:tcW w:w="1479" w:type="dxa"/>
          </w:tcPr>
          <w:p w:rsidR="00095FF3" w:rsidRDefault="00613058" w:rsidP="00D06A30">
            <w:pPr>
              <w:pStyle w:val="NoSpacing"/>
            </w:pPr>
            <w:r>
              <w:t>29</w:t>
            </w:r>
          </w:p>
        </w:tc>
      </w:tr>
      <w:tr w:rsidR="00095FF3" w:rsidTr="00D06A30">
        <w:tc>
          <w:tcPr>
            <w:tcW w:w="704" w:type="dxa"/>
          </w:tcPr>
          <w:p w:rsidR="00095FF3" w:rsidRDefault="00095FF3" w:rsidP="00095FF3">
            <w:pPr>
              <w:pStyle w:val="NoSpacing"/>
            </w:pPr>
            <w:r>
              <w:t>21</w:t>
            </w:r>
          </w:p>
        </w:tc>
        <w:tc>
          <w:tcPr>
            <w:tcW w:w="1559" w:type="dxa"/>
          </w:tcPr>
          <w:p w:rsidR="00095FF3" w:rsidRDefault="00095FF3" w:rsidP="00095FF3">
            <w:r w:rsidRPr="00AB4753">
              <w:t xml:space="preserve">FRD 22H </w:t>
            </w:r>
          </w:p>
        </w:tc>
        <w:tc>
          <w:tcPr>
            <w:tcW w:w="10206" w:type="dxa"/>
          </w:tcPr>
          <w:p w:rsidR="00095FF3" w:rsidRPr="00AE5086" w:rsidRDefault="00AE5086" w:rsidP="00AE5086">
            <w:pPr>
              <w:pStyle w:val="NoSpacing"/>
            </w:pPr>
            <w:r w:rsidRPr="00AE5086">
              <w:t>Where a TAFE has a workforce inclusion policy, a measurable target and report on the progress</w:t>
            </w:r>
            <w:r>
              <w:t xml:space="preserve"> </w:t>
            </w:r>
            <w:r w:rsidRPr="00AE5086">
              <w:t>towards the target should be included</w:t>
            </w:r>
          </w:p>
        </w:tc>
        <w:tc>
          <w:tcPr>
            <w:tcW w:w="1479" w:type="dxa"/>
          </w:tcPr>
          <w:p w:rsidR="00095FF3" w:rsidRDefault="00613058" w:rsidP="00095FF3">
            <w:pPr>
              <w:pStyle w:val="NoSpacing"/>
            </w:pPr>
            <w:r>
              <w:t>N/A</w:t>
            </w:r>
          </w:p>
        </w:tc>
      </w:tr>
      <w:tr w:rsidR="00095FF3" w:rsidTr="00D06A30">
        <w:tc>
          <w:tcPr>
            <w:tcW w:w="704" w:type="dxa"/>
          </w:tcPr>
          <w:p w:rsidR="00095FF3" w:rsidRDefault="00095FF3" w:rsidP="00095FF3">
            <w:pPr>
              <w:pStyle w:val="NoSpacing"/>
            </w:pPr>
            <w:r>
              <w:t>22</w:t>
            </w:r>
          </w:p>
        </w:tc>
        <w:tc>
          <w:tcPr>
            <w:tcW w:w="1559" w:type="dxa"/>
          </w:tcPr>
          <w:p w:rsidR="00095FF3" w:rsidRDefault="00095FF3" w:rsidP="00095FF3">
            <w:r w:rsidRPr="00AB4753">
              <w:t xml:space="preserve">FRD 22H </w:t>
            </w:r>
          </w:p>
        </w:tc>
        <w:tc>
          <w:tcPr>
            <w:tcW w:w="10206" w:type="dxa"/>
          </w:tcPr>
          <w:p w:rsidR="00095FF3" w:rsidRPr="00AE5086" w:rsidRDefault="00AE5086" w:rsidP="00AE5086">
            <w:pPr>
              <w:pStyle w:val="NoSpacing"/>
            </w:pPr>
            <w:r w:rsidRPr="00AE5086">
              <w:t>Schedule of any government advertising campaign in excess of $100,000 or greater (exclusive</w:t>
            </w:r>
            <w:r>
              <w:t xml:space="preserve"> </w:t>
            </w:r>
            <w:r w:rsidRPr="00AE5086">
              <w:t>of GST) include list from 5.16(a) – (d) in the FRD</w:t>
            </w:r>
          </w:p>
        </w:tc>
        <w:tc>
          <w:tcPr>
            <w:tcW w:w="1479" w:type="dxa"/>
          </w:tcPr>
          <w:p w:rsidR="00095FF3" w:rsidRDefault="00613058" w:rsidP="00095FF3">
            <w:pPr>
              <w:pStyle w:val="NoSpacing"/>
            </w:pPr>
            <w:r>
              <w:t>100</w:t>
            </w:r>
          </w:p>
        </w:tc>
      </w:tr>
      <w:tr w:rsidR="00095FF3" w:rsidTr="00D06A30">
        <w:tc>
          <w:tcPr>
            <w:tcW w:w="704" w:type="dxa"/>
          </w:tcPr>
          <w:p w:rsidR="00095FF3" w:rsidRDefault="00095FF3" w:rsidP="00095FF3">
            <w:pPr>
              <w:pStyle w:val="NoSpacing"/>
            </w:pPr>
            <w:r>
              <w:t>23</w:t>
            </w:r>
          </w:p>
        </w:tc>
        <w:tc>
          <w:tcPr>
            <w:tcW w:w="1559" w:type="dxa"/>
          </w:tcPr>
          <w:p w:rsidR="00095FF3" w:rsidRDefault="00095FF3" w:rsidP="00095FF3">
            <w:r w:rsidRPr="00AB4753">
              <w:t xml:space="preserve">FRD 22H </w:t>
            </w:r>
          </w:p>
        </w:tc>
        <w:tc>
          <w:tcPr>
            <w:tcW w:w="10206" w:type="dxa"/>
          </w:tcPr>
          <w:p w:rsidR="00095FF3" w:rsidRPr="00AE5086" w:rsidRDefault="00AE5086" w:rsidP="00AE5086">
            <w:pPr>
              <w:pStyle w:val="NoSpacing"/>
            </w:pPr>
            <w:r w:rsidRPr="00AE5086">
              <w:t>Statement of compliance with building and maintenance provisions of the Building Act 1993</w:t>
            </w:r>
          </w:p>
        </w:tc>
        <w:tc>
          <w:tcPr>
            <w:tcW w:w="1479" w:type="dxa"/>
          </w:tcPr>
          <w:p w:rsidR="00095FF3" w:rsidRDefault="00613058" w:rsidP="00095FF3">
            <w:pPr>
              <w:pStyle w:val="NoSpacing"/>
            </w:pPr>
            <w:r>
              <w:t>99</w:t>
            </w:r>
          </w:p>
        </w:tc>
      </w:tr>
      <w:tr w:rsidR="00095FF3" w:rsidTr="00D06A30">
        <w:tc>
          <w:tcPr>
            <w:tcW w:w="704" w:type="dxa"/>
          </w:tcPr>
          <w:p w:rsidR="00095FF3" w:rsidRDefault="00095FF3" w:rsidP="00095FF3">
            <w:pPr>
              <w:pStyle w:val="NoSpacing"/>
            </w:pPr>
            <w:r>
              <w:t>24</w:t>
            </w:r>
          </w:p>
        </w:tc>
        <w:tc>
          <w:tcPr>
            <w:tcW w:w="1559" w:type="dxa"/>
          </w:tcPr>
          <w:p w:rsidR="00095FF3" w:rsidRDefault="00095FF3" w:rsidP="00095FF3">
            <w:r w:rsidRPr="00AB4753">
              <w:t xml:space="preserve">FRD 22H </w:t>
            </w:r>
          </w:p>
        </w:tc>
        <w:tc>
          <w:tcPr>
            <w:tcW w:w="10206" w:type="dxa"/>
          </w:tcPr>
          <w:p w:rsidR="00095FF3" w:rsidRPr="00AE5086" w:rsidRDefault="00AE5086" w:rsidP="00AE5086">
            <w:pPr>
              <w:pStyle w:val="NoSpacing"/>
            </w:pPr>
            <w:r w:rsidRPr="00AE5086">
              <w:t xml:space="preserve">Statement, where applicable, on the implementation </w:t>
            </w:r>
            <w:r>
              <w:t xml:space="preserve">and compliance with the National </w:t>
            </w:r>
            <w:r w:rsidRPr="00AE5086">
              <w:t>Competition Policy</w:t>
            </w:r>
          </w:p>
        </w:tc>
        <w:tc>
          <w:tcPr>
            <w:tcW w:w="1479" w:type="dxa"/>
          </w:tcPr>
          <w:p w:rsidR="00095FF3" w:rsidRDefault="00613058" w:rsidP="00095FF3">
            <w:pPr>
              <w:pStyle w:val="NoSpacing"/>
            </w:pPr>
            <w:r>
              <w:t>98</w:t>
            </w:r>
          </w:p>
        </w:tc>
      </w:tr>
      <w:tr w:rsidR="00095FF3" w:rsidTr="00D06A30">
        <w:tc>
          <w:tcPr>
            <w:tcW w:w="704" w:type="dxa"/>
          </w:tcPr>
          <w:p w:rsidR="00095FF3" w:rsidRDefault="00095FF3" w:rsidP="00095FF3">
            <w:pPr>
              <w:pStyle w:val="NoSpacing"/>
            </w:pPr>
            <w:r>
              <w:t>25</w:t>
            </w:r>
          </w:p>
        </w:tc>
        <w:tc>
          <w:tcPr>
            <w:tcW w:w="1559" w:type="dxa"/>
          </w:tcPr>
          <w:p w:rsidR="00095FF3" w:rsidRDefault="00095FF3" w:rsidP="00095FF3">
            <w:r w:rsidRPr="00AB4753">
              <w:t xml:space="preserve">FRD 22H </w:t>
            </w:r>
          </w:p>
        </w:tc>
        <w:tc>
          <w:tcPr>
            <w:tcW w:w="10206" w:type="dxa"/>
          </w:tcPr>
          <w:p w:rsidR="00095FF3" w:rsidRPr="00AE5086" w:rsidRDefault="00AE5086" w:rsidP="00AE5086">
            <w:pPr>
              <w:pStyle w:val="NoSpacing"/>
            </w:pPr>
            <w:r w:rsidRPr="00AE5086">
              <w:t>Summary of application and operation of the Protected Disclosure Act 2012</w:t>
            </w:r>
          </w:p>
        </w:tc>
        <w:tc>
          <w:tcPr>
            <w:tcW w:w="1479" w:type="dxa"/>
          </w:tcPr>
          <w:p w:rsidR="00095FF3" w:rsidRDefault="00613058" w:rsidP="00095FF3">
            <w:pPr>
              <w:pStyle w:val="NoSpacing"/>
            </w:pPr>
            <w:r>
              <w:t>97</w:t>
            </w:r>
          </w:p>
        </w:tc>
      </w:tr>
      <w:tr w:rsidR="00095FF3" w:rsidTr="00D06A30">
        <w:tc>
          <w:tcPr>
            <w:tcW w:w="704" w:type="dxa"/>
          </w:tcPr>
          <w:p w:rsidR="00095FF3" w:rsidRDefault="00095FF3" w:rsidP="00D06A30">
            <w:pPr>
              <w:pStyle w:val="NoSpacing"/>
            </w:pPr>
            <w:r>
              <w:t>26</w:t>
            </w:r>
          </w:p>
        </w:tc>
        <w:tc>
          <w:tcPr>
            <w:tcW w:w="1559" w:type="dxa"/>
          </w:tcPr>
          <w:p w:rsidR="00095FF3" w:rsidRDefault="00095FF3" w:rsidP="00D06A30">
            <w:r>
              <w:t>FRD 22H and FRD 24C</w:t>
            </w:r>
          </w:p>
        </w:tc>
        <w:tc>
          <w:tcPr>
            <w:tcW w:w="10206" w:type="dxa"/>
          </w:tcPr>
          <w:p w:rsidR="00095FF3" w:rsidRPr="00AE5086" w:rsidRDefault="00AE5086" w:rsidP="00AE5086">
            <w:pPr>
              <w:pStyle w:val="NoSpacing"/>
            </w:pPr>
            <w:r w:rsidRPr="00AE5086">
              <w:t>Summary of Environmental Performance including a report on office based environmental</w:t>
            </w:r>
            <w:r>
              <w:t xml:space="preserve"> </w:t>
            </w:r>
            <w:r w:rsidRPr="00AE5086">
              <w:t>impacts</w:t>
            </w:r>
          </w:p>
        </w:tc>
        <w:tc>
          <w:tcPr>
            <w:tcW w:w="1479" w:type="dxa"/>
          </w:tcPr>
          <w:p w:rsidR="00095FF3" w:rsidRDefault="00613058" w:rsidP="00D06A30">
            <w:pPr>
              <w:pStyle w:val="NoSpacing"/>
            </w:pPr>
            <w:r>
              <w:t>104-110</w:t>
            </w:r>
          </w:p>
        </w:tc>
      </w:tr>
      <w:tr w:rsidR="00095FF3" w:rsidTr="00D06A30">
        <w:tc>
          <w:tcPr>
            <w:tcW w:w="704" w:type="dxa"/>
          </w:tcPr>
          <w:p w:rsidR="00095FF3" w:rsidRDefault="00095FF3" w:rsidP="00095FF3">
            <w:pPr>
              <w:pStyle w:val="NoSpacing"/>
            </w:pPr>
            <w:r>
              <w:t>27</w:t>
            </w:r>
          </w:p>
        </w:tc>
        <w:tc>
          <w:tcPr>
            <w:tcW w:w="1559" w:type="dxa"/>
          </w:tcPr>
          <w:p w:rsidR="00095FF3" w:rsidRDefault="00095FF3" w:rsidP="00095FF3">
            <w:r w:rsidRPr="002C522A">
              <w:t xml:space="preserve">FRD 22H </w:t>
            </w:r>
          </w:p>
        </w:tc>
        <w:tc>
          <w:tcPr>
            <w:tcW w:w="10206" w:type="dxa"/>
          </w:tcPr>
          <w:p w:rsidR="00AE5086" w:rsidRPr="00AE5086" w:rsidRDefault="00AE5086" w:rsidP="00AE5086">
            <w:pPr>
              <w:pStyle w:val="NoSpacing"/>
            </w:pPr>
            <w:r w:rsidRPr="00AE5086">
              <w:t>Consultants:</w:t>
            </w:r>
          </w:p>
          <w:p w:rsidR="00AE5086" w:rsidRPr="00AE5086" w:rsidRDefault="00AE5086" w:rsidP="00AE5086">
            <w:pPr>
              <w:pStyle w:val="NoSpacing"/>
            </w:pPr>
            <w:r w:rsidRPr="00AE5086">
              <w:t>Report of Operations must include a statement disclosing each of the following</w:t>
            </w:r>
          </w:p>
          <w:p w:rsidR="00AE5086" w:rsidRPr="00AE5086" w:rsidRDefault="00AE5086" w:rsidP="00AE5086">
            <w:pPr>
              <w:pStyle w:val="NoSpacing"/>
            </w:pPr>
            <w:r w:rsidRPr="00AE5086">
              <w:t>1. Total number of consultancies of $10,000 or more (excluding GST)</w:t>
            </w:r>
          </w:p>
          <w:p w:rsidR="00AE5086" w:rsidRPr="00AE5086" w:rsidRDefault="00AE5086" w:rsidP="00AE5086">
            <w:pPr>
              <w:pStyle w:val="NoSpacing"/>
            </w:pPr>
            <w:r w:rsidRPr="00AE5086">
              <w:t>2. Location (e.g. website) of where details of these consu</w:t>
            </w:r>
            <w:r>
              <w:t xml:space="preserve">ltancies over $10,000 have been </w:t>
            </w:r>
            <w:r w:rsidRPr="00AE5086">
              <w:t>made publicly available</w:t>
            </w:r>
          </w:p>
          <w:p w:rsidR="00AE5086" w:rsidRPr="00AE5086" w:rsidRDefault="00AE5086" w:rsidP="00AE5086">
            <w:pPr>
              <w:pStyle w:val="NoSpacing"/>
            </w:pPr>
            <w:r w:rsidRPr="00AE5086">
              <w:t xml:space="preserve">3. Total number of consultancies individually valued at </w:t>
            </w:r>
            <w:r>
              <w:t xml:space="preserve">less than $10,000 and the total </w:t>
            </w:r>
            <w:r w:rsidRPr="00AE5086">
              <w:t>expenditure for the reporti</w:t>
            </w:r>
            <w:r>
              <w:t xml:space="preserve">ng period </w:t>
            </w:r>
            <w:r w:rsidRPr="00AE5086">
              <w:t>AND for each consultancy more than $10,000, a schedule is to be published on the TAFE</w:t>
            </w:r>
          </w:p>
          <w:p w:rsidR="00AE5086" w:rsidRPr="00AE5086" w:rsidRDefault="00AE5086" w:rsidP="00AE5086">
            <w:pPr>
              <w:pStyle w:val="NoSpacing"/>
            </w:pPr>
            <w:r w:rsidRPr="00AE5086">
              <w:t>institute website listing:</w:t>
            </w:r>
          </w:p>
          <w:p w:rsidR="00AE5086" w:rsidRPr="00AE5086" w:rsidRDefault="00AE5086" w:rsidP="00AE5086">
            <w:pPr>
              <w:pStyle w:val="NoSpacing"/>
            </w:pPr>
            <w:r w:rsidRPr="00AE5086">
              <w:t>• Consultant engaged</w:t>
            </w:r>
          </w:p>
          <w:p w:rsidR="00AE5086" w:rsidRPr="00AE5086" w:rsidRDefault="00AE5086" w:rsidP="00AE5086">
            <w:pPr>
              <w:pStyle w:val="NoSpacing"/>
            </w:pPr>
            <w:r w:rsidRPr="00AE5086">
              <w:t>• Brief summary of project</w:t>
            </w:r>
          </w:p>
          <w:p w:rsidR="00AE5086" w:rsidRPr="00AE5086" w:rsidRDefault="00AE5086" w:rsidP="00AE5086">
            <w:pPr>
              <w:pStyle w:val="NoSpacing"/>
            </w:pPr>
            <w:r w:rsidRPr="00AE5086">
              <w:lastRenderedPageBreak/>
              <w:t>• Total project fees approved (excluding GST)</w:t>
            </w:r>
          </w:p>
          <w:p w:rsidR="00AE5086" w:rsidRPr="00AE5086" w:rsidRDefault="00AE5086" w:rsidP="00AE5086">
            <w:pPr>
              <w:pStyle w:val="NoSpacing"/>
            </w:pPr>
            <w:r w:rsidRPr="00AE5086">
              <w:t>• Expenditure for reporting period (excluding GST)</w:t>
            </w:r>
          </w:p>
          <w:p w:rsidR="00095FF3" w:rsidRPr="00AE5086" w:rsidRDefault="00AE5086" w:rsidP="00AE5086">
            <w:pPr>
              <w:pStyle w:val="NoSpacing"/>
            </w:pPr>
            <w:r w:rsidRPr="00AE5086">
              <w:t>• Any future expenditure committed to the consultant for the project</w:t>
            </w:r>
          </w:p>
        </w:tc>
        <w:tc>
          <w:tcPr>
            <w:tcW w:w="1479" w:type="dxa"/>
          </w:tcPr>
          <w:p w:rsidR="00095FF3" w:rsidRDefault="00613058" w:rsidP="00095FF3">
            <w:pPr>
              <w:pStyle w:val="NoSpacing"/>
            </w:pPr>
            <w:r>
              <w:lastRenderedPageBreak/>
              <w:t>101</w:t>
            </w:r>
          </w:p>
        </w:tc>
      </w:tr>
      <w:tr w:rsidR="00095FF3" w:rsidTr="00D06A30">
        <w:tc>
          <w:tcPr>
            <w:tcW w:w="704" w:type="dxa"/>
          </w:tcPr>
          <w:p w:rsidR="00095FF3" w:rsidRDefault="00095FF3" w:rsidP="00095FF3">
            <w:pPr>
              <w:pStyle w:val="NoSpacing"/>
            </w:pPr>
            <w:r>
              <w:t>28</w:t>
            </w:r>
          </w:p>
        </w:tc>
        <w:tc>
          <w:tcPr>
            <w:tcW w:w="1559" w:type="dxa"/>
          </w:tcPr>
          <w:p w:rsidR="00095FF3" w:rsidRDefault="00095FF3" w:rsidP="00095FF3">
            <w:r w:rsidRPr="002C522A">
              <w:t xml:space="preserve">FRD 22H </w:t>
            </w:r>
          </w:p>
        </w:tc>
        <w:tc>
          <w:tcPr>
            <w:tcW w:w="10206" w:type="dxa"/>
          </w:tcPr>
          <w:p w:rsidR="00095FF3" w:rsidRPr="00AE5086" w:rsidRDefault="00AE5086" w:rsidP="00AE5086">
            <w:pPr>
              <w:pStyle w:val="NoSpacing"/>
            </w:pPr>
            <w:r w:rsidRPr="00AE5086">
              <w:t>Statement, to the extent applicable, on the application and operation of the Carers</w:t>
            </w:r>
            <w:r>
              <w:t xml:space="preserve"> </w:t>
            </w:r>
            <w:r w:rsidRPr="00AE5086">
              <w:t>Recognition Act 2012 (Carers Act), and the actions that were taken during the year to comply</w:t>
            </w:r>
            <w:r>
              <w:t xml:space="preserve"> </w:t>
            </w:r>
            <w:r w:rsidRPr="00AE5086">
              <w:t>with the Carers Act</w:t>
            </w:r>
          </w:p>
        </w:tc>
        <w:tc>
          <w:tcPr>
            <w:tcW w:w="1479" w:type="dxa"/>
          </w:tcPr>
          <w:p w:rsidR="00095FF3" w:rsidRDefault="00C93E40" w:rsidP="00095FF3">
            <w:pPr>
              <w:pStyle w:val="NoSpacing"/>
            </w:pPr>
            <w:r>
              <w:t>N/A</w:t>
            </w:r>
          </w:p>
        </w:tc>
      </w:tr>
      <w:tr w:rsidR="00095FF3" w:rsidTr="00D06A30">
        <w:tc>
          <w:tcPr>
            <w:tcW w:w="704" w:type="dxa"/>
          </w:tcPr>
          <w:p w:rsidR="00095FF3" w:rsidRDefault="00095FF3" w:rsidP="00095FF3">
            <w:pPr>
              <w:pStyle w:val="NoSpacing"/>
            </w:pPr>
            <w:r>
              <w:t>29</w:t>
            </w:r>
          </w:p>
        </w:tc>
        <w:tc>
          <w:tcPr>
            <w:tcW w:w="1559" w:type="dxa"/>
          </w:tcPr>
          <w:p w:rsidR="00095FF3" w:rsidRDefault="00095FF3" w:rsidP="00095FF3">
            <w:r w:rsidRPr="002C522A">
              <w:t xml:space="preserve">FRD 22H </w:t>
            </w:r>
          </w:p>
        </w:tc>
        <w:tc>
          <w:tcPr>
            <w:tcW w:w="10206" w:type="dxa"/>
          </w:tcPr>
          <w:p w:rsidR="00095FF3" w:rsidRPr="00AE5086" w:rsidRDefault="00AE5086" w:rsidP="00AE5086">
            <w:pPr>
              <w:pStyle w:val="NoSpacing"/>
            </w:pPr>
            <w:r w:rsidRPr="00AE5086">
              <w:t>List of other information available on request from the Accountable Officer, and which must</w:t>
            </w:r>
            <w:r>
              <w:t xml:space="preserve"> </w:t>
            </w:r>
            <w:r w:rsidRPr="00AE5086">
              <w:t>be retained by the Accountable Officer (refer to list at 5.19(a) – (l) in the FRD)</w:t>
            </w:r>
          </w:p>
        </w:tc>
        <w:tc>
          <w:tcPr>
            <w:tcW w:w="1479" w:type="dxa"/>
          </w:tcPr>
          <w:p w:rsidR="00095FF3" w:rsidRDefault="00C93E40" w:rsidP="00095FF3">
            <w:pPr>
              <w:pStyle w:val="NoSpacing"/>
            </w:pPr>
            <w:r>
              <w:t>98</w:t>
            </w:r>
          </w:p>
        </w:tc>
      </w:tr>
      <w:tr w:rsidR="00095FF3" w:rsidTr="00D06A30">
        <w:tc>
          <w:tcPr>
            <w:tcW w:w="704" w:type="dxa"/>
          </w:tcPr>
          <w:p w:rsidR="00095FF3" w:rsidRDefault="00095FF3" w:rsidP="00095FF3">
            <w:pPr>
              <w:pStyle w:val="NoSpacing"/>
            </w:pPr>
            <w:r>
              <w:t>30</w:t>
            </w:r>
          </w:p>
        </w:tc>
        <w:tc>
          <w:tcPr>
            <w:tcW w:w="1559" w:type="dxa"/>
          </w:tcPr>
          <w:p w:rsidR="00095FF3" w:rsidRDefault="00095FF3" w:rsidP="00095FF3">
            <w:r w:rsidRPr="002C522A">
              <w:t xml:space="preserve">FRD 22H </w:t>
            </w:r>
          </w:p>
        </w:tc>
        <w:tc>
          <w:tcPr>
            <w:tcW w:w="10206" w:type="dxa"/>
          </w:tcPr>
          <w:p w:rsidR="00AE5086" w:rsidRPr="00AE5086" w:rsidRDefault="00AE5086" w:rsidP="00AE5086">
            <w:pPr>
              <w:pStyle w:val="NoSpacing"/>
            </w:pPr>
            <w:r w:rsidRPr="00AE5086">
              <w:t>An entity shall disclose the following in the report of operations:</w:t>
            </w:r>
          </w:p>
          <w:p w:rsidR="00AE5086" w:rsidRPr="00AE5086" w:rsidRDefault="00AE5086" w:rsidP="00AE5086">
            <w:pPr>
              <w:pStyle w:val="NoSpacing"/>
            </w:pPr>
            <w:r w:rsidRPr="00AE5086">
              <w:t xml:space="preserve">a. Total entity ICT Business As Usual (BAU) expenditure for the </w:t>
            </w:r>
            <w:r>
              <w:t xml:space="preserve">full 12 month reporting period; </w:t>
            </w:r>
            <w:r w:rsidRPr="00AE5086">
              <w:t>and</w:t>
            </w:r>
          </w:p>
          <w:p w:rsidR="00AE5086" w:rsidRPr="00AE5086" w:rsidRDefault="00AE5086" w:rsidP="00AE5086">
            <w:pPr>
              <w:pStyle w:val="NoSpacing"/>
            </w:pPr>
            <w:r w:rsidRPr="00AE5086">
              <w:t>b. Total entity ICT Non-Business As Usual expenditure for the full 12 month reporting period;</w:t>
            </w:r>
            <w:r>
              <w:t xml:space="preserve"> </w:t>
            </w:r>
            <w:r w:rsidRPr="00AE5086">
              <w:t>and provide a breakdown for:</w:t>
            </w:r>
          </w:p>
          <w:p w:rsidR="00AE5086" w:rsidRPr="00AE5086" w:rsidRDefault="00AE5086" w:rsidP="00AE5086">
            <w:pPr>
              <w:pStyle w:val="NoSpacing"/>
            </w:pPr>
            <w:r w:rsidRPr="00AE5086">
              <w:t>(i) Operational expenditure (OPEX); and</w:t>
            </w:r>
          </w:p>
          <w:p w:rsidR="00095FF3" w:rsidRPr="00AE5086" w:rsidRDefault="00AE5086" w:rsidP="00AE5086">
            <w:pPr>
              <w:pStyle w:val="NoSpacing"/>
            </w:pPr>
            <w:r w:rsidRPr="00AE5086">
              <w:t>(ii) Capital expenditure (CAPEX).</w:t>
            </w:r>
          </w:p>
        </w:tc>
        <w:tc>
          <w:tcPr>
            <w:tcW w:w="1479" w:type="dxa"/>
          </w:tcPr>
          <w:p w:rsidR="00095FF3" w:rsidRDefault="00C93E40" w:rsidP="00095FF3">
            <w:pPr>
              <w:pStyle w:val="NoSpacing"/>
            </w:pPr>
            <w:r>
              <w:t>101</w:t>
            </w:r>
          </w:p>
        </w:tc>
      </w:tr>
      <w:tr w:rsidR="00095FF3" w:rsidTr="00D06A30">
        <w:tc>
          <w:tcPr>
            <w:tcW w:w="704" w:type="dxa"/>
          </w:tcPr>
          <w:p w:rsidR="00095FF3" w:rsidRDefault="00095FF3" w:rsidP="00D06A30">
            <w:pPr>
              <w:pStyle w:val="NoSpacing"/>
            </w:pPr>
            <w:r>
              <w:t>31</w:t>
            </w:r>
          </w:p>
        </w:tc>
        <w:tc>
          <w:tcPr>
            <w:tcW w:w="1559" w:type="dxa"/>
          </w:tcPr>
          <w:p w:rsidR="00095FF3" w:rsidRDefault="00095FF3" w:rsidP="00D06A30">
            <w:r>
              <w:t>FRD 25C</w:t>
            </w:r>
          </w:p>
        </w:tc>
        <w:tc>
          <w:tcPr>
            <w:tcW w:w="10206" w:type="dxa"/>
          </w:tcPr>
          <w:p w:rsidR="00095FF3" w:rsidRPr="00AE5086" w:rsidRDefault="00AE5086" w:rsidP="00AE5086">
            <w:pPr>
              <w:pStyle w:val="NoSpacing"/>
            </w:pPr>
            <w:r w:rsidRPr="00AE5086">
              <w:t>Victorian Industry Participation Policy Disclosures</w:t>
            </w:r>
          </w:p>
        </w:tc>
        <w:tc>
          <w:tcPr>
            <w:tcW w:w="1479" w:type="dxa"/>
          </w:tcPr>
          <w:p w:rsidR="00095FF3" w:rsidRDefault="00C93E40" w:rsidP="00D06A30">
            <w:pPr>
              <w:pStyle w:val="NoSpacing"/>
            </w:pPr>
            <w:r>
              <w:t>97</w:t>
            </w:r>
          </w:p>
        </w:tc>
      </w:tr>
      <w:tr w:rsidR="00095FF3" w:rsidTr="00D06A30">
        <w:tc>
          <w:tcPr>
            <w:tcW w:w="704" w:type="dxa"/>
          </w:tcPr>
          <w:p w:rsidR="00095FF3" w:rsidRDefault="00095FF3" w:rsidP="00D06A30">
            <w:pPr>
              <w:pStyle w:val="NoSpacing"/>
            </w:pPr>
            <w:r>
              <w:t>32</w:t>
            </w:r>
          </w:p>
        </w:tc>
        <w:tc>
          <w:tcPr>
            <w:tcW w:w="1559" w:type="dxa"/>
          </w:tcPr>
          <w:p w:rsidR="00095FF3" w:rsidRDefault="00095FF3" w:rsidP="00D06A30">
            <w:r>
              <w:t>FRD 26B</w:t>
            </w:r>
          </w:p>
        </w:tc>
        <w:tc>
          <w:tcPr>
            <w:tcW w:w="10206" w:type="dxa"/>
          </w:tcPr>
          <w:p w:rsidR="00095FF3" w:rsidRPr="00AE5086" w:rsidRDefault="00AE5086" w:rsidP="00AE5086">
            <w:pPr>
              <w:pStyle w:val="NoSpacing"/>
            </w:pPr>
            <w:r w:rsidRPr="00AE5086">
              <w:t>Accounting for VicFleet motor vehicle lease arrangements on or after 1 February 2004</w:t>
            </w:r>
          </w:p>
        </w:tc>
        <w:tc>
          <w:tcPr>
            <w:tcW w:w="1479" w:type="dxa"/>
          </w:tcPr>
          <w:p w:rsidR="00095FF3" w:rsidRDefault="00C93E40" w:rsidP="00D06A30">
            <w:pPr>
              <w:pStyle w:val="NoSpacing"/>
            </w:pPr>
            <w:r>
              <w:t>N/A</w:t>
            </w:r>
          </w:p>
        </w:tc>
      </w:tr>
      <w:tr w:rsidR="00095FF3" w:rsidTr="00D06A30">
        <w:tc>
          <w:tcPr>
            <w:tcW w:w="704" w:type="dxa"/>
          </w:tcPr>
          <w:p w:rsidR="00095FF3" w:rsidRDefault="00095FF3" w:rsidP="00D06A30">
            <w:pPr>
              <w:pStyle w:val="NoSpacing"/>
            </w:pPr>
            <w:r>
              <w:t>33</w:t>
            </w:r>
          </w:p>
        </w:tc>
        <w:tc>
          <w:tcPr>
            <w:tcW w:w="1559" w:type="dxa"/>
          </w:tcPr>
          <w:p w:rsidR="00095FF3" w:rsidRDefault="00095FF3" w:rsidP="00D06A30">
            <w:r>
              <w:t>FRD 29B</w:t>
            </w:r>
          </w:p>
        </w:tc>
        <w:tc>
          <w:tcPr>
            <w:tcW w:w="10206" w:type="dxa"/>
          </w:tcPr>
          <w:p w:rsidR="00095FF3" w:rsidRPr="00AE5086" w:rsidRDefault="00AE5086" w:rsidP="00AE5086">
            <w:pPr>
              <w:pStyle w:val="NoSpacing"/>
            </w:pPr>
            <w:r w:rsidRPr="00AE5086">
              <w:t>Workforce Data Disclosures on the public service employee workforce.</w:t>
            </w:r>
            <w:r>
              <w:t xml:space="preserve"> </w:t>
            </w:r>
            <w:r w:rsidRPr="00AE5086">
              <w:t>Note: TAFEs must report on a calendar year basis (ie not financial year basis).</w:t>
            </w:r>
          </w:p>
        </w:tc>
        <w:tc>
          <w:tcPr>
            <w:tcW w:w="1479" w:type="dxa"/>
          </w:tcPr>
          <w:p w:rsidR="00095FF3" w:rsidRDefault="00C93E40" w:rsidP="00D06A30">
            <w:pPr>
              <w:pStyle w:val="NoSpacing"/>
            </w:pPr>
            <w:r>
              <w:t>20-21</w:t>
            </w:r>
          </w:p>
        </w:tc>
      </w:tr>
      <w:tr w:rsidR="00095FF3" w:rsidTr="00D06A30">
        <w:tc>
          <w:tcPr>
            <w:tcW w:w="704" w:type="dxa"/>
          </w:tcPr>
          <w:p w:rsidR="00095FF3" w:rsidRDefault="00095FF3" w:rsidP="00D06A30">
            <w:pPr>
              <w:pStyle w:val="NoSpacing"/>
            </w:pPr>
            <w:r>
              <w:t>34</w:t>
            </w:r>
          </w:p>
        </w:tc>
        <w:tc>
          <w:tcPr>
            <w:tcW w:w="1559" w:type="dxa"/>
          </w:tcPr>
          <w:p w:rsidR="00095FF3" w:rsidRDefault="00095FF3" w:rsidP="00D06A30">
            <w:r>
              <w:t>SD 3.7.1</w:t>
            </w:r>
          </w:p>
        </w:tc>
        <w:tc>
          <w:tcPr>
            <w:tcW w:w="10206" w:type="dxa"/>
          </w:tcPr>
          <w:p w:rsidR="00095FF3" w:rsidRPr="00AE5086" w:rsidRDefault="00AE5086" w:rsidP="00AE5086">
            <w:pPr>
              <w:pStyle w:val="NoSpacing"/>
            </w:pPr>
            <w:r w:rsidRPr="00AE5086">
              <w:t>The Responsible Body must ensure that the Agency applies the Victorian Government Risk</w:t>
            </w:r>
            <w:r>
              <w:t xml:space="preserve"> </w:t>
            </w:r>
            <w:r w:rsidRPr="00AE5086">
              <w:t>Management Framework.</w:t>
            </w:r>
          </w:p>
        </w:tc>
        <w:tc>
          <w:tcPr>
            <w:tcW w:w="1479" w:type="dxa"/>
          </w:tcPr>
          <w:p w:rsidR="00095FF3" w:rsidRDefault="00C93E40" w:rsidP="00D06A30">
            <w:pPr>
              <w:pStyle w:val="NoSpacing"/>
            </w:pPr>
            <w:r>
              <w:t>37</w:t>
            </w:r>
          </w:p>
        </w:tc>
      </w:tr>
      <w:tr w:rsidR="00095FF3" w:rsidTr="00D06A30">
        <w:tc>
          <w:tcPr>
            <w:tcW w:w="704" w:type="dxa"/>
          </w:tcPr>
          <w:p w:rsidR="00095FF3" w:rsidRDefault="00095FF3" w:rsidP="00D06A30">
            <w:pPr>
              <w:pStyle w:val="NoSpacing"/>
            </w:pPr>
            <w:r>
              <w:t>35</w:t>
            </w:r>
          </w:p>
        </w:tc>
        <w:tc>
          <w:tcPr>
            <w:tcW w:w="1559" w:type="dxa"/>
          </w:tcPr>
          <w:p w:rsidR="00095FF3" w:rsidRDefault="00095FF3" w:rsidP="00D06A30">
            <w:r>
              <w:t>FRD 22H</w:t>
            </w:r>
          </w:p>
        </w:tc>
        <w:tc>
          <w:tcPr>
            <w:tcW w:w="10206" w:type="dxa"/>
          </w:tcPr>
          <w:p w:rsidR="00095FF3" w:rsidRPr="00AE5086" w:rsidRDefault="00AE5086" w:rsidP="00AE5086">
            <w:pPr>
              <w:pStyle w:val="NoSpacing"/>
            </w:pPr>
            <w:r w:rsidRPr="00AE5086">
              <w:t>An entity’s report of operations shall contain general and financial information, including</w:t>
            </w:r>
            <w:r>
              <w:t xml:space="preserve"> </w:t>
            </w:r>
            <w:r w:rsidRPr="00AE5086">
              <w:t>other relevant information, outlining and explaining an entity’s operations and activities for</w:t>
            </w:r>
            <w:r>
              <w:t xml:space="preserve"> </w:t>
            </w:r>
            <w:r w:rsidRPr="00AE5086">
              <w:t>the reporting period.</w:t>
            </w:r>
          </w:p>
        </w:tc>
        <w:tc>
          <w:tcPr>
            <w:tcW w:w="1479" w:type="dxa"/>
          </w:tcPr>
          <w:p w:rsidR="00095FF3" w:rsidRDefault="00C93E40" w:rsidP="00D06A30">
            <w:pPr>
              <w:pStyle w:val="NoSpacing"/>
            </w:pPr>
            <w:r>
              <w:t>6-19, 29</w:t>
            </w:r>
          </w:p>
        </w:tc>
      </w:tr>
      <w:tr w:rsidR="00095FF3" w:rsidTr="00D06A30">
        <w:tc>
          <w:tcPr>
            <w:tcW w:w="704" w:type="dxa"/>
          </w:tcPr>
          <w:p w:rsidR="00095FF3" w:rsidRDefault="00095FF3" w:rsidP="00D06A30">
            <w:pPr>
              <w:pStyle w:val="NoSpacing"/>
            </w:pPr>
            <w:r>
              <w:t>36</w:t>
            </w:r>
          </w:p>
        </w:tc>
        <w:tc>
          <w:tcPr>
            <w:tcW w:w="1559" w:type="dxa"/>
          </w:tcPr>
          <w:p w:rsidR="00095FF3" w:rsidRDefault="00095FF3" w:rsidP="00D06A30">
            <w:r>
              <w:t>SD 5.2.1(a)</w:t>
            </w:r>
          </w:p>
        </w:tc>
        <w:tc>
          <w:tcPr>
            <w:tcW w:w="10206" w:type="dxa"/>
          </w:tcPr>
          <w:p w:rsidR="00095FF3" w:rsidRPr="00AE5086" w:rsidRDefault="00AE5086" w:rsidP="00AE5086">
            <w:pPr>
              <w:pStyle w:val="NoSpacing"/>
            </w:pPr>
            <w:r w:rsidRPr="00AE5086">
              <w:t>The Accountable Officer must implement and maintain a process to ensure the Agency’s</w:t>
            </w:r>
            <w:r>
              <w:t xml:space="preserve"> </w:t>
            </w:r>
            <w:r w:rsidRPr="00AE5086">
              <w:t>Annual Report is prepared in accordance with the FMA, these Directions, the Instructions,</w:t>
            </w:r>
            <w:r>
              <w:t xml:space="preserve"> </w:t>
            </w:r>
            <w:r w:rsidRPr="00AE5086">
              <w:t>applicable Australian Accounting Standards and Financial Reporting Directions.</w:t>
            </w:r>
          </w:p>
        </w:tc>
        <w:tc>
          <w:tcPr>
            <w:tcW w:w="1479" w:type="dxa"/>
          </w:tcPr>
          <w:p w:rsidR="00095FF3" w:rsidRDefault="00C93E40" w:rsidP="00D06A30">
            <w:pPr>
              <w:pStyle w:val="NoSpacing"/>
            </w:pPr>
            <w:r>
              <w:t>2, 41, 48</w:t>
            </w:r>
          </w:p>
        </w:tc>
      </w:tr>
    </w:tbl>
    <w:p w:rsidR="00F5306D" w:rsidRDefault="00F5306D" w:rsidP="00084A82">
      <w:pPr>
        <w:pStyle w:val="NoSpacing"/>
      </w:pPr>
    </w:p>
    <w:p w:rsidR="00095FF3" w:rsidRDefault="00095FF3" w:rsidP="00084A82">
      <w:pPr>
        <w:pStyle w:val="NoSpacing"/>
      </w:pPr>
      <w:r>
        <w:t>&lt;pp&gt;94</w:t>
      </w:r>
    </w:p>
    <w:p w:rsidR="002C4C34" w:rsidRDefault="002C4C34" w:rsidP="003D3419">
      <w:pPr>
        <w:pStyle w:val="NoSpacing"/>
      </w:pPr>
    </w:p>
    <w:tbl>
      <w:tblPr>
        <w:tblStyle w:val="TableGrid"/>
        <w:tblW w:w="0" w:type="auto"/>
        <w:tblLook w:val="04A0" w:firstRow="1" w:lastRow="0" w:firstColumn="1" w:lastColumn="0" w:noHBand="0" w:noVBand="1"/>
      </w:tblPr>
      <w:tblGrid>
        <w:gridCol w:w="704"/>
        <w:gridCol w:w="1559"/>
        <w:gridCol w:w="10206"/>
        <w:gridCol w:w="1479"/>
      </w:tblGrid>
      <w:tr w:rsidR="005C15E2" w:rsidTr="00D06A30">
        <w:tc>
          <w:tcPr>
            <w:tcW w:w="704" w:type="dxa"/>
          </w:tcPr>
          <w:p w:rsidR="005C15E2" w:rsidRDefault="005C15E2" w:rsidP="00D06A30">
            <w:pPr>
              <w:pStyle w:val="NoSpacing"/>
            </w:pPr>
            <w:r>
              <w:t>37</w:t>
            </w:r>
          </w:p>
        </w:tc>
        <w:tc>
          <w:tcPr>
            <w:tcW w:w="1559" w:type="dxa"/>
          </w:tcPr>
          <w:p w:rsidR="005C15E2" w:rsidRDefault="005C15E2" w:rsidP="00D06A30">
            <w:r>
              <w:t>SD 5.2.3</w:t>
            </w:r>
          </w:p>
        </w:tc>
        <w:tc>
          <w:tcPr>
            <w:tcW w:w="10206" w:type="dxa"/>
          </w:tcPr>
          <w:p w:rsidR="005C15E2" w:rsidRPr="00AE5086" w:rsidRDefault="005C15E2" w:rsidP="00D06A30">
            <w:pPr>
              <w:pStyle w:val="NoSpacing"/>
            </w:pPr>
            <w:r>
              <w:t>The report of operations must be signed and dated by the Responsible Body or a member of the Responsible Body</w:t>
            </w:r>
          </w:p>
        </w:tc>
        <w:tc>
          <w:tcPr>
            <w:tcW w:w="1479" w:type="dxa"/>
          </w:tcPr>
          <w:p w:rsidR="005C15E2" w:rsidRDefault="005C15E2" w:rsidP="00D06A30">
            <w:pPr>
              <w:pStyle w:val="NoSpacing"/>
            </w:pPr>
            <w:r>
              <w:t>2</w:t>
            </w:r>
          </w:p>
        </w:tc>
      </w:tr>
      <w:tr w:rsidR="005C15E2" w:rsidTr="00D06A30">
        <w:tc>
          <w:tcPr>
            <w:tcW w:w="704" w:type="dxa"/>
          </w:tcPr>
          <w:p w:rsidR="005C15E2" w:rsidRDefault="005C15E2" w:rsidP="00D06A30">
            <w:pPr>
              <w:pStyle w:val="NoSpacing"/>
            </w:pPr>
            <w:r>
              <w:t>38</w:t>
            </w:r>
          </w:p>
        </w:tc>
        <w:tc>
          <w:tcPr>
            <w:tcW w:w="1559" w:type="dxa"/>
          </w:tcPr>
          <w:p w:rsidR="005C15E2" w:rsidRDefault="005C15E2" w:rsidP="00D06A30">
            <w:r>
              <w:t xml:space="preserve">CG 10 </w:t>
            </w:r>
          </w:p>
          <w:p w:rsidR="005C15E2" w:rsidRDefault="005C15E2" w:rsidP="00D06A30">
            <w:r>
              <w:t>(clause 27)</w:t>
            </w:r>
          </w:p>
        </w:tc>
        <w:tc>
          <w:tcPr>
            <w:tcW w:w="10206" w:type="dxa"/>
          </w:tcPr>
          <w:p w:rsidR="005C15E2" w:rsidRPr="00AE5086" w:rsidRDefault="005C15E2" w:rsidP="00D06A30">
            <w:pPr>
              <w:pStyle w:val="NoSpacing"/>
            </w:pPr>
            <w:r>
              <w:t xml:space="preserve">Register of Major Commercial Activities and Report </w:t>
            </w:r>
          </w:p>
        </w:tc>
        <w:tc>
          <w:tcPr>
            <w:tcW w:w="1479" w:type="dxa"/>
          </w:tcPr>
          <w:p w:rsidR="005C15E2" w:rsidRDefault="005C15E2" w:rsidP="00D06A30">
            <w:pPr>
              <w:pStyle w:val="NoSpacing"/>
            </w:pPr>
            <w:r>
              <w:t>100</w:t>
            </w:r>
          </w:p>
        </w:tc>
      </w:tr>
      <w:tr w:rsidR="005C15E2" w:rsidTr="00D06A30">
        <w:tc>
          <w:tcPr>
            <w:tcW w:w="704" w:type="dxa"/>
          </w:tcPr>
          <w:p w:rsidR="005C15E2" w:rsidRDefault="005C15E2" w:rsidP="00D06A30">
            <w:pPr>
              <w:pStyle w:val="NoSpacing"/>
            </w:pPr>
            <w:r>
              <w:t>39</w:t>
            </w:r>
          </w:p>
        </w:tc>
        <w:tc>
          <w:tcPr>
            <w:tcW w:w="1559" w:type="dxa"/>
          </w:tcPr>
          <w:p w:rsidR="005C15E2" w:rsidRDefault="005C15E2" w:rsidP="00D06A30">
            <w:r>
              <w:t>CG 12</w:t>
            </w:r>
          </w:p>
          <w:p w:rsidR="005C15E2" w:rsidRDefault="005C15E2" w:rsidP="00D06A30">
            <w:r>
              <w:t>(clause 33)</w:t>
            </w:r>
          </w:p>
        </w:tc>
        <w:tc>
          <w:tcPr>
            <w:tcW w:w="10206" w:type="dxa"/>
          </w:tcPr>
          <w:p w:rsidR="005C15E2" w:rsidRPr="00AE5086" w:rsidRDefault="005C15E2" w:rsidP="00D06A30">
            <w:pPr>
              <w:pStyle w:val="NoSpacing"/>
            </w:pPr>
            <w:r>
              <w:t xml:space="preserve">TAFE Institute Controlled Entities </w:t>
            </w:r>
          </w:p>
        </w:tc>
        <w:tc>
          <w:tcPr>
            <w:tcW w:w="1479" w:type="dxa"/>
          </w:tcPr>
          <w:p w:rsidR="005C15E2" w:rsidRDefault="005C15E2" w:rsidP="00D06A30">
            <w:pPr>
              <w:pStyle w:val="NoSpacing"/>
            </w:pPr>
            <w:r>
              <w:t>87</w:t>
            </w:r>
          </w:p>
        </w:tc>
      </w:tr>
    </w:tbl>
    <w:p w:rsidR="002C4C34" w:rsidRDefault="002C4C34" w:rsidP="003D3419">
      <w:pPr>
        <w:pStyle w:val="NoSpacing"/>
      </w:pPr>
    </w:p>
    <w:p w:rsidR="005C15E2" w:rsidRPr="005C15E2" w:rsidRDefault="005C15E2" w:rsidP="003D3419">
      <w:pPr>
        <w:pStyle w:val="NoSpacing"/>
        <w:rPr>
          <w:caps/>
        </w:rPr>
      </w:pPr>
      <w:r w:rsidRPr="005C15E2">
        <w:rPr>
          <w:caps/>
        </w:rPr>
        <w:t xml:space="preserve">Financial Report </w:t>
      </w:r>
    </w:p>
    <w:p w:rsidR="005C15E2" w:rsidRDefault="005C15E2" w:rsidP="003D3419">
      <w:pPr>
        <w:pStyle w:val="NoSpacing"/>
      </w:pPr>
    </w:p>
    <w:p w:rsidR="005C15E2" w:rsidRDefault="005C15E2" w:rsidP="003D3419">
      <w:pPr>
        <w:pStyle w:val="NoSpacing"/>
      </w:pPr>
    </w:p>
    <w:tbl>
      <w:tblPr>
        <w:tblStyle w:val="TableGrid"/>
        <w:tblW w:w="0" w:type="auto"/>
        <w:tblLook w:val="04A0" w:firstRow="1" w:lastRow="0" w:firstColumn="1" w:lastColumn="0" w:noHBand="0" w:noVBand="1"/>
      </w:tblPr>
      <w:tblGrid>
        <w:gridCol w:w="704"/>
        <w:gridCol w:w="1559"/>
        <w:gridCol w:w="10206"/>
        <w:gridCol w:w="1479"/>
      </w:tblGrid>
      <w:tr w:rsidR="005C15E2" w:rsidRPr="005C15E2" w:rsidTr="005C15E2">
        <w:tc>
          <w:tcPr>
            <w:tcW w:w="13948" w:type="dxa"/>
            <w:gridSpan w:val="4"/>
          </w:tcPr>
          <w:p w:rsidR="005C15E2" w:rsidRPr="005C15E2" w:rsidRDefault="005C15E2" w:rsidP="00D06A30">
            <w:pPr>
              <w:pStyle w:val="NoSpacing"/>
            </w:pPr>
            <w:r w:rsidRPr="005C15E2">
              <w:t xml:space="preserve">Financial statements required under Part 7 of the Financial Management Act 1984 </w:t>
            </w:r>
          </w:p>
        </w:tc>
      </w:tr>
      <w:tr w:rsidR="005C15E2" w:rsidTr="005C15E2">
        <w:tc>
          <w:tcPr>
            <w:tcW w:w="704" w:type="dxa"/>
          </w:tcPr>
          <w:p w:rsidR="005C15E2" w:rsidRDefault="005C15E2" w:rsidP="00D06A30">
            <w:pPr>
              <w:pStyle w:val="NoSpacing"/>
            </w:pPr>
            <w:r>
              <w:t>40</w:t>
            </w:r>
          </w:p>
        </w:tc>
        <w:tc>
          <w:tcPr>
            <w:tcW w:w="1559" w:type="dxa"/>
          </w:tcPr>
          <w:p w:rsidR="005C15E2" w:rsidRDefault="00BA1B39" w:rsidP="00D06A30">
            <w:r>
              <w:t>SD 5.2.2(b)</w:t>
            </w:r>
          </w:p>
        </w:tc>
        <w:tc>
          <w:tcPr>
            <w:tcW w:w="10206" w:type="dxa"/>
          </w:tcPr>
          <w:p w:rsidR="00BA1B39" w:rsidRPr="00BA1B39" w:rsidRDefault="00BA1B39" w:rsidP="00BA1B39">
            <w:pPr>
              <w:pStyle w:val="NoSpacing"/>
            </w:pPr>
            <w:r w:rsidRPr="00BA1B39">
              <w:t>The declaration required under Direction 5.2.2(a) must state that in the joint opinion of the</w:t>
            </w:r>
          </w:p>
          <w:p w:rsidR="00BA1B39" w:rsidRPr="00BA1B39" w:rsidRDefault="00BA1B39" w:rsidP="00BA1B39">
            <w:pPr>
              <w:pStyle w:val="NoSpacing"/>
            </w:pPr>
            <w:r w:rsidRPr="00BA1B39">
              <w:t>signing persons:</w:t>
            </w:r>
          </w:p>
          <w:p w:rsidR="00BA1B39" w:rsidRPr="00BA1B39" w:rsidRDefault="00BA1B39" w:rsidP="00BA1B39">
            <w:pPr>
              <w:pStyle w:val="NoSpacing"/>
            </w:pPr>
            <w:r w:rsidRPr="00BA1B39">
              <w:t>• The financial statements present fairly the financial tr</w:t>
            </w:r>
            <w:r>
              <w:t xml:space="preserve">ansactions during the reporting </w:t>
            </w:r>
            <w:r w:rsidRPr="00BA1B39">
              <w:t>period and the financial position at the end of that period.</w:t>
            </w:r>
          </w:p>
          <w:p w:rsidR="005C15E2" w:rsidRPr="00AE5086" w:rsidRDefault="00BA1B39" w:rsidP="00BA1B39">
            <w:pPr>
              <w:pStyle w:val="NoSpacing"/>
            </w:pPr>
            <w:r w:rsidRPr="00BA1B39">
              <w:t>• The financial statements have been prepare</w:t>
            </w:r>
            <w:r>
              <w:t xml:space="preserve">d in accordance with applicable </w:t>
            </w:r>
            <w:r w:rsidRPr="00BA1B39">
              <w:t>requirements in the FMA, the Directions, the Financial Reporting Directions and</w:t>
            </w:r>
            <w:r>
              <w:t xml:space="preserve"> </w:t>
            </w:r>
            <w:r w:rsidRPr="00BA1B39">
              <w:t>Australian Accounting Standards.</w:t>
            </w:r>
          </w:p>
        </w:tc>
        <w:tc>
          <w:tcPr>
            <w:tcW w:w="1479" w:type="dxa"/>
          </w:tcPr>
          <w:p w:rsidR="005C15E2" w:rsidRDefault="00BA1B39" w:rsidP="00D06A30">
            <w:pPr>
              <w:pStyle w:val="NoSpacing"/>
            </w:pPr>
            <w:r>
              <w:t>41</w:t>
            </w:r>
          </w:p>
        </w:tc>
      </w:tr>
    </w:tbl>
    <w:p w:rsidR="002C4C34" w:rsidRDefault="002C4C34" w:rsidP="003D3419">
      <w:pPr>
        <w:pStyle w:val="NoSpacing"/>
      </w:pPr>
    </w:p>
    <w:tbl>
      <w:tblPr>
        <w:tblStyle w:val="TableGrid"/>
        <w:tblW w:w="0" w:type="auto"/>
        <w:tblLook w:val="04A0" w:firstRow="1" w:lastRow="0" w:firstColumn="1" w:lastColumn="0" w:noHBand="0" w:noVBand="1"/>
      </w:tblPr>
      <w:tblGrid>
        <w:gridCol w:w="704"/>
        <w:gridCol w:w="1559"/>
        <w:gridCol w:w="10206"/>
        <w:gridCol w:w="1479"/>
      </w:tblGrid>
      <w:tr w:rsidR="000F6BAC" w:rsidRPr="000F6BAC" w:rsidTr="000F6BAC">
        <w:tc>
          <w:tcPr>
            <w:tcW w:w="13948" w:type="dxa"/>
            <w:gridSpan w:val="4"/>
          </w:tcPr>
          <w:p w:rsidR="000F6BAC" w:rsidRPr="000F6BAC" w:rsidRDefault="000F6BAC" w:rsidP="00D06A30">
            <w:pPr>
              <w:pStyle w:val="NoSpacing"/>
            </w:pPr>
            <w:r w:rsidRPr="000F6BAC">
              <w:t>Other requirements under Standing Direction/ Financial Management Act 1994</w:t>
            </w:r>
          </w:p>
        </w:tc>
      </w:tr>
      <w:tr w:rsidR="000F6BAC" w:rsidTr="000F6BAC">
        <w:tc>
          <w:tcPr>
            <w:tcW w:w="704" w:type="dxa"/>
          </w:tcPr>
          <w:p w:rsidR="000F6BAC" w:rsidRDefault="000F6BAC" w:rsidP="00D06A30">
            <w:pPr>
              <w:pStyle w:val="NoSpacing"/>
            </w:pPr>
            <w:r>
              <w:t>41</w:t>
            </w:r>
          </w:p>
        </w:tc>
        <w:tc>
          <w:tcPr>
            <w:tcW w:w="1559" w:type="dxa"/>
          </w:tcPr>
          <w:p w:rsidR="000F6BAC" w:rsidRDefault="000F6BAC" w:rsidP="00D06A30">
            <w:r>
              <w:t>SD 5.2.2(a) and FMA s 49</w:t>
            </w:r>
          </w:p>
        </w:tc>
        <w:tc>
          <w:tcPr>
            <w:tcW w:w="10206" w:type="dxa"/>
          </w:tcPr>
          <w:p w:rsidR="000F6BAC" w:rsidRPr="000F6BAC" w:rsidRDefault="000F6BAC" w:rsidP="000F6BAC">
            <w:pPr>
              <w:pStyle w:val="NoSpacing"/>
            </w:pPr>
            <w:r w:rsidRPr="000F6BAC">
              <w:t>An Agency’s financial statements must include a signed and dated declaration by:</w:t>
            </w:r>
          </w:p>
          <w:p w:rsidR="000F6BAC" w:rsidRPr="000F6BAC" w:rsidRDefault="000F6BAC" w:rsidP="000F6BAC">
            <w:pPr>
              <w:pStyle w:val="NoSpacing"/>
            </w:pPr>
            <w:r w:rsidRPr="000F6BAC">
              <w:t>• the Accountable Officer;</w:t>
            </w:r>
          </w:p>
          <w:p w:rsidR="000F6BAC" w:rsidRPr="000F6BAC" w:rsidRDefault="000F6BAC" w:rsidP="000F6BAC">
            <w:pPr>
              <w:pStyle w:val="NoSpacing"/>
            </w:pPr>
            <w:r w:rsidRPr="000F6BAC">
              <w:t>• subject to Direction 5.2.2(c), the CFO; and</w:t>
            </w:r>
          </w:p>
          <w:p w:rsidR="000F6BAC" w:rsidRPr="000F6BAC" w:rsidRDefault="000F6BAC" w:rsidP="000F6BAC">
            <w:pPr>
              <w:pStyle w:val="NoSpacing"/>
            </w:pPr>
            <w:r w:rsidRPr="000F6BAC">
              <w:t>• for Agencies with a statutory board or equivalent g</w:t>
            </w:r>
            <w:r>
              <w:t xml:space="preserve">overning body established by or </w:t>
            </w:r>
            <w:r w:rsidRPr="000F6BAC">
              <w:t>under statute, a member of the Responsible Body.</w:t>
            </w:r>
          </w:p>
        </w:tc>
        <w:tc>
          <w:tcPr>
            <w:tcW w:w="1479" w:type="dxa"/>
          </w:tcPr>
          <w:p w:rsidR="000F6BAC" w:rsidRDefault="000F6BAC" w:rsidP="00D06A30">
            <w:pPr>
              <w:pStyle w:val="NoSpacing"/>
            </w:pPr>
            <w:r>
              <w:t>41</w:t>
            </w:r>
          </w:p>
        </w:tc>
      </w:tr>
      <w:tr w:rsidR="000F6BAC" w:rsidTr="000F6BAC">
        <w:tc>
          <w:tcPr>
            <w:tcW w:w="704" w:type="dxa"/>
          </w:tcPr>
          <w:p w:rsidR="000F6BAC" w:rsidRDefault="000F6BAC" w:rsidP="00D06A30">
            <w:pPr>
              <w:pStyle w:val="NoSpacing"/>
            </w:pPr>
            <w:r>
              <w:t>42</w:t>
            </w:r>
          </w:p>
        </w:tc>
        <w:tc>
          <w:tcPr>
            <w:tcW w:w="1559" w:type="dxa"/>
          </w:tcPr>
          <w:p w:rsidR="000F6BAC" w:rsidRDefault="000F6BAC" w:rsidP="00D06A30">
            <w:r>
              <w:t>FRD 30D</w:t>
            </w:r>
          </w:p>
        </w:tc>
        <w:tc>
          <w:tcPr>
            <w:tcW w:w="10206" w:type="dxa"/>
          </w:tcPr>
          <w:p w:rsidR="000F6BAC" w:rsidRPr="000F6BAC" w:rsidRDefault="000F6BAC" w:rsidP="000F6BAC">
            <w:pPr>
              <w:pStyle w:val="NoSpacing"/>
            </w:pPr>
            <w:r w:rsidRPr="000F6BAC">
              <w:t>Rounding of amounts</w:t>
            </w:r>
          </w:p>
        </w:tc>
        <w:tc>
          <w:tcPr>
            <w:tcW w:w="1479" w:type="dxa"/>
          </w:tcPr>
          <w:p w:rsidR="000F6BAC" w:rsidRDefault="000F6BAC" w:rsidP="00D06A30">
            <w:pPr>
              <w:pStyle w:val="NoSpacing"/>
            </w:pPr>
            <w:r>
              <w:t>47</w:t>
            </w:r>
          </w:p>
        </w:tc>
      </w:tr>
      <w:tr w:rsidR="000F6BAC" w:rsidTr="000F6BAC">
        <w:tc>
          <w:tcPr>
            <w:tcW w:w="704" w:type="dxa"/>
          </w:tcPr>
          <w:p w:rsidR="000F6BAC" w:rsidRDefault="000F6BAC" w:rsidP="00D06A30">
            <w:pPr>
              <w:pStyle w:val="NoSpacing"/>
            </w:pPr>
            <w:r>
              <w:t>43</w:t>
            </w:r>
          </w:p>
        </w:tc>
        <w:tc>
          <w:tcPr>
            <w:tcW w:w="1559" w:type="dxa"/>
          </w:tcPr>
          <w:p w:rsidR="000F6BAC" w:rsidRDefault="000F6BAC" w:rsidP="00D06A30">
            <w:r>
              <w:t>SD 3.2.1.1(c)</w:t>
            </w:r>
          </w:p>
        </w:tc>
        <w:tc>
          <w:tcPr>
            <w:tcW w:w="10206" w:type="dxa"/>
          </w:tcPr>
          <w:p w:rsidR="000F6BAC" w:rsidRPr="000F6BAC" w:rsidRDefault="000F6BAC" w:rsidP="000F6BAC">
            <w:pPr>
              <w:pStyle w:val="NoSpacing"/>
            </w:pPr>
            <w:r w:rsidRPr="000F6BAC">
              <w:t>The Responsible Body must establish an Audit Committee to:</w:t>
            </w:r>
          </w:p>
          <w:p w:rsidR="000F6BAC" w:rsidRPr="000F6BAC" w:rsidRDefault="000F6BAC" w:rsidP="000F6BAC">
            <w:pPr>
              <w:pStyle w:val="NoSpacing"/>
            </w:pPr>
            <w:r w:rsidRPr="000F6BAC">
              <w:t>• review annual financial statements and make a recommendation to the Responsible</w:t>
            </w:r>
            <w:r>
              <w:t xml:space="preserve"> </w:t>
            </w:r>
            <w:r w:rsidRPr="000F6BAC">
              <w:t>Body as to whether to authorise the statements before they are released to Parliament</w:t>
            </w:r>
            <w:r>
              <w:t xml:space="preserve"> </w:t>
            </w:r>
            <w:r w:rsidRPr="000F6BAC">
              <w:t>by the Responsible Minister.</w:t>
            </w:r>
          </w:p>
        </w:tc>
        <w:tc>
          <w:tcPr>
            <w:tcW w:w="1479" w:type="dxa"/>
          </w:tcPr>
          <w:p w:rsidR="000F6BAC" w:rsidRDefault="000F6BAC" w:rsidP="00D06A30">
            <w:pPr>
              <w:pStyle w:val="NoSpacing"/>
            </w:pPr>
            <w:r>
              <w:t>34-35</w:t>
            </w:r>
          </w:p>
        </w:tc>
      </w:tr>
    </w:tbl>
    <w:p w:rsidR="00BA1B39" w:rsidRDefault="00BA1B39" w:rsidP="003D3419">
      <w:pPr>
        <w:pStyle w:val="NoSpacing"/>
      </w:pPr>
    </w:p>
    <w:tbl>
      <w:tblPr>
        <w:tblStyle w:val="TableGrid"/>
        <w:tblW w:w="0" w:type="auto"/>
        <w:tblLook w:val="04A0" w:firstRow="1" w:lastRow="0" w:firstColumn="1" w:lastColumn="0" w:noHBand="0" w:noVBand="1"/>
      </w:tblPr>
      <w:tblGrid>
        <w:gridCol w:w="704"/>
        <w:gridCol w:w="1559"/>
        <w:gridCol w:w="10206"/>
        <w:gridCol w:w="1479"/>
      </w:tblGrid>
      <w:tr w:rsidR="000F6BAC" w:rsidRPr="000F6BAC" w:rsidTr="000F6BAC">
        <w:tc>
          <w:tcPr>
            <w:tcW w:w="13948" w:type="dxa"/>
            <w:gridSpan w:val="4"/>
          </w:tcPr>
          <w:p w:rsidR="000F6BAC" w:rsidRPr="000F6BAC" w:rsidRDefault="000F6BAC" w:rsidP="00D06A30">
            <w:pPr>
              <w:pStyle w:val="NoSpacing"/>
            </w:pPr>
            <w:r w:rsidRPr="000F6BAC">
              <w:t xml:space="preserve">Other requirements as per financial reporting directions in notes to the financial statements </w:t>
            </w:r>
          </w:p>
        </w:tc>
      </w:tr>
      <w:tr w:rsidR="000F6BAC" w:rsidTr="000F6BAC">
        <w:tc>
          <w:tcPr>
            <w:tcW w:w="704" w:type="dxa"/>
          </w:tcPr>
          <w:p w:rsidR="000F6BAC" w:rsidRDefault="000F6BAC" w:rsidP="00D06A30">
            <w:pPr>
              <w:pStyle w:val="NoSpacing"/>
            </w:pPr>
            <w:r>
              <w:t>44</w:t>
            </w:r>
          </w:p>
        </w:tc>
        <w:tc>
          <w:tcPr>
            <w:tcW w:w="1559" w:type="dxa"/>
          </w:tcPr>
          <w:p w:rsidR="000F6BAC" w:rsidRDefault="000F6BAC" w:rsidP="00D06A30">
            <w:r>
              <w:t>FRD 11A</w:t>
            </w:r>
          </w:p>
        </w:tc>
        <w:tc>
          <w:tcPr>
            <w:tcW w:w="10206" w:type="dxa"/>
          </w:tcPr>
          <w:p w:rsidR="000F6BAC" w:rsidRPr="000F6BAC" w:rsidRDefault="00D06A30" w:rsidP="003B70D4">
            <w:pPr>
              <w:pStyle w:val="NoSpacing"/>
            </w:pPr>
            <w:r>
              <w:t>Disclosure of ex-gratia payments</w:t>
            </w:r>
          </w:p>
        </w:tc>
        <w:tc>
          <w:tcPr>
            <w:tcW w:w="1479" w:type="dxa"/>
          </w:tcPr>
          <w:p w:rsidR="000F6BAC" w:rsidRDefault="000F6BAC" w:rsidP="00D06A30">
            <w:pPr>
              <w:pStyle w:val="NoSpacing"/>
            </w:pPr>
            <w:r>
              <w:t>87</w:t>
            </w:r>
          </w:p>
        </w:tc>
      </w:tr>
      <w:tr w:rsidR="000F6BAC" w:rsidTr="000F6BAC">
        <w:tc>
          <w:tcPr>
            <w:tcW w:w="704" w:type="dxa"/>
          </w:tcPr>
          <w:p w:rsidR="000F6BAC" w:rsidRDefault="000F6BAC" w:rsidP="00D06A30">
            <w:pPr>
              <w:pStyle w:val="NoSpacing"/>
            </w:pPr>
            <w:r>
              <w:t>45</w:t>
            </w:r>
          </w:p>
        </w:tc>
        <w:tc>
          <w:tcPr>
            <w:tcW w:w="1559" w:type="dxa"/>
          </w:tcPr>
          <w:p w:rsidR="000F6BAC" w:rsidRDefault="000F6BAC" w:rsidP="00D06A30">
            <w:r>
              <w:t>FRD 21C</w:t>
            </w:r>
          </w:p>
        </w:tc>
        <w:tc>
          <w:tcPr>
            <w:tcW w:w="10206" w:type="dxa"/>
          </w:tcPr>
          <w:p w:rsidR="000F6BAC" w:rsidRPr="000F6BAC" w:rsidRDefault="00D06A30" w:rsidP="003B70D4">
            <w:pPr>
              <w:pStyle w:val="NoSpacing"/>
            </w:pPr>
            <w:r>
              <w:t>Disclosures of Responsible Persons, Executive Officer and Other Personnel</w:t>
            </w:r>
            <w:r w:rsidR="003B70D4">
              <w:t xml:space="preserve"> </w:t>
            </w:r>
            <w:r>
              <w:t>(Contractors with significant management responsibilities) in the Financial Report</w:t>
            </w:r>
          </w:p>
        </w:tc>
        <w:tc>
          <w:tcPr>
            <w:tcW w:w="1479" w:type="dxa"/>
          </w:tcPr>
          <w:p w:rsidR="000F6BAC" w:rsidRDefault="000F6BAC" w:rsidP="00D06A30">
            <w:pPr>
              <w:pStyle w:val="NoSpacing"/>
            </w:pPr>
            <w:r>
              <w:t>82-85</w:t>
            </w:r>
          </w:p>
        </w:tc>
      </w:tr>
      <w:tr w:rsidR="000F6BAC" w:rsidTr="000F6BAC">
        <w:tc>
          <w:tcPr>
            <w:tcW w:w="704" w:type="dxa"/>
          </w:tcPr>
          <w:p w:rsidR="000F6BAC" w:rsidRDefault="000F6BAC" w:rsidP="00D06A30">
            <w:pPr>
              <w:pStyle w:val="NoSpacing"/>
            </w:pPr>
            <w:r>
              <w:t>46</w:t>
            </w:r>
          </w:p>
        </w:tc>
        <w:tc>
          <w:tcPr>
            <w:tcW w:w="1559" w:type="dxa"/>
          </w:tcPr>
          <w:p w:rsidR="000F6BAC" w:rsidRDefault="000F6BAC" w:rsidP="00D06A30">
            <w:r>
              <w:t>FRD 102A</w:t>
            </w:r>
          </w:p>
        </w:tc>
        <w:tc>
          <w:tcPr>
            <w:tcW w:w="10206" w:type="dxa"/>
          </w:tcPr>
          <w:p w:rsidR="000F6BAC" w:rsidRPr="000F6BAC" w:rsidRDefault="00D06A30" w:rsidP="00D06A30">
            <w:pPr>
              <w:pStyle w:val="NoSpacing"/>
            </w:pPr>
            <w:r>
              <w:t>Inventories</w:t>
            </w:r>
          </w:p>
        </w:tc>
        <w:tc>
          <w:tcPr>
            <w:tcW w:w="1479" w:type="dxa"/>
          </w:tcPr>
          <w:p w:rsidR="000F6BAC" w:rsidRDefault="000F6BAC" w:rsidP="00D06A30">
            <w:pPr>
              <w:pStyle w:val="NoSpacing"/>
            </w:pPr>
            <w:r>
              <w:t>N/A</w:t>
            </w:r>
          </w:p>
        </w:tc>
      </w:tr>
      <w:tr w:rsidR="000F6BAC" w:rsidTr="000F6BAC">
        <w:tc>
          <w:tcPr>
            <w:tcW w:w="704" w:type="dxa"/>
          </w:tcPr>
          <w:p w:rsidR="000F6BAC" w:rsidRDefault="000F6BAC" w:rsidP="00D06A30">
            <w:pPr>
              <w:pStyle w:val="NoSpacing"/>
            </w:pPr>
            <w:r>
              <w:t>47</w:t>
            </w:r>
          </w:p>
        </w:tc>
        <w:tc>
          <w:tcPr>
            <w:tcW w:w="1559" w:type="dxa"/>
          </w:tcPr>
          <w:p w:rsidR="000F6BAC" w:rsidRDefault="000F6BAC" w:rsidP="00D06A30">
            <w:r>
              <w:t>FRD 103F</w:t>
            </w:r>
          </w:p>
        </w:tc>
        <w:tc>
          <w:tcPr>
            <w:tcW w:w="10206" w:type="dxa"/>
          </w:tcPr>
          <w:p w:rsidR="000F6BAC" w:rsidRPr="000F6BAC" w:rsidRDefault="00D06A30" w:rsidP="00D06A30">
            <w:pPr>
              <w:pStyle w:val="NoSpacing"/>
            </w:pPr>
            <w:r>
              <w:t>Non-financial physical assets</w:t>
            </w:r>
          </w:p>
        </w:tc>
        <w:tc>
          <w:tcPr>
            <w:tcW w:w="1479" w:type="dxa"/>
          </w:tcPr>
          <w:p w:rsidR="000F6BAC" w:rsidRDefault="000F6BAC" w:rsidP="00D06A30">
            <w:pPr>
              <w:pStyle w:val="NoSpacing"/>
            </w:pPr>
            <w:r>
              <w:t>28-43, 56-62</w:t>
            </w:r>
          </w:p>
        </w:tc>
      </w:tr>
      <w:tr w:rsidR="000F6BAC" w:rsidTr="000F6BAC">
        <w:tc>
          <w:tcPr>
            <w:tcW w:w="704" w:type="dxa"/>
          </w:tcPr>
          <w:p w:rsidR="000F6BAC" w:rsidRDefault="000F6BAC" w:rsidP="00D06A30">
            <w:pPr>
              <w:pStyle w:val="NoSpacing"/>
            </w:pPr>
            <w:r>
              <w:t>48</w:t>
            </w:r>
          </w:p>
        </w:tc>
        <w:tc>
          <w:tcPr>
            <w:tcW w:w="1559" w:type="dxa"/>
          </w:tcPr>
          <w:p w:rsidR="000F6BAC" w:rsidRDefault="000F6BAC" w:rsidP="00D06A30">
            <w:r>
              <w:t>FRD 105B</w:t>
            </w:r>
          </w:p>
        </w:tc>
        <w:tc>
          <w:tcPr>
            <w:tcW w:w="10206" w:type="dxa"/>
          </w:tcPr>
          <w:p w:rsidR="000F6BAC" w:rsidRPr="000F6BAC" w:rsidRDefault="00D06A30" w:rsidP="00D06A30">
            <w:pPr>
              <w:pStyle w:val="NoSpacing"/>
            </w:pPr>
            <w:r>
              <w:t>Borrowing costs</w:t>
            </w:r>
          </w:p>
        </w:tc>
        <w:tc>
          <w:tcPr>
            <w:tcW w:w="1479" w:type="dxa"/>
          </w:tcPr>
          <w:p w:rsidR="000F6BAC" w:rsidRDefault="000F6BAC" w:rsidP="00D06A30">
            <w:pPr>
              <w:pStyle w:val="NoSpacing"/>
            </w:pPr>
            <w:r>
              <w:t>N/A</w:t>
            </w:r>
          </w:p>
        </w:tc>
      </w:tr>
      <w:tr w:rsidR="000F6BAC" w:rsidTr="000F6BAC">
        <w:tc>
          <w:tcPr>
            <w:tcW w:w="704" w:type="dxa"/>
          </w:tcPr>
          <w:p w:rsidR="000F6BAC" w:rsidRDefault="000F6BAC" w:rsidP="00D06A30">
            <w:pPr>
              <w:pStyle w:val="NoSpacing"/>
            </w:pPr>
            <w:r>
              <w:t>49</w:t>
            </w:r>
          </w:p>
        </w:tc>
        <w:tc>
          <w:tcPr>
            <w:tcW w:w="1559" w:type="dxa"/>
          </w:tcPr>
          <w:p w:rsidR="000F6BAC" w:rsidRDefault="000F6BAC" w:rsidP="00D06A30">
            <w:r>
              <w:t>FRD 106A</w:t>
            </w:r>
          </w:p>
        </w:tc>
        <w:tc>
          <w:tcPr>
            <w:tcW w:w="10206" w:type="dxa"/>
          </w:tcPr>
          <w:p w:rsidR="000F6BAC" w:rsidRPr="000F6BAC" w:rsidRDefault="00D06A30" w:rsidP="00D06A30">
            <w:pPr>
              <w:pStyle w:val="NoSpacing"/>
            </w:pPr>
            <w:r>
              <w:t>Impairment of assets</w:t>
            </w:r>
          </w:p>
        </w:tc>
        <w:tc>
          <w:tcPr>
            <w:tcW w:w="1479" w:type="dxa"/>
          </w:tcPr>
          <w:p w:rsidR="000F6BAC" w:rsidRDefault="000F6BAC" w:rsidP="00D06A30">
            <w:pPr>
              <w:pStyle w:val="NoSpacing"/>
            </w:pPr>
            <w:r>
              <w:t>71</w:t>
            </w:r>
          </w:p>
        </w:tc>
      </w:tr>
      <w:tr w:rsidR="000F6BAC" w:rsidTr="000F6BAC">
        <w:tc>
          <w:tcPr>
            <w:tcW w:w="704" w:type="dxa"/>
          </w:tcPr>
          <w:p w:rsidR="000F6BAC" w:rsidRDefault="000F6BAC" w:rsidP="00D06A30">
            <w:pPr>
              <w:pStyle w:val="NoSpacing"/>
            </w:pPr>
            <w:r>
              <w:t>50</w:t>
            </w:r>
          </w:p>
        </w:tc>
        <w:tc>
          <w:tcPr>
            <w:tcW w:w="1559" w:type="dxa"/>
          </w:tcPr>
          <w:p w:rsidR="000F6BAC" w:rsidRDefault="000F6BAC" w:rsidP="00D06A30">
            <w:r>
              <w:t>FRD 107B</w:t>
            </w:r>
          </w:p>
        </w:tc>
        <w:tc>
          <w:tcPr>
            <w:tcW w:w="10206" w:type="dxa"/>
          </w:tcPr>
          <w:p w:rsidR="000F6BAC" w:rsidRPr="000F6BAC" w:rsidRDefault="00D06A30" w:rsidP="00D06A30">
            <w:pPr>
              <w:pStyle w:val="NoSpacing"/>
            </w:pPr>
            <w:r>
              <w:t>Investment properties</w:t>
            </w:r>
          </w:p>
        </w:tc>
        <w:tc>
          <w:tcPr>
            <w:tcW w:w="1479" w:type="dxa"/>
          </w:tcPr>
          <w:p w:rsidR="000F6BAC" w:rsidRDefault="000F6BAC" w:rsidP="00D06A30">
            <w:pPr>
              <w:pStyle w:val="NoSpacing"/>
            </w:pPr>
            <w:r>
              <w:t>N/A</w:t>
            </w:r>
          </w:p>
        </w:tc>
      </w:tr>
      <w:tr w:rsidR="000F6BAC" w:rsidTr="000F6BAC">
        <w:tc>
          <w:tcPr>
            <w:tcW w:w="704" w:type="dxa"/>
          </w:tcPr>
          <w:p w:rsidR="000F6BAC" w:rsidRDefault="000F6BAC" w:rsidP="00D06A30">
            <w:pPr>
              <w:pStyle w:val="NoSpacing"/>
            </w:pPr>
            <w:r>
              <w:lastRenderedPageBreak/>
              <w:t>51</w:t>
            </w:r>
          </w:p>
        </w:tc>
        <w:tc>
          <w:tcPr>
            <w:tcW w:w="1559" w:type="dxa"/>
          </w:tcPr>
          <w:p w:rsidR="000F6BAC" w:rsidRDefault="000F6BAC" w:rsidP="00D06A30">
            <w:r>
              <w:t>FRD 109A</w:t>
            </w:r>
          </w:p>
        </w:tc>
        <w:tc>
          <w:tcPr>
            <w:tcW w:w="10206" w:type="dxa"/>
          </w:tcPr>
          <w:p w:rsidR="000F6BAC" w:rsidRPr="000F6BAC" w:rsidRDefault="00D06A30" w:rsidP="00D06A30">
            <w:pPr>
              <w:pStyle w:val="NoSpacing"/>
            </w:pPr>
            <w:r>
              <w:t>Intangible assets</w:t>
            </w:r>
          </w:p>
        </w:tc>
        <w:tc>
          <w:tcPr>
            <w:tcW w:w="1479" w:type="dxa"/>
          </w:tcPr>
          <w:p w:rsidR="000F6BAC" w:rsidRDefault="000F6BAC" w:rsidP="00D06A30">
            <w:pPr>
              <w:pStyle w:val="NoSpacing"/>
            </w:pPr>
            <w:r>
              <w:t>58, 61</w:t>
            </w:r>
          </w:p>
        </w:tc>
      </w:tr>
      <w:tr w:rsidR="000F6BAC" w:rsidTr="000F6BAC">
        <w:tc>
          <w:tcPr>
            <w:tcW w:w="704" w:type="dxa"/>
          </w:tcPr>
          <w:p w:rsidR="000F6BAC" w:rsidRDefault="000F6BAC" w:rsidP="00D06A30">
            <w:pPr>
              <w:pStyle w:val="NoSpacing"/>
            </w:pPr>
            <w:r>
              <w:t>52</w:t>
            </w:r>
          </w:p>
        </w:tc>
        <w:tc>
          <w:tcPr>
            <w:tcW w:w="1559" w:type="dxa"/>
          </w:tcPr>
          <w:p w:rsidR="000F6BAC" w:rsidRDefault="000F6BAC" w:rsidP="00D06A30">
            <w:r>
              <w:t>FRD 110A</w:t>
            </w:r>
          </w:p>
        </w:tc>
        <w:tc>
          <w:tcPr>
            <w:tcW w:w="10206" w:type="dxa"/>
          </w:tcPr>
          <w:p w:rsidR="000F6BAC" w:rsidRPr="000F6BAC" w:rsidRDefault="00D06A30" w:rsidP="00D06A30">
            <w:pPr>
              <w:pStyle w:val="NoSpacing"/>
            </w:pPr>
            <w:r>
              <w:t>Cash flow statements</w:t>
            </w:r>
          </w:p>
        </w:tc>
        <w:tc>
          <w:tcPr>
            <w:tcW w:w="1479" w:type="dxa"/>
          </w:tcPr>
          <w:p w:rsidR="000F6BAC" w:rsidRDefault="000F6BAC" w:rsidP="00D06A30">
            <w:pPr>
              <w:pStyle w:val="NoSpacing"/>
            </w:pPr>
            <w:r>
              <w:t>45</w:t>
            </w:r>
          </w:p>
        </w:tc>
      </w:tr>
      <w:tr w:rsidR="000F6BAC" w:rsidTr="000F6BAC">
        <w:tc>
          <w:tcPr>
            <w:tcW w:w="704" w:type="dxa"/>
          </w:tcPr>
          <w:p w:rsidR="000F6BAC" w:rsidRDefault="000F6BAC" w:rsidP="00D06A30">
            <w:pPr>
              <w:pStyle w:val="NoSpacing"/>
            </w:pPr>
            <w:r>
              <w:t>53</w:t>
            </w:r>
          </w:p>
        </w:tc>
        <w:tc>
          <w:tcPr>
            <w:tcW w:w="1559" w:type="dxa"/>
          </w:tcPr>
          <w:p w:rsidR="000F6BAC" w:rsidRDefault="000F6BAC" w:rsidP="00D06A30">
            <w:r>
              <w:t>FRD 112D</w:t>
            </w:r>
          </w:p>
        </w:tc>
        <w:tc>
          <w:tcPr>
            <w:tcW w:w="10206" w:type="dxa"/>
          </w:tcPr>
          <w:p w:rsidR="000F6BAC" w:rsidRPr="000F6BAC" w:rsidRDefault="00D06A30" w:rsidP="00D06A30">
            <w:pPr>
              <w:pStyle w:val="NoSpacing"/>
            </w:pPr>
            <w:r>
              <w:t>Defined benefit superannuation obligations</w:t>
            </w:r>
          </w:p>
        </w:tc>
        <w:tc>
          <w:tcPr>
            <w:tcW w:w="1479" w:type="dxa"/>
          </w:tcPr>
          <w:p w:rsidR="000F6BAC" w:rsidRDefault="000F6BAC" w:rsidP="00D06A30">
            <w:pPr>
              <w:pStyle w:val="NoSpacing"/>
            </w:pPr>
            <w:r>
              <w:t>51, 53</w:t>
            </w:r>
          </w:p>
        </w:tc>
      </w:tr>
      <w:tr w:rsidR="000F6BAC" w:rsidTr="000F6BAC">
        <w:tc>
          <w:tcPr>
            <w:tcW w:w="704" w:type="dxa"/>
          </w:tcPr>
          <w:p w:rsidR="000F6BAC" w:rsidRDefault="000F6BAC" w:rsidP="00D06A30">
            <w:pPr>
              <w:pStyle w:val="NoSpacing"/>
            </w:pPr>
            <w:r>
              <w:t>54</w:t>
            </w:r>
          </w:p>
        </w:tc>
        <w:tc>
          <w:tcPr>
            <w:tcW w:w="1559" w:type="dxa"/>
          </w:tcPr>
          <w:p w:rsidR="000F6BAC" w:rsidRDefault="000F6BAC" w:rsidP="00D06A30">
            <w:r>
              <w:t>FRD 113A</w:t>
            </w:r>
          </w:p>
        </w:tc>
        <w:tc>
          <w:tcPr>
            <w:tcW w:w="10206" w:type="dxa"/>
          </w:tcPr>
          <w:p w:rsidR="000F6BAC" w:rsidRPr="000F6BAC" w:rsidRDefault="00D06A30" w:rsidP="00D06A30">
            <w:pPr>
              <w:pStyle w:val="NoSpacing"/>
            </w:pPr>
            <w:r>
              <w:t>Investment in subsidiaries, jointly controlled entities and associates</w:t>
            </w:r>
          </w:p>
        </w:tc>
        <w:tc>
          <w:tcPr>
            <w:tcW w:w="1479" w:type="dxa"/>
          </w:tcPr>
          <w:p w:rsidR="000F6BAC" w:rsidRDefault="000F6BAC" w:rsidP="00D06A30">
            <w:pPr>
              <w:pStyle w:val="NoSpacing"/>
            </w:pPr>
            <w:r>
              <w:t>62</w:t>
            </w:r>
          </w:p>
        </w:tc>
      </w:tr>
      <w:tr w:rsidR="000F6BAC" w:rsidTr="000F6BAC">
        <w:tc>
          <w:tcPr>
            <w:tcW w:w="704" w:type="dxa"/>
          </w:tcPr>
          <w:p w:rsidR="000F6BAC" w:rsidRDefault="000F6BAC" w:rsidP="00D06A30">
            <w:pPr>
              <w:pStyle w:val="NoSpacing"/>
            </w:pPr>
            <w:r>
              <w:t>55</w:t>
            </w:r>
          </w:p>
        </w:tc>
        <w:tc>
          <w:tcPr>
            <w:tcW w:w="1559" w:type="dxa"/>
          </w:tcPr>
          <w:p w:rsidR="000F6BAC" w:rsidRDefault="000F6BAC" w:rsidP="00D06A30">
            <w:r>
              <w:t>FRD 114B</w:t>
            </w:r>
          </w:p>
        </w:tc>
        <w:tc>
          <w:tcPr>
            <w:tcW w:w="10206" w:type="dxa"/>
          </w:tcPr>
          <w:p w:rsidR="000F6BAC" w:rsidRPr="000F6BAC" w:rsidRDefault="00D06A30" w:rsidP="00D06A30">
            <w:pPr>
              <w:pStyle w:val="NoSpacing"/>
            </w:pPr>
            <w:r>
              <w:t xml:space="preserve">Financial instruments </w:t>
            </w:r>
            <w:r w:rsidR="003B70D4">
              <w:t xml:space="preserve">– general government entities and public non-financial corporations </w:t>
            </w:r>
          </w:p>
        </w:tc>
        <w:tc>
          <w:tcPr>
            <w:tcW w:w="1479" w:type="dxa"/>
          </w:tcPr>
          <w:p w:rsidR="000F6BAC" w:rsidRDefault="000F6BAC" w:rsidP="00D06A30">
            <w:pPr>
              <w:pStyle w:val="NoSpacing"/>
            </w:pPr>
            <w:r>
              <w:t>70-75</w:t>
            </w:r>
          </w:p>
        </w:tc>
      </w:tr>
      <w:tr w:rsidR="000F6BAC" w:rsidTr="000F6BAC">
        <w:tc>
          <w:tcPr>
            <w:tcW w:w="704" w:type="dxa"/>
          </w:tcPr>
          <w:p w:rsidR="000F6BAC" w:rsidRDefault="000F6BAC" w:rsidP="00D06A30">
            <w:pPr>
              <w:pStyle w:val="NoSpacing"/>
            </w:pPr>
            <w:r>
              <w:t>56</w:t>
            </w:r>
          </w:p>
        </w:tc>
        <w:tc>
          <w:tcPr>
            <w:tcW w:w="1559" w:type="dxa"/>
          </w:tcPr>
          <w:p w:rsidR="000F6BAC" w:rsidRDefault="000F6BAC" w:rsidP="00D06A30">
            <w:r>
              <w:t>FRD 119A</w:t>
            </w:r>
          </w:p>
        </w:tc>
        <w:tc>
          <w:tcPr>
            <w:tcW w:w="10206" w:type="dxa"/>
          </w:tcPr>
          <w:p w:rsidR="000F6BAC" w:rsidRPr="000F6BAC" w:rsidRDefault="003B70D4" w:rsidP="00D06A30">
            <w:pPr>
              <w:pStyle w:val="NoSpacing"/>
            </w:pPr>
            <w:r>
              <w:t xml:space="preserve">Transfers through contributed capital </w:t>
            </w:r>
          </w:p>
        </w:tc>
        <w:tc>
          <w:tcPr>
            <w:tcW w:w="1479" w:type="dxa"/>
          </w:tcPr>
          <w:p w:rsidR="000F6BAC" w:rsidRDefault="000F6BAC" w:rsidP="00D06A30">
            <w:pPr>
              <w:pStyle w:val="NoSpacing"/>
            </w:pPr>
            <w:r>
              <w:t>43, 69</w:t>
            </w:r>
          </w:p>
        </w:tc>
      </w:tr>
      <w:tr w:rsidR="000F6BAC" w:rsidTr="000F6BAC">
        <w:tc>
          <w:tcPr>
            <w:tcW w:w="704" w:type="dxa"/>
          </w:tcPr>
          <w:p w:rsidR="000F6BAC" w:rsidRDefault="000F6BAC" w:rsidP="00D06A30">
            <w:pPr>
              <w:pStyle w:val="NoSpacing"/>
            </w:pPr>
            <w:r>
              <w:t>57</w:t>
            </w:r>
          </w:p>
        </w:tc>
        <w:tc>
          <w:tcPr>
            <w:tcW w:w="1559" w:type="dxa"/>
          </w:tcPr>
          <w:p w:rsidR="000F6BAC" w:rsidRDefault="000F6BAC" w:rsidP="00D06A30">
            <w:r>
              <w:t>FRD 120K</w:t>
            </w:r>
          </w:p>
        </w:tc>
        <w:tc>
          <w:tcPr>
            <w:tcW w:w="10206" w:type="dxa"/>
          </w:tcPr>
          <w:p w:rsidR="000F6BAC" w:rsidRPr="000F6BAC" w:rsidRDefault="003B70D4" w:rsidP="00D06A30">
            <w:pPr>
              <w:pStyle w:val="NoSpacing"/>
            </w:pPr>
            <w:r>
              <w:t>Accounting and reporting pronouncements applicable to the reporting period</w:t>
            </w:r>
          </w:p>
        </w:tc>
        <w:tc>
          <w:tcPr>
            <w:tcW w:w="1479" w:type="dxa"/>
          </w:tcPr>
          <w:p w:rsidR="000F6BAC" w:rsidRDefault="000F6BAC" w:rsidP="00D06A30">
            <w:pPr>
              <w:pStyle w:val="NoSpacing"/>
            </w:pPr>
            <w:r>
              <w:t>48</w:t>
            </w:r>
          </w:p>
        </w:tc>
      </w:tr>
    </w:tbl>
    <w:p w:rsidR="000F6BAC" w:rsidRDefault="000F6BAC" w:rsidP="003D3419">
      <w:pPr>
        <w:pStyle w:val="NoSpacing"/>
      </w:pPr>
    </w:p>
    <w:p w:rsidR="00D06A30" w:rsidRDefault="00D06A30" w:rsidP="003D3419">
      <w:pPr>
        <w:pStyle w:val="NoSpacing"/>
      </w:pPr>
      <w:r>
        <w:t>&lt;pp&gt;95</w:t>
      </w:r>
    </w:p>
    <w:p w:rsidR="00503768" w:rsidRDefault="00503768" w:rsidP="003D3419">
      <w:pPr>
        <w:pStyle w:val="NoSpacing"/>
      </w:pPr>
    </w:p>
    <w:tbl>
      <w:tblPr>
        <w:tblStyle w:val="TableGrid"/>
        <w:tblW w:w="0" w:type="auto"/>
        <w:tblLook w:val="04A0" w:firstRow="1" w:lastRow="0" w:firstColumn="1" w:lastColumn="0" w:noHBand="0" w:noVBand="1"/>
      </w:tblPr>
      <w:tblGrid>
        <w:gridCol w:w="704"/>
        <w:gridCol w:w="1559"/>
        <w:gridCol w:w="10206"/>
        <w:gridCol w:w="1479"/>
      </w:tblGrid>
      <w:tr w:rsidR="00503768" w:rsidRPr="00503768" w:rsidTr="00503768">
        <w:tc>
          <w:tcPr>
            <w:tcW w:w="13948" w:type="dxa"/>
            <w:gridSpan w:val="4"/>
          </w:tcPr>
          <w:p w:rsidR="00503768" w:rsidRPr="00503768" w:rsidRDefault="00503768" w:rsidP="00675E5D">
            <w:pPr>
              <w:pStyle w:val="NoSpacing"/>
            </w:pPr>
            <w:r w:rsidRPr="00503768">
              <w:t>Compliance with other legislation</w:t>
            </w:r>
            <w:r>
              <w:t>,</w:t>
            </w:r>
            <w:r w:rsidRPr="00503768">
              <w:t xml:space="preserve"> subordinate instruments and policies</w:t>
            </w:r>
          </w:p>
        </w:tc>
      </w:tr>
      <w:tr w:rsidR="00503768" w:rsidTr="00503768">
        <w:tc>
          <w:tcPr>
            <w:tcW w:w="704" w:type="dxa"/>
          </w:tcPr>
          <w:p w:rsidR="00503768" w:rsidRDefault="00503768" w:rsidP="00675E5D">
            <w:pPr>
              <w:pStyle w:val="NoSpacing"/>
            </w:pPr>
            <w:r>
              <w:t>58</w:t>
            </w:r>
          </w:p>
        </w:tc>
        <w:tc>
          <w:tcPr>
            <w:tcW w:w="1559" w:type="dxa"/>
          </w:tcPr>
          <w:p w:rsidR="00503768" w:rsidRDefault="00503768" w:rsidP="00675E5D">
            <w:r>
              <w:t>Legislation</w:t>
            </w:r>
          </w:p>
        </w:tc>
        <w:tc>
          <w:tcPr>
            <w:tcW w:w="10206" w:type="dxa"/>
          </w:tcPr>
          <w:p w:rsidR="00FE1085" w:rsidRPr="00FE1085" w:rsidRDefault="00FE1085" w:rsidP="00FE1085">
            <w:pPr>
              <w:pStyle w:val="NoSpacing"/>
            </w:pPr>
            <w:r w:rsidRPr="00FE1085">
              <w:t>The TAFE institute Annual Report must contain a statement that it complies with all relevant</w:t>
            </w:r>
            <w:r>
              <w:t xml:space="preserve"> </w:t>
            </w:r>
            <w:r w:rsidRPr="00FE1085">
              <w:t>legislation and subordinate instruments, (and which should be listed in the Report) including,</w:t>
            </w:r>
            <w:r>
              <w:t xml:space="preserve"> </w:t>
            </w:r>
            <w:r w:rsidRPr="00FE1085">
              <w:t>but not limited to, the following:</w:t>
            </w:r>
          </w:p>
          <w:p w:rsidR="00FE1085" w:rsidRPr="00FE1085" w:rsidRDefault="00FE1085" w:rsidP="00FE1085">
            <w:pPr>
              <w:pStyle w:val="NoSpacing"/>
            </w:pPr>
            <w:r w:rsidRPr="00FE1085">
              <w:t>• Education and Training Reform Act 2006 (ETRA)</w:t>
            </w:r>
          </w:p>
          <w:p w:rsidR="00FE1085" w:rsidRPr="00FE1085" w:rsidRDefault="00FE1085" w:rsidP="00FE1085">
            <w:pPr>
              <w:pStyle w:val="NoSpacing"/>
            </w:pPr>
            <w:r w:rsidRPr="00FE1085">
              <w:t>• TAFE institute constitution</w:t>
            </w:r>
          </w:p>
          <w:p w:rsidR="00FE1085" w:rsidRPr="00FE1085" w:rsidRDefault="00FE1085" w:rsidP="00FE1085">
            <w:pPr>
              <w:pStyle w:val="NoSpacing"/>
            </w:pPr>
            <w:r w:rsidRPr="00FE1085">
              <w:t>• Directions of the Minister for Training and Skills (or predecessors)</w:t>
            </w:r>
          </w:p>
          <w:p w:rsidR="00FE1085" w:rsidRPr="00FE1085" w:rsidRDefault="00FE1085" w:rsidP="00FE1085">
            <w:pPr>
              <w:pStyle w:val="NoSpacing"/>
            </w:pPr>
            <w:r w:rsidRPr="00FE1085">
              <w:t>• TAFE institute Commercial Guidelines</w:t>
            </w:r>
          </w:p>
          <w:p w:rsidR="00FE1085" w:rsidRPr="00FE1085" w:rsidRDefault="00FE1085" w:rsidP="00FE1085">
            <w:pPr>
              <w:pStyle w:val="NoSpacing"/>
            </w:pPr>
            <w:r w:rsidRPr="00FE1085">
              <w:t>• TAFE institute Strategic Planning Guidelines</w:t>
            </w:r>
          </w:p>
          <w:p w:rsidR="00FE1085" w:rsidRPr="00FE1085" w:rsidRDefault="00FE1085" w:rsidP="00FE1085">
            <w:pPr>
              <w:pStyle w:val="NoSpacing"/>
            </w:pPr>
            <w:r w:rsidRPr="00FE1085">
              <w:t>• Public Administration Act 2004</w:t>
            </w:r>
          </w:p>
          <w:p w:rsidR="00FE1085" w:rsidRPr="00FE1085" w:rsidRDefault="00FE1085" w:rsidP="00FE1085">
            <w:pPr>
              <w:pStyle w:val="NoSpacing"/>
            </w:pPr>
            <w:r w:rsidRPr="00FE1085">
              <w:t>• Financial Management Act 1994</w:t>
            </w:r>
          </w:p>
          <w:p w:rsidR="00FE1085" w:rsidRPr="00FE1085" w:rsidRDefault="00FE1085" w:rsidP="00FE1085">
            <w:pPr>
              <w:pStyle w:val="NoSpacing"/>
            </w:pPr>
            <w:r w:rsidRPr="00FE1085">
              <w:t>• Freedom of Information Act 1982</w:t>
            </w:r>
          </w:p>
          <w:p w:rsidR="00FE1085" w:rsidRPr="00FE1085" w:rsidRDefault="00FE1085" w:rsidP="00FE1085">
            <w:pPr>
              <w:pStyle w:val="NoSpacing"/>
            </w:pPr>
            <w:r w:rsidRPr="00FE1085">
              <w:t>• Building Act 1983</w:t>
            </w:r>
          </w:p>
          <w:p w:rsidR="00FE1085" w:rsidRPr="00FE1085" w:rsidRDefault="00FE1085" w:rsidP="00FE1085">
            <w:pPr>
              <w:pStyle w:val="NoSpacing"/>
            </w:pPr>
            <w:r w:rsidRPr="00FE1085">
              <w:t>• Protected Disclosure Act 2012</w:t>
            </w:r>
          </w:p>
          <w:p w:rsidR="00503768" w:rsidRPr="00FE1085" w:rsidRDefault="00FE1085" w:rsidP="00FE1085">
            <w:pPr>
              <w:pStyle w:val="NoSpacing"/>
            </w:pPr>
            <w:r w:rsidRPr="00FE1085">
              <w:t>• Victorian Industry Participation Policy Act 2003</w:t>
            </w:r>
          </w:p>
        </w:tc>
        <w:tc>
          <w:tcPr>
            <w:tcW w:w="1479" w:type="dxa"/>
          </w:tcPr>
          <w:p w:rsidR="00503768" w:rsidRDefault="00FE1085" w:rsidP="00675E5D">
            <w:pPr>
              <w:pStyle w:val="NoSpacing"/>
            </w:pPr>
            <w:r>
              <w:t>98</w:t>
            </w:r>
          </w:p>
        </w:tc>
      </w:tr>
      <w:tr w:rsidR="00503768" w:rsidTr="00503768">
        <w:tc>
          <w:tcPr>
            <w:tcW w:w="704" w:type="dxa"/>
          </w:tcPr>
          <w:p w:rsidR="00503768" w:rsidRDefault="00503768" w:rsidP="00675E5D">
            <w:pPr>
              <w:pStyle w:val="NoSpacing"/>
            </w:pPr>
            <w:r>
              <w:t>59</w:t>
            </w:r>
          </w:p>
        </w:tc>
        <w:tc>
          <w:tcPr>
            <w:tcW w:w="1559" w:type="dxa"/>
          </w:tcPr>
          <w:p w:rsidR="00503768" w:rsidRDefault="00503768" w:rsidP="00675E5D">
            <w:r>
              <w:t>ETRA s</w:t>
            </w:r>
            <w:r w:rsidR="00037587">
              <w:t>3.2.8</w:t>
            </w:r>
            <w:r>
              <w:t xml:space="preserve"> </w:t>
            </w:r>
          </w:p>
        </w:tc>
        <w:tc>
          <w:tcPr>
            <w:tcW w:w="10206" w:type="dxa"/>
          </w:tcPr>
          <w:p w:rsidR="00503768" w:rsidRPr="00FE1085" w:rsidRDefault="00FE1085" w:rsidP="00FE1085">
            <w:pPr>
              <w:pStyle w:val="NoSpacing"/>
            </w:pPr>
            <w:r w:rsidRPr="00FE1085">
              <w:t>Statement about compulsory non-academic fees, subscriptions and charges payable in 2017</w:t>
            </w:r>
          </w:p>
        </w:tc>
        <w:tc>
          <w:tcPr>
            <w:tcW w:w="1479" w:type="dxa"/>
          </w:tcPr>
          <w:p w:rsidR="00503768" w:rsidRDefault="00FE1085" w:rsidP="00675E5D">
            <w:pPr>
              <w:pStyle w:val="NoSpacing"/>
            </w:pPr>
            <w:r>
              <w:t>102</w:t>
            </w:r>
          </w:p>
        </w:tc>
      </w:tr>
      <w:tr w:rsidR="00503768" w:rsidTr="00503768">
        <w:tc>
          <w:tcPr>
            <w:tcW w:w="704" w:type="dxa"/>
          </w:tcPr>
          <w:p w:rsidR="00503768" w:rsidRDefault="00503768" w:rsidP="00675E5D">
            <w:pPr>
              <w:pStyle w:val="NoSpacing"/>
            </w:pPr>
            <w:r>
              <w:t>60</w:t>
            </w:r>
          </w:p>
        </w:tc>
        <w:tc>
          <w:tcPr>
            <w:tcW w:w="1559" w:type="dxa"/>
          </w:tcPr>
          <w:p w:rsidR="00503768" w:rsidRDefault="00037587" w:rsidP="00675E5D">
            <w:r>
              <w:t>Policy</w:t>
            </w:r>
          </w:p>
        </w:tc>
        <w:tc>
          <w:tcPr>
            <w:tcW w:w="10206" w:type="dxa"/>
          </w:tcPr>
          <w:p w:rsidR="00503768" w:rsidRPr="00FE1085" w:rsidRDefault="00FE1085" w:rsidP="00FE1085">
            <w:pPr>
              <w:pStyle w:val="NoSpacing"/>
            </w:pPr>
            <w:r w:rsidRPr="00FE1085">
              <w:t>Statement that the TAFE institute complies with the Victorian Public Sector Travel Principles</w:t>
            </w:r>
          </w:p>
        </w:tc>
        <w:tc>
          <w:tcPr>
            <w:tcW w:w="1479" w:type="dxa"/>
          </w:tcPr>
          <w:p w:rsidR="00503768" w:rsidRDefault="00FE1085" w:rsidP="00675E5D">
            <w:pPr>
              <w:pStyle w:val="NoSpacing"/>
            </w:pPr>
            <w:r>
              <w:t>97</w:t>
            </w:r>
          </w:p>
        </w:tc>
      </w:tr>
      <w:tr w:rsidR="00503768" w:rsidTr="00503768">
        <w:tc>
          <w:tcPr>
            <w:tcW w:w="704" w:type="dxa"/>
          </w:tcPr>
          <w:p w:rsidR="00503768" w:rsidRDefault="00503768" w:rsidP="00675E5D">
            <w:pPr>
              <w:pStyle w:val="NoSpacing"/>
            </w:pPr>
            <w:r>
              <w:t>61</w:t>
            </w:r>
          </w:p>
        </w:tc>
        <w:tc>
          <w:tcPr>
            <w:tcW w:w="1559" w:type="dxa"/>
          </w:tcPr>
          <w:p w:rsidR="00503768" w:rsidRDefault="00037587" w:rsidP="00675E5D">
            <w:r>
              <w:t xml:space="preserve">Key Performance Indicators </w:t>
            </w:r>
          </w:p>
        </w:tc>
        <w:tc>
          <w:tcPr>
            <w:tcW w:w="10206" w:type="dxa"/>
          </w:tcPr>
          <w:p w:rsidR="00FE1085" w:rsidRPr="00FE1085" w:rsidRDefault="00FE1085" w:rsidP="00FE1085">
            <w:pPr>
              <w:pStyle w:val="NoSpacing"/>
            </w:pPr>
            <w:r w:rsidRPr="00FE1085">
              <w:t>See table on page 6 of the guidelines for required formatting.</w:t>
            </w:r>
            <w:r>
              <w:t xml:space="preserve"> </w:t>
            </w:r>
            <w:r w:rsidRPr="00FE1085">
              <w:t>Institutes to report against:</w:t>
            </w:r>
          </w:p>
          <w:p w:rsidR="00FE1085" w:rsidRPr="00FE1085" w:rsidRDefault="00FE1085" w:rsidP="00FE1085">
            <w:pPr>
              <w:pStyle w:val="NoSpacing"/>
            </w:pPr>
            <w:r w:rsidRPr="00FE1085">
              <w:t>• KPIs set out in the annual Statement of Corporate Intent; and</w:t>
            </w:r>
          </w:p>
          <w:p w:rsidR="00FE1085" w:rsidRPr="00FE1085" w:rsidRDefault="00FE1085" w:rsidP="00FE1085">
            <w:pPr>
              <w:pStyle w:val="NoSpacing"/>
            </w:pPr>
            <w:r w:rsidRPr="00FE1085">
              <w:t>• Employment costs as a proportion of training revenue;</w:t>
            </w:r>
          </w:p>
          <w:p w:rsidR="00FE1085" w:rsidRPr="00FE1085" w:rsidRDefault="00FE1085" w:rsidP="00FE1085">
            <w:pPr>
              <w:pStyle w:val="NoSpacing"/>
            </w:pPr>
            <w:r w:rsidRPr="00FE1085">
              <w:t>• Training revenue per teaching FTE;</w:t>
            </w:r>
          </w:p>
          <w:p w:rsidR="00FE1085" w:rsidRPr="00FE1085" w:rsidRDefault="00FE1085" w:rsidP="00FE1085">
            <w:pPr>
              <w:pStyle w:val="NoSpacing"/>
            </w:pPr>
            <w:r w:rsidRPr="00FE1085">
              <w:t>• Operating margin percentage;</w:t>
            </w:r>
          </w:p>
          <w:p w:rsidR="00503768" w:rsidRPr="00FE1085" w:rsidRDefault="00FE1085" w:rsidP="00FE1085">
            <w:pPr>
              <w:pStyle w:val="NoSpacing"/>
            </w:pPr>
            <w:r w:rsidRPr="00FE1085">
              <w:t>• Training Revenue diversity.</w:t>
            </w:r>
          </w:p>
        </w:tc>
        <w:tc>
          <w:tcPr>
            <w:tcW w:w="1479" w:type="dxa"/>
          </w:tcPr>
          <w:p w:rsidR="00503768" w:rsidRDefault="00FE1085" w:rsidP="00675E5D">
            <w:pPr>
              <w:pStyle w:val="NoSpacing"/>
            </w:pPr>
            <w:r>
              <w:t>92</w:t>
            </w:r>
          </w:p>
        </w:tc>
      </w:tr>
    </w:tbl>
    <w:p w:rsidR="00503768" w:rsidRDefault="00503768" w:rsidP="003D3419">
      <w:pPr>
        <w:pStyle w:val="NoSpacing"/>
      </w:pPr>
    </w:p>
    <w:tbl>
      <w:tblPr>
        <w:tblStyle w:val="TableGrid"/>
        <w:tblW w:w="0" w:type="auto"/>
        <w:tblLook w:val="04A0" w:firstRow="1" w:lastRow="0" w:firstColumn="1" w:lastColumn="0" w:noHBand="0" w:noVBand="1"/>
      </w:tblPr>
      <w:tblGrid>
        <w:gridCol w:w="704"/>
        <w:gridCol w:w="1559"/>
        <w:gridCol w:w="10206"/>
        <w:gridCol w:w="1479"/>
      </w:tblGrid>
      <w:tr w:rsidR="00FE1085" w:rsidRPr="00FE1085" w:rsidTr="00FE1085">
        <w:tc>
          <w:tcPr>
            <w:tcW w:w="13948" w:type="dxa"/>
            <w:gridSpan w:val="4"/>
          </w:tcPr>
          <w:p w:rsidR="00FE1085" w:rsidRPr="00FE1085" w:rsidRDefault="00FE1085" w:rsidP="00675E5D">
            <w:pPr>
              <w:pStyle w:val="NoSpacing"/>
            </w:pPr>
            <w:r w:rsidRPr="00FE1085">
              <w:lastRenderedPageBreak/>
              <w:t>Overseas operations of Victorian TAFE institutes</w:t>
            </w:r>
          </w:p>
        </w:tc>
      </w:tr>
      <w:tr w:rsidR="00FE1085" w:rsidTr="00FE1085">
        <w:tc>
          <w:tcPr>
            <w:tcW w:w="704" w:type="dxa"/>
          </w:tcPr>
          <w:p w:rsidR="00FE1085" w:rsidRDefault="00FE1085" w:rsidP="00675E5D">
            <w:pPr>
              <w:pStyle w:val="NoSpacing"/>
            </w:pPr>
            <w:r>
              <w:t>62</w:t>
            </w:r>
          </w:p>
        </w:tc>
        <w:tc>
          <w:tcPr>
            <w:tcW w:w="1559" w:type="dxa"/>
          </w:tcPr>
          <w:p w:rsidR="00FE1085" w:rsidRDefault="00FE1085" w:rsidP="00675E5D">
            <w:r>
              <w:t>PAEC and VAGO (June 2003 Special Review item 3.110)</w:t>
            </w:r>
          </w:p>
        </w:tc>
        <w:tc>
          <w:tcPr>
            <w:tcW w:w="10206" w:type="dxa"/>
          </w:tcPr>
          <w:p w:rsidR="00FE1085" w:rsidRPr="00FE1085" w:rsidRDefault="00FE1085" w:rsidP="00FE1085">
            <w:pPr>
              <w:pStyle w:val="NoSpacing"/>
            </w:pPr>
            <w:r w:rsidRPr="00FE1085">
              <w:t>• Financial and other information on initiatives taken or strategies relating to the institute’s</w:t>
            </w:r>
          </w:p>
          <w:p w:rsidR="00FE1085" w:rsidRPr="00FE1085" w:rsidRDefault="00FE1085" w:rsidP="00FE1085">
            <w:pPr>
              <w:pStyle w:val="NoSpacing"/>
            </w:pPr>
            <w:r w:rsidRPr="00FE1085">
              <w:t>overseas operations</w:t>
            </w:r>
          </w:p>
          <w:p w:rsidR="00FE1085" w:rsidRPr="00FE1085" w:rsidRDefault="00FE1085" w:rsidP="00FE1085">
            <w:pPr>
              <w:pStyle w:val="NoSpacing"/>
            </w:pPr>
            <w:r w:rsidRPr="00FE1085">
              <w:t>• Nature of strategic and operational risks for overseas operations</w:t>
            </w:r>
          </w:p>
          <w:p w:rsidR="00FE1085" w:rsidRPr="00FE1085" w:rsidRDefault="00FE1085" w:rsidP="00FE1085">
            <w:pPr>
              <w:pStyle w:val="NoSpacing"/>
            </w:pPr>
            <w:r w:rsidRPr="00FE1085">
              <w:t>• Strategies established to manage such risks of overseas operations</w:t>
            </w:r>
          </w:p>
          <w:p w:rsidR="00FE1085" w:rsidRPr="00FE1085" w:rsidRDefault="00FE1085" w:rsidP="00FE1085">
            <w:pPr>
              <w:pStyle w:val="NoSpacing"/>
            </w:pPr>
            <w:r w:rsidRPr="00FE1085">
              <w:t>• Performance measures and targets formulated for overseas operations</w:t>
            </w:r>
          </w:p>
          <w:p w:rsidR="00FE1085" w:rsidRPr="00FE1085" w:rsidRDefault="00FE1085" w:rsidP="00FE1085">
            <w:pPr>
              <w:pStyle w:val="NoSpacing"/>
            </w:pPr>
            <w:r w:rsidRPr="00FE1085">
              <w:t>• The extent to which expected outcomes for overseas operations have been achieved</w:t>
            </w:r>
          </w:p>
        </w:tc>
        <w:tc>
          <w:tcPr>
            <w:tcW w:w="1479" w:type="dxa"/>
          </w:tcPr>
          <w:p w:rsidR="00FE1085" w:rsidRDefault="00FE1085" w:rsidP="00675E5D">
            <w:pPr>
              <w:pStyle w:val="NoSpacing"/>
            </w:pPr>
            <w:r>
              <w:t>26-28</w:t>
            </w:r>
          </w:p>
        </w:tc>
      </w:tr>
    </w:tbl>
    <w:p w:rsidR="00FE1085" w:rsidRDefault="00FE1085" w:rsidP="003D3419">
      <w:pPr>
        <w:pStyle w:val="NoSpacing"/>
      </w:pPr>
    </w:p>
    <w:p w:rsidR="00FE1085" w:rsidRDefault="00FE1085" w:rsidP="003D3419">
      <w:pPr>
        <w:pStyle w:val="NoSpacing"/>
      </w:pPr>
      <w:r>
        <w:t>&lt;pp&gt;96</w:t>
      </w:r>
    </w:p>
    <w:p w:rsidR="00FE1085" w:rsidRDefault="00FE1085" w:rsidP="003D3419">
      <w:pPr>
        <w:pStyle w:val="NoSpacing"/>
      </w:pPr>
    </w:p>
    <w:p w:rsidR="001F6EF1" w:rsidRDefault="001F6EF1" w:rsidP="00965404">
      <w:pPr>
        <w:pStyle w:val="AnnualReportHeading1"/>
        <w:sectPr w:rsidR="001F6EF1" w:rsidSect="00060E29">
          <w:pgSz w:w="16838" w:h="11906" w:orient="landscape" w:code="9"/>
          <w:pgMar w:top="1440" w:right="1440" w:bottom="1440" w:left="1440" w:header="709" w:footer="709" w:gutter="0"/>
          <w:cols w:space="708"/>
          <w:docGrid w:linePitch="360"/>
        </w:sectPr>
      </w:pPr>
    </w:p>
    <w:p w:rsidR="00FE1085" w:rsidRDefault="00965404" w:rsidP="00234E85">
      <w:pPr>
        <w:pStyle w:val="Heading2"/>
      </w:pPr>
      <w:r>
        <w:lastRenderedPageBreak/>
        <w:t xml:space="preserve">Additional Compliance Reports </w:t>
      </w:r>
    </w:p>
    <w:p w:rsidR="00FE1085" w:rsidRDefault="00FE1085" w:rsidP="003D3419">
      <w:pPr>
        <w:pStyle w:val="NoSpacing"/>
      </w:pPr>
    </w:p>
    <w:p w:rsidR="00965404" w:rsidRDefault="00965404" w:rsidP="00234E85">
      <w:pPr>
        <w:pStyle w:val="Heading3"/>
      </w:pPr>
      <w:r>
        <w:t>VICTORIAN PUBLIC SECTOR TRAVEL PRINCIPLES</w:t>
      </w:r>
    </w:p>
    <w:p w:rsidR="00965404" w:rsidRPr="00965404" w:rsidRDefault="00965404" w:rsidP="00965404">
      <w:pPr>
        <w:pStyle w:val="NoSpacing"/>
      </w:pPr>
    </w:p>
    <w:p w:rsidR="00965404" w:rsidRPr="00965404" w:rsidRDefault="00965404" w:rsidP="00965404">
      <w:pPr>
        <w:pStyle w:val="NoSpacing"/>
      </w:pPr>
      <w:r w:rsidRPr="00965404">
        <w:t>In accordance with the Victorian Public Sector Travel Principles - 22. Application of Travel Principles to Public Sector Bodies, Chisholm</w:t>
      </w:r>
    </w:p>
    <w:p w:rsidR="00965404" w:rsidRPr="00965404" w:rsidRDefault="00965404" w:rsidP="00965404">
      <w:pPr>
        <w:pStyle w:val="NoSpacing"/>
      </w:pPr>
      <w:r w:rsidRPr="00965404">
        <w:t>Institute has a travel policy and corresponding procedures that govern international and domestic travel.</w:t>
      </w:r>
    </w:p>
    <w:p w:rsidR="00965404" w:rsidRPr="00965404" w:rsidRDefault="00965404" w:rsidP="00965404">
      <w:pPr>
        <w:pStyle w:val="NoSpacing"/>
      </w:pPr>
      <w:r w:rsidRPr="00965404">
        <w:t>Directly linked to the travel policy are policies involving staff code of conduct, fraud, due diligence, health and safety, child safety and use of Chisholm property including intellectual property.</w:t>
      </w:r>
    </w:p>
    <w:p w:rsidR="00965404" w:rsidRDefault="00965404" w:rsidP="00965404">
      <w:pPr>
        <w:pStyle w:val="NoSpacing"/>
      </w:pPr>
      <w:r w:rsidRPr="00965404">
        <w:t>In early 2017, a comprehensive International Induction Package was rolled out to inform staff of the Institute’s expectations and measures to ensure staff safety.</w:t>
      </w:r>
    </w:p>
    <w:p w:rsidR="00965404" w:rsidRDefault="00965404" w:rsidP="00965404">
      <w:pPr>
        <w:pStyle w:val="NoSpacing"/>
      </w:pPr>
    </w:p>
    <w:p w:rsidR="00965404" w:rsidRDefault="00965404" w:rsidP="00234E85">
      <w:pPr>
        <w:pStyle w:val="Heading3"/>
      </w:pPr>
      <w:r>
        <w:t>APPLICATION AND OPERATION OF THE PROTECTED DISCLOSURE ACT 2012</w:t>
      </w:r>
    </w:p>
    <w:p w:rsidR="00965404" w:rsidRDefault="00965404" w:rsidP="00965404">
      <w:pPr>
        <w:pStyle w:val="NoSpacing"/>
      </w:pPr>
    </w:p>
    <w:p w:rsidR="00965404" w:rsidRPr="00965404" w:rsidRDefault="00965404" w:rsidP="00965404">
      <w:pPr>
        <w:pStyle w:val="NoSpacing"/>
      </w:pPr>
      <w:r w:rsidRPr="00965404">
        <w:t>The Protected Disclosure Act 2012</w:t>
      </w:r>
      <w:r>
        <w:t xml:space="preserve"> </w:t>
      </w:r>
      <w:r w:rsidRPr="00965404">
        <w:t>encourages and helps pe</w:t>
      </w:r>
      <w:r>
        <w:t xml:space="preserve">ople disclose </w:t>
      </w:r>
      <w:r w:rsidRPr="00965404">
        <w:t>improper</w:t>
      </w:r>
      <w:r>
        <w:t xml:space="preserve"> conduct by public officers and </w:t>
      </w:r>
      <w:r w:rsidRPr="00965404">
        <w:t>public</w:t>
      </w:r>
      <w:r>
        <w:t xml:space="preserve"> bodies. It provides protection </w:t>
      </w:r>
      <w:r w:rsidRPr="00965404">
        <w:t>to people who make disclosures and</w:t>
      </w:r>
      <w:r>
        <w:t xml:space="preserve"> </w:t>
      </w:r>
      <w:r w:rsidRPr="00965404">
        <w:t>estab</w:t>
      </w:r>
      <w:r>
        <w:t xml:space="preserve">lishes a system for the matters </w:t>
      </w:r>
      <w:r w:rsidRPr="00965404">
        <w:t>d</w:t>
      </w:r>
      <w:r>
        <w:t xml:space="preserve">isclosed to be investigated and </w:t>
      </w:r>
      <w:r w:rsidRPr="00965404">
        <w:t>rectifying action to be taken.</w:t>
      </w:r>
    </w:p>
    <w:p w:rsidR="00965404" w:rsidRPr="00965404" w:rsidRDefault="00965404" w:rsidP="00965404">
      <w:pPr>
        <w:pStyle w:val="NoSpacing"/>
      </w:pPr>
      <w:r w:rsidRPr="00965404">
        <w:t>Chisholm does not tolerate improper</w:t>
      </w:r>
      <w:r>
        <w:t xml:space="preserve"> </w:t>
      </w:r>
      <w:r w:rsidRPr="00965404">
        <w:t>cond</w:t>
      </w:r>
      <w:r>
        <w:t xml:space="preserve">uct by employees, nor reprisals </w:t>
      </w:r>
      <w:r w:rsidRPr="00965404">
        <w:t xml:space="preserve">taken </w:t>
      </w:r>
      <w:r>
        <w:t xml:space="preserve">against those who disclose such </w:t>
      </w:r>
      <w:r w:rsidRPr="00965404">
        <w:t>condu</w:t>
      </w:r>
      <w:r>
        <w:t xml:space="preserve">ct. It is committed to ensuring </w:t>
      </w:r>
      <w:r w:rsidRPr="00965404">
        <w:t>tra</w:t>
      </w:r>
      <w:r>
        <w:t xml:space="preserve">nsparency and accountability in administrative and management </w:t>
      </w:r>
      <w:r w:rsidRPr="00965404">
        <w:t>practi</w:t>
      </w:r>
      <w:r>
        <w:t xml:space="preserve">ces, and supports the making of </w:t>
      </w:r>
      <w:r w:rsidRPr="00965404">
        <w:t>disclosur</w:t>
      </w:r>
      <w:r>
        <w:t xml:space="preserve">es that reveal corrupt conduct, </w:t>
      </w:r>
      <w:r w:rsidRPr="00965404">
        <w:t>conduct involving a substantial</w:t>
      </w:r>
      <w:r>
        <w:t xml:space="preserve"> </w:t>
      </w:r>
      <w:r w:rsidRPr="00965404">
        <w:t>mis</w:t>
      </w:r>
      <w:r>
        <w:t xml:space="preserve">management of public resources, </w:t>
      </w:r>
      <w:r w:rsidRPr="00965404">
        <w:t xml:space="preserve">or </w:t>
      </w:r>
      <w:r>
        <w:t xml:space="preserve">conduct involving a substantial </w:t>
      </w:r>
      <w:r w:rsidRPr="00965404">
        <w:t xml:space="preserve">risk to </w:t>
      </w:r>
      <w:r>
        <w:t xml:space="preserve">public health and safety or the </w:t>
      </w:r>
      <w:r w:rsidRPr="00965404">
        <w:t>environment.</w:t>
      </w:r>
    </w:p>
    <w:p w:rsidR="00965404" w:rsidRPr="00965404" w:rsidRDefault="00965404" w:rsidP="00965404">
      <w:pPr>
        <w:pStyle w:val="NoSpacing"/>
      </w:pPr>
      <w:r w:rsidRPr="00965404">
        <w:t>Chisholm takes all reasonable steps to</w:t>
      </w:r>
      <w:r>
        <w:t xml:space="preserve"> </w:t>
      </w:r>
      <w:r w:rsidRPr="00965404">
        <w:t>protect people from any det</w:t>
      </w:r>
      <w:r>
        <w:t xml:space="preserve">rimental action </w:t>
      </w:r>
      <w:r w:rsidRPr="00965404">
        <w:t>in reprisal for making such disclosures.</w:t>
      </w:r>
    </w:p>
    <w:p w:rsidR="00965404" w:rsidRDefault="00965404" w:rsidP="00965404">
      <w:pPr>
        <w:pStyle w:val="NoSpacing"/>
        <w:rPr>
          <w:rFonts w:ascii="ProximaNovaA-Semibold" w:hAnsi="ProximaNovaA-Semibold" w:cs="ProximaNovaA-Semibold"/>
          <w:sz w:val="20"/>
          <w:szCs w:val="20"/>
        </w:rPr>
      </w:pPr>
    </w:p>
    <w:p w:rsidR="00965404" w:rsidRPr="00965404" w:rsidRDefault="00965404" w:rsidP="00965404">
      <w:pPr>
        <w:pStyle w:val="NoSpacing"/>
        <w:rPr>
          <w:rFonts w:cs="ProximaNovaA-Semibold"/>
        </w:rPr>
      </w:pPr>
      <w:r w:rsidRPr="00965404">
        <w:rPr>
          <w:rFonts w:cs="ProximaNovaA-Semibold"/>
        </w:rPr>
        <w:t>Making a disclosure</w:t>
      </w:r>
    </w:p>
    <w:p w:rsidR="00965404" w:rsidRPr="00965404" w:rsidRDefault="00965404" w:rsidP="00965404">
      <w:pPr>
        <w:pStyle w:val="NoSpacing"/>
        <w:rPr>
          <w:rFonts w:cs="ProximaNovaA-Semibold"/>
        </w:rPr>
      </w:pPr>
      <w:r w:rsidRPr="00965404">
        <w:t>Disclosures of improper conduct or</w:t>
      </w:r>
      <w:r w:rsidRPr="00965404">
        <w:rPr>
          <w:rFonts w:cs="ProximaNovaA-Semibold"/>
        </w:rPr>
        <w:t xml:space="preserve"> </w:t>
      </w:r>
      <w:r w:rsidRPr="00965404">
        <w:t>detrimental action by Chisholm or any of</w:t>
      </w:r>
      <w:r w:rsidRPr="00965404">
        <w:rPr>
          <w:rFonts w:cs="ProximaNovaA-Semibold"/>
        </w:rPr>
        <w:t xml:space="preserve"> </w:t>
      </w:r>
      <w:r w:rsidRPr="00965404">
        <w:t>its employees may be made to:</w:t>
      </w:r>
    </w:p>
    <w:p w:rsidR="005B1CAA" w:rsidRDefault="005B1CAA" w:rsidP="00965404">
      <w:pPr>
        <w:pStyle w:val="NoSpacing"/>
        <w:rPr>
          <w:rFonts w:cs="ProximaNovaA-Semibold"/>
        </w:rPr>
      </w:pPr>
    </w:p>
    <w:p w:rsidR="00965404" w:rsidRPr="00965404" w:rsidRDefault="00965404" w:rsidP="00965404">
      <w:pPr>
        <w:pStyle w:val="NoSpacing"/>
        <w:rPr>
          <w:rFonts w:cs="ProximaNovaA-Semibold"/>
        </w:rPr>
      </w:pPr>
      <w:r w:rsidRPr="00965404">
        <w:rPr>
          <w:rFonts w:cs="ProximaNovaA-Semibold"/>
        </w:rPr>
        <w:t>Ms Delia McIver</w:t>
      </w:r>
    </w:p>
    <w:p w:rsidR="00965404" w:rsidRPr="00965404" w:rsidRDefault="00965404" w:rsidP="00965404">
      <w:pPr>
        <w:pStyle w:val="NoSpacing"/>
      </w:pPr>
      <w:r w:rsidRPr="00965404">
        <w:t>Protected Disclosure Coordinator</w:t>
      </w:r>
    </w:p>
    <w:p w:rsidR="00965404" w:rsidRPr="00965404" w:rsidRDefault="00965404" w:rsidP="00965404">
      <w:pPr>
        <w:pStyle w:val="NoSpacing"/>
      </w:pPr>
      <w:r w:rsidRPr="00965404">
        <w:t>Executive Director, People, Culture</w:t>
      </w:r>
      <w:r>
        <w:t xml:space="preserve"> </w:t>
      </w:r>
      <w:r w:rsidRPr="00965404">
        <w:t>and Safety</w:t>
      </w:r>
    </w:p>
    <w:p w:rsidR="00965404" w:rsidRPr="00965404" w:rsidRDefault="00965404" w:rsidP="00965404">
      <w:pPr>
        <w:pStyle w:val="NoSpacing"/>
      </w:pPr>
      <w:r w:rsidRPr="00965404">
        <w:t>Chisholm Institute</w:t>
      </w:r>
    </w:p>
    <w:p w:rsidR="005B1CAA" w:rsidRDefault="005B1CAA" w:rsidP="00965404">
      <w:pPr>
        <w:pStyle w:val="NoSpacing"/>
      </w:pPr>
    </w:p>
    <w:p w:rsidR="00965404" w:rsidRPr="00965404" w:rsidRDefault="00965404" w:rsidP="00965404">
      <w:pPr>
        <w:pStyle w:val="NoSpacing"/>
      </w:pPr>
      <w:r w:rsidRPr="00965404">
        <w:t>Street address:</w:t>
      </w:r>
    </w:p>
    <w:p w:rsidR="00965404" w:rsidRPr="00965404" w:rsidRDefault="00965404" w:rsidP="00965404">
      <w:pPr>
        <w:pStyle w:val="NoSpacing"/>
      </w:pPr>
      <w:r w:rsidRPr="00965404">
        <w:t>121 Stud Road, Dandenong VIC 3175</w:t>
      </w:r>
    </w:p>
    <w:p w:rsidR="00965404" w:rsidRPr="00965404" w:rsidRDefault="00965404" w:rsidP="00965404">
      <w:pPr>
        <w:pStyle w:val="NoSpacing"/>
      </w:pPr>
      <w:r w:rsidRPr="00965404">
        <w:t>Mailing address:</w:t>
      </w:r>
    </w:p>
    <w:p w:rsidR="00965404" w:rsidRPr="00965404" w:rsidRDefault="00965404" w:rsidP="00965404">
      <w:pPr>
        <w:pStyle w:val="NoSpacing"/>
      </w:pPr>
      <w:r w:rsidRPr="00965404">
        <w:t>PO Box 684, Dandenong VIC 3175</w:t>
      </w:r>
    </w:p>
    <w:p w:rsidR="00965404" w:rsidRPr="00965404" w:rsidRDefault="00965404" w:rsidP="00965404">
      <w:pPr>
        <w:pStyle w:val="NoSpacing"/>
      </w:pPr>
      <w:r w:rsidRPr="00965404">
        <w:t>T: +61 3 9212 5360</w:t>
      </w:r>
    </w:p>
    <w:p w:rsidR="00965404" w:rsidRPr="00965404" w:rsidRDefault="00965404" w:rsidP="00965404">
      <w:pPr>
        <w:pStyle w:val="NoSpacing"/>
      </w:pPr>
      <w:r>
        <w:t xml:space="preserve">E: </w:t>
      </w:r>
      <w:hyperlink r:id="rId8" w:history="1">
        <w:r w:rsidRPr="00970526">
          <w:rPr>
            <w:rStyle w:val="Hyperlink"/>
          </w:rPr>
          <w:t>delia.mciver@chisholm.edu.au</w:t>
        </w:r>
      </w:hyperlink>
      <w:r>
        <w:t xml:space="preserve"> </w:t>
      </w:r>
      <w:r w:rsidRPr="00965404">
        <w:t>or o</w:t>
      </w:r>
      <w:r>
        <w:t xml:space="preserve">ne of the following officers of </w:t>
      </w:r>
      <w:r w:rsidRPr="00965404">
        <w:t>the Institute:</w:t>
      </w:r>
    </w:p>
    <w:p w:rsidR="00965404" w:rsidRPr="00965404" w:rsidRDefault="00965404" w:rsidP="00965404">
      <w:pPr>
        <w:pStyle w:val="NoSpacing"/>
      </w:pPr>
      <w:r w:rsidRPr="00965404">
        <w:t>• a ma</w:t>
      </w:r>
      <w:r>
        <w:t xml:space="preserve">nager or supervisor of a person </w:t>
      </w:r>
      <w:r w:rsidRPr="00965404">
        <w:t>fr</w:t>
      </w:r>
      <w:r>
        <w:t xml:space="preserve">om the Institute who chooses to </w:t>
      </w:r>
      <w:r w:rsidRPr="00965404">
        <w:t>make a disclosure</w:t>
      </w:r>
    </w:p>
    <w:p w:rsidR="00965404" w:rsidRPr="00965404" w:rsidRDefault="00965404" w:rsidP="00965404">
      <w:pPr>
        <w:pStyle w:val="NoSpacing"/>
      </w:pPr>
      <w:r w:rsidRPr="00965404">
        <w:t>• a ma</w:t>
      </w:r>
      <w:r>
        <w:t xml:space="preserve">nager or supervisor of a person from the Institute about whom a disclosure has been made </w:t>
      </w:r>
      <w:r w:rsidRPr="00965404">
        <w:t>or:</w:t>
      </w:r>
    </w:p>
    <w:p w:rsidR="001F6EF1" w:rsidRDefault="001F6EF1" w:rsidP="00965404">
      <w:pPr>
        <w:pStyle w:val="NoSpacing"/>
      </w:pPr>
    </w:p>
    <w:p w:rsidR="00965404" w:rsidRPr="00965404" w:rsidRDefault="00965404" w:rsidP="00965404">
      <w:pPr>
        <w:pStyle w:val="NoSpacing"/>
      </w:pPr>
      <w:r>
        <w:t xml:space="preserve">The Independent Broad-based </w:t>
      </w:r>
      <w:r w:rsidRPr="00965404">
        <w:t>Anti-corruption Commission (IBAC)</w:t>
      </w:r>
    </w:p>
    <w:p w:rsidR="001F6EF1" w:rsidRDefault="001F6EF1" w:rsidP="00965404">
      <w:pPr>
        <w:pStyle w:val="NoSpacing"/>
      </w:pPr>
    </w:p>
    <w:p w:rsidR="00F3225A" w:rsidRDefault="00965404" w:rsidP="00965404">
      <w:pPr>
        <w:pStyle w:val="NoSpacing"/>
      </w:pPr>
      <w:r w:rsidRPr="00965404">
        <w:t>Street</w:t>
      </w:r>
      <w:r>
        <w:t xml:space="preserve"> address: </w:t>
      </w:r>
    </w:p>
    <w:p w:rsidR="00965404" w:rsidRPr="00965404" w:rsidRDefault="00965404" w:rsidP="00965404">
      <w:pPr>
        <w:pStyle w:val="NoSpacing"/>
      </w:pPr>
      <w:r>
        <w:t xml:space="preserve">Level 1, North Tower </w:t>
      </w:r>
      <w:r w:rsidRPr="00965404">
        <w:t xml:space="preserve">459 Collins Street, Melbourne </w:t>
      </w:r>
      <w:r>
        <w:rPr>
          <w:color w:val="FFFFFF"/>
        </w:rPr>
        <w:t>VIC 3000</w:t>
      </w:r>
    </w:p>
    <w:p w:rsidR="001F6EF1" w:rsidRDefault="001F6EF1" w:rsidP="00965404">
      <w:pPr>
        <w:pStyle w:val="NoSpacing"/>
      </w:pPr>
    </w:p>
    <w:p w:rsidR="00965404" w:rsidRPr="00965404" w:rsidRDefault="00965404" w:rsidP="00965404">
      <w:pPr>
        <w:pStyle w:val="NoSpacing"/>
      </w:pPr>
      <w:r w:rsidRPr="00965404">
        <w:t>Postal address:</w:t>
      </w:r>
    </w:p>
    <w:p w:rsidR="00965404" w:rsidRPr="00965404" w:rsidRDefault="00965404" w:rsidP="00965404">
      <w:pPr>
        <w:pStyle w:val="NoSpacing"/>
      </w:pPr>
      <w:r w:rsidRPr="00965404">
        <w:lastRenderedPageBreak/>
        <w:t>GPO Box 24234, Melbourne VIC 3001</w:t>
      </w:r>
    </w:p>
    <w:p w:rsidR="00965404" w:rsidRPr="00965404" w:rsidRDefault="00965404" w:rsidP="00965404">
      <w:pPr>
        <w:pStyle w:val="NoSpacing"/>
      </w:pPr>
      <w:r w:rsidRPr="00965404">
        <w:t>T: 1300 735 135</w:t>
      </w:r>
    </w:p>
    <w:p w:rsidR="00965404" w:rsidRDefault="006914D6" w:rsidP="00965404">
      <w:pPr>
        <w:pStyle w:val="NoSpacing"/>
      </w:pPr>
      <w:hyperlink r:id="rId9" w:history="1">
        <w:r w:rsidR="001F6EF1" w:rsidRPr="00970526">
          <w:rPr>
            <w:rStyle w:val="Hyperlink"/>
          </w:rPr>
          <w:t>www.ibac.vic.gov.au</w:t>
        </w:r>
      </w:hyperlink>
    </w:p>
    <w:p w:rsidR="001F6EF1" w:rsidRDefault="001F6EF1" w:rsidP="00965404">
      <w:pPr>
        <w:pStyle w:val="NoSpacing"/>
      </w:pPr>
    </w:p>
    <w:tbl>
      <w:tblPr>
        <w:tblStyle w:val="TableGrid"/>
        <w:tblW w:w="0" w:type="auto"/>
        <w:tblLook w:val="04A0" w:firstRow="1" w:lastRow="0" w:firstColumn="1" w:lastColumn="0" w:noHBand="0" w:noVBand="1"/>
      </w:tblPr>
      <w:tblGrid>
        <w:gridCol w:w="7684"/>
        <w:gridCol w:w="665"/>
        <w:gridCol w:w="667"/>
      </w:tblGrid>
      <w:tr w:rsidR="001F6EF1" w:rsidTr="001F6EF1">
        <w:tc>
          <w:tcPr>
            <w:tcW w:w="12611" w:type="dxa"/>
          </w:tcPr>
          <w:p w:rsidR="001F6EF1" w:rsidRDefault="001F6EF1" w:rsidP="00965404">
            <w:pPr>
              <w:pStyle w:val="NoSpacing"/>
            </w:pPr>
            <w:r>
              <w:t>Disclosures under the Protected Disclosure Act 2012</w:t>
            </w:r>
          </w:p>
        </w:tc>
        <w:tc>
          <w:tcPr>
            <w:tcW w:w="666" w:type="dxa"/>
          </w:tcPr>
          <w:p w:rsidR="001F6EF1" w:rsidRDefault="001F6EF1" w:rsidP="00965404">
            <w:pPr>
              <w:pStyle w:val="NoSpacing"/>
            </w:pPr>
            <w:r>
              <w:t>2017</w:t>
            </w:r>
          </w:p>
        </w:tc>
        <w:tc>
          <w:tcPr>
            <w:tcW w:w="671" w:type="dxa"/>
          </w:tcPr>
          <w:p w:rsidR="001F6EF1" w:rsidRDefault="001F6EF1" w:rsidP="00965404">
            <w:pPr>
              <w:pStyle w:val="NoSpacing"/>
            </w:pPr>
            <w:r>
              <w:t>2016</w:t>
            </w:r>
          </w:p>
        </w:tc>
      </w:tr>
      <w:tr w:rsidR="001F6EF1" w:rsidTr="001F6EF1">
        <w:tc>
          <w:tcPr>
            <w:tcW w:w="12611" w:type="dxa"/>
          </w:tcPr>
          <w:p w:rsidR="001F6EF1" w:rsidRDefault="001F6EF1" w:rsidP="001F6EF1">
            <w:pPr>
              <w:pStyle w:val="NoSpacing"/>
            </w:pPr>
            <w:r w:rsidRPr="001F6EF1">
              <w:t>The number of disclosures</w:t>
            </w:r>
            <w:r>
              <w:t xml:space="preserve"> made by an individual to </w:t>
            </w:r>
            <w:r w:rsidRPr="001F6EF1">
              <w:t>Ch</w:t>
            </w:r>
            <w:r>
              <w:t xml:space="preserve">isholm and notified to the Independent Broad-based </w:t>
            </w:r>
            <w:r w:rsidRPr="001F6EF1">
              <w:t>Anti-corruption Commission –</w:t>
            </w:r>
            <w:r>
              <w:t xml:space="preserve"> </w:t>
            </w:r>
            <w:r w:rsidRPr="001F6EF1">
              <w:t>assessable disclosures</w:t>
            </w:r>
          </w:p>
        </w:tc>
        <w:tc>
          <w:tcPr>
            <w:tcW w:w="666" w:type="dxa"/>
          </w:tcPr>
          <w:p w:rsidR="001F6EF1" w:rsidRDefault="001F6EF1" w:rsidP="00965404">
            <w:pPr>
              <w:pStyle w:val="NoSpacing"/>
            </w:pPr>
            <w:r>
              <w:t>0</w:t>
            </w:r>
          </w:p>
        </w:tc>
        <w:tc>
          <w:tcPr>
            <w:tcW w:w="671" w:type="dxa"/>
          </w:tcPr>
          <w:p w:rsidR="001F6EF1" w:rsidRDefault="001F6EF1" w:rsidP="00965404">
            <w:pPr>
              <w:pStyle w:val="NoSpacing"/>
            </w:pPr>
            <w:r>
              <w:t>0</w:t>
            </w:r>
          </w:p>
        </w:tc>
      </w:tr>
    </w:tbl>
    <w:p w:rsidR="001F6EF1" w:rsidRDefault="001F6EF1" w:rsidP="00965404">
      <w:pPr>
        <w:pStyle w:val="NoSpacing"/>
      </w:pPr>
    </w:p>
    <w:p w:rsidR="00025C17" w:rsidRDefault="00025C17" w:rsidP="00234E85">
      <w:pPr>
        <w:pStyle w:val="Heading3"/>
      </w:pPr>
      <w:r>
        <w:t>LOCAL JOBS FISRT – VICTORIAN INDUSTRY PARTICIPATION POLICY IMPLEMENTATION</w:t>
      </w:r>
    </w:p>
    <w:p w:rsidR="00025C17" w:rsidRPr="00025C17" w:rsidRDefault="00025C17" w:rsidP="00965404">
      <w:pPr>
        <w:pStyle w:val="NoSpacing"/>
      </w:pPr>
    </w:p>
    <w:p w:rsidR="00025C17" w:rsidRPr="00025C17" w:rsidRDefault="00025C17" w:rsidP="00025C17">
      <w:pPr>
        <w:pStyle w:val="NoSpacing"/>
      </w:pPr>
      <w:r w:rsidRPr="00025C17">
        <w:t>The Victorian Industry Participation</w:t>
      </w:r>
      <w:r>
        <w:t xml:space="preserve"> </w:t>
      </w:r>
      <w:r w:rsidRPr="00025C17">
        <w:t>Polic</w:t>
      </w:r>
      <w:r>
        <w:t xml:space="preserve">y Act 2003 requires departments </w:t>
      </w:r>
      <w:r w:rsidRPr="00025C17">
        <w:t>and public sector bodies to report on</w:t>
      </w:r>
      <w:r>
        <w:t xml:space="preserve"> </w:t>
      </w:r>
      <w:r w:rsidRPr="00025C17">
        <w:t>the impleme</w:t>
      </w:r>
      <w:r>
        <w:t xml:space="preserve">ntation of the Local Jobs First </w:t>
      </w:r>
      <w:r w:rsidRPr="00025C17">
        <w:t>- Victoria</w:t>
      </w:r>
      <w:r>
        <w:t xml:space="preserve">n Industry Participation Policy </w:t>
      </w:r>
      <w:r w:rsidRPr="00025C17">
        <w:t>(Local Jobs First - VIPP). Departments</w:t>
      </w:r>
      <w:r>
        <w:t xml:space="preserve"> </w:t>
      </w:r>
      <w:r w:rsidRPr="00025C17">
        <w:t>and public sector bodies are required</w:t>
      </w:r>
      <w:r>
        <w:t xml:space="preserve"> </w:t>
      </w:r>
      <w:r w:rsidRPr="00025C17">
        <w:t xml:space="preserve">to apply the Local Jobs First </w:t>
      </w:r>
      <w:r>
        <w:t>–</w:t>
      </w:r>
      <w:r w:rsidRPr="00025C17">
        <w:t xml:space="preserve"> VIPP</w:t>
      </w:r>
      <w:r>
        <w:t xml:space="preserve"> </w:t>
      </w:r>
      <w:r w:rsidRPr="00025C17">
        <w:t>in all procurement activities valued</w:t>
      </w:r>
      <w:r>
        <w:t xml:space="preserve"> </w:t>
      </w:r>
      <w:r w:rsidRPr="00025C17">
        <w:t xml:space="preserve">at $3 </w:t>
      </w:r>
      <w:r>
        <w:t xml:space="preserve">million or more in metropolitan </w:t>
      </w:r>
      <w:r w:rsidRPr="00025C17">
        <w:t>Melbourne and for state-wide projects,</w:t>
      </w:r>
      <w:r>
        <w:t xml:space="preserve"> </w:t>
      </w:r>
      <w:r w:rsidRPr="00025C17">
        <w:t>or $1 million or more for procurement</w:t>
      </w:r>
      <w:r>
        <w:t xml:space="preserve"> </w:t>
      </w:r>
      <w:r w:rsidRPr="00025C17">
        <w:t>activities in regional Victoria.</w:t>
      </w:r>
    </w:p>
    <w:p w:rsidR="00025C17" w:rsidRPr="00025C17" w:rsidRDefault="00025C17" w:rsidP="00025C17">
      <w:pPr>
        <w:pStyle w:val="NoSpacing"/>
      </w:pPr>
      <w:r w:rsidRPr="00025C17">
        <w:t>During 2017-18, Chisholm Institute</w:t>
      </w:r>
      <w:r>
        <w:t xml:space="preserve"> </w:t>
      </w:r>
      <w:r w:rsidRPr="00025C17">
        <w:t>commenced three Local Jobs First</w:t>
      </w:r>
      <w:r>
        <w:t xml:space="preserve"> </w:t>
      </w:r>
      <w:r w:rsidRPr="00025C17">
        <w:t>- VIPP applicable or Local Industry</w:t>
      </w:r>
      <w:r>
        <w:t xml:space="preserve"> </w:t>
      </w:r>
      <w:r w:rsidRPr="00025C17">
        <w:t>Development Plan (LIDP) applicable</w:t>
      </w:r>
      <w:r>
        <w:t xml:space="preserve"> </w:t>
      </w:r>
      <w:r w:rsidRPr="00025C17">
        <w:t>procurements</w:t>
      </w:r>
      <w:r>
        <w:t xml:space="preserve"> totalling $76 million of total </w:t>
      </w:r>
      <w:r w:rsidRPr="00025C17">
        <w:t>project cost. Of those projects, one was</w:t>
      </w:r>
      <w:r>
        <w:t xml:space="preserve"> </w:t>
      </w:r>
      <w:r w:rsidRPr="00025C17">
        <w:t>located in Frankston, the other two are</w:t>
      </w:r>
      <w:r>
        <w:t xml:space="preserve"> </w:t>
      </w:r>
      <w:r w:rsidRPr="00025C17">
        <w:t>located at Berwick. These represented</w:t>
      </w:r>
      <w:r>
        <w:t xml:space="preserve"> </w:t>
      </w:r>
      <w:r w:rsidRPr="00025C17">
        <w:t>93% and 83% per cent of estimated local</w:t>
      </w:r>
      <w:r>
        <w:t xml:space="preserve"> </w:t>
      </w:r>
      <w:r w:rsidRPr="00025C17">
        <w:t>content respectively. These were split:</w:t>
      </w:r>
    </w:p>
    <w:p w:rsidR="00025C17" w:rsidRPr="00025C17" w:rsidRDefault="00025C17" w:rsidP="00025C17">
      <w:pPr>
        <w:pStyle w:val="NoSpacing"/>
      </w:pPr>
      <w:r w:rsidRPr="00025C17">
        <w:t>• Metropolitan 70%</w:t>
      </w:r>
    </w:p>
    <w:p w:rsidR="00025C17" w:rsidRPr="00025C17" w:rsidRDefault="00025C17" w:rsidP="00025C17">
      <w:pPr>
        <w:pStyle w:val="NoSpacing"/>
      </w:pPr>
      <w:r w:rsidRPr="00025C17">
        <w:t>• Regional 20% and</w:t>
      </w:r>
    </w:p>
    <w:p w:rsidR="00025C17" w:rsidRPr="00025C17" w:rsidRDefault="00025C17" w:rsidP="00025C17">
      <w:pPr>
        <w:pStyle w:val="NoSpacing"/>
      </w:pPr>
      <w:r w:rsidRPr="00025C17">
        <w:t>• State 10%</w:t>
      </w:r>
    </w:p>
    <w:p w:rsidR="00025C17" w:rsidRPr="00025C17" w:rsidRDefault="00025C17" w:rsidP="00025C17">
      <w:pPr>
        <w:pStyle w:val="NoSpacing"/>
      </w:pPr>
      <w:r w:rsidRPr="00025C17">
        <w:t>During 2017 the total VIPP Plan or LIDP</w:t>
      </w:r>
      <w:r>
        <w:t xml:space="preserve"> </w:t>
      </w:r>
      <w:r w:rsidRPr="00025C17">
        <w:t>comm</w:t>
      </w:r>
      <w:r>
        <w:t xml:space="preserve">itments achieved as a result of </w:t>
      </w:r>
      <w:r w:rsidRPr="00025C17">
        <w:t>contracts completed include:</w:t>
      </w:r>
    </w:p>
    <w:p w:rsidR="00025C17" w:rsidRPr="00025C17" w:rsidRDefault="00025C17" w:rsidP="00025C17">
      <w:pPr>
        <w:pStyle w:val="NoSpacing"/>
      </w:pPr>
      <w:r w:rsidRPr="00025C17">
        <w:t>• 13 new jobs and 240 retained jobs</w:t>
      </w:r>
    </w:p>
    <w:p w:rsidR="00025C17" w:rsidRPr="00025C17" w:rsidRDefault="00025C17" w:rsidP="00025C17">
      <w:pPr>
        <w:pStyle w:val="NoSpacing"/>
      </w:pPr>
      <w:r w:rsidRPr="00025C17">
        <w:t>• 10 n</w:t>
      </w:r>
      <w:r>
        <w:t xml:space="preserve">ew apprenticeships/traineeships </w:t>
      </w:r>
      <w:r w:rsidRPr="00025C17">
        <w:t>a</w:t>
      </w:r>
      <w:r>
        <w:t xml:space="preserve">nd 14 retained apprenticeships/ </w:t>
      </w:r>
      <w:r w:rsidRPr="00025C17">
        <w:t>traineeships</w:t>
      </w:r>
    </w:p>
    <w:p w:rsidR="00025C17" w:rsidRPr="00025C17" w:rsidRDefault="00025C17" w:rsidP="00025C17">
      <w:pPr>
        <w:pStyle w:val="NoSpacing"/>
      </w:pPr>
      <w:r w:rsidRPr="00025C17">
        <w:t>During 2017, there were 240 small to</w:t>
      </w:r>
      <w:r>
        <w:t xml:space="preserve"> </w:t>
      </w:r>
      <w:r w:rsidRPr="00025C17">
        <w:t>medium</w:t>
      </w:r>
      <w:r>
        <w:t xml:space="preserve"> sized businesses that prepared </w:t>
      </w:r>
      <w:r w:rsidRPr="00025C17">
        <w:t>a VIPP Plan or LIDP for contracts.</w:t>
      </w:r>
    </w:p>
    <w:p w:rsidR="00025C17" w:rsidRPr="00025C17" w:rsidRDefault="00025C17" w:rsidP="00025C17">
      <w:pPr>
        <w:pStyle w:val="NoSpacing"/>
      </w:pPr>
      <w:r w:rsidRPr="00025C17">
        <w:t>During 20</w:t>
      </w:r>
      <w:r>
        <w:t xml:space="preserve">17, no projects had the </w:t>
      </w:r>
      <w:r w:rsidRPr="00025C17">
        <w:t xml:space="preserve">minimum </w:t>
      </w:r>
      <w:r>
        <w:t xml:space="preserve">formal weighting of 10 per cent </w:t>
      </w:r>
      <w:r w:rsidRPr="00025C17">
        <w:t>applied for local content in the tender</w:t>
      </w:r>
      <w:r>
        <w:t xml:space="preserve"> </w:t>
      </w:r>
      <w:r w:rsidRPr="00025C17">
        <w:t>evaluation of the VIPP Plan or LIDP.</w:t>
      </w:r>
    </w:p>
    <w:p w:rsidR="00025C17" w:rsidRDefault="00025C17" w:rsidP="00025C17">
      <w:pPr>
        <w:pStyle w:val="NoSpacing"/>
      </w:pPr>
      <w:r w:rsidRPr="00025C17">
        <w:t>For desi</w:t>
      </w:r>
      <w:r>
        <w:t xml:space="preserve">gn contracts or grants provided </w:t>
      </w:r>
      <w:r w:rsidRPr="00025C17">
        <w:t>during</w:t>
      </w:r>
      <w:r>
        <w:t xml:space="preserve"> 2017, no interaction reference </w:t>
      </w:r>
      <w:r w:rsidRPr="00025C17">
        <w:t>numbers were obtained.</w:t>
      </w:r>
    </w:p>
    <w:p w:rsidR="006626E7" w:rsidRDefault="006626E7" w:rsidP="00025C17">
      <w:pPr>
        <w:pStyle w:val="NoSpacing"/>
      </w:pPr>
    </w:p>
    <w:p w:rsidR="006626E7" w:rsidRDefault="006626E7" w:rsidP="00025C17">
      <w:pPr>
        <w:pStyle w:val="NoSpacing"/>
      </w:pPr>
      <w:r>
        <w:t>&lt;PP&gt;97</w:t>
      </w:r>
    </w:p>
    <w:p w:rsidR="006626E7" w:rsidRDefault="006626E7" w:rsidP="00025C17">
      <w:pPr>
        <w:pStyle w:val="NoSpacing"/>
      </w:pPr>
    </w:p>
    <w:p w:rsidR="006626E7" w:rsidRDefault="006626E7" w:rsidP="00234E85">
      <w:pPr>
        <w:pStyle w:val="Heading3"/>
      </w:pPr>
      <w:r>
        <w:t>NATIONAL COMPETITION POLICY</w:t>
      </w:r>
    </w:p>
    <w:p w:rsidR="006626E7" w:rsidRDefault="006626E7" w:rsidP="00025C17">
      <w:pPr>
        <w:pStyle w:val="NoSpacing"/>
      </w:pPr>
    </w:p>
    <w:p w:rsidR="006626E7" w:rsidRDefault="006626E7" w:rsidP="006626E7">
      <w:pPr>
        <w:pStyle w:val="NoSpacing"/>
      </w:pPr>
      <w:r>
        <w:t>Under the National Competition Policy, the guiding legislative principle is that legislation, including future legislative proposals, should not restrict competition unless it can be demonstrated that:</w:t>
      </w:r>
    </w:p>
    <w:p w:rsidR="006626E7" w:rsidRDefault="006626E7" w:rsidP="006626E7">
      <w:pPr>
        <w:pStyle w:val="NoSpacing"/>
      </w:pPr>
      <w:r>
        <w:t>• Benefits of the restriction to the community as a whole outweigh the costs</w:t>
      </w:r>
    </w:p>
    <w:p w:rsidR="006626E7" w:rsidRDefault="006626E7" w:rsidP="006626E7">
      <w:pPr>
        <w:pStyle w:val="NoSpacing"/>
      </w:pPr>
      <w:r>
        <w:t>• Objectives of the legislation can only be achieved by restricting competition.</w:t>
      </w:r>
    </w:p>
    <w:p w:rsidR="006626E7" w:rsidRDefault="006626E7" w:rsidP="006626E7">
      <w:pPr>
        <w:pStyle w:val="NoSpacing"/>
      </w:pPr>
      <w:r>
        <w:t>Competitive neutrality requires government businesses to ensure where services compete, or potentially compete with the private sector, any advantage arising solely from their government ownership be removed if they are not in the public interest.</w:t>
      </w:r>
    </w:p>
    <w:p w:rsidR="006626E7" w:rsidRDefault="006626E7" w:rsidP="006626E7">
      <w:pPr>
        <w:pStyle w:val="NoSpacing"/>
      </w:pPr>
      <w:r>
        <w:t>Chisholm has implemented costing and pricing models to take into account any competitive advantage that Chisholm may have. Government businesses are required to cost and price these services as if they were privately owned and be fully cost reflective. Competitive neutrality policy provides government businesses with a tool to enhance decisions on resource allocation. This policy does not override other policy objectives of government and focuses on efficiency in the provision of service.</w:t>
      </w:r>
    </w:p>
    <w:p w:rsidR="006626E7" w:rsidRDefault="006626E7" w:rsidP="006626E7">
      <w:pPr>
        <w:pStyle w:val="NoSpacing"/>
      </w:pPr>
      <w:r>
        <w:lastRenderedPageBreak/>
        <w:t>Chisholm has developed costing and pricing models that apply to its costs including overhead, infrastructure and other indirect costs, where appropriate, to take into account any competitive advantage that Chisholm may have.</w:t>
      </w:r>
    </w:p>
    <w:p w:rsidR="006626E7" w:rsidRDefault="006626E7" w:rsidP="006626E7">
      <w:pPr>
        <w:pStyle w:val="NoSpacing"/>
      </w:pPr>
      <w:r>
        <w:t>This enables Chisholm to comply with National Competition Policy, including the requirements of the government policy statement, Competitive neutrality:</w:t>
      </w:r>
    </w:p>
    <w:p w:rsidR="006626E7" w:rsidRDefault="006626E7" w:rsidP="006626E7">
      <w:pPr>
        <w:pStyle w:val="NoSpacing"/>
      </w:pPr>
      <w:r>
        <w:t>A Statement of Victorian Policy, as well as the ‘Victorian Government Timetable for the Review of Legislative Restrictions’ and subsequent reforms. Chisholm is working to ensure that Victoria fulfils its requirements on competitive neutrality reporting for technological based businesses against the enhanced principles as required under the National Reform Agenda.</w:t>
      </w:r>
    </w:p>
    <w:p w:rsidR="006626E7" w:rsidRDefault="006626E7" w:rsidP="006626E7">
      <w:pPr>
        <w:pStyle w:val="NoSpacing"/>
      </w:pPr>
    </w:p>
    <w:p w:rsidR="006626E7" w:rsidRDefault="006626E7" w:rsidP="00234E85">
      <w:pPr>
        <w:pStyle w:val="Heading3"/>
      </w:pPr>
      <w:r>
        <w:t xml:space="preserve">ADDITIONAL INFORMATION AVAILABLE ON REQUEST </w:t>
      </w:r>
    </w:p>
    <w:p w:rsidR="006626E7" w:rsidRDefault="006626E7" w:rsidP="006626E7">
      <w:pPr>
        <w:pStyle w:val="NoSpacing"/>
      </w:pPr>
    </w:p>
    <w:p w:rsidR="006626E7" w:rsidRDefault="006626E7" w:rsidP="006626E7">
      <w:pPr>
        <w:pStyle w:val="NoSpacing"/>
      </w:pPr>
      <w:r>
        <w:t>Consistent with the requirements of the Financial Management Act 1994, Chisholm Institute has prepared materials on the following topics, which are available on request:</w:t>
      </w:r>
    </w:p>
    <w:p w:rsidR="006626E7" w:rsidRDefault="006626E7" w:rsidP="006626E7">
      <w:pPr>
        <w:pStyle w:val="NoSpacing"/>
      </w:pPr>
      <w:r>
        <w:t>• Statements regarding declarations of pecuniary interest</w:t>
      </w:r>
    </w:p>
    <w:p w:rsidR="006626E7" w:rsidRDefault="006626E7" w:rsidP="006626E7">
      <w:pPr>
        <w:pStyle w:val="NoSpacing"/>
      </w:pPr>
      <w:r>
        <w:t>• Details of shares held by a senior officer as nominee or held beneficially in a statutory authority or subsidiary</w:t>
      </w:r>
    </w:p>
    <w:p w:rsidR="006626E7" w:rsidRDefault="006626E7" w:rsidP="006626E7">
      <w:pPr>
        <w:pStyle w:val="NoSpacing"/>
      </w:pPr>
      <w:r>
        <w:t>• Details of publications produced by the Institute and the places where publications can be obtained</w:t>
      </w:r>
    </w:p>
    <w:p w:rsidR="006626E7" w:rsidRDefault="006626E7" w:rsidP="006626E7">
      <w:pPr>
        <w:pStyle w:val="NoSpacing"/>
      </w:pPr>
      <w:r>
        <w:t>• Details of changes in prices, fees, charges, rates and levies charged by the entity</w:t>
      </w:r>
    </w:p>
    <w:p w:rsidR="006626E7" w:rsidRDefault="006626E7" w:rsidP="006626E7">
      <w:pPr>
        <w:pStyle w:val="NoSpacing"/>
      </w:pPr>
      <w:r>
        <w:t>• Details of major external reviews</w:t>
      </w:r>
    </w:p>
    <w:p w:rsidR="006626E7" w:rsidRDefault="006626E7" w:rsidP="006626E7">
      <w:pPr>
        <w:pStyle w:val="NoSpacing"/>
      </w:pPr>
      <w:r>
        <w:t>• Details of research and development activities undertaken by the Institute</w:t>
      </w:r>
    </w:p>
    <w:p w:rsidR="006626E7" w:rsidRDefault="006626E7" w:rsidP="006626E7">
      <w:pPr>
        <w:pStyle w:val="NoSpacing"/>
      </w:pPr>
      <w:r>
        <w:t>• Details of overseas visits undertaken, including a summary of the objectives and outcomes of each visit</w:t>
      </w:r>
    </w:p>
    <w:p w:rsidR="006626E7" w:rsidRDefault="006626E7" w:rsidP="006626E7">
      <w:pPr>
        <w:pStyle w:val="NoSpacing"/>
      </w:pPr>
      <w:r>
        <w:t>• Details of major promotional, public relations and marketing activities undertaken by the Institute to develop community awareness of the Institute and the programs and services provided</w:t>
      </w:r>
    </w:p>
    <w:p w:rsidR="006626E7" w:rsidRDefault="006626E7" w:rsidP="006626E7">
      <w:pPr>
        <w:pStyle w:val="NoSpacing"/>
      </w:pPr>
      <w:r>
        <w:t>• Details of assessments and measures undertaken to improve the occupational health and safety of employees</w:t>
      </w:r>
    </w:p>
    <w:p w:rsidR="006626E7" w:rsidRDefault="006626E7" w:rsidP="006626E7">
      <w:pPr>
        <w:pStyle w:val="NoSpacing"/>
      </w:pPr>
      <w:r>
        <w:t>• General statement on industrial relations within the entity and details of time lost through industrial accidents and disputes</w:t>
      </w:r>
    </w:p>
    <w:p w:rsidR="006626E7" w:rsidRDefault="006626E7" w:rsidP="006626E7">
      <w:pPr>
        <w:pStyle w:val="NoSpacing"/>
      </w:pPr>
      <w:r>
        <w:t>• Details of major committees sponsored by the Institute; the purpose of each committee and the extent to which their purposes have been achieved</w:t>
      </w:r>
    </w:p>
    <w:p w:rsidR="006626E7" w:rsidRDefault="006626E7" w:rsidP="006626E7">
      <w:pPr>
        <w:pStyle w:val="NoSpacing"/>
      </w:pPr>
      <w:r>
        <w:t>• Details of all consultancies and contractors including consultants/ contractors engaged; services provided; and expenditure committed for each engagement.</w:t>
      </w:r>
    </w:p>
    <w:p w:rsidR="006626E7" w:rsidRDefault="006626E7" w:rsidP="006626E7">
      <w:pPr>
        <w:pStyle w:val="NoSpacing"/>
      </w:pPr>
      <w:r>
        <w:t>Enquiries regarding this information should be directed to:</w:t>
      </w:r>
    </w:p>
    <w:p w:rsidR="006626E7" w:rsidRDefault="006626E7" w:rsidP="006626E7">
      <w:pPr>
        <w:pStyle w:val="NoSpacing"/>
        <w:rPr>
          <w:rFonts w:ascii="ProximaNovaA-Semibold" w:hAnsi="ProximaNovaA-Semibold" w:cs="ProximaNovaA-Semibold"/>
          <w:sz w:val="20"/>
          <w:szCs w:val="20"/>
        </w:rPr>
      </w:pPr>
    </w:p>
    <w:p w:rsidR="006626E7" w:rsidRPr="006626E7" w:rsidRDefault="006626E7" w:rsidP="006626E7">
      <w:pPr>
        <w:pStyle w:val="NoSpacing"/>
        <w:rPr>
          <w:rFonts w:cstheme="minorHAnsi"/>
        </w:rPr>
      </w:pPr>
      <w:r w:rsidRPr="006626E7">
        <w:rPr>
          <w:rFonts w:cstheme="minorHAnsi"/>
        </w:rPr>
        <w:t>The Chief Operating Officer</w:t>
      </w:r>
    </w:p>
    <w:p w:rsidR="006626E7" w:rsidRDefault="006626E7" w:rsidP="006626E7">
      <w:pPr>
        <w:pStyle w:val="NoSpacing"/>
      </w:pPr>
      <w:r>
        <w:t>Chisholm Institute</w:t>
      </w:r>
    </w:p>
    <w:p w:rsidR="006626E7" w:rsidRDefault="006626E7" w:rsidP="006626E7">
      <w:pPr>
        <w:pStyle w:val="NoSpacing"/>
      </w:pPr>
      <w:r>
        <w:t>PO Box 684</w:t>
      </w:r>
    </w:p>
    <w:p w:rsidR="006626E7" w:rsidRDefault="006626E7" w:rsidP="006626E7">
      <w:pPr>
        <w:pStyle w:val="NoSpacing"/>
      </w:pPr>
      <w:r>
        <w:t>Dandenong VIC 3175</w:t>
      </w:r>
    </w:p>
    <w:p w:rsidR="006626E7" w:rsidRDefault="006626E7" w:rsidP="006626E7">
      <w:pPr>
        <w:pStyle w:val="NoSpacing"/>
      </w:pPr>
      <w:r>
        <w:t>T: +61 3 9212 5259</w:t>
      </w:r>
    </w:p>
    <w:p w:rsidR="006626E7" w:rsidRDefault="006626E7" w:rsidP="006626E7">
      <w:pPr>
        <w:pStyle w:val="NoSpacing"/>
      </w:pPr>
      <w:r>
        <w:t xml:space="preserve">E: </w:t>
      </w:r>
      <w:hyperlink r:id="rId10" w:history="1">
        <w:r w:rsidRPr="00970526">
          <w:rPr>
            <w:rStyle w:val="Hyperlink"/>
          </w:rPr>
          <w:t>grant.radford@chisholm.edu.au</w:t>
        </w:r>
      </w:hyperlink>
    </w:p>
    <w:p w:rsidR="006626E7" w:rsidRDefault="006626E7" w:rsidP="006626E7">
      <w:pPr>
        <w:pStyle w:val="NoSpacing"/>
      </w:pPr>
    </w:p>
    <w:p w:rsidR="006626E7" w:rsidRDefault="006626E7" w:rsidP="00234E85">
      <w:pPr>
        <w:pStyle w:val="Heading3"/>
      </w:pPr>
      <w:r>
        <w:t xml:space="preserve">COMPLIANCE WITH OTHER LEGISLATION AND SUBORDINATE INSTRUMENTS </w:t>
      </w:r>
    </w:p>
    <w:p w:rsidR="006626E7" w:rsidRDefault="006626E7" w:rsidP="006626E7">
      <w:pPr>
        <w:pStyle w:val="NoSpacing"/>
      </w:pPr>
    </w:p>
    <w:p w:rsidR="006626E7" w:rsidRPr="006626E7" w:rsidRDefault="006626E7" w:rsidP="006626E7">
      <w:pPr>
        <w:pStyle w:val="NoSpacing"/>
      </w:pPr>
      <w:r w:rsidRPr="006626E7">
        <w:t>Chisholm Institute complies with all</w:t>
      </w:r>
      <w:r>
        <w:t xml:space="preserve"> </w:t>
      </w:r>
      <w:r w:rsidRPr="006626E7">
        <w:t>relevant legislation an</w:t>
      </w:r>
      <w:r>
        <w:t xml:space="preserve">d subordinate </w:t>
      </w:r>
      <w:r w:rsidRPr="006626E7">
        <w:t>instruments, including but not limited to,</w:t>
      </w:r>
      <w:r>
        <w:t xml:space="preserve"> </w:t>
      </w:r>
      <w:r w:rsidRPr="006626E7">
        <w:t>the following:</w:t>
      </w:r>
    </w:p>
    <w:p w:rsidR="006626E7" w:rsidRPr="006626E7" w:rsidRDefault="006626E7" w:rsidP="006626E7">
      <w:pPr>
        <w:pStyle w:val="NoSpacing"/>
      </w:pPr>
      <w:r w:rsidRPr="006626E7">
        <w:t>• Ed</w:t>
      </w:r>
      <w:r>
        <w:t xml:space="preserve">ucation and Training Reform Act </w:t>
      </w:r>
      <w:r w:rsidRPr="006626E7">
        <w:t>2006 (ETRA)</w:t>
      </w:r>
    </w:p>
    <w:p w:rsidR="006626E7" w:rsidRPr="006626E7" w:rsidRDefault="006626E7" w:rsidP="006626E7">
      <w:pPr>
        <w:pStyle w:val="NoSpacing"/>
      </w:pPr>
      <w:r w:rsidRPr="006626E7">
        <w:t>• TAFE institute constitution</w:t>
      </w:r>
    </w:p>
    <w:p w:rsidR="006626E7" w:rsidRPr="006626E7" w:rsidRDefault="006626E7" w:rsidP="006626E7">
      <w:pPr>
        <w:pStyle w:val="NoSpacing"/>
      </w:pPr>
      <w:r w:rsidRPr="006626E7">
        <w:t>• Directio</w:t>
      </w:r>
      <w:r>
        <w:t xml:space="preserve">ns of the Minister for Training </w:t>
      </w:r>
      <w:r w:rsidRPr="006626E7">
        <w:t>and Skills (or predecessors)</w:t>
      </w:r>
    </w:p>
    <w:p w:rsidR="006626E7" w:rsidRPr="006626E7" w:rsidRDefault="006626E7" w:rsidP="006626E7">
      <w:pPr>
        <w:pStyle w:val="NoSpacing"/>
      </w:pPr>
      <w:r w:rsidRPr="006626E7">
        <w:t>• TAFE institute Commercial Guidelines</w:t>
      </w:r>
    </w:p>
    <w:p w:rsidR="006626E7" w:rsidRPr="006626E7" w:rsidRDefault="006626E7" w:rsidP="006626E7">
      <w:pPr>
        <w:pStyle w:val="NoSpacing"/>
      </w:pPr>
      <w:r w:rsidRPr="006626E7">
        <w:lastRenderedPageBreak/>
        <w:t>• TAFE institute Strategic Planning</w:t>
      </w:r>
      <w:r>
        <w:t xml:space="preserve"> </w:t>
      </w:r>
      <w:r w:rsidRPr="006626E7">
        <w:t>Guidelines</w:t>
      </w:r>
    </w:p>
    <w:p w:rsidR="006626E7" w:rsidRPr="006626E7" w:rsidRDefault="006626E7" w:rsidP="006626E7">
      <w:pPr>
        <w:pStyle w:val="NoSpacing"/>
      </w:pPr>
      <w:r w:rsidRPr="006626E7">
        <w:t>• Public Administration Act 2004</w:t>
      </w:r>
    </w:p>
    <w:p w:rsidR="006626E7" w:rsidRPr="006626E7" w:rsidRDefault="006626E7" w:rsidP="006626E7">
      <w:pPr>
        <w:pStyle w:val="NoSpacing"/>
      </w:pPr>
      <w:r w:rsidRPr="006626E7">
        <w:t>• Financial Management Act 1994</w:t>
      </w:r>
    </w:p>
    <w:p w:rsidR="006626E7" w:rsidRPr="006626E7" w:rsidRDefault="006626E7" w:rsidP="006626E7">
      <w:pPr>
        <w:pStyle w:val="NoSpacing"/>
      </w:pPr>
      <w:r w:rsidRPr="006626E7">
        <w:t>• Freedom of Information Act 1982</w:t>
      </w:r>
    </w:p>
    <w:p w:rsidR="006626E7" w:rsidRPr="006626E7" w:rsidRDefault="006626E7" w:rsidP="006626E7">
      <w:pPr>
        <w:pStyle w:val="NoSpacing"/>
      </w:pPr>
      <w:r w:rsidRPr="006626E7">
        <w:t>• Building Act 1983</w:t>
      </w:r>
    </w:p>
    <w:p w:rsidR="006626E7" w:rsidRPr="006626E7" w:rsidRDefault="006626E7" w:rsidP="006626E7">
      <w:pPr>
        <w:pStyle w:val="NoSpacing"/>
      </w:pPr>
      <w:r w:rsidRPr="006626E7">
        <w:t>• Protected Disclosure Act 2012</w:t>
      </w:r>
    </w:p>
    <w:p w:rsidR="006626E7" w:rsidRPr="006626E7" w:rsidRDefault="006626E7" w:rsidP="006626E7">
      <w:pPr>
        <w:pStyle w:val="NoSpacing"/>
      </w:pPr>
      <w:r w:rsidRPr="006626E7">
        <w:t>• Victoria</w:t>
      </w:r>
      <w:r>
        <w:t xml:space="preserve">n Industry Participation Policy </w:t>
      </w:r>
      <w:r w:rsidRPr="006626E7">
        <w:t>Act 2003</w:t>
      </w:r>
    </w:p>
    <w:p w:rsidR="006626E7" w:rsidRPr="006626E7" w:rsidRDefault="006626E7" w:rsidP="006626E7">
      <w:pPr>
        <w:pStyle w:val="NoSpacing"/>
      </w:pPr>
      <w:r w:rsidRPr="006626E7">
        <w:t>• Financial Management Act 1994</w:t>
      </w:r>
    </w:p>
    <w:p w:rsidR="006626E7" w:rsidRPr="006626E7" w:rsidRDefault="006626E7" w:rsidP="006626E7">
      <w:pPr>
        <w:pStyle w:val="NoSpacing"/>
      </w:pPr>
      <w:r w:rsidRPr="006626E7">
        <w:t>• Australian Accounting Standards</w:t>
      </w:r>
    </w:p>
    <w:p w:rsidR="006626E7" w:rsidRPr="006626E7" w:rsidRDefault="006626E7" w:rsidP="006626E7">
      <w:pPr>
        <w:pStyle w:val="NoSpacing"/>
      </w:pPr>
      <w:r w:rsidRPr="006626E7">
        <w:t>• F</w:t>
      </w:r>
      <w:r>
        <w:t xml:space="preserve">air Work Act 2009 and Fair Work </w:t>
      </w:r>
      <w:r w:rsidRPr="006626E7">
        <w:t>Regulations 2009</w:t>
      </w:r>
    </w:p>
    <w:p w:rsidR="006626E7" w:rsidRDefault="006626E7" w:rsidP="006626E7">
      <w:pPr>
        <w:pStyle w:val="NoSpacing"/>
      </w:pPr>
      <w:r w:rsidRPr="006626E7">
        <w:t>• Occ</w:t>
      </w:r>
      <w:r>
        <w:t xml:space="preserve">upational Health and Safety Act </w:t>
      </w:r>
      <w:r w:rsidRPr="006626E7">
        <w:t>2</w:t>
      </w:r>
      <w:r>
        <w:t xml:space="preserve">004 and Occupational Health and </w:t>
      </w:r>
      <w:r w:rsidRPr="006626E7">
        <w:t>Safety Regulations 2007.</w:t>
      </w:r>
    </w:p>
    <w:p w:rsidR="006626E7" w:rsidRDefault="006626E7" w:rsidP="006626E7">
      <w:pPr>
        <w:pStyle w:val="NoSpacing"/>
      </w:pPr>
    </w:p>
    <w:p w:rsidR="006626E7" w:rsidRDefault="006626E7" w:rsidP="006626E7">
      <w:pPr>
        <w:pStyle w:val="NoSpacing"/>
      </w:pPr>
      <w:r>
        <w:t>&lt;PP&gt;98</w:t>
      </w:r>
    </w:p>
    <w:p w:rsidR="006626E7" w:rsidRDefault="006626E7" w:rsidP="006626E7">
      <w:pPr>
        <w:pStyle w:val="NoSpacing"/>
      </w:pPr>
    </w:p>
    <w:p w:rsidR="006626E7" w:rsidRDefault="006626E7" w:rsidP="00234E85">
      <w:pPr>
        <w:pStyle w:val="Heading3"/>
      </w:pPr>
      <w:r>
        <w:t>COMPLIANCE WITH THE BUILDING ACT 1993</w:t>
      </w:r>
    </w:p>
    <w:p w:rsidR="006626E7" w:rsidRDefault="006626E7" w:rsidP="006626E7">
      <w:pPr>
        <w:pStyle w:val="NoSpacing"/>
      </w:pPr>
    </w:p>
    <w:p w:rsidR="006626E7" w:rsidRPr="006626E7" w:rsidRDefault="006626E7" w:rsidP="006626E7">
      <w:pPr>
        <w:pStyle w:val="NoSpacing"/>
      </w:pPr>
      <w:r w:rsidRPr="006626E7">
        <w:t xml:space="preserve">General statement </w:t>
      </w:r>
    </w:p>
    <w:p w:rsidR="006626E7" w:rsidRPr="006626E7" w:rsidRDefault="006626E7" w:rsidP="006626E7">
      <w:pPr>
        <w:pStyle w:val="NoSpacing"/>
      </w:pPr>
    </w:p>
    <w:p w:rsidR="006626E7" w:rsidRPr="006626E7" w:rsidRDefault="006626E7" w:rsidP="006626E7">
      <w:pPr>
        <w:pStyle w:val="NoSpacing"/>
      </w:pPr>
      <w:r w:rsidRPr="006626E7">
        <w:t>Chishol</w:t>
      </w:r>
      <w:r>
        <w:t xml:space="preserve">m Institute holds all plans and </w:t>
      </w:r>
      <w:r w:rsidRPr="006626E7">
        <w:t>document</w:t>
      </w:r>
      <w:r>
        <w:t xml:space="preserve">ation for building extensions </w:t>
      </w:r>
      <w:r w:rsidRPr="006626E7">
        <w:t>and new buildings lodged for issue</w:t>
      </w:r>
      <w:r>
        <w:t xml:space="preserve"> </w:t>
      </w:r>
      <w:r w:rsidRPr="006626E7">
        <w:t xml:space="preserve">of </w:t>
      </w:r>
      <w:r>
        <w:t xml:space="preserve">building approvals by certified </w:t>
      </w:r>
      <w:r w:rsidRPr="006626E7">
        <w:t>buildin</w:t>
      </w:r>
      <w:r>
        <w:t xml:space="preserve">g surveyors. Upon completion of </w:t>
      </w:r>
      <w:r w:rsidRPr="006626E7">
        <w:t>construction, the Institute has obtained</w:t>
      </w:r>
      <w:r>
        <w:t xml:space="preserve"> </w:t>
      </w:r>
      <w:r w:rsidRPr="006626E7">
        <w:t>Certific</w:t>
      </w:r>
      <w:r>
        <w:t xml:space="preserve">ates of Occupancy and practical </w:t>
      </w:r>
      <w:r w:rsidRPr="006626E7">
        <w:t>completion certificates from the relevant</w:t>
      </w:r>
      <w:r>
        <w:t xml:space="preserve"> </w:t>
      </w:r>
      <w:r w:rsidRPr="006626E7">
        <w:t>architects and surveyors.</w:t>
      </w:r>
    </w:p>
    <w:p w:rsidR="006626E7" w:rsidRPr="006626E7" w:rsidRDefault="006626E7" w:rsidP="006626E7">
      <w:pPr>
        <w:pStyle w:val="NoSpacing"/>
      </w:pPr>
    </w:p>
    <w:p w:rsidR="006626E7" w:rsidRPr="006626E7" w:rsidRDefault="006626E7" w:rsidP="006626E7">
      <w:pPr>
        <w:pStyle w:val="NoSpacing"/>
      </w:pPr>
      <w:r w:rsidRPr="006626E7">
        <w:t>Assurance programs</w:t>
      </w:r>
    </w:p>
    <w:p w:rsidR="006626E7" w:rsidRPr="006626E7" w:rsidRDefault="006626E7" w:rsidP="006626E7">
      <w:pPr>
        <w:pStyle w:val="NoSpacing"/>
      </w:pPr>
    </w:p>
    <w:p w:rsidR="006626E7" w:rsidRPr="006626E7" w:rsidRDefault="006626E7" w:rsidP="006626E7">
      <w:pPr>
        <w:pStyle w:val="NoSpacing"/>
      </w:pPr>
      <w:r w:rsidRPr="006626E7">
        <w:t>Certification of building projects</w:t>
      </w:r>
    </w:p>
    <w:p w:rsidR="00B17EA2" w:rsidRDefault="00B17EA2" w:rsidP="006626E7">
      <w:pPr>
        <w:pStyle w:val="NoSpacing"/>
      </w:pPr>
    </w:p>
    <w:p w:rsidR="00B17EA2" w:rsidRDefault="006626E7" w:rsidP="006626E7">
      <w:pPr>
        <w:pStyle w:val="NoSpacing"/>
      </w:pPr>
      <w:r w:rsidRPr="006626E7">
        <w:t>The</w:t>
      </w:r>
      <w:r w:rsidR="00B17EA2">
        <w:t xml:space="preserve"> architects provided completion </w:t>
      </w:r>
      <w:r w:rsidRPr="006626E7">
        <w:t>cert</w:t>
      </w:r>
      <w:r w:rsidR="00B17EA2">
        <w:t xml:space="preserve">ificates and necessary building </w:t>
      </w:r>
      <w:r w:rsidRPr="006626E7">
        <w:t>compliance and regulatory certificates</w:t>
      </w:r>
      <w:r w:rsidR="00B17EA2">
        <w:t xml:space="preserve"> </w:t>
      </w:r>
      <w:r w:rsidRPr="006626E7">
        <w:t>were recei</w:t>
      </w:r>
      <w:r w:rsidR="00B17EA2">
        <w:t xml:space="preserve">ved for all projects completed. </w:t>
      </w:r>
    </w:p>
    <w:p w:rsidR="00B17EA2" w:rsidRDefault="00B17EA2" w:rsidP="006626E7">
      <w:pPr>
        <w:pStyle w:val="NoSpacing"/>
      </w:pPr>
    </w:p>
    <w:p w:rsidR="006626E7" w:rsidRPr="006626E7" w:rsidRDefault="006626E7" w:rsidP="006626E7">
      <w:pPr>
        <w:pStyle w:val="NoSpacing"/>
      </w:pPr>
      <w:r w:rsidRPr="006626E7">
        <w:t>Building maintenance programs</w:t>
      </w:r>
    </w:p>
    <w:p w:rsidR="00B17EA2" w:rsidRDefault="00B17EA2" w:rsidP="006626E7">
      <w:pPr>
        <w:pStyle w:val="NoSpacing"/>
      </w:pPr>
    </w:p>
    <w:p w:rsidR="006626E7" w:rsidRPr="006626E7" w:rsidRDefault="006626E7" w:rsidP="006626E7">
      <w:pPr>
        <w:pStyle w:val="NoSpacing"/>
      </w:pPr>
      <w:r w:rsidRPr="006626E7">
        <w:t>Chisholm</w:t>
      </w:r>
      <w:r w:rsidR="00B17EA2">
        <w:t xml:space="preserve"> Institute has an ongoing </w:t>
      </w:r>
      <w:r w:rsidRPr="006626E7">
        <w:t>maint</w:t>
      </w:r>
      <w:r w:rsidR="00B17EA2">
        <w:t xml:space="preserve">enance program (using Institute </w:t>
      </w:r>
      <w:r w:rsidRPr="006626E7">
        <w:t>staff and engagement of specialist</w:t>
      </w:r>
      <w:r w:rsidR="00B17EA2">
        <w:t xml:space="preserve"> </w:t>
      </w:r>
      <w:r w:rsidRPr="006626E7">
        <w:t>external contractors) for works to the</w:t>
      </w:r>
      <w:r w:rsidR="00B17EA2">
        <w:t xml:space="preserve"> </w:t>
      </w:r>
      <w:r w:rsidRPr="006626E7">
        <w:t>existing buildings controlled by Chisholm.</w:t>
      </w:r>
    </w:p>
    <w:p w:rsidR="00B17EA2" w:rsidRDefault="00B17EA2" w:rsidP="006626E7">
      <w:pPr>
        <w:pStyle w:val="NoSpacing"/>
      </w:pPr>
    </w:p>
    <w:p w:rsidR="006626E7" w:rsidRPr="006626E7" w:rsidRDefault="006626E7" w:rsidP="006626E7">
      <w:pPr>
        <w:pStyle w:val="NoSpacing"/>
      </w:pPr>
      <w:r w:rsidRPr="006626E7">
        <w:t>Compliance statement</w:t>
      </w:r>
    </w:p>
    <w:p w:rsidR="006626E7" w:rsidRPr="006626E7" w:rsidRDefault="006626E7" w:rsidP="006626E7">
      <w:pPr>
        <w:pStyle w:val="NoSpacing"/>
      </w:pPr>
      <w:r w:rsidRPr="006626E7">
        <w:t>It is c</w:t>
      </w:r>
      <w:r w:rsidR="00B17EA2">
        <w:t xml:space="preserve">onsidered that all buildings on </w:t>
      </w:r>
      <w:r w:rsidRPr="006626E7">
        <w:t>campus currently</w:t>
      </w:r>
      <w:r w:rsidR="00B17EA2">
        <w:t xml:space="preserve"> conform to the </w:t>
      </w:r>
      <w:r w:rsidRPr="006626E7">
        <w:t>Building Regulations as existed at the</w:t>
      </w:r>
      <w:r w:rsidR="00B17EA2">
        <w:t xml:space="preserve"> </w:t>
      </w:r>
      <w:r w:rsidRPr="006626E7">
        <w:t>time of construction of the respective</w:t>
      </w:r>
      <w:r w:rsidR="00B17EA2">
        <w:t xml:space="preserve"> </w:t>
      </w:r>
      <w:r w:rsidRPr="006626E7">
        <w:t>buildings</w:t>
      </w:r>
      <w:r w:rsidR="00B17EA2">
        <w:t xml:space="preserve">. All new buildings constructed </w:t>
      </w:r>
      <w:r w:rsidRPr="006626E7">
        <w:t>since the promulgation of the Building</w:t>
      </w:r>
      <w:r w:rsidR="00B17EA2">
        <w:t xml:space="preserve"> </w:t>
      </w:r>
      <w:r w:rsidRPr="006626E7">
        <w:t xml:space="preserve">Act </w:t>
      </w:r>
      <w:r w:rsidR="00B17EA2">
        <w:t xml:space="preserve">1993 comply with those relevant </w:t>
      </w:r>
      <w:r w:rsidRPr="006626E7">
        <w:t>standards. Chisholm Institute has an</w:t>
      </w:r>
      <w:r w:rsidR="00B17EA2">
        <w:t xml:space="preserve"> </w:t>
      </w:r>
      <w:r w:rsidRPr="006626E7">
        <w:t>ongoing p</w:t>
      </w:r>
      <w:r w:rsidR="00B17EA2">
        <w:t xml:space="preserve">rogram to ensure that any </w:t>
      </w:r>
      <w:r w:rsidRPr="006626E7">
        <w:t>alteratio</w:t>
      </w:r>
      <w:r w:rsidR="00B17EA2">
        <w:t xml:space="preserve">ns or improvements to buildings </w:t>
      </w:r>
      <w:r w:rsidRPr="006626E7">
        <w:t>meet the necessary standards to ensure</w:t>
      </w:r>
      <w:r w:rsidR="00B17EA2">
        <w:t xml:space="preserve"> </w:t>
      </w:r>
      <w:r w:rsidRPr="006626E7">
        <w:t>that they are safe and fit for purpose.</w:t>
      </w:r>
    </w:p>
    <w:p w:rsidR="006626E7" w:rsidRPr="006626E7" w:rsidRDefault="006626E7" w:rsidP="006626E7">
      <w:pPr>
        <w:pStyle w:val="NoSpacing"/>
      </w:pPr>
    </w:p>
    <w:p w:rsidR="006626E7" w:rsidRPr="006626E7" w:rsidRDefault="006626E7" w:rsidP="006626E7">
      <w:pPr>
        <w:pStyle w:val="NoSpacing"/>
      </w:pPr>
      <w:r w:rsidRPr="006626E7">
        <w:t>For the year ended 31 December 2017, progress towards full compliance with the Building Act is summarised as follows:</w:t>
      </w:r>
    </w:p>
    <w:p w:rsidR="00025C17" w:rsidRDefault="00025C17" w:rsidP="00965404">
      <w:pPr>
        <w:pStyle w:val="NoSpacing"/>
      </w:pPr>
    </w:p>
    <w:p w:rsidR="00B17EA2" w:rsidRDefault="00B17EA2" w:rsidP="00965404">
      <w:pPr>
        <w:pStyle w:val="NoSpacing"/>
      </w:pPr>
    </w:p>
    <w:p w:rsidR="00B17EA2" w:rsidRDefault="00B17EA2" w:rsidP="00965404">
      <w:pPr>
        <w:pStyle w:val="NoSpacing"/>
      </w:pPr>
      <w:r>
        <w:t>&lt;pp&gt;99</w:t>
      </w:r>
    </w:p>
    <w:p w:rsidR="00B17EA2" w:rsidRDefault="00B17EA2" w:rsidP="00965404">
      <w:pPr>
        <w:pStyle w:val="NoSpacing"/>
      </w:pPr>
    </w:p>
    <w:p w:rsidR="00B17EA2" w:rsidRPr="00675E5D" w:rsidRDefault="00B17EA2" w:rsidP="00675E5D">
      <w:pPr>
        <w:pStyle w:val="NoSpacing"/>
      </w:pPr>
      <w:r w:rsidRPr="00675E5D">
        <w:t>Frankston Campus</w:t>
      </w:r>
    </w:p>
    <w:p w:rsidR="00B17EA2" w:rsidRPr="00675E5D" w:rsidRDefault="00B17EA2" w:rsidP="00675E5D">
      <w:pPr>
        <w:pStyle w:val="NoSpacing"/>
      </w:pPr>
    </w:p>
    <w:p w:rsidR="00B17EA2" w:rsidRPr="00675E5D" w:rsidRDefault="00B17EA2" w:rsidP="00675E5D">
      <w:pPr>
        <w:pStyle w:val="NoSpacing"/>
      </w:pPr>
      <w:r w:rsidRPr="00675E5D">
        <w:t>*Four portables are located in Frankston</w:t>
      </w:r>
      <w:r w:rsidR="00675E5D">
        <w:t xml:space="preserve"> </w:t>
      </w:r>
      <w:r w:rsidRPr="00675E5D">
        <w:t>campus – two hired, two owned.</w:t>
      </w:r>
    </w:p>
    <w:p w:rsidR="00B17EA2" w:rsidRPr="00675E5D" w:rsidRDefault="00B17EA2" w:rsidP="00675E5D">
      <w:pPr>
        <w:pStyle w:val="NoSpacing"/>
      </w:pPr>
      <w:r w:rsidRPr="00675E5D">
        <w:lastRenderedPageBreak/>
        <w:t>*There is one leased building in 58</w:t>
      </w:r>
      <w:r w:rsidR="00675E5D">
        <w:t xml:space="preserve"> </w:t>
      </w:r>
      <w:r w:rsidRPr="00675E5D">
        <w:t>Beach Street for the Built Environment</w:t>
      </w:r>
      <w:r w:rsidR="00675E5D">
        <w:t xml:space="preserve"> </w:t>
      </w:r>
      <w:r w:rsidRPr="00675E5D">
        <w:t>Services (BES) department, including</w:t>
      </w:r>
      <w:r w:rsidR="00675E5D">
        <w:t xml:space="preserve"> </w:t>
      </w:r>
      <w:r w:rsidRPr="00675E5D">
        <w:t>32 vehicle carparks.</w:t>
      </w:r>
    </w:p>
    <w:p w:rsidR="00B17EA2" w:rsidRPr="00675E5D" w:rsidRDefault="00B17EA2" w:rsidP="00675E5D">
      <w:pPr>
        <w:pStyle w:val="NoSpacing"/>
      </w:pPr>
      <w:r w:rsidRPr="00675E5D">
        <w:t>*Buildings A &amp; B Frankston were</w:t>
      </w:r>
      <w:r w:rsidR="00675E5D">
        <w:t xml:space="preserve"> </w:t>
      </w:r>
      <w:r w:rsidRPr="00675E5D">
        <w:t>demolished to enable the start of new</w:t>
      </w:r>
      <w:r w:rsidR="00675E5D">
        <w:t xml:space="preserve"> </w:t>
      </w:r>
      <w:r w:rsidRPr="00675E5D">
        <w:t>FRP works.</w:t>
      </w:r>
    </w:p>
    <w:p w:rsidR="00B17EA2" w:rsidRPr="00675E5D" w:rsidRDefault="00B17EA2" w:rsidP="00675E5D">
      <w:pPr>
        <w:pStyle w:val="NoSpacing"/>
      </w:pPr>
    </w:p>
    <w:p w:rsidR="00B17EA2" w:rsidRPr="00675E5D" w:rsidRDefault="00B17EA2" w:rsidP="00675E5D">
      <w:pPr>
        <w:pStyle w:val="NoSpacing"/>
      </w:pPr>
      <w:r w:rsidRPr="00675E5D">
        <w:t>Dandenong Campus</w:t>
      </w:r>
    </w:p>
    <w:p w:rsidR="00B17EA2" w:rsidRPr="00675E5D" w:rsidRDefault="00B17EA2" w:rsidP="00675E5D">
      <w:pPr>
        <w:pStyle w:val="NoSpacing"/>
      </w:pPr>
    </w:p>
    <w:p w:rsidR="00B17EA2" w:rsidRPr="00675E5D" w:rsidRDefault="00B17EA2" w:rsidP="00675E5D">
      <w:pPr>
        <w:pStyle w:val="NoSpacing"/>
      </w:pPr>
      <w:r w:rsidRPr="00675E5D">
        <w:t>*Dandenong: Q building was demolished</w:t>
      </w:r>
      <w:r w:rsidR="00675E5D">
        <w:t xml:space="preserve"> </w:t>
      </w:r>
      <w:r w:rsidRPr="00675E5D">
        <w:t>and 24 carparks were created.</w:t>
      </w:r>
    </w:p>
    <w:p w:rsidR="00B17EA2" w:rsidRPr="00675E5D" w:rsidRDefault="00B17EA2" w:rsidP="00675E5D">
      <w:pPr>
        <w:pStyle w:val="NoSpacing"/>
      </w:pPr>
    </w:p>
    <w:p w:rsidR="00B17EA2" w:rsidRPr="00675E5D" w:rsidRDefault="00B17EA2" w:rsidP="00675E5D">
      <w:pPr>
        <w:pStyle w:val="NoSpacing"/>
      </w:pPr>
      <w:r w:rsidRPr="00675E5D">
        <w:t xml:space="preserve">Leased buildings </w:t>
      </w:r>
    </w:p>
    <w:p w:rsidR="00B17EA2" w:rsidRPr="00675E5D" w:rsidRDefault="00B17EA2" w:rsidP="00675E5D">
      <w:pPr>
        <w:pStyle w:val="NoSpacing"/>
      </w:pPr>
    </w:p>
    <w:p w:rsidR="00B17EA2" w:rsidRPr="00675E5D" w:rsidRDefault="00B17EA2" w:rsidP="00675E5D">
      <w:pPr>
        <w:pStyle w:val="NoSpacing"/>
      </w:pPr>
      <w:r w:rsidRPr="00675E5D">
        <w:t>• 399 Lonsdale St, Melbourne</w:t>
      </w:r>
    </w:p>
    <w:p w:rsidR="00B17EA2" w:rsidRPr="00675E5D" w:rsidRDefault="00B17EA2" w:rsidP="00675E5D">
      <w:pPr>
        <w:pStyle w:val="NoSpacing"/>
      </w:pPr>
      <w:r w:rsidRPr="00675E5D">
        <w:t>• 234 Flinders Lane, Melbourne</w:t>
      </w:r>
    </w:p>
    <w:p w:rsidR="00B17EA2" w:rsidRPr="00675E5D" w:rsidRDefault="00B17EA2" w:rsidP="00675E5D">
      <w:pPr>
        <w:pStyle w:val="NoSpacing"/>
      </w:pPr>
      <w:r w:rsidRPr="00675E5D">
        <w:t>• 126 Springvale Road Springvale</w:t>
      </w:r>
      <w:r w:rsidR="00675E5D" w:rsidRPr="00675E5D">
        <w:t xml:space="preserve"> </w:t>
      </w:r>
      <w:r w:rsidRPr="00675E5D">
        <w:t>Adult Migration English Program.</w:t>
      </w:r>
    </w:p>
    <w:p w:rsidR="00B17EA2" w:rsidRPr="00675E5D" w:rsidRDefault="00B17EA2" w:rsidP="00675E5D">
      <w:pPr>
        <w:pStyle w:val="NoSpacing"/>
      </w:pPr>
      <w:r w:rsidRPr="00675E5D">
        <w:t>For number of buildings not conforming</w:t>
      </w:r>
      <w:r w:rsidR="00675E5D" w:rsidRPr="00675E5D">
        <w:t xml:space="preserve"> </w:t>
      </w:r>
      <w:r w:rsidRPr="00675E5D">
        <w:t>to standards, refer to Subdivision</w:t>
      </w:r>
      <w:r w:rsidR="00675E5D" w:rsidRPr="00675E5D">
        <w:t xml:space="preserve"> </w:t>
      </w:r>
      <w:r w:rsidRPr="00675E5D">
        <w:t>Statement below.</w:t>
      </w:r>
    </w:p>
    <w:p w:rsidR="00B17EA2" w:rsidRPr="00675E5D" w:rsidRDefault="00B17EA2" w:rsidP="00675E5D">
      <w:pPr>
        <w:pStyle w:val="NoSpacing"/>
      </w:pPr>
      <w:r w:rsidRPr="00675E5D">
        <w:t>Institute buildings J, K and L and</w:t>
      </w:r>
      <w:r w:rsidR="00675E5D" w:rsidRPr="00675E5D">
        <w:t xml:space="preserve"> </w:t>
      </w:r>
      <w:r w:rsidRPr="00675E5D">
        <w:t>buildings F, G and H at Frankston</w:t>
      </w:r>
      <w:r w:rsidR="00675E5D" w:rsidRPr="00675E5D">
        <w:t xml:space="preserve"> </w:t>
      </w:r>
      <w:r w:rsidRPr="00675E5D">
        <w:t>campus are counted as one building.</w:t>
      </w:r>
    </w:p>
    <w:p w:rsidR="00675E5D" w:rsidRPr="00675E5D" w:rsidRDefault="00B17EA2" w:rsidP="00675E5D">
      <w:pPr>
        <w:pStyle w:val="NoSpacing"/>
      </w:pPr>
      <w:r w:rsidRPr="00675E5D">
        <w:t>Institute buildings R and S Dandenong</w:t>
      </w:r>
      <w:r w:rsidR="00675E5D" w:rsidRPr="00675E5D">
        <w:t xml:space="preserve"> </w:t>
      </w:r>
      <w:r w:rsidRPr="00675E5D">
        <w:t>campus are counted as one building.</w:t>
      </w:r>
      <w:r w:rsidR="00675E5D" w:rsidRPr="00675E5D">
        <w:t xml:space="preserve"> </w:t>
      </w:r>
    </w:p>
    <w:p w:rsidR="00B17EA2" w:rsidRPr="00675E5D" w:rsidRDefault="00B17EA2" w:rsidP="00675E5D">
      <w:pPr>
        <w:pStyle w:val="NoSpacing"/>
      </w:pPr>
      <w:r w:rsidRPr="00675E5D">
        <w:t>Subdivision 1 of the Building</w:t>
      </w:r>
    </w:p>
    <w:p w:rsidR="00B17EA2" w:rsidRPr="00675E5D" w:rsidRDefault="00B17EA2" w:rsidP="00675E5D">
      <w:pPr>
        <w:pStyle w:val="NoSpacing"/>
      </w:pPr>
      <w:r w:rsidRPr="00675E5D">
        <w:t>Regulations is related to all new</w:t>
      </w:r>
      <w:r w:rsidR="00675E5D" w:rsidRPr="00675E5D">
        <w:t xml:space="preserve"> </w:t>
      </w:r>
      <w:r w:rsidRPr="00675E5D">
        <w:t>buildings or section of existing buildings</w:t>
      </w:r>
      <w:r w:rsidR="00675E5D" w:rsidRPr="00675E5D">
        <w:t xml:space="preserve"> </w:t>
      </w:r>
      <w:r w:rsidRPr="00675E5D">
        <w:t>altered after 1 July 1994. There are</w:t>
      </w:r>
      <w:r w:rsidR="00675E5D" w:rsidRPr="00675E5D">
        <w:t xml:space="preserve"> </w:t>
      </w:r>
      <w:r w:rsidRPr="00675E5D">
        <w:t>approximately eight buildings out of the</w:t>
      </w:r>
      <w:r w:rsidR="00675E5D" w:rsidRPr="00675E5D">
        <w:t xml:space="preserve"> </w:t>
      </w:r>
      <w:r w:rsidRPr="00675E5D">
        <w:t>67 that are considered to be Subdivision</w:t>
      </w:r>
      <w:r w:rsidR="00675E5D" w:rsidRPr="00675E5D">
        <w:t xml:space="preserve"> </w:t>
      </w:r>
      <w:r w:rsidRPr="00675E5D">
        <w:t>1 type buildings. All buildings are</w:t>
      </w:r>
      <w:r w:rsidR="00675E5D" w:rsidRPr="00675E5D">
        <w:t xml:space="preserve"> </w:t>
      </w:r>
      <w:r w:rsidRPr="00675E5D">
        <w:t>issued with an Annual Essential Safety</w:t>
      </w:r>
      <w:r w:rsidR="00675E5D" w:rsidRPr="00675E5D">
        <w:t xml:space="preserve"> </w:t>
      </w:r>
      <w:r w:rsidRPr="00675E5D">
        <w:t>Measures Report.</w:t>
      </w:r>
    </w:p>
    <w:p w:rsidR="00B17EA2" w:rsidRPr="00675E5D" w:rsidRDefault="00B17EA2" w:rsidP="00675E5D">
      <w:pPr>
        <w:pStyle w:val="NoSpacing"/>
      </w:pPr>
      <w:r w:rsidRPr="00675E5D">
        <w:t>Subdivision 2 relates to all buildings</w:t>
      </w:r>
      <w:r w:rsidR="00675E5D" w:rsidRPr="00675E5D">
        <w:t xml:space="preserve"> </w:t>
      </w:r>
      <w:r w:rsidRPr="00675E5D">
        <w:t>constructed or altered prior to 1 July 1994.</w:t>
      </w:r>
    </w:p>
    <w:p w:rsidR="00B17EA2" w:rsidRPr="00675E5D" w:rsidRDefault="00B17EA2" w:rsidP="00675E5D">
      <w:pPr>
        <w:pStyle w:val="NoSpacing"/>
      </w:pPr>
      <w:r w:rsidRPr="00675E5D">
        <w:t>All Subdivision 2 buildings have</w:t>
      </w:r>
      <w:r w:rsidR="00675E5D" w:rsidRPr="00675E5D">
        <w:t xml:space="preserve"> </w:t>
      </w:r>
      <w:r w:rsidRPr="00675E5D">
        <w:t>been provided with a maintenance</w:t>
      </w:r>
      <w:r w:rsidR="00675E5D" w:rsidRPr="00675E5D">
        <w:t xml:space="preserve"> </w:t>
      </w:r>
      <w:r w:rsidRPr="00675E5D">
        <w:t>determination in accordance with Part</w:t>
      </w:r>
    </w:p>
    <w:p w:rsidR="00B17EA2" w:rsidRPr="00675E5D" w:rsidRDefault="00B17EA2" w:rsidP="00675E5D">
      <w:pPr>
        <w:pStyle w:val="NoSpacing"/>
      </w:pPr>
      <w:r w:rsidRPr="00675E5D">
        <w:t>1215 of the Building Regulations, which</w:t>
      </w:r>
      <w:r w:rsidR="00675E5D" w:rsidRPr="00675E5D">
        <w:t xml:space="preserve"> </w:t>
      </w:r>
      <w:r w:rsidRPr="00675E5D">
        <w:t>requires all buildings to be provided</w:t>
      </w:r>
      <w:r w:rsidR="00675E5D" w:rsidRPr="00675E5D">
        <w:t xml:space="preserve"> </w:t>
      </w:r>
      <w:r w:rsidRPr="00675E5D">
        <w:t>with this document and subsequent</w:t>
      </w:r>
    </w:p>
    <w:p w:rsidR="00B17EA2" w:rsidRPr="00675E5D" w:rsidRDefault="00B17EA2" w:rsidP="00675E5D">
      <w:pPr>
        <w:pStyle w:val="NoSpacing"/>
      </w:pPr>
      <w:r w:rsidRPr="00675E5D">
        <w:t>Annual Essential Safety Measures</w:t>
      </w:r>
      <w:r w:rsidR="00675E5D" w:rsidRPr="00675E5D">
        <w:t xml:space="preserve"> </w:t>
      </w:r>
      <w:r w:rsidRPr="00675E5D">
        <w:t>Reports prior to 13 June 2009.</w:t>
      </w:r>
    </w:p>
    <w:p w:rsidR="00B17EA2" w:rsidRPr="00675E5D" w:rsidRDefault="00B17EA2" w:rsidP="00675E5D">
      <w:pPr>
        <w:pStyle w:val="NoSpacing"/>
      </w:pPr>
      <w:r w:rsidRPr="00675E5D">
        <w:t>Building works undertaken by Chisholm</w:t>
      </w:r>
      <w:r w:rsidR="00675E5D" w:rsidRPr="00675E5D">
        <w:t xml:space="preserve"> </w:t>
      </w:r>
      <w:r w:rsidRPr="00675E5D">
        <w:t>during the year ended 31 December</w:t>
      </w:r>
      <w:r w:rsidR="00675E5D" w:rsidRPr="00675E5D">
        <w:t xml:space="preserve"> </w:t>
      </w:r>
      <w:r w:rsidRPr="00675E5D">
        <w:t>2017 were as follows:</w:t>
      </w:r>
    </w:p>
    <w:p w:rsidR="00B17EA2" w:rsidRPr="00675E5D" w:rsidRDefault="00B17EA2" w:rsidP="00675E5D">
      <w:pPr>
        <w:pStyle w:val="NoSpacing"/>
      </w:pPr>
      <w:r w:rsidRPr="00675E5D">
        <w:t>• Frankston Redevelopment Project,</w:t>
      </w:r>
      <w:r w:rsidR="00675E5D" w:rsidRPr="00675E5D">
        <w:t xml:space="preserve"> </w:t>
      </w:r>
      <w:r w:rsidRPr="00675E5D">
        <w:t>demolition of building A and B</w:t>
      </w:r>
    </w:p>
    <w:p w:rsidR="00B17EA2" w:rsidRPr="00675E5D" w:rsidRDefault="00B17EA2" w:rsidP="00675E5D">
      <w:pPr>
        <w:pStyle w:val="NoSpacing"/>
      </w:pPr>
      <w:r w:rsidRPr="00675E5D">
        <w:t>• Casey Tech school project $10m,</w:t>
      </w:r>
      <w:r w:rsidR="00675E5D" w:rsidRPr="00675E5D">
        <w:t xml:space="preserve"> </w:t>
      </w:r>
      <w:r w:rsidRPr="00675E5D">
        <w:t>commenced 2017</w:t>
      </w:r>
    </w:p>
    <w:p w:rsidR="00B17EA2" w:rsidRPr="00675E5D" w:rsidRDefault="00B17EA2" w:rsidP="00675E5D">
      <w:pPr>
        <w:pStyle w:val="NoSpacing"/>
      </w:pPr>
      <w:r w:rsidRPr="00675E5D">
        <w:t>• Berwick centre for health project</w:t>
      </w:r>
      <w:r w:rsidR="00675E5D" w:rsidRPr="00675E5D">
        <w:t xml:space="preserve"> </w:t>
      </w:r>
      <w:r w:rsidRPr="00675E5D">
        <w:t>$15m, commenced 2017</w:t>
      </w:r>
    </w:p>
    <w:p w:rsidR="00675E5D" w:rsidRPr="00675E5D" w:rsidRDefault="00675E5D" w:rsidP="00675E5D">
      <w:pPr>
        <w:pStyle w:val="NoSpacing"/>
      </w:pPr>
    </w:p>
    <w:p w:rsidR="00675E5D" w:rsidRPr="00675E5D" w:rsidRDefault="00675E5D" w:rsidP="00234E85">
      <w:pPr>
        <w:pStyle w:val="Heading3"/>
      </w:pPr>
      <w:r w:rsidRPr="00675E5D">
        <w:t xml:space="preserve">Report on major commercial activity </w:t>
      </w:r>
    </w:p>
    <w:p w:rsidR="00675E5D" w:rsidRDefault="00675E5D" w:rsidP="00B17EA2">
      <w:pPr>
        <w:pStyle w:val="NoSpacing"/>
        <w:rPr>
          <w:rFonts w:ascii="ProximaNovaA-Light" w:hAnsi="ProximaNovaA-Light" w:cs="ProximaNovaA-Light"/>
          <w:sz w:val="18"/>
          <w:szCs w:val="18"/>
        </w:rPr>
      </w:pPr>
    </w:p>
    <w:p w:rsidR="00675E5D" w:rsidRDefault="00675E5D" w:rsidP="00B17EA2">
      <w:pPr>
        <w:pStyle w:val="NoSpacing"/>
      </w:pPr>
      <w:r>
        <w:t>There was no other Major Commercial Activity conducted by Chisholm in this reporting period.</w:t>
      </w:r>
    </w:p>
    <w:p w:rsidR="00675E5D" w:rsidRDefault="00675E5D" w:rsidP="00B17EA2">
      <w:pPr>
        <w:pStyle w:val="NoSpacing"/>
      </w:pPr>
    </w:p>
    <w:p w:rsidR="00675E5D" w:rsidRDefault="00675E5D" w:rsidP="00B17EA2">
      <w:pPr>
        <w:pStyle w:val="NoSpacing"/>
        <w:rPr>
          <w:caps/>
        </w:rPr>
        <w:sectPr w:rsidR="00675E5D" w:rsidSect="001F6EF1">
          <w:pgSz w:w="11906" w:h="16838" w:code="9"/>
          <w:pgMar w:top="1440" w:right="1440" w:bottom="1440" w:left="1440" w:header="709" w:footer="709" w:gutter="0"/>
          <w:cols w:space="708"/>
          <w:docGrid w:linePitch="360"/>
        </w:sectPr>
      </w:pPr>
    </w:p>
    <w:p w:rsidR="00675E5D" w:rsidRPr="00675E5D" w:rsidRDefault="00675E5D" w:rsidP="00234E85">
      <w:pPr>
        <w:pStyle w:val="Heading3"/>
      </w:pPr>
      <w:r w:rsidRPr="00675E5D">
        <w:lastRenderedPageBreak/>
        <w:t>Advertising 2017</w:t>
      </w:r>
    </w:p>
    <w:p w:rsidR="00675E5D" w:rsidRDefault="00675E5D" w:rsidP="00B17EA2">
      <w:pPr>
        <w:pStyle w:val="NoSpacing"/>
      </w:pPr>
    </w:p>
    <w:p w:rsidR="00675E5D" w:rsidRDefault="00675E5D" w:rsidP="00B17EA2">
      <w:pPr>
        <w:pStyle w:val="NoSpacing"/>
      </w:pPr>
      <w:r>
        <w:t>Details of government advertising expenditure (campaigns with a media spend of $100,000 or greater)</w:t>
      </w:r>
    </w:p>
    <w:p w:rsidR="00675E5D" w:rsidRDefault="00675E5D" w:rsidP="00B17EA2">
      <w:pPr>
        <w:pStyle w:val="NoSpacing"/>
      </w:pPr>
    </w:p>
    <w:tbl>
      <w:tblPr>
        <w:tblStyle w:val="TableGrid"/>
        <w:tblW w:w="15026" w:type="dxa"/>
        <w:tblInd w:w="-714" w:type="dxa"/>
        <w:tblLook w:val="04A0" w:firstRow="1" w:lastRow="0" w:firstColumn="1" w:lastColumn="0" w:noHBand="0" w:noVBand="1"/>
      </w:tblPr>
      <w:tblGrid>
        <w:gridCol w:w="3250"/>
        <w:gridCol w:w="3107"/>
        <w:gridCol w:w="1417"/>
        <w:gridCol w:w="1699"/>
        <w:gridCol w:w="1417"/>
        <w:gridCol w:w="1417"/>
        <w:gridCol w:w="1416"/>
        <w:gridCol w:w="1303"/>
      </w:tblGrid>
      <w:tr w:rsidR="00675E5D" w:rsidTr="003A4641">
        <w:tc>
          <w:tcPr>
            <w:tcW w:w="3261" w:type="dxa"/>
            <w:vAlign w:val="bottom"/>
          </w:tcPr>
          <w:p w:rsidR="00675E5D" w:rsidRDefault="003A4641" w:rsidP="003A4641">
            <w:pPr>
              <w:pStyle w:val="NoSpacing"/>
            </w:pPr>
            <w:r>
              <w:t>Name of campaign</w:t>
            </w:r>
          </w:p>
        </w:tc>
        <w:tc>
          <w:tcPr>
            <w:tcW w:w="3118" w:type="dxa"/>
            <w:vAlign w:val="bottom"/>
          </w:tcPr>
          <w:p w:rsidR="00675E5D" w:rsidRDefault="003A4641" w:rsidP="003A4641">
            <w:pPr>
              <w:pStyle w:val="NoSpacing"/>
            </w:pPr>
            <w:r>
              <w:t>Campaign summary</w:t>
            </w:r>
          </w:p>
        </w:tc>
        <w:tc>
          <w:tcPr>
            <w:tcW w:w="1418" w:type="dxa"/>
            <w:vAlign w:val="bottom"/>
          </w:tcPr>
          <w:p w:rsidR="00675E5D" w:rsidRDefault="003A4641" w:rsidP="003A4641">
            <w:pPr>
              <w:pStyle w:val="NoSpacing"/>
            </w:pPr>
            <w:r>
              <w:t>Start/end date</w:t>
            </w:r>
          </w:p>
        </w:tc>
        <w:tc>
          <w:tcPr>
            <w:tcW w:w="1701" w:type="dxa"/>
            <w:vAlign w:val="bottom"/>
          </w:tcPr>
          <w:p w:rsidR="00675E5D" w:rsidRDefault="003A4641" w:rsidP="003A4641">
            <w:pPr>
              <w:pStyle w:val="NoSpacing"/>
              <w:jc w:val="right"/>
            </w:pPr>
            <w:r>
              <w:t>Advertising (media) expenditure (excluding GST)</w:t>
            </w:r>
          </w:p>
        </w:tc>
        <w:tc>
          <w:tcPr>
            <w:tcW w:w="1417" w:type="dxa"/>
            <w:vAlign w:val="bottom"/>
          </w:tcPr>
          <w:p w:rsidR="00675E5D" w:rsidRDefault="003A4641" w:rsidP="003A4641">
            <w:pPr>
              <w:pStyle w:val="NoSpacing"/>
              <w:jc w:val="right"/>
            </w:pPr>
            <w:r>
              <w:t>Creative and campaign development expenditure (excluding GST)</w:t>
            </w:r>
          </w:p>
        </w:tc>
        <w:tc>
          <w:tcPr>
            <w:tcW w:w="1418" w:type="dxa"/>
            <w:vAlign w:val="bottom"/>
          </w:tcPr>
          <w:p w:rsidR="00675E5D" w:rsidRDefault="003A4641" w:rsidP="003A4641">
            <w:pPr>
              <w:pStyle w:val="NoSpacing"/>
              <w:jc w:val="right"/>
            </w:pPr>
            <w:r>
              <w:t>Research and evaluation expenditure (excluding GST)</w:t>
            </w:r>
          </w:p>
        </w:tc>
        <w:tc>
          <w:tcPr>
            <w:tcW w:w="1417" w:type="dxa"/>
            <w:vAlign w:val="bottom"/>
          </w:tcPr>
          <w:p w:rsidR="00675E5D" w:rsidRDefault="003A4641" w:rsidP="003A4641">
            <w:pPr>
              <w:pStyle w:val="NoSpacing"/>
              <w:jc w:val="right"/>
            </w:pPr>
            <w:r>
              <w:t>Print and collateral expenditure (excluding GST)</w:t>
            </w:r>
          </w:p>
        </w:tc>
        <w:tc>
          <w:tcPr>
            <w:tcW w:w="1276" w:type="dxa"/>
            <w:vAlign w:val="bottom"/>
          </w:tcPr>
          <w:p w:rsidR="00675E5D" w:rsidRDefault="003A4641" w:rsidP="003A4641">
            <w:pPr>
              <w:pStyle w:val="NoSpacing"/>
              <w:jc w:val="right"/>
            </w:pPr>
            <w:r>
              <w:t>Other campaign expenditure (excluding GST)</w:t>
            </w:r>
          </w:p>
        </w:tc>
      </w:tr>
      <w:tr w:rsidR="00675E5D" w:rsidTr="003A4641">
        <w:tc>
          <w:tcPr>
            <w:tcW w:w="3261" w:type="dxa"/>
          </w:tcPr>
          <w:p w:rsidR="00675E5D" w:rsidRDefault="003A4641" w:rsidP="00B17EA2">
            <w:pPr>
              <w:pStyle w:val="NoSpacing"/>
            </w:pPr>
            <w:r>
              <w:t>January 2017 recruitment</w:t>
            </w:r>
          </w:p>
        </w:tc>
        <w:tc>
          <w:tcPr>
            <w:tcW w:w="3118" w:type="dxa"/>
          </w:tcPr>
          <w:p w:rsidR="00675E5D" w:rsidRDefault="003A4641" w:rsidP="00B17EA2">
            <w:pPr>
              <w:pStyle w:val="NoSpacing"/>
            </w:pPr>
            <w:r>
              <w:t>Main acquisition campaign</w:t>
            </w:r>
          </w:p>
        </w:tc>
        <w:tc>
          <w:tcPr>
            <w:tcW w:w="1418" w:type="dxa"/>
          </w:tcPr>
          <w:p w:rsidR="00675E5D" w:rsidRDefault="00675E5D" w:rsidP="00B17EA2">
            <w:pPr>
              <w:pStyle w:val="NoSpacing"/>
            </w:pPr>
          </w:p>
        </w:tc>
        <w:tc>
          <w:tcPr>
            <w:tcW w:w="1701" w:type="dxa"/>
          </w:tcPr>
          <w:p w:rsidR="00675E5D" w:rsidRDefault="003A4641" w:rsidP="003A4641">
            <w:pPr>
              <w:pStyle w:val="NoSpacing"/>
              <w:jc w:val="right"/>
            </w:pPr>
            <w:r>
              <w:t>$376,993</w:t>
            </w:r>
          </w:p>
        </w:tc>
        <w:tc>
          <w:tcPr>
            <w:tcW w:w="1417" w:type="dxa"/>
          </w:tcPr>
          <w:p w:rsidR="00675E5D" w:rsidRDefault="003A4641" w:rsidP="003A4641">
            <w:pPr>
              <w:pStyle w:val="NoSpacing"/>
              <w:jc w:val="right"/>
            </w:pPr>
            <w:r>
              <w:t>$1,500</w:t>
            </w:r>
          </w:p>
        </w:tc>
        <w:tc>
          <w:tcPr>
            <w:tcW w:w="1418" w:type="dxa"/>
          </w:tcPr>
          <w:p w:rsidR="00675E5D" w:rsidRDefault="00675E5D" w:rsidP="003A4641">
            <w:pPr>
              <w:pStyle w:val="NoSpacing"/>
              <w:jc w:val="right"/>
            </w:pPr>
          </w:p>
        </w:tc>
        <w:tc>
          <w:tcPr>
            <w:tcW w:w="1417" w:type="dxa"/>
          </w:tcPr>
          <w:p w:rsidR="00675E5D" w:rsidRDefault="00675E5D" w:rsidP="003A4641">
            <w:pPr>
              <w:pStyle w:val="NoSpacing"/>
              <w:jc w:val="right"/>
            </w:pPr>
          </w:p>
        </w:tc>
        <w:tc>
          <w:tcPr>
            <w:tcW w:w="1276" w:type="dxa"/>
          </w:tcPr>
          <w:p w:rsidR="00675E5D" w:rsidRDefault="00675E5D" w:rsidP="003A4641">
            <w:pPr>
              <w:pStyle w:val="NoSpacing"/>
              <w:jc w:val="right"/>
            </w:pPr>
          </w:p>
        </w:tc>
      </w:tr>
      <w:tr w:rsidR="00675E5D" w:rsidTr="003A4641">
        <w:tc>
          <w:tcPr>
            <w:tcW w:w="3261" w:type="dxa"/>
          </w:tcPr>
          <w:p w:rsidR="00675E5D" w:rsidRDefault="003A4641" w:rsidP="00B17EA2">
            <w:pPr>
              <w:pStyle w:val="NoSpacing"/>
            </w:pPr>
            <w:r>
              <w:t>Mid-year recruitment</w:t>
            </w:r>
          </w:p>
        </w:tc>
        <w:tc>
          <w:tcPr>
            <w:tcW w:w="3118" w:type="dxa"/>
          </w:tcPr>
          <w:p w:rsidR="00675E5D" w:rsidRDefault="003A4641" w:rsidP="00B17EA2">
            <w:pPr>
              <w:pStyle w:val="NoSpacing"/>
            </w:pPr>
            <w:r>
              <w:t>Integrated acquisition campaign for mid-year enrolment</w:t>
            </w:r>
          </w:p>
        </w:tc>
        <w:tc>
          <w:tcPr>
            <w:tcW w:w="1418" w:type="dxa"/>
          </w:tcPr>
          <w:p w:rsidR="00675E5D" w:rsidRDefault="003A4641" w:rsidP="00B17EA2">
            <w:pPr>
              <w:pStyle w:val="NoSpacing"/>
            </w:pPr>
            <w:r>
              <w:t>April - July 2017</w:t>
            </w:r>
          </w:p>
        </w:tc>
        <w:tc>
          <w:tcPr>
            <w:tcW w:w="1701" w:type="dxa"/>
          </w:tcPr>
          <w:p w:rsidR="00675E5D" w:rsidRDefault="003A4641" w:rsidP="003A4641">
            <w:pPr>
              <w:pStyle w:val="NoSpacing"/>
              <w:jc w:val="right"/>
            </w:pPr>
            <w:r>
              <w:t>$390,534</w:t>
            </w:r>
          </w:p>
        </w:tc>
        <w:tc>
          <w:tcPr>
            <w:tcW w:w="1417" w:type="dxa"/>
          </w:tcPr>
          <w:p w:rsidR="00675E5D" w:rsidRDefault="003A4641" w:rsidP="003A4641">
            <w:pPr>
              <w:pStyle w:val="NoSpacing"/>
              <w:jc w:val="right"/>
            </w:pPr>
            <w:r>
              <w:t>$715</w:t>
            </w:r>
          </w:p>
        </w:tc>
        <w:tc>
          <w:tcPr>
            <w:tcW w:w="1418" w:type="dxa"/>
          </w:tcPr>
          <w:p w:rsidR="00675E5D" w:rsidRDefault="00675E5D" w:rsidP="003A4641">
            <w:pPr>
              <w:pStyle w:val="NoSpacing"/>
              <w:jc w:val="right"/>
            </w:pPr>
          </w:p>
        </w:tc>
        <w:tc>
          <w:tcPr>
            <w:tcW w:w="1417" w:type="dxa"/>
          </w:tcPr>
          <w:p w:rsidR="00675E5D" w:rsidRDefault="00675E5D" w:rsidP="003A4641">
            <w:pPr>
              <w:pStyle w:val="NoSpacing"/>
              <w:jc w:val="right"/>
            </w:pPr>
          </w:p>
        </w:tc>
        <w:tc>
          <w:tcPr>
            <w:tcW w:w="1276" w:type="dxa"/>
          </w:tcPr>
          <w:p w:rsidR="00675E5D" w:rsidRDefault="003A4641" w:rsidP="003A4641">
            <w:pPr>
              <w:pStyle w:val="NoSpacing"/>
              <w:jc w:val="right"/>
            </w:pPr>
            <w:r>
              <w:t>$5,040</w:t>
            </w:r>
          </w:p>
        </w:tc>
      </w:tr>
      <w:tr w:rsidR="00675E5D" w:rsidTr="003A4641">
        <w:tc>
          <w:tcPr>
            <w:tcW w:w="3261" w:type="dxa"/>
          </w:tcPr>
          <w:p w:rsidR="00675E5D" w:rsidRDefault="003A4641" w:rsidP="00B17EA2">
            <w:pPr>
              <w:pStyle w:val="NoSpacing"/>
            </w:pPr>
            <w:r>
              <w:t>Tactical campaign – DPR boost</w:t>
            </w:r>
          </w:p>
        </w:tc>
        <w:tc>
          <w:tcPr>
            <w:tcW w:w="3118" w:type="dxa"/>
          </w:tcPr>
          <w:p w:rsidR="00675E5D" w:rsidRDefault="003A4641" w:rsidP="00B17EA2">
            <w:pPr>
              <w:pStyle w:val="NoSpacing"/>
            </w:pPr>
            <w:r>
              <w:t>Boost campaign</w:t>
            </w:r>
          </w:p>
        </w:tc>
        <w:tc>
          <w:tcPr>
            <w:tcW w:w="1418" w:type="dxa"/>
          </w:tcPr>
          <w:p w:rsidR="00675E5D" w:rsidRDefault="003A4641" w:rsidP="00B17EA2">
            <w:pPr>
              <w:pStyle w:val="NoSpacing"/>
            </w:pPr>
            <w:r>
              <w:t>3/09/2017 – 14/10/2017</w:t>
            </w:r>
          </w:p>
        </w:tc>
        <w:tc>
          <w:tcPr>
            <w:tcW w:w="1701" w:type="dxa"/>
          </w:tcPr>
          <w:p w:rsidR="00675E5D" w:rsidRDefault="003A4641" w:rsidP="003A4641">
            <w:pPr>
              <w:pStyle w:val="NoSpacing"/>
              <w:jc w:val="right"/>
            </w:pPr>
            <w:r>
              <w:t>$259,264</w:t>
            </w:r>
          </w:p>
        </w:tc>
        <w:tc>
          <w:tcPr>
            <w:tcW w:w="1417" w:type="dxa"/>
          </w:tcPr>
          <w:p w:rsidR="00675E5D" w:rsidRDefault="00675E5D" w:rsidP="003A4641">
            <w:pPr>
              <w:pStyle w:val="NoSpacing"/>
              <w:jc w:val="right"/>
            </w:pPr>
          </w:p>
        </w:tc>
        <w:tc>
          <w:tcPr>
            <w:tcW w:w="1418" w:type="dxa"/>
          </w:tcPr>
          <w:p w:rsidR="00675E5D" w:rsidRDefault="00675E5D" w:rsidP="003A4641">
            <w:pPr>
              <w:pStyle w:val="NoSpacing"/>
              <w:jc w:val="right"/>
            </w:pPr>
          </w:p>
        </w:tc>
        <w:tc>
          <w:tcPr>
            <w:tcW w:w="1417" w:type="dxa"/>
          </w:tcPr>
          <w:p w:rsidR="00675E5D" w:rsidRDefault="00675E5D" w:rsidP="003A4641">
            <w:pPr>
              <w:pStyle w:val="NoSpacing"/>
              <w:jc w:val="right"/>
            </w:pPr>
          </w:p>
        </w:tc>
        <w:tc>
          <w:tcPr>
            <w:tcW w:w="1276" w:type="dxa"/>
          </w:tcPr>
          <w:p w:rsidR="00675E5D" w:rsidRDefault="00675E5D" w:rsidP="003A4641">
            <w:pPr>
              <w:pStyle w:val="NoSpacing"/>
              <w:jc w:val="right"/>
            </w:pPr>
          </w:p>
        </w:tc>
      </w:tr>
      <w:tr w:rsidR="00675E5D" w:rsidTr="003A4641">
        <w:tc>
          <w:tcPr>
            <w:tcW w:w="3261" w:type="dxa"/>
          </w:tcPr>
          <w:p w:rsidR="00675E5D" w:rsidRDefault="003A4641" w:rsidP="00B17EA2">
            <w:pPr>
              <w:pStyle w:val="NoSpacing"/>
            </w:pPr>
            <w:r>
              <w:t xml:space="preserve">2018 recruitment campaign – Chase your calling </w:t>
            </w:r>
          </w:p>
        </w:tc>
        <w:tc>
          <w:tcPr>
            <w:tcW w:w="3118" w:type="dxa"/>
          </w:tcPr>
          <w:p w:rsidR="00675E5D" w:rsidRDefault="003A4641" w:rsidP="00B17EA2">
            <w:pPr>
              <w:pStyle w:val="NoSpacing"/>
            </w:pPr>
            <w:r>
              <w:t xml:space="preserve">Chase your Calling launch </w:t>
            </w:r>
          </w:p>
        </w:tc>
        <w:tc>
          <w:tcPr>
            <w:tcW w:w="1418" w:type="dxa"/>
          </w:tcPr>
          <w:p w:rsidR="00675E5D" w:rsidRDefault="003A4641" w:rsidP="00B17EA2">
            <w:pPr>
              <w:pStyle w:val="NoSpacing"/>
            </w:pPr>
            <w:r>
              <w:t>6/11/2017 – 31/03/2018</w:t>
            </w:r>
          </w:p>
        </w:tc>
        <w:tc>
          <w:tcPr>
            <w:tcW w:w="1701" w:type="dxa"/>
          </w:tcPr>
          <w:p w:rsidR="00675E5D" w:rsidRDefault="003A4641" w:rsidP="003A4641">
            <w:pPr>
              <w:pStyle w:val="NoSpacing"/>
              <w:jc w:val="right"/>
            </w:pPr>
            <w:r>
              <w:t>$1,966,680</w:t>
            </w:r>
          </w:p>
        </w:tc>
        <w:tc>
          <w:tcPr>
            <w:tcW w:w="1417" w:type="dxa"/>
          </w:tcPr>
          <w:p w:rsidR="00675E5D" w:rsidRDefault="003A4641" w:rsidP="003A4641">
            <w:pPr>
              <w:pStyle w:val="NoSpacing"/>
              <w:jc w:val="right"/>
            </w:pPr>
            <w:r>
              <w:t>$860,500</w:t>
            </w:r>
          </w:p>
        </w:tc>
        <w:tc>
          <w:tcPr>
            <w:tcW w:w="1418" w:type="dxa"/>
          </w:tcPr>
          <w:p w:rsidR="00675E5D" w:rsidRDefault="00675E5D" w:rsidP="003A4641">
            <w:pPr>
              <w:pStyle w:val="NoSpacing"/>
              <w:jc w:val="right"/>
            </w:pPr>
          </w:p>
        </w:tc>
        <w:tc>
          <w:tcPr>
            <w:tcW w:w="1417" w:type="dxa"/>
          </w:tcPr>
          <w:p w:rsidR="00675E5D" w:rsidRDefault="00675E5D" w:rsidP="003A4641">
            <w:pPr>
              <w:pStyle w:val="NoSpacing"/>
              <w:jc w:val="right"/>
            </w:pPr>
          </w:p>
        </w:tc>
        <w:tc>
          <w:tcPr>
            <w:tcW w:w="1276" w:type="dxa"/>
          </w:tcPr>
          <w:p w:rsidR="00675E5D" w:rsidRDefault="00675E5D" w:rsidP="003A4641">
            <w:pPr>
              <w:pStyle w:val="NoSpacing"/>
              <w:jc w:val="right"/>
            </w:pPr>
          </w:p>
        </w:tc>
      </w:tr>
    </w:tbl>
    <w:p w:rsidR="00675E5D" w:rsidRDefault="00675E5D" w:rsidP="00B17EA2">
      <w:pPr>
        <w:pStyle w:val="NoSpacing"/>
      </w:pPr>
    </w:p>
    <w:p w:rsidR="003A4641" w:rsidRDefault="003A4641" w:rsidP="00B17EA2">
      <w:pPr>
        <w:pStyle w:val="NoSpacing"/>
      </w:pPr>
      <w:r>
        <w:t>&lt;pp&gt;100</w:t>
      </w:r>
    </w:p>
    <w:p w:rsidR="003A4641" w:rsidRDefault="003A4641" w:rsidP="00B17EA2">
      <w:pPr>
        <w:pStyle w:val="NoSpacing"/>
      </w:pPr>
    </w:p>
    <w:p w:rsidR="00675E5D" w:rsidRDefault="00675E5D" w:rsidP="00B17EA2">
      <w:pPr>
        <w:pStyle w:val="NoSpacing"/>
        <w:sectPr w:rsidR="00675E5D" w:rsidSect="00675E5D">
          <w:pgSz w:w="16838" w:h="11906" w:orient="landscape" w:code="9"/>
          <w:pgMar w:top="1440" w:right="1440" w:bottom="1440" w:left="1440" w:header="709" w:footer="709" w:gutter="0"/>
          <w:cols w:space="708"/>
          <w:docGrid w:linePitch="360"/>
        </w:sectPr>
      </w:pPr>
    </w:p>
    <w:p w:rsidR="003A4641" w:rsidRDefault="003A4641" w:rsidP="00234E85">
      <w:pPr>
        <w:pStyle w:val="Heading3"/>
      </w:pPr>
      <w:r>
        <w:lastRenderedPageBreak/>
        <w:t>ICT EXPENDITURE</w:t>
      </w:r>
    </w:p>
    <w:p w:rsidR="003A4641" w:rsidRDefault="003A4641" w:rsidP="00B17EA2">
      <w:pPr>
        <w:pStyle w:val="NoSpacing"/>
      </w:pPr>
    </w:p>
    <w:p w:rsidR="003A4641" w:rsidRPr="00650F19" w:rsidRDefault="003A4641" w:rsidP="00650F19">
      <w:pPr>
        <w:autoSpaceDE w:val="0"/>
        <w:autoSpaceDN w:val="0"/>
        <w:adjustRightInd w:val="0"/>
        <w:spacing w:after="0" w:line="240" w:lineRule="auto"/>
        <w:rPr>
          <w:rFonts w:cstheme="minorHAnsi"/>
        </w:rPr>
      </w:pPr>
      <w:r w:rsidRPr="00650F19">
        <w:rPr>
          <w:rFonts w:cstheme="minorHAnsi"/>
        </w:rPr>
        <w:t xml:space="preserve">The </w:t>
      </w:r>
      <w:r w:rsidR="00650F19">
        <w:rPr>
          <w:rFonts w:cstheme="minorHAnsi"/>
        </w:rPr>
        <w:t xml:space="preserve">Information Technology Services </w:t>
      </w:r>
      <w:r w:rsidRPr="00650F19">
        <w:rPr>
          <w:rFonts w:cstheme="minorHAnsi"/>
        </w:rPr>
        <w:t>B</w:t>
      </w:r>
      <w:r w:rsidR="00650F19">
        <w:rPr>
          <w:rFonts w:cstheme="minorHAnsi"/>
        </w:rPr>
        <w:t xml:space="preserve">usiness Area provided staff and </w:t>
      </w:r>
      <w:r w:rsidRPr="00650F19">
        <w:rPr>
          <w:rFonts w:cstheme="minorHAnsi"/>
        </w:rPr>
        <w:t>students secure access to over 4,000</w:t>
      </w:r>
      <w:r w:rsidR="00650F19">
        <w:rPr>
          <w:rFonts w:cstheme="minorHAnsi"/>
        </w:rPr>
        <w:t xml:space="preserve"> </w:t>
      </w:r>
      <w:r w:rsidRPr="00650F19">
        <w:rPr>
          <w:rFonts w:cstheme="minorHAnsi"/>
        </w:rPr>
        <w:t>device</w:t>
      </w:r>
      <w:r w:rsidR="00650F19">
        <w:rPr>
          <w:rFonts w:cstheme="minorHAnsi"/>
        </w:rPr>
        <w:t xml:space="preserve">s in 2017, with all desktop and </w:t>
      </w:r>
      <w:r w:rsidRPr="00650F19">
        <w:rPr>
          <w:rFonts w:cstheme="minorHAnsi"/>
        </w:rPr>
        <w:t>lapto</w:t>
      </w:r>
      <w:r w:rsidR="00650F19">
        <w:rPr>
          <w:rFonts w:cstheme="minorHAnsi"/>
        </w:rPr>
        <w:t xml:space="preserve">p computers upgraded to Windows </w:t>
      </w:r>
      <w:r w:rsidRPr="00650F19">
        <w:rPr>
          <w:rFonts w:cstheme="minorHAnsi"/>
        </w:rPr>
        <w:t>10. The migration of applications to the</w:t>
      </w:r>
      <w:r w:rsidR="00650F19">
        <w:rPr>
          <w:rFonts w:cstheme="minorHAnsi"/>
        </w:rPr>
        <w:t xml:space="preserve"> </w:t>
      </w:r>
      <w:r w:rsidRPr="00650F19">
        <w:rPr>
          <w:rFonts w:cstheme="minorHAnsi"/>
        </w:rPr>
        <w:t>Clou</w:t>
      </w:r>
      <w:r w:rsidR="00650F19">
        <w:rPr>
          <w:rFonts w:cstheme="minorHAnsi"/>
        </w:rPr>
        <w:t xml:space="preserve">d continued with the successful </w:t>
      </w:r>
      <w:r w:rsidRPr="00650F19">
        <w:rPr>
          <w:rFonts w:cstheme="minorHAnsi"/>
        </w:rPr>
        <w:t>migration of student email and the</w:t>
      </w:r>
      <w:r w:rsidR="00650F19">
        <w:rPr>
          <w:rFonts w:cstheme="minorHAnsi"/>
        </w:rPr>
        <w:t xml:space="preserve"> </w:t>
      </w:r>
      <w:r w:rsidRPr="00650F19">
        <w:rPr>
          <w:rFonts w:cstheme="minorHAnsi"/>
        </w:rPr>
        <w:t>C</w:t>
      </w:r>
      <w:r w:rsidR="00650F19">
        <w:rPr>
          <w:rFonts w:cstheme="minorHAnsi"/>
        </w:rPr>
        <w:t xml:space="preserve">hisholm website from on-premise </w:t>
      </w:r>
      <w:r w:rsidRPr="00650F19">
        <w:rPr>
          <w:rFonts w:cstheme="minorHAnsi"/>
        </w:rPr>
        <w:t>del</w:t>
      </w:r>
      <w:r w:rsidR="00650F19">
        <w:rPr>
          <w:rFonts w:cstheme="minorHAnsi"/>
        </w:rPr>
        <w:t xml:space="preserve">ivery to the Cloud. Preparation </w:t>
      </w:r>
      <w:r w:rsidRPr="00650F19">
        <w:rPr>
          <w:rFonts w:cstheme="minorHAnsi"/>
        </w:rPr>
        <w:t>commenced for the refresh of the network</w:t>
      </w:r>
      <w:r w:rsidR="00650F19">
        <w:rPr>
          <w:rFonts w:cstheme="minorHAnsi"/>
        </w:rPr>
        <w:t xml:space="preserve"> </w:t>
      </w:r>
      <w:r w:rsidRPr="00650F19">
        <w:rPr>
          <w:rFonts w:cstheme="minorHAnsi"/>
        </w:rPr>
        <w:t>infrastruc</w:t>
      </w:r>
      <w:r w:rsidR="00650F19">
        <w:rPr>
          <w:rFonts w:cstheme="minorHAnsi"/>
        </w:rPr>
        <w:t xml:space="preserve">ture with a successful proof of </w:t>
      </w:r>
      <w:r w:rsidRPr="00650F19">
        <w:rPr>
          <w:rFonts w:cstheme="minorHAnsi"/>
        </w:rPr>
        <w:t>concept at the Springvale campus.</w:t>
      </w:r>
    </w:p>
    <w:p w:rsidR="003A4641" w:rsidRDefault="003A4641" w:rsidP="003A4641">
      <w:pPr>
        <w:pStyle w:val="NoSpacing"/>
        <w:rPr>
          <w:rFonts w:ascii="ProximaNovaA-Light" w:hAnsi="ProximaNovaA-Light" w:cs="ProximaNovaA-Light"/>
          <w:sz w:val="18"/>
          <w:szCs w:val="18"/>
        </w:rPr>
      </w:pPr>
    </w:p>
    <w:tbl>
      <w:tblPr>
        <w:tblStyle w:val="TableGrid"/>
        <w:tblW w:w="0" w:type="auto"/>
        <w:tblLook w:val="04A0" w:firstRow="1" w:lastRow="0" w:firstColumn="1" w:lastColumn="0" w:noHBand="0" w:noVBand="1"/>
      </w:tblPr>
      <w:tblGrid>
        <w:gridCol w:w="7686"/>
        <w:gridCol w:w="1330"/>
      </w:tblGrid>
      <w:tr w:rsidR="003A4641" w:rsidTr="003A4641">
        <w:tc>
          <w:tcPr>
            <w:tcW w:w="7792" w:type="dxa"/>
          </w:tcPr>
          <w:p w:rsidR="003A4641" w:rsidRPr="003A4641" w:rsidRDefault="003A4641" w:rsidP="003A4641">
            <w:pPr>
              <w:autoSpaceDE w:val="0"/>
              <w:autoSpaceDN w:val="0"/>
              <w:adjustRightInd w:val="0"/>
              <w:rPr>
                <w:rFonts w:cstheme="minorHAnsi"/>
              </w:rPr>
            </w:pPr>
            <w:r>
              <w:rPr>
                <w:rFonts w:cstheme="minorHAnsi"/>
              </w:rPr>
              <w:t xml:space="preserve">Total entity ICT Business As Usual (BAU) expenditure for the full 12 month </w:t>
            </w:r>
            <w:r w:rsidRPr="003A4641">
              <w:rPr>
                <w:rFonts w:cstheme="minorHAnsi"/>
              </w:rPr>
              <w:t>reporting period</w:t>
            </w:r>
          </w:p>
        </w:tc>
        <w:tc>
          <w:tcPr>
            <w:tcW w:w="1224" w:type="dxa"/>
          </w:tcPr>
          <w:p w:rsidR="003A4641" w:rsidRPr="003A4641" w:rsidRDefault="003A4641" w:rsidP="003A4641">
            <w:pPr>
              <w:pStyle w:val="NoSpacing"/>
              <w:rPr>
                <w:rFonts w:cstheme="minorHAnsi"/>
              </w:rPr>
            </w:pPr>
            <w:r w:rsidRPr="003A4641">
              <w:rPr>
                <w:rFonts w:cstheme="minorHAnsi"/>
              </w:rPr>
              <w:t>$11,591,608</w:t>
            </w:r>
          </w:p>
        </w:tc>
      </w:tr>
      <w:tr w:rsidR="003A4641" w:rsidTr="003A4641">
        <w:tc>
          <w:tcPr>
            <w:tcW w:w="7792" w:type="dxa"/>
          </w:tcPr>
          <w:p w:rsidR="003A4641" w:rsidRPr="003A4641" w:rsidRDefault="003A4641" w:rsidP="003A4641">
            <w:pPr>
              <w:autoSpaceDE w:val="0"/>
              <w:autoSpaceDN w:val="0"/>
              <w:adjustRightInd w:val="0"/>
              <w:rPr>
                <w:rFonts w:cstheme="minorHAnsi"/>
              </w:rPr>
            </w:pPr>
            <w:r>
              <w:rPr>
                <w:rFonts w:cstheme="minorHAnsi"/>
              </w:rPr>
              <w:t xml:space="preserve">Total entity ICT Non-Business As Usual expenditure for the full 12 month reporting period – </w:t>
            </w:r>
            <w:r w:rsidRPr="003A4641">
              <w:rPr>
                <w:rFonts w:cstheme="minorHAnsi"/>
              </w:rPr>
              <w:t>Operational expenditure</w:t>
            </w:r>
          </w:p>
        </w:tc>
        <w:tc>
          <w:tcPr>
            <w:tcW w:w="1224" w:type="dxa"/>
          </w:tcPr>
          <w:p w:rsidR="003A4641" w:rsidRPr="003A4641" w:rsidRDefault="003A4641" w:rsidP="003A4641">
            <w:pPr>
              <w:pStyle w:val="NoSpacing"/>
              <w:rPr>
                <w:rFonts w:cstheme="minorHAnsi"/>
              </w:rPr>
            </w:pPr>
            <w:r w:rsidRPr="003A4641">
              <w:rPr>
                <w:rFonts w:cstheme="minorHAnsi"/>
              </w:rPr>
              <w:t>$1,001,003</w:t>
            </w:r>
          </w:p>
        </w:tc>
      </w:tr>
      <w:tr w:rsidR="003A4641" w:rsidTr="003A4641">
        <w:tc>
          <w:tcPr>
            <w:tcW w:w="7792" w:type="dxa"/>
          </w:tcPr>
          <w:p w:rsidR="003A4641" w:rsidRPr="003A4641" w:rsidRDefault="003A4641" w:rsidP="003A4641">
            <w:pPr>
              <w:autoSpaceDE w:val="0"/>
              <w:autoSpaceDN w:val="0"/>
              <w:adjustRightInd w:val="0"/>
              <w:rPr>
                <w:rFonts w:cstheme="minorHAnsi"/>
              </w:rPr>
            </w:pPr>
            <w:r>
              <w:rPr>
                <w:rFonts w:cstheme="minorHAnsi"/>
              </w:rPr>
              <w:t xml:space="preserve">Total entity ICT Non-Business As Usual </w:t>
            </w:r>
            <w:r w:rsidRPr="003A4641">
              <w:rPr>
                <w:rFonts w:cstheme="minorHAnsi"/>
              </w:rPr>
              <w:t>expenditure</w:t>
            </w:r>
            <w:r>
              <w:rPr>
                <w:rFonts w:cstheme="minorHAnsi"/>
              </w:rPr>
              <w:t xml:space="preserve"> for the full </w:t>
            </w:r>
            <w:r w:rsidRPr="003A4641">
              <w:rPr>
                <w:rFonts w:cstheme="minorHAnsi"/>
              </w:rPr>
              <w:t>12 month reporting period –</w:t>
            </w:r>
            <w:r>
              <w:rPr>
                <w:rFonts w:cstheme="minorHAnsi"/>
              </w:rPr>
              <w:t xml:space="preserve"> </w:t>
            </w:r>
            <w:r w:rsidRPr="003A4641">
              <w:rPr>
                <w:rFonts w:cstheme="minorHAnsi"/>
              </w:rPr>
              <w:t>Capital expenditure</w:t>
            </w:r>
          </w:p>
        </w:tc>
        <w:tc>
          <w:tcPr>
            <w:tcW w:w="1224" w:type="dxa"/>
          </w:tcPr>
          <w:p w:rsidR="003A4641" w:rsidRPr="003A4641" w:rsidRDefault="003A4641" w:rsidP="003A4641">
            <w:pPr>
              <w:pStyle w:val="NoSpacing"/>
              <w:rPr>
                <w:rFonts w:cstheme="minorHAnsi"/>
              </w:rPr>
            </w:pPr>
            <w:r w:rsidRPr="003A4641">
              <w:rPr>
                <w:rFonts w:cstheme="minorHAnsi"/>
              </w:rPr>
              <w:t>$3,000,817</w:t>
            </w:r>
          </w:p>
        </w:tc>
      </w:tr>
    </w:tbl>
    <w:p w:rsidR="003A4641" w:rsidRDefault="003A4641" w:rsidP="003A4641">
      <w:pPr>
        <w:pStyle w:val="NoSpacing"/>
      </w:pPr>
    </w:p>
    <w:p w:rsidR="00650F19" w:rsidRPr="00650F19" w:rsidRDefault="00650F19" w:rsidP="00234E85">
      <w:pPr>
        <w:pStyle w:val="Heading3"/>
      </w:pPr>
      <w:r w:rsidRPr="00650F19">
        <w:t>Application of the freedom of information act 1982</w:t>
      </w:r>
    </w:p>
    <w:p w:rsidR="00650F19" w:rsidRDefault="00650F19" w:rsidP="003A4641">
      <w:pPr>
        <w:pStyle w:val="NoSpacing"/>
      </w:pPr>
    </w:p>
    <w:p w:rsidR="00650F19" w:rsidRDefault="00650F19" w:rsidP="00650F19">
      <w:pPr>
        <w:pStyle w:val="NoSpacing"/>
      </w:pPr>
      <w:r>
        <w:t>Chisholm Institute has defined procedures which, subject to privacy and confidentiality provisions, facilitate all reasonable requests for information from students, staff and the general public without recourse to the Freedom of Information Act 1982.</w:t>
      </w:r>
    </w:p>
    <w:p w:rsidR="00650F19" w:rsidRDefault="00650F19" w:rsidP="00650F19">
      <w:pPr>
        <w:pStyle w:val="NoSpacing"/>
      </w:pPr>
      <w:r>
        <w:t>General enquiries about Chisholm Institute should be addressed to:</w:t>
      </w:r>
    </w:p>
    <w:p w:rsidR="00650F19" w:rsidRDefault="00650F19" w:rsidP="00650F19">
      <w:pPr>
        <w:pStyle w:val="NoSpacing"/>
      </w:pPr>
    </w:p>
    <w:p w:rsidR="00650F19" w:rsidRDefault="00650F19" w:rsidP="00650F19">
      <w:pPr>
        <w:pStyle w:val="NoSpacing"/>
      </w:pPr>
      <w:r>
        <w:t>Chisholm Institute</w:t>
      </w:r>
    </w:p>
    <w:p w:rsidR="00650F19" w:rsidRDefault="00650F19" w:rsidP="00650F19">
      <w:pPr>
        <w:pStyle w:val="NoSpacing"/>
      </w:pPr>
      <w:r>
        <w:t>PO Box 684, Dandenong Vic 3175</w:t>
      </w:r>
    </w:p>
    <w:p w:rsidR="00650F19" w:rsidRDefault="00650F19" w:rsidP="00650F19">
      <w:pPr>
        <w:pStyle w:val="NoSpacing"/>
      </w:pPr>
      <w:r>
        <w:t>or chisholm.edu.au</w:t>
      </w:r>
    </w:p>
    <w:p w:rsidR="00650F19" w:rsidRDefault="00650F19" w:rsidP="00650F19">
      <w:pPr>
        <w:pStyle w:val="NoSpacing"/>
      </w:pPr>
    </w:p>
    <w:p w:rsidR="00650F19" w:rsidRDefault="00650F19" w:rsidP="00650F19">
      <w:pPr>
        <w:pStyle w:val="NoSpacing"/>
      </w:pPr>
      <w:r>
        <w:t>All Freedom of Information requests</w:t>
      </w:r>
    </w:p>
    <w:p w:rsidR="00650F19" w:rsidRDefault="00650F19" w:rsidP="00650F19">
      <w:pPr>
        <w:pStyle w:val="NoSpacing"/>
      </w:pPr>
      <w:r>
        <w:t>should be forwarded to:</w:t>
      </w:r>
    </w:p>
    <w:p w:rsidR="00650F19" w:rsidRDefault="00650F19" w:rsidP="00650F19">
      <w:pPr>
        <w:pStyle w:val="NoSpacing"/>
      </w:pPr>
    </w:p>
    <w:p w:rsidR="00650F19" w:rsidRDefault="00650F19" w:rsidP="00650F19">
      <w:pPr>
        <w:pStyle w:val="NoSpacing"/>
      </w:pPr>
      <w:r>
        <w:t>Freedom of Information Officer</w:t>
      </w:r>
    </w:p>
    <w:p w:rsidR="00650F19" w:rsidRDefault="00650F19" w:rsidP="00650F19">
      <w:pPr>
        <w:pStyle w:val="NoSpacing"/>
      </w:pPr>
      <w:r>
        <w:t>Chisholm Institute</w:t>
      </w:r>
    </w:p>
    <w:p w:rsidR="00650F19" w:rsidRDefault="00650F19" w:rsidP="00650F19">
      <w:pPr>
        <w:pStyle w:val="NoSpacing"/>
      </w:pPr>
      <w:r>
        <w:t>PO Box 684, Dandenong Vic 3175</w:t>
      </w:r>
    </w:p>
    <w:p w:rsidR="00650F19" w:rsidRDefault="00650F19" w:rsidP="00650F19">
      <w:pPr>
        <w:pStyle w:val="NoSpacing"/>
      </w:pPr>
    </w:p>
    <w:p w:rsidR="00650F19" w:rsidRDefault="00650F19" w:rsidP="00650F19">
      <w:pPr>
        <w:pStyle w:val="NoSpacing"/>
      </w:pPr>
      <w:r>
        <w:t>Chisholm Institute may levy a charge for information provided that is subject to a Freedom of Information request in accordance with the Freedom of Information (Access Charges) Regulations 2014.</w:t>
      </w:r>
    </w:p>
    <w:p w:rsidR="00650F19" w:rsidRDefault="00650F19" w:rsidP="00650F19">
      <w:pPr>
        <w:pStyle w:val="NoSpacing"/>
      </w:pPr>
      <w:r>
        <w:t>During the year ended 31 December 2017, Chisholm Institute received two (2) applications for access to documentary information under Section 17 of the Freedom of Information Act.</w:t>
      </w:r>
    </w:p>
    <w:p w:rsidR="00650F19" w:rsidRDefault="00650F19" w:rsidP="00650F19">
      <w:pPr>
        <w:pStyle w:val="NoSpacing"/>
      </w:pPr>
    </w:p>
    <w:p w:rsidR="00650F19" w:rsidRPr="00650F19" w:rsidRDefault="00650F19" w:rsidP="00234E85">
      <w:pPr>
        <w:pStyle w:val="Heading3"/>
      </w:pPr>
      <w:r w:rsidRPr="00650F19">
        <w:t xml:space="preserve">Engagement of consultants </w:t>
      </w:r>
    </w:p>
    <w:p w:rsidR="00650F19" w:rsidRDefault="00650F19" w:rsidP="00650F19">
      <w:pPr>
        <w:pStyle w:val="NoSpacing"/>
      </w:pPr>
    </w:p>
    <w:p w:rsidR="00650F19" w:rsidRDefault="00650F19" w:rsidP="00650F19">
      <w:pPr>
        <w:pStyle w:val="NoSpacing"/>
      </w:pPr>
      <w:r>
        <w:t>For the year ended 31 December 2017 the Financial Reporting Directions and guidance FRD 22G defines a consultant as a particular type of contractor that is engaged primarily to perform a discrete task for an entity that facilitates decision making through:</w:t>
      </w:r>
    </w:p>
    <w:p w:rsidR="00650F19" w:rsidRDefault="00650F19" w:rsidP="00650F19">
      <w:pPr>
        <w:pStyle w:val="NoSpacing"/>
      </w:pPr>
      <w:r>
        <w:t xml:space="preserve">• </w:t>
      </w:r>
      <w:r w:rsidR="00EB53E5">
        <w:t>Provision</w:t>
      </w:r>
      <w:r>
        <w:t xml:space="preserve"> of expert analysis and advice; and/or</w:t>
      </w:r>
    </w:p>
    <w:p w:rsidR="00650F19" w:rsidRDefault="00650F19" w:rsidP="00650F19">
      <w:pPr>
        <w:pStyle w:val="NoSpacing"/>
      </w:pPr>
      <w:r>
        <w:t xml:space="preserve">• </w:t>
      </w:r>
      <w:r w:rsidR="00EB53E5">
        <w:t>Development</w:t>
      </w:r>
      <w:r>
        <w:t xml:space="preserve"> of a written report or other intellectual output.</w:t>
      </w:r>
    </w:p>
    <w:p w:rsidR="00650F19" w:rsidRDefault="00650F19" w:rsidP="00650F19">
      <w:pPr>
        <w:pStyle w:val="NoSpacing"/>
      </w:pPr>
    </w:p>
    <w:p w:rsidR="00650F19" w:rsidRDefault="00650F19" w:rsidP="00650F19">
      <w:pPr>
        <w:pStyle w:val="NoSpacing"/>
      </w:pPr>
      <w:r>
        <w:t>Consultancy expenditure</w:t>
      </w:r>
    </w:p>
    <w:p w:rsidR="00650F19" w:rsidRDefault="00650F19" w:rsidP="00650F19">
      <w:pPr>
        <w:pStyle w:val="NoSpacing"/>
      </w:pPr>
    </w:p>
    <w:p w:rsidR="00650F19" w:rsidRPr="00650F19" w:rsidRDefault="00650F19" w:rsidP="00650F19">
      <w:pPr>
        <w:pStyle w:val="NoSpacing"/>
      </w:pPr>
      <w:r w:rsidRPr="00650F19">
        <w:t>Deta</w:t>
      </w:r>
      <w:r>
        <w:t xml:space="preserve">ils of consultancies (valued at </w:t>
      </w:r>
      <w:r w:rsidRPr="00650F19">
        <w:t>$10,000 or greater)</w:t>
      </w:r>
    </w:p>
    <w:p w:rsidR="00650F19" w:rsidRPr="00650F19" w:rsidRDefault="00650F19" w:rsidP="00650F19">
      <w:pPr>
        <w:pStyle w:val="NoSpacing"/>
      </w:pPr>
      <w:r w:rsidRPr="00650F19">
        <w:lastRenderedPageBreak/>
        <w:t>In 20</w:t>
      </w:r>
      <w:r>
        <w:t xml:space="preserve">17, there were 22 consultancies </w:t>
      </w:r>
      <w:r w:rsidRPr="00650F19">
        <w:t>wher</w:t>
      </w:r>
      <w:r>
        <w:t xml:space="preserve">e the total fees payable to the </w:t>
      </w:r>
      <w:r w:rsidRPr="00650F19">
        <w:t>consultants were $10,000 or greater.</w:t>
      </w:r>
    </w:p>
    <w:p w:rsidR="00650F19" w:rsidRPr="00650F19" w:rsidRDefault="00650F19" w:rsidP="00650F19">
      <w:pPr>
        <w:pStyle w:val="NoSpacing"/>
      </w:pPr>
      <w:r w:rsidRPr="00650F19">
        <w:t>The total expenditure incurred during</w:t>
      </w:r>
      <w:r>
        <w:t xml:space="preserve"> </w:t>
      </w:r>
      <w:r w:rsidRPr="00650F19">
        <w:t xml:space="preserve">2017 in </w:t>
      </w:r>
      <w:r>
        <w:t xml:space="preserve">relation to these consultancies </w:t>
      </w:r>
      <w:r w:rsidRPr="00650F19">
        <w:t>is $1,308,639 (excluding GST). Details of</w:t>
      </w:r>
      <w:r>
        <w:t xml:space="preserve"> </w:t>
      </w:r>
      <w:r w:rsidRPr="00650F19">
        <w:t>individ</w:t>
      </w:r>
      <w:r>
        <w:t xml:space="preserve">ual consultancies can be viewed </w:t>
      </w:r>
      <w:r w:rsidRPr="00650F19">
        <w:t xml:space="preserve">at </w:t>
      </w:r>
      <w:hyperlink r:id="rId11" w:history="1">
        <w:r w:rsidRPr="00553FB1">
          <w:rPr>
            <w:rStyle w:val="Hyperlink"/>
          </w:rPr>
          <w:t>www.chisholm.edu.au/about-us/publications</w:t>
        </w:r>
      </w:hyperlink>
      <w:r>
        <w:tab/>
      </w:r>
    </w:p>
    <w:p w:rsidR="00650F19" w:rsidRPr="00650F19" w:rsidRDefault="00650F19" w:rsidP="00650F19">
      <w:pPr>
        <w:pStyle w:val="NoSpacing"/>
      </w:pPr>
    </w:p>
    <w:p w:rsidR="00650F19" w:rsidRPr="00650F19" w:rsidRDefault="00650F19" w:rsidP="00650F19">
      <w:pPr>
        <w:pStyle w:val="NoSpacing"/>
      </w:pPr>
      <w:r w:rsidRPr="00650F19">
        <w:t>Details of consultancies under $10,000</w:t>
      </w:r>
    </w:p>
    <w:p w:rsidR="00650F19" w:rsidRPr="00650F19" w:rsidRDefault="00650F19" w:rsidP="00650F19">
      <w:pPr>
        <w:pStyle w:val="NoSpacing"/>
      </w:pPr>
      <w:r w:rsidRPr="00650F19">
        <w:t>In 2017, there were</w:t>
      </w:r>
      <w:r>
        <w:t xml:space="preserve"> 7 consultancies </w:t>
      </w:r>
      <w:r w:rsidRPr="00650F19">
        <w:t>eng</w:t>
      </w:r>
      <w:r>
        <w:t xml:space="preserve">aged during the year, where the </w:t>
      </w:r>
      <w:r w:rsidRPr="00650F19">
        <w:t>total fees payable to the individual</w:t>
      </w:r>
      <w:r>
        <w:t xml:space="preserve"> </w:t>
      </w:r>
      <w:r w:rsidRPr="00650F19">
        <w:t>consultancies was less than $10,000.</w:t>
      </w:r>
    </w:p>
    <w:p w:rsidR="00650F19" w:rsidRDefault="00650F19" w:rsidP="00650F19">
      <w:pPr>
        <w:pStyle w:val="NoSpacing"/>
      </w:pPr>
      <w:r w:rsidRPr="00650F19">
        <w:t>The to</w:t>
      </w:r>
      <w:r>
        <w:t xml:space="preserve">tal expenditure incurred during </w:t>
      </w:r>
      <w:r w:rsidRPr="00650F19">
        <w:t xml:space="preserve">2017 in </w:t>
      </w:r>
      <w:r>
        <w:t xml:space="preserve">relation to these consultancies </w:t>
      </w:r>
      <w:r w:rsidRPr="00650F19">
        <w:t>was $34,910 (excl. GST).</w:t>
      </w:r>
    </w:p>
    <w:p w:rsidR="00650F19" w:rsidRDefault="00650F19" w:rsidP="00650F19">
      <w:pPr>
        <w:pStyle w:val="NoSpacing"/>
      </w:pPr>
    </w:p>
    <w:p w:rsidR="00650F19" w:rsidRDefault="00650F19" w:rsidP="00650F19">
      <w:pPr>
        <w:pStyle w:val="NoSpacing"/>
      </w:pPr>
      <w:r>
        <w:t>&lt;pp&gt;101</w:t>
      </w:r>
    </w:p>
    <w:p w:rsidR="00650F19" w:rsidRDefault="00650F19" w:rsidP="00650F19">
      <w:pPr>
        <w:pStyle w:val="NoSpacing"/>
      </w:pPr>
    </w:p>
    <w:p w:rsidR="00650F19" w:rsidRPr="00650F19" w:rsidRDefault="00650F19" w:rsidP="00234E85">
      <w:pPr>
        <w:pStyle w:val="Heading3"/>
      </w:pPr>
      <w:r w:rsidRPr="00650F19">
        <w:t>Compulsory non-academic student fee income statement</w:t>
      </w:r>
    </w:p>
    <w:p w:rsidR="00650F19" w:rsidRPr="00650F19" w:rsidRDefault="00650F19" w:rsidP="00650F19">
      <w:pPr>
        <w:pStyle w:val="NoSpacing"/>
        <w:rPr>
          <w:rFonts w:cstheme="minorHAnsi"/>
        </w:rPr>
      </w:pPr>
    </w:p>
    <w:p w:rsidR="00650F19" w:rsidRPr="00650F19" w:rsidRDefault="00650F19" w:rsidP="00650F19">
      <w:pPr>
        <w:pStyle w:val="NoSpacing"/>
        <w:rPr>
          <w:rFonts w:cstheme="minorHAnsi"/>
        </w:rPr>
      </w:pPr>
      <w:r w:rsidRPr="00650F19">
        <w:rPr>
          <w:rFonts w:cstheme="minorHAnsi"/>
        </w:rPr>
        <w:t xml:space="preserve">For </w:t>
      </w:r>
      <w:r>
        <w:rPr>
          <w:rFonts w:cstheme="minorHAnsi"/>
        </w:rPr>
        <w:t xml:space="preserve">the year ended 31 December 2017 </w:t>
      </w:r>
      <w:r w:rsidRPr="00650F19">
        <w:rPr>
          <w:rFonts w:cstheme="minorHAnsi"/>
        </w:rPr>
        <w:t>C</w:t>
      </w:r>
      <w:r>
        <w:rPr>
          <w:rFonts w:cstheme="minorHAnsi"/>
        </w:rPr>
        <w:t xml:space="preserve">hisholm has a range of fees and </w:t>
      </w:r>
      <w:r w:rsidRPr="00650F19">
        <w:rPr>
          <w:rFonts w:cstheme="minorHAnsi"/>
        </w:rPr>
        <w:t>cha</w:t>
      </w:r>
      <w:r>
        <w:rPr>
          <w:rFonts w:cstheme="minorHAnsi"/>
        </w:rPr>
        <w:t xml:space="preserve">rges for programs and services. </w:t>
      </w:r>
      <w:r w:rsidRPr="00650F19">
        <w:rPr>
          <w:rFonts w:cstheme="minorHAnsi"/>
        </w:rPr>
        <w:t>For 2017, the fees and charges included:</w:t>
      </w:r>
    </w:p>
    <w:p w:rsidR="00650F19" w:rsidRPr="00650F19" w:rsidRDefault="00650F19" w:rsidP="00650F19">
      <w:pPr>
        <w:pStyle w:val="NoSpacing"/>
        <w:rPr>
          <w:rFonts w:cstheme="minorHAnsi"/>
        </w:rPr>
      </w:pPr>
      <w:r w:rsidRPr="00650F19">
        <w:rPr>
          <w:rFonts w:cstheme="minorHAnsi"/>
        </w:rPr>
        <w:t>• Tuition</w:t>
      </w:r>
      <w:r>
        <w:rPr>
          <w:rFonts w:cstheme="minorHAnsi"/>
        </w:rPr>
        <w:t xml:space="preserve"> fees for eligible Skills First </w:t>
      </w:r>
      <w:r w:rsidRPr="00650F19">
        <w:rPr>
          <w:rFonts w:cstheme="minorHAnsi"/>
        </w:rPr>
        <w:t>Program students. Th</w:t>
      </w:r>
      <w:r>
        <w:rPr>
          <w:rFonts w:cstheme="minorHAnsi"/>
        </w:rPr>
        <w:t xml:space="preserve">ese ranged </w:t>
      </w:r>
      <w:r w:rsidRPr="00650F19">
        <w:rPr>
          <w:rFonts w:cstheme="minorHAnsi"/>
        </w:rPr>
        <w:t>from nil to $13.40 per hour, depending</w:t>
      </w:r>
      <w:r>
        <w:rPr>
          <w:rFonts w:cstheme="minorHAnsi"/>
        </w:rPr>
        <w:t xml:space="preserve"> </w:t>
      </w:r>
      <w:r w:rsidRPr="00650F19">
        <w:rPr>
          <w:rFonts w:cstheme="minorHAnsi"/>
        </w:rPr>
        <w:t>on the</w:t>
      </w:r>
      <w:r>
        <w:rPr>
          <w:rFonts w:cstheme="minorHAnsi"/>
        </w:rPr>
        <w:t xml:space="preserve"> course, cohort and competitive </w:t>
      </w:r>
      <w:r w:rsidRPr="00650F19">
        <w:rPr>
          <w:rFonts w:cstheme="minorHAnsi"/>
        </w:rPr>
        <w:t>f</w:t>
      </w:r>
      <w:r>
        <w:rPr>
          <w:rFonts w:cstheme="minorHAnsi"/>
        </w:rPr>
        <w:t xml:space="preserve">orces. There was no minimum fee </w:t>
      </w:r>
      <w:r w:rsidRPr="00650F19">
        <w:rPr>
          <w:rFonts w:cstheme="minorHAnsi"/>
        </w:rPr>
        <w:t>and maximums did not apply (with the</w:t>
      </w:r>
      <w:r>
        <w:rPr>
          <w:rFonts w:cstheme="minorHAnsi"/>
        </w:rPr>
        <w:t xml:space="preserve"> </w:t>
      </w:r>
      <w:r w:rsidRPr="00650F19">
        <w:rPr>
          <w:rFonts w:cstheme="minorHAnsi"/>
        </w:rPr>
        <w:t>exce</w:t>
      </w:r>
      <w:r>
        <w:rPr>
          <w:rFonts w:cstheme="minorHAnsi"/>
        </w:rPr>
        <w:t xml:space="preserve">ption of VCAL, which was capped </w:t>
      </w:r>
      <w:r w:rsidRPr="00650F19">
        <w:rPr>
          <w:rFonts w:cstheme="minorHAnsi"/>
        </w:rPr>
        <w:t>at $1,560).</w:t>
      </w:r>
    </w:p>
    <w:p w:rsidR="00650F19" w:rsidRPr="00650F19" w:rsidRDefault="00650F19" w:rsidP="00650F19">
      <w:pPr>
        <w:pStyle w:val="NoSpacing"/>
        <w:rPr>
          <w:rFonts w:cstheme="minorHAnsi"/>
        </w:rPr>
      </w:pPr>
      <w:r w:rsidRPr="00650F19">
        <w:rPr>
          <w:rFonts w:cstheme="minorHAnsi"/>
        </w:rPr>
        <w:t>• Stude</w:t>
      </w:r>
      <w:r w:rsidR="00D63D1D">
        <w:rPr>
          <w:rFonts w:cstheme="minorHAnsi"/>
        </w:rPr>
        <w:t xml:space="preserve">nts who were ineligible for the </w:t>
      </w:r>
      <w:r w:rsidRPr="00650F19">
        <w:rPr>
          <w:rFonts w:cstheme="minorHAnsi"/>
        </w:rPr>
        <w:t>Skills Firs</w:t>
      </w:r>
      <w:r w:rsidR="00D63D1D">
        <w:rPr>
          <w:rFonts w:cstheme="minorHAnsi"/>
        </w:rPr>
        <w:t xml:space="preserve">t Program paid tuition fees </w:t>
      </w:r>
      <w:r w:rsidRPr="00650F19">
        <w:rPr>
          <w:rFonts w:cstheme="minorHAnsi"/>
        </w:rPr>
        <w:t>of up to $16.80 per hour.</w:t>
      </w:r>
    </w:p>
    <w:p w:rsidR="00650F19" w:rsidRPr="00650F19" w:rsidRDefault="00650F19" w:rsidP="00650F19">
      <w:pPr>
        <w:pStyle w:val="NoSpacing"/>
        <w:rPr>
          <w:rFonts w:cstheme="minorHAnsi"/>
        </w:rPr>
      </w:pPr>
      <w:r w:rsidRPr="00650F19">
        <w:rPr>
          <w:rFonts w:cstheme="minorHAnsi"/>
        </w:rPr>
        <w:t xml:space="preserve">• A </w:t>
      </w:r>
      <w:r w:rsidR="00D63D1D">
        <w:rPr>
          <w:rFonts w:cstheme="minorHAnsi"/>
        </w:rPr>
        <w:t xml:space="preserve">compulsory student services and </w:t>
      </w:r>
      <w:r w:rsidRPr="00650F19">
        <w:rPr>
          <w:rFonts w:cstheme="minorHAnsi"/>
        </w:rPr>
        <w:t>am</w:t>
      </w:r>
      <w:r w:rsidR="00D63D1D">
        <w:rPr>
          <w:rFonts w:cstheme="minorHAnsi"/>
        </w:rPr>
        <w:t xml:space="preserve">enities fee was charged for the </w:t>
      </w:r>
      <w:r w:rsidRPr="00650F19">
        <w:rPr>
          <w:rFonts w:cstheme="minorHAnsi"/>
        </w:rPr>
        <w:t>purpose of providing student services</w:t>
      </w:r>
      <w:r w:rsidR="00D63D1D">
        <w:rPr>
          <w:rFonts w:cstheme="minorHAnsi"/>
        </w:rPr>
        <w:t xml:space="preserve"> </w:t>
      </w:r>
      <w:r w:rsidRPr="00650F19">
        <w:rPr>
          <w:rFonts w:cstheme="minorHAnsi"/>
        </w:rPr>
        <w:t>and amen</w:t>
      </w:r>
      <w:r w:rsidR="00D63D1D">
        <w:rPr>
          <w:rFonts w:cstheme="minorHAnsi"/>
        </w:rPr>
        <w:t xml:space="preserve">ities. This fee of $175 (or $75 </w:t>
      </w:r>
      <w:r w:rsidRPr="00650F19">
        <w:rPr>
          <w:rFonts w:cstheme="minorHAnsi"/>
        </w:rPr>
        <w:t>for c</w:t>
      </w:r>
      <w:r w:rsidR="00D63D1D">
        <w:rPr>
          <w:rFonts w:cstheme="minorHAnsi"/>
        </w:rPr>
        <w:t xml:space="preserve">oncession card holders studying </w:t>
      </w:r>
      <w:r w:rsidRPr="00650F19">
        <w:rPr>
          <w:rFonts w:cstheme="minorHAnsi"/>
        </w:rPr>
        <w:t>at Certificate IV level or below)</w:t>
      </w:r>
      <w:r w:rsidR="00D63D1D">
        <w:rPr>
          <w:rFonts w:cstheme="minorHAnsi"/>
        </w:rPr>
        <w:t xml:space="preserve"> </w:t>
      </w:r>
      <w:r w:rsidRPr="00650F19">
        <w:rPr>
          <w:rFonts w:cstheme="minorHAnsi"/>
        </w:rPr>
        <w:t>applied for the 2017 calendar year.</w:t>
      </w:r>
    </w:p>
    <w:p w:rsidR="00650F19" w:rsidRPr="00650F19" w:rsidRDefault="00D63D1D" w:rsidP="00650F19">
      <w:pPr>
        <w:pStyle w:val="NoSpacing"/>
        <w:rPr>
          <w:rFonts w:cstheme="minorHAnsi"/>
        </w:rPr>
      </w:pPr>
      <w:r>
        <w:rPr>
          <w:rFonts w:cstheme="minorHAnsi"/>
        </w:rPr>
        <w:t xml:space="preserve">• An ancillary fee of $25 was </w:t>
      </w:r>
      <w:r w:rsidR="00650F19" w:rsidRPr="00650F19">
        <w:rPr>
          <w:rFonts w:cstheme="minorHAnsi"/>
        </w:rPr>
        <w:t>ch</w:t>
      </w:r>
      <w:r>
        <w:rPr>
          <w:rFonts w:cstheme="minorHAnsi"/>
        </w:rPr>
        <w:t xml:space="preserve">arged in 2017. The fee was used </w:t>
      </w:r>
      <w:r w:rsidR="00650F19" w:rsidRPr="00650F19">
        <w:rPr>
          <w:rFonts w:cstheme="minorHAnsi"/>
        </w:rPr>
        <w:t>to as</w:t>
      </w:r>
      <w:r>
        <w:rPr>
          <w:rFonts w:cstheme="minorHAnsi"/>
        </w:rPr>
        <w:t xml:space="preserve">sist with providing information and communications technology </w:t>
      </w:r>
      <w:r w:rsidR="00650F19" w:rsidRPr="00650F19">
        <w:rPr>
          <w:rFonts w:cstheme="minorHAnsi"/>
        </w:rPr>
        <w:t>equipment and access to students.</w:t>
      </w:r>
    </w:p>
    <w:p w:rsidR="00650F19" w:rsidRPr="00650F19" w:rsidRDefault="00650F19" w:rsidP="00650F19">
      <w:pPr>
        <w:pStyle w:val="NoSpacing"/>
        <w:rPr>
          <w:rFonts w:cstheme="minorHAnsi"/>
        </w:rPr>
      </w:pPr>
      <w:r w:rsidRPr="00650F19">
        <w:rPr>
          <w:rFonts w:cstheme="minorHAnsi"/>
        </w:rPr>
        <w:t>• A n</w:t>
      </w:r>
      <w:r w:rsidR="00D63D1D">
        <w:rPr>
          <w:rFonts w:cstheme="minorHAnsi"/>
        </w:rPr>
        <w:t xml:space="preserve">on-compulsory materials fee for </w:t>
      </w:r>
      <w:r w:rsidRPr="00650F19">
        <w:rPr>
          <w:rFonts w:cstheme="minorHAnsi"/>
        </w:rPr>
        <w:t>eligibl</w:t>
      </w:r>
      <w:r w:rsidR="00D63D1D">
        <w:rPr>
          <w:rFonts w:cstheme="minorHAnsi"/>
        </w:rPr>
        <w:t xml:space="preserve">e Skills First Program students </w:t>
      </w:r>
      <w:r w:rsidRPr="00650F19">
        <w:rPr>
          <w:rFonts w:cstheme="minorHAnsi"/>
        </w:rPr>
        <w:t>was charged to cover the actual cost</w:t>
      </w:r>
      <w:r w:rsidR="00D63D1D">
        <w:rPr>
          <w:rFonts w:cstheme="minorHAnsi"/>
        </w:rPr>
        <w:t xml:space="preserve"> </w:t>
      </w:r>
      <w:r w:rsidRPr="00650F19">
        <w:rPr>
          <w:rFonts w:cstheme="minorHAnsi"/>
        </w:rPr>
        <w:t>of provi</w:t>
      </w:r>
      <w:r w:rsidR="00D63D1D">
        <w:rPr>
          <w:rFonts w:cstheme="minorHAnsi"/>
        </w:rPr>
        <w:t xml:space="preserve">ding materials or services used </w:t>
      </w:r>
      <w:r w:rsidRPr="00650F19">
        <w:rPr>
          <w:rFonts w:cstheme="minorHAnsi"/>
        </w:rPr>
        <w:t>or retain</w:t>
      </w:r>
      <w:r w:rsidR="00D63D1D">
        <w:rPr>
          <w:rFonts w:cstheme="minorHAnsi"/>
        </w:rPr>
        <w:t xml:space="preserve">ed by a student in a particular </w:t>
      </w:r>
      <w:r w:rsidRPr="00650F19">
        <w:rPr>
          <w:rFonts w:cstheme="minorHAnsi"/>
        </w:rPr>
        <w:t>course of study. The fee varied by</w:t>
      </w:r>
      <w:r w:rsidR="00D63D1D">
        <w:rPr>
          <w:rFonts w:cstheme="minorHAnsi"/>
        </w:rPr>
        <w:t xml:space="preserve"> </w:t>
      </w:r>
      <w:r w:rsidRPr="00650F19">
        <w:rPr>
          <w:rFonts w:cstheme="minorHAnsi"/>
        </w:rPr>
        <w:t>co</w:t>
      </w:r>
      <w:r w:rsidR="00D63D1D">
        <w:rPr>
          <w:rFonts w:cstheme="minorHAnsi"/>
        </w:rPr>
        <w:t xml:space="preserve">urse depending on requirements. </w:t>
      </w:r>
      <w:r w:rsidRPr="00650F19">
        <w:rPr>
          <w:rFonts w:cstheme="minorHAnsi"/>
        </w:rPr>
        <w:t>Full details were provided to e</w:t>
      </w:r>
      <w:r w:rsidR="00D63D1D">
        <w:rPr>
          <w:rFonts w:cstheme="minorHAnsi"/>
        </w:rPr>
        <w:t xml:space="preserve">ach </w:t>
      </w:r>
      <w:r w:rsidRPr="00650F19">
        <w:rPr>
          <w:rFonts w:cstheme="minorHAnsi"/>
        </w:rPr>
        <w:t>student prior to enrolment.</w:t>
      </w:r>
    </w:p>
    <w:p w:rsidR="00650F19" w:rsidRPr="00650F19" w:rsidRDefault="00650F19" w:rsidP="00650F19">
      <w:pPr>
        <w:pStyle w:val="NoSpacing"/>
        <w:rPr>
          <w:rFonts w:cstheme="minorHAnsi"/>
        </w:rPr>
      </w:pPr>
      <w:r w:rsidRPr="00650F19">
        <w:rPr>
          <w:rFonts w:cstheme="minorHAnsi"/>
        </w:rPr>
        <w:t>• Recognit</w:t>
      </w:r>
      <w:r w:rsidR="00D63D1D">
        <w:rPr>
          <w:rFonts w:cstheme="minorHAnsi"/>
        </w:rPr>
        <w:t xml:space="preserve">ion of prior learning fees were </w:t>
      </w:r>
      <w:r w:rsidRPr="00650F19">
        <w:rPr>
          <w:rFonts w:cstheme="minorHAnsi"/>
        </w:rPr>
        <w:t>charged at</w:t>
      </w:r>
      <w:r w:rsidR="00D63D1D">
        <w:rPr>
          <w:rFonts w:cstheme="minorHAnsi"/>
        </w:rPr>
        <w:t xml:space="preserve"> 50 per cent of the tuition fee </w:t>
      </w:r>
      <w:r w:rsidRPr="00650F19">
        <w:rPr>
          <w:rFonts w:cstheme="minorHAnsi"/>
        </w:rPr>
        <w:t>that would be charged for participation</w:t>
      </w:r>
      <w:r w:rsidR="00D63D1D">
        <w:rPr>
          <w:rFonts w:cstheme="minorHAnsi"/>
        </w:rPr>
        <w:t xml:space="preserve"> </w:t>
      </w:r>
      <w:r w:rsidRPr="00650F19">
        <w:rPr>
          <w:rFonts w:cstheme="minorHAnsi"/>
        </w:rPr>
        <w:t>in training for the same qualification.</w:t>
      </w:r>
    </w:p>
    <w:p w:rsidR="00650F19" w:rsidRPr="00650F19" w:rsidRDefault="00650F19" w:rsidP="00650F19">
      <w:pPr>
        <w:pStyle w:val="NoSpacing"/>
        <w:rPr>
          <w:rFonts w:cstheme="minorHAnsi"/>
        </w:rPr>
      </w:pPr>
      <w:r w:rsidRPr="00650F19">
        <w:rPr>
          <w:rFonts w:cstheme="minorHAnsi"/>
        </w:rPr>
        <w:t>• All eligibl</w:t>
      </w:r>
      <w:r w:rsidR="00D63D1D">
        <w:rPr>
          <w:rFonts w:cstheme="minorHAnsi"/>
        </w:rPr>
        <w:t xml:space="preserve">e Skills First Program students </w:t>
      </w:r>
      <w:r w:rsidRPr="00650F19">
        <w:rPr>
          <w:rFonts w:cstheme="minorHAnsi"/>
        </w:rPr>
        <w:t>who held curren</w:t>
      </w:r>
      <w:r w:rsidR="00D63D1D">
        <w:rPr>
          <w:rFonts w:cstheme="minorHAnsi"/>
        </w:rPr>
        <w:t xml:space="preserve">t and valid concession </w:t>
      </w:r>
      <w:r w:rsidRPr="00650F19">
        <w:rPr>
          <w:rFonts w:cstheme="minorHAnsi"/>
        </w:rPr>
        <w:t>cards (Commonwealth Health Care</w:t>
      </w:r>
      <w:r w:rsidR="00D63D1D">
        <w:rPr>
          <w:rFonts w:cstheme="minorHAnsi"/>
        </w:rPr>
        <w:t xml:space="preserve"> Card, Pensioner Concession Card </w:t>
      </w:r>
      <w:r w:rsidRPr="00650F19">
        <w:rPr>
          <w:rFonts w:cstheme="minorHAnsi"/>
        </w:rPr>
        <w:t>an</w:t>
      </w:r>
      <w:r w:rsidR="00D63D1D">
        <w:rPr>
          <w:rFonts w:cstheme="minorHAnsi"/>
        </w:rPr>
        <w:t xml:space="preserve">d Veteran’s Gold Card) received </w:t>
      </w:r>
      <w:r w:rsidRPr="00650F19">
        <w:rPr>
          <w:rFonts w:cstheme="minorHAnsi"/>
        </w:rPr>
        <w:t>an 80 per cent discount on tuition</w:t>
      </w:r>
      <w:r w:rsidR="00D63D1D">
        <w:rPr>
          <w:rFonts w:cstheme="minorHAnsi"/>
        </w:rPr>
        <w:t xml:space="preserve"> </w:t>
      </w:r>
      <w:r w:rsidRPr="00650F19">
        <w:rPr>
          <w:rFonts w:cstheme="minorHAnsi"/>
        </w:rPr>
        <w:t>fee</w:t>
      </w:r>
      <w:r w:rsidR="00D63D1D">
        <w:rPr>
          <w:rFonts w:cstheme="minorHAnsi"/>
        </w:rPr>
        <w:t xml:space="preserve">s and paid a maximum of $75 for the services and amenities fee </w:t>
      </w:r>
      <w:r w:rsidRPr="00650F19">
        <w:rPr>
          <w:rFonts w:cstheme="minorHAnsi"/>
        </w:rPr>
        <w:t>(at Certificate IV level and below).</w:t>
      </w:r>
    </w:p>
    <w:p w:rsidR="00650F19" w:rsidRPr="00650F19" w:rsidRDefault="00650F19" w:rsidP="00650F19">
      <w:pPr>
        <w:pStyle w:val="NoSpacing"/>
        <w:rPr>
          <w:rFonts w:cstheme="minorHAnsi"/>
        </w:rPr>
      </w:pPr>
      <w:r w:rsidRPr="00650F19">
        <w:rPr>
          <w:rFonts w:cstheme="minorHAnsi"/>
        </w:rPr>
        <w:t>•</w:t>
      </w:r>
      <w:r w:rsidR="00D63D1D">
        <w:rPr>
          <w:rFonts w:cstheme="minorHAnsi"/>
        </w:rPr>
        <w:t xml:space="preserve"> Programs and services provided on a fee-for-service basis were </w:t>
      </w:r>
      <w:r w:rsidRPr="00650F19">
        <w:rPr>
          <w:rFonts w:cstheme="minorHAnsi"/>
        </w:rPr>
        <w:t>pri</w:t>
      </w:r>
      <w:r w:rsidR="00D63D1D">
        <w:rPr>
          <w:rFonts w:cstheme="minorHAnsi"/>
        </w:rPr>
        <w:t xml:space="preserve">ced in accordance with National </w:t>
      </w:r>
      <w:r w:rsidRPr="00650F19">
        <w:rPr>
          <w:rFonts w:cstheme="minorHAnsi"/>
        </w:rPr>
        <w:t>Competition Policy principles.</w:t>
      </w:r>
    </w:p>
    <w:p w:rsidR="00650F19" w:rsidRPr="00650F19" w:rsidRDefault="00650F19" w:rsidP="00650F19">
      <w:pPr>
        <w:pStyle w:val="NoSpacing"/>
        <w:rPr>
          <w:rFonts w:cstheme="minorHAnsi"/>
        </w:rPr>
      </w:pPr>
      <w:r w:rsidRPr="00650F19">
        <w:rPr>
          <w:rFonts w:cstheme="minorHAnsi"/>
        </w:rPr>
        <w:t>• Pr</w:t>
      </w:r>
      <w:r w:rsidR="00D63D1D">
        <w:rPr>
          <w:rFonts w:cstheme="minorHAnsi"/>
        </w:rPr>
        <w:t xml:space="preserve">ograms and services provided to </w:t>
      </w:r>
      <w:r w:rsidRPr="00650F19">
        <w:rPr>
          <w:rFonts w:cstheme="minorHAnsi"/>
        </w:rPr>
        <w:t>internati</w:t>
      </w:r>
      <w:r w:rsidR="00D63D1D">
        <w:rPr>
          <w:rFonts w:cstheme="minorHAnsi"/>
        </w:rPr>
        <w:t xml:space="preserve">onal students and industry based </w:t>
      </w:r>
      <w:r w:rsidRPr="00650F19">
        <w:rPr>
          <w:rFonts w:cstheme="minorHAnsi"/>
        </w:rPr>
        <w:t>customers were costed on</w:t>
      </w:r>
      <w:r w:rsidR="00D63D1D">
        <w:rPr>
          <w:rFonts w:cstheme="minorHAnsi"/>
        </w:rPr>
        <w:t xml:space="preserve"> </w:t>
      </w:r>
      <w:r w:rsidRPr="00650F19">
        <w:rPr>
          <w:rFonts w:cstheme="minorHAnsi"/>
        </w:rPr>
        <w:t>a commercial basis.</w:t>
      </w:r>
    </w:p>
    <w:p w:rsidR="00650F19" w:rsidRPr="00650F19" w:rsidRDefault="00650F19" w:rsidP="00650F19">
      <w:pPr>
        <w:pStyle w:val="NoSpacing"/>
        <w:rPr>
          <w:rFonts w:cstheme="minorHAnsi"/>
        </w:rPr>
      </w:pPr>
      <w:r w:rsidRPr="00650F19">
        <w:rPr>
          <w:rFonts w:cstheme="minorHAnsi"/>
        </w:rPr>
        <w:t>•</w:t>
      </w:r>
      <w:r w:rsidR="00D63D1D">
        <w:rPr>
          <w:rFonts w:cstheme="minorHAnsi"/>
        </w:rPr>
        <w:t xml:space="preserve"> Other fees and charges were on </w:t>
      </w:r>
      <w:r w:rsidRPr="00650F19">
        <w:rPr>
          <w:rFonts w:cstheme="minorHAnsi"/>
        </w:rPr>
        <w:t>a co</w:t>
      </w:r>
      <w:r w:rsidR="00D63D1D">
        <w:rPr>
          <w:rFonts w:cstheme="minorHAnsi"/>
        </w:rPr>
        <w:t xml:space="preserve">st-recovery basis, for example, library and parking fines, </w:t>
      </w:r>
      <w:r w:rsidRPr="00650F19">
        <w:rPr>
          <w:rFonts w:cstheme="minorHAnsi"/>
        </w:rPr>
        <w:t>photocopying and printing charges.</w:t>
      </w:r>
    </w:p>
    <w:p w:rsidR="00675E5D" w:rsidRPr="00650F19" w:rsidRDefault="00675E5D" w:rsidP="00650F19">
      <w:pPr>
        <w:pStyle w:val="NoSpacing"/>
        <w:rPr>
          <w:rFonts w:cstheme="minorHAnsi"/>
        </w:rPr>
      </w:pPr>
    </w:p>
    <w:p w:rsidR="00650F19" w:rsidRPr="00650F19" w:rsidRDefault="00650F19" w:rsidP="00650F19">
      <w:pPr>
        <w:pStyle w:val="NoSpacing"/>
      </w:pPr>
      <w:r w:rsidRPr="00650F19">
        <w:t>GRANT RADFORD</w:t>
      </w:r>
    </w:p>
    <w:p w:rsidR="00650F19" w:rsidRPr="00650F19" w:rsidRDefault="00650F19" w:rsidP="00650F19">
      <w:pPr>
        <w:pStyle w:val="NoSpacing"/>
      </w:pPr>
      <w:r w:rsidRPr="00650F19">
        <w:t>Acting Chief Executive Officer</w:t>
      </w:r>
    </w:p>
    <w:p w:rsidR="00675E5D" w:rsidRDefault="00650F19" w:rsidP="00650F19">
      <w:pPr>
        <w:pStyle w:val="NoSpacing"/>
      </w:pPr>
      <w:r w:rsidRPr="00650F19">
        <w:t>28 February 2018</w:t>
      </w:r>
    </w:p>
    <w:p w:rsidR="00A4384D" w:rsidRDefault="00A4384D" w:rsidP="00650F19">
      <w:pPr>
        <w:pStyle w:val="NoSpacing"/>
      </w:pPr>
    </w:p>
    <w:p w:rsidR="00A4384D" w:rsidRDefault="00A4384D" w:rsidP="00650F19">
      <w:pPr>
        <w:pStyle w:val="NoSpacing"/>
      </w:pPr>
      <w:r>
        <w:t>&lt;pp&gt;102</w:t>
      </w:r>
    </w:p>
    <w:p w:rsidR="00A4384D" w:rsidRDefault="00A4384D" w:rsidP="00650F19">
      <w:pPr>
        <w:pStyle w:val="NoSpacing"/>
      </w:pPr>
    </w:p>
    <w:p w:rsidR="00A4384D" w:rsidRDefault="00A4384D" w:rsidP="00234E85">
      <w:pPr>
        <w:pStyle w:val="Heading2"/>
      </w:pPr>
      <w:r>
        <w:lastRenderedPageBreak/>
        <w:t>Environmental performance</w:t>
      </w:r>
    </w:p>
    <w:p w:rsidR="00A4384D" w:rsidRDefault="00A4384D" w:rsidP="00650F19">
      <w:pPr>
        <w:pStyle w:val="NoSpacing"/>
      </w:pPr>
    </w:p>
    <w:p w:rsidR="00A4384D" w:rsidRPr="00A4384D" w:rsidRDefault="00A4384D" w:rsidP="00A4384D">
      <w:pPr>
        <w:pStyle w:val="NoSpacing"/>
      </w:pPr>
      <w:r>
        <w:t>Chisholm Institute supports the principle of integration of economic, social and environmental considerations into its operational activities. By continuing to implement sound environmental strategies, practices and procedures as the basis for ecologically sustainable development, Chisholm continues to contribute to the protection and sustainability of our environment by minimising the impact our operations have on the health and wellbeing of all stakeholders, the environment we live in as well as minimising cost and the use of valuable and diminishing resources.</w:t>
      </w:r>
    </w:p>
    <w:p w:rsidR="00A4384D" w:rsidRDefault="00A4384D" w:rsidP="00A4384D">
      <w:pPr>
        <w:pStyle w:val="NoSpacing"/>
      </w:pPr>
    </w:p>
    <w:p w:rsidR="00A4384D" w:rsidRDefault="00A4384D" w:rsidP="00A4384D">
      <w:pPr>
        <w:pStyle w:val="NoSpacing"/>
      </w:pPr>
      <w:r>
        <w:t>In 2010 Chisholm began implementing its education for sustainability action plan for staff and students, as a part of the ResourceSmart program developed by the Department of Sustainability &amp; Environment, and the aim of which was to align the sustainable actions of tertiary institutes with</w:t>
      </w:r>
    </w:p>
    <w:p w:rsidR="00A4384D" w:rsidRDefault="00A4384D" w:rsidP="00A4384D">
      <w:pPr>
        <w:pStyle w:val="NoSpacing"/>
      </w:pPr>
      <w:r>
        <w:t>Government policy commitments.</w:t>
      </w:r>
    </w:p>
    <w:p w:rsidR="00A4384D" w:rsidRDefault="00A4384D" w:rsidP="00A4384D">
      <w:pPr>
        <w:pStyle w:val="NoSpacing"/>
      </w:pPr>
    </w:p>
    <w:p w:rsidR="00A4384D" w:rsidRDefault="00A4384D" w:rsidP="00A4384D">
      <w:pPr>
        <w:pStyle w:val="NoSpacing"/>
      </w:pPr>
      <w:r>
        <w:t>Electricity 75%</w:t>
      </w:r>
    </w:p>
    <w:p w:rsidR="00A4384D" w:rsidRDefault="00A4384D" w:rsidP="00A4384D">
      <w:pPr>
        <w:pStyle w:val="NoSpacing"/>
      </w:pPr>
      <w:r>
        <w:t>Natural Gas 10%</w:t>
      </w:r>
    </w:p>
    <w:p w:rsidR="00A4384D" w:rsidRDefault="00A4384D" w:rsidP="00A4384D">
      <w:pPr>
        <w:pStyle w:val="NoSpacing"/>
      </w:pPr>
      <w:r>
        <w:t>Other incl. waste 9%</w:t>
      </w:r>
    </w:p>
    <w:p w:rsidR="00A4384D" w:rsidRDefault="00A4384D" w:rsidP="00A4384D">
      <w:pPr>
        <w:pStyle w:val="NoSpacing"/>
      </w:pPr>
      <w:r>
        <w:t>Transport 6%</w:t>
      </w:r>
    </w:p>
    <w:p w:rsidR="00A4384D" w:rsidRDefault="00A4384D" w:rsidP="00A4384D">
      <w:pPr>
        <w:pStyle w:val="NoSpacing"/>
      </w:pPr>
    </w:p>
    <w:p w:rsidR="00A4384D" w:rsidRDefault="00A4384D" w:rsidP="00A4384D">
      <w:pPr>
        <w:pStyle w:val="NoSpacing"/>
      </w:pPr>
      <w:r>
        <w:t xml:space="preserve">Figure 1: Major contribution to the 2017 environmental footprint </w:t>
      </w:r>
    </w:p>
    <w:p w:rsidR="00A4384D" w:rsidRDefault="00A4384D" w:rsidP="00A4384D">
      <w:pPr>
        <w:pStyle w:val="NoSpacing"/>
        <w:rPr>
          <w:rFonts w:ascii="ProximaNovaA-Light" w:hAnsi="ProximaNovaA-Light" w:cs="ProximaNovaA-Light"/>
          <w:sz w:val="18"/>
          <w:szCs w:val="18"/>
        </w:rPr>
      </w:pPr>
    </w:p>
    <w:p w:rsidR="00A4384D" w:rsidRPr="005531E4" w:rsidRDefault="00A4384D" w:rsidP="00234E85">
      <w:pPr>
        <w:pStyle w:val="Heading3"/>
      </w:pPr>
      <w:r w:rsidRPr="005531E4">
        <w:t>Sustainability Index</w:t>
      </w:r>
    </w:p>
    <w:p w:rsidR="00A4384D" w:rsidRDefault="00A4384D" w:rsidP="00A4384D">
      <w:pPr>
        <w:pStyle w:val="NoSpacing"/>
      </w:pPr>
    </w:p>
    <w:p w:rsidR="00A4384D" w:rsidRDefault="00A4384D" w:rsidP="00A4384D">
      <w:pPr>
        <w:autoSpaceDE w:val="0"/>
        <w:autoSpaceDN w:val="0"/>
        <w:adjustRightInd w:val="0"/>
        <w:spacing w:after="0" w:line="240" w:lineRule="auto"/>
        <w:rPr>
          <w:rFonts w:ascii="ProximaNovaA-Light" w:hAnsi="ProximaNovaA-Light" w:cs="ProximaNovaA-Light"/>
          <w:sz w:val="18"/>
          <w:szCs w:val="18"/>
        </w:rPr>
      </w:pPr>
      <w:r>
        <w:rPr>
          <w:rFonts w:ascii="ProximaNovaA-Light" w:hAnsi="ProximaNovaA-Light" w:cs="ProximaNovaA-Light"/>
          <w:sz w:val="18"/>
          <w:szCs w:val="18"/>
        </w:rPr>
        <w:t>The following table compares the Target Sustainability Index based on the ResourceSmart strategy targets, against the Actual Sustainability Index based on Chisholm’s environmental performance.</w:t>
      </w:r>
    </w:p>
    <w:p w:rsidR="00A4384D" w:rsidRDefault="00A4384D" w:rsidP="00A4384D">
      <w:pPr>
        <w:autoSpaceDE w:val="0"/>
        <w:autoSpaceDN w:val="0"/>
        <w:adjustRightInd w:val="0"/>
        <w:spacing w:after="0" w:line="240" w:lineRule="auto"/>
        <w:rPr>
          <w:rFonts w:ascii="ProximaNovaA-Light" w:hAnsi="ProximaNovaA-Light" w:cs="ProximaNovaA-Light"/>
          <w:sz w:val="18"/>
          <w:szCs w:val="18"/>
        </w:rPr>
      </w:pPr>
      <w:r>
        <w:rPr>
          <w:rFonts w:ascii="ProximaNovaA-Light" w:hAnsi="ProximaNovaA-Light" w:cs="ProximaNovaA-Light"/>
          <w:sz w:val="18"/>
          <w:szCs w:val="18"/>
        </w:rPr>
        <w:t>The index is calculated using weighted emissions, energy and water consumption against Students (EFTSL) plus</w:t>
      </w:r>
    </w:p>
    <w:p w:rsidR="00A4384D" w:rsidRDefault="00A4384D" w:rsidP="00A4384D">
      <w:pPr>
        <w:autoSpaceDE w:val="0"/>
        <w:autoSpaceDN w:val="0"/>
        <w:adjustRightInd w:val="0"/>
        <w:spacing w:after="0" w:line="240" w:lineRule="auto"/>
        <w:rPr>
          <w:rFonts w:ascii="ProximaNovaA-Light" w:hAnsi="ProximaNovaA-Light" w:cs="ProximaNovaA-Light"/>
          <w:sz w:val="18"/>
          <w:szCs w:val="18"/>
        </w:rPr>
      </w:pPr>
      <w:r>
        <w:rPr>
          <w:rFonts w:ascii="ProximaNovaA-Light" w:hAnsi="ProximaNovaA-Light" w:cs="ProximaNovaA-Light"/>
          <w:sz w:val="18"/>
          <w:szCs w:val="18"/>
        </w:rPr>
        <w:t>Staff (Equivalent Full Time hours-EFT). This single measure enables Chisholm to take a holistic view of sustainability.</w:t>
      </w:r>
    </w:p>
    <w:p w:rsidR="00A4384D" w:rsidRDefault="00A4384D" w:rsidP="00A4384D">
      <w:pPr>
        <w:pStyle w:val="NoSpacing"/>
        <w:rPr>
          <w:rFonts w:ascii="ProximaNovaA-Light" w:hAnsi="ProximaNovaA-Light" w:cs="ProximaNovaA-Light"/>
          <w:sz w:val="18"/>
          <w:szCs w:val="18"/>
        </w:rPr>
      </w:pPr>
    </w:p>
    <w:tbl>
      <w:tblPr>
        <w:tblStyle w:val="TableGrid"/>
        <w:tblW w:w="0" w:type="auto"/>
        <w:tblLook w:val="04A0" w:firstRow="1" w:lastRow="0" w:firstColumn="1" w:lastColumn="0" w:noHBand="0" w:noVBand="1"/>
      </w:tblPr>
      <w:tblGrid>
        <w:gridCol w:w="979"/>
        <w:gridCol w:w="929"/>
        <w:gridCol w:w="1395"/>
        <w:gridCol w:w="1302"/>
        <w:gridCol w:w="1395"/>
        <w:gridCol w:w="1377"/>
      </w:tblGrid>
      <w:tr w:rsidR="00A4384D" w:rsidTr="0068492B">
        <w:tc>
          <w:tcPr>
            <w:tcW w:w="979" w:type="dxa"/>
            <w:vAlign w:val="bottom"/>
          </w:tcPr>
          <w:p w:rsidR="00A4384D" w:rsidRPr="0068492B" w:rsidRDefault="00A4384D" w:rsidP="00A4384D">
            <w:pPr>
              <w:pStyle w:val="NoSpacing"/>
              <w:jc w:val="right"/>
              <w:rPr>
                <w:rFonts w:cstheme="minorHAnsi"/>
              </w:rPr>
            </w:pPr>
            <w:r w:rsidRPr="0068492B">
              <w:rPr>
                <w:rFonts w:cstheme="minorHAnsi"/>
              </w:rPr>
              <w:t>Year</w:t>
            </w:r>
          </w:p>
        </w:tc>
        <w:tc>
          <w:tcPr>
            <w:tcW w:w="929" w:type="dxa"/>
            <w:vAlign w:val="bottom"/>
          </w:tcPr>
          <w:p w:rsidR="00A4384D" w:rsidRPr="0068492B" w:rsidRDefault="00A4384D" w:rsidP="00A4384D">
            <w:pPr>
              <w:pStyle w:val="NoSpacing"/>
              <w:jc w:val="right"/>
              <w:rPr>
                <w:rFonts w:cstheme="minorHAnsi"/>
              </w:rPr>
            </w:pPr>
            <w:r w:rsidRPr="0068492B">
              <w:rPr>
                <w:rFonts w:cstheme="minorHAnsi"/>
              </w:rPr>
              <w:t>FTESL + FTE</w:t>
            </w:r>
          </w:p>
        </w:tc>
        <w:tc>
          <w:tcPr>
            <w:tcW w:w="1395" w:type="dxa"/>
            <w:vAlign w:val="bottom"/>
          </w:tcPr>
          <w:p w:rsidR="00A4384D" w:rsidRPr="0068492B" w:rsidRDefault="00A4384D" w:rsidP="00A4384D">
            <w:pPr>
              <w:pStyle w:val="NoSpacing"/>
              <w:jc w:val="right"/>
              <w:rPr>
                <w:rFonts w:cstheme="minorHAnsi"/>
              </w:rPr>
            </w:pPr>
            <w:r w:rsidRPr="0068492B">
              <w:rPr>
                <w:rFonts w:cstheme="minorHAnsi"/>
              </w:rPr>
              <w:t>Target sustainability index</w:t>
            </w:r>
          </w:p>
        </w:tc>
        <w:tc>
          <w:tcPr>
            <w:tcW w:w="1302" w:type="dxa"/>
            <w:vAlign w:val="bottom"/>
          </w:tcPr>
          <w:p w:rsidR="00A4384D" w:rsidRPr="0068492B" w:rsidRDefault="00A4384D" w:rsidP="00A4384D">
            <w:pPr>
              <w:pStyle w:val="NoSpacing"/>
              <w:jc w:val="right"/>
              <w:rPr>
                <w:rFonts w:cstheme="minorHAnsi"/>
              </w:rPr>
            </w:pPr>
            <w:r w:rsidRPr="0068492B">
              <w:rPr>
                <w:rFonts w:cstheme="minorHAnsi"/>
              </w:rPr>
              <w:t>Target reduction %</w:t>
            </w:r>
          </w:p>
        </w:tc>
        <w:tc>
          <w:tcPr>
            <w:tcW w:w="1395" w:type="dxa"/>
            <w:vAlign w:val="bottom"/>
          </w:tcPr>
          <w:p w:rsidR="00A4384D" w:rsidRPr="0068492B" w:rsidRDefault="00A4384D" w:rsidP="00A4384D">
            <w:pPr>
              <w:pStyle w:val="NoSpacing"/>
              <w:jc w:val="right"/>
              <w:rPr>
                <w:rFonts w:cstheme="minorHAnsi"/>
              </w:rPr>
            </w:pPr>
            <w:r w:rsidRPr="0068492B">
              <w:rPr>
                <w:rFonts w:cstheme="minorHAnsi"/>
              </w:rPr>
              <w:t>Actual sustainability index</w:t>
            </w:r>
          </w:p>
        </w:tc>
        <w:tc>
          <w:tcPr>
            <w:tcW w:w="1225" w:type="dxa"/>
            <w:vAlign w:val="bottom"/>
          </w:tcPr>
          <w:p w:rsidR="00A4384D" w:rsidRPr="0068492B" w:rsidRDefault="00A4384D" w:rsidP="00A4384D">
            <w:pPr>
              <w:pStyle w:val="NoSpacing"/>
              <w:jc w:val="right"/>
              <w:rPr>
                <w:rFonts w:cstheme="minorHAnsi"/>
              </w:rPr>
            </w:pPr>
            <w:r w:rsidRPr="0068492B">
              <w:rPr>
                <w:rFonts w:cstheme="minorHAnsi"/>
              </w:rPr>
              <w:t>Actual % performance</w:t>
            </w:r>
          </w:p>
        </w:tc>
      </w:tr>
      <w:tr w:rsidR="00A4384D" w:rsidTr="0068492B">
        <w:tc>
          <w:tcPr>
            <w:tcW w:w="979" w:type="dxa"/>
          </w:tcPr>
          <w:p w:rsidR="00A4384D" w:rsidRPr="0068492B" w:rsidRDefault="0068492B" w:rsidP="00A4384D">
            <w:pPr>
              <w:pStyle w:val="NoSpacing"/>
              <w:rPr>
                <w:rFonts w:cstheme="minorHAnsi"/>
              </w:rPr>
            </w:pPr>
            <w:r w:rsidRPr="0068492B">
              <w:rPr>
                <w:rFonts w:cstheme="minorHAnsi"/>
              </w:rPr>
              <w:t>2007 Baseline</w:t>
            </w:r>
          </w:p>
        </w:tc>
        <w:tc>
          <w:tcPr>
            <w:tcW w:w="929" w:type="dxa"/>
          </w:tcPr>
          <w:p w:rsidR="00A4384D" w:rsidRPr="0068492B" w:rsidRDefault="0068492B" w:rsidP="0068492B">
            <w:pPr>
              <w:pStyle w:val="NoSpacing"/>
              <w:jc w:val="right"/>
              <w:rPr>
                <w:rFonts w:cstheme="minorHAnsi"/>
              </w:rPr>
            </w:pPr>
            <w:r w:rsidRPr="0068492B">
              <w:rPr>
                <w:rFonts w:cstheme="minorHAnsi"/>
              </w:rPr>
              <w:t>13,805</w:t>
            </w:r>
          </w:p>
        </w:tc>
        <w:tc>
          <w:tcPr>
            <w:tcW w:w="1395" w:type="dxa"/>
          </w:tcPr>
          <w:p w:rsidR="00A4384D" w:rsidRPr="0068492B" w:rsidRDefault="0068492B" w:rsidP="0068492B">
            <w:pPr>
              <w:pStyle w:val="NoSpacing"/>
              <w:jc w:val="right"/>
              <w:rPr>
                <w:rFonts w:cstheme="minorHAnsi"/>
              </w:rPr>
            </w:pPr>
            <w:r w:rsidRPr="0068492B">
              <w:rPr>
                <w:rFonts w:cstheme="minorHAnsi"/>
              </w:rPr>
              <w:t>1.62</w:t>
            </w:r>
          </w:p>
        </w:tc>
        <w:tc>
          <w:tcPr>
            <w:tcW w:w="1302" w:type="dxa"/>
          </w:tcPr>
          <w:p w:rsidR="00A4384D" w:rsidRPr="0068492B" w:rsidRDefault="0068492B" w:rsidP="0068492B">
            <w:pPr>
              <w:pStyle w:val="NoSpacing"/>
              <w:jc w:val="right"/>
              <w:rPr>
                <w:rFonts w:cstheme="minorHAnsi"/>
              </w:rPr>
            </w:pPr>
            <w:r w:rsidRPr="0068492B">
              <w:rPr>
                <w:rFonts w:cstheme="minorHAnsi"/>
              </w:rPr>
              <w:t>0.0%</w:t>
            </w:r>
          </w:p>
        </w:tc>
        <w:tc>
          <w:tcPr>
            <w:tcW w:w="1395" w:type="dxa"/>
          </w:tcPr>
          <w:p w:rsidR="00A4384D" w:rsidRPr="0068492B" w:rsidRDefault="0068492B" w:rsidP="0068492B">
            <w:pPr>
              <w:pStyle w:val="NoSpacing"/>
              <w:jc w:val="right"/>
              <w:rPr>
                <w:rFonts w:cstheme="minorHAnsi"/>
              </w:rPr>
            </w:pPr>
            <w:r w:rsidRPr="0068492B">
              <w:rPr>
                <w:rFonts w:cstheme="minorHAnsi"/>
              </w:rPr>
              <w:t>1.62</w:t>
            </w:r>
          </w:p>
        </w:tc>
        <w:tc>
          <w:tcPr>
            <w:tcW w:w="1225" w:type="dxa"/>
          </w:tcPr>
          <w:p w:rsidR="00A4384D" w:rsidRPr="0068492B" w:rsidRDefault="0068492B" w:rsidP="0068492B">
            <w:pPr>
              <w:pStyle w:val="NoSpacing"/>
              <w:jc w:val="right"/>
              <w:rPr>
                <w:rFonts w:cstheme="minorHAnsi"/>
              </w:rPr>
            </w:pPr>
            <w:r w:rsidRPr="0068492B">
              <w:rPr>
                <w:rFonts w:cstheme="minorHAnsi"/>
              </w:rPr>
              <w:t>0.0%</w:t>
            </w:r>
          </w:p>
        </w:tc>
      </w:tr>
      <w:tr w:rsidR="00A4384D" w:rsidTr="0068492B">
        <w:tc>
          <w:tcPr>
            <w:tcW w:w="979" w:type="dxa"/>
          </w:tcPr>
          <w:p w:rsidR="00A4384D" w:rsidRPr="0068492B" w:rsidRDefault="0068492B" w:rsidP="00A4384D">
            <w:pPr>
              <w:pStyle w:val="NoSpacing"/>
              <w:rPr>
                <w:rFonts w:cstheme="minorHAnsi"/>
              </w:rPr>
            </w:pPr>
            <w:r w:rsidRPr="0068492B">
              <w:rPr>
                <w:rFonts w:cstheme="minorHAnsi"/>
              </w:rPr>
              <w:t>2015</w:t>
            </w:r>
          </w:p>
        </w:tc>
        <w:tc>
          <w:tcPr>
            <w:tcW w:w="929" w:type="dxa"/>
          </w:tcPr>
          <w:p w:rsidR="00A4384D" w:rsidRPr="0068492B" w:rsidRDefault="0068492B" w:rsidP="0068492B">
            <w:pPr>
              <w:pStyle w:val="NoSpacing"/>
              <w:jc w:val="right"/>
              <w:rPr>
                <w:rFonts w:cstheme="minorHAnsi"/>
              </w:rPr>
            </w:pPr>
            <w:r w:rsidRPr="0068492B">
              <w:rPr>
                <w:rFonts w:cstheme="minorHAnsi"/>
              </w:rPr>
              <w:t>16,758</w:t>
            </w:r>
          </w:p>
        </w:tc>
        <w:tc>
          <w:tcPr>
            <w:tcW w:w="1395" w:type="dxa"/>
          </w:tcPr>
          <w:p w:rsidR="00A4384D" w:rsidRPr="0068492B" w:rsidRDefault="0068492B" w:rsidP="0068492B">
            <w:pPr>
              <w:pStyle w:val="NoSpacing"/>
              <w:jc w:val="right"/>
              <w:rPr>
                <w:rFonts w:cstheme="minorHAnsi"/>
              </w:rPr>
            </w:pPr>
            <w:r w:rsidRPr="0068492B">
              <w:rPr>
                <w:rFonts w:cstheme="minorHAnsi"/>
              </w:rPr>
              <w:t>1.03</w:t>
            </w:r>
          </w:p>
        </w:tc>
        <w:tc>
          <w:tcPr>
            <w:tcW w:w="1302" w:type="dxa"/>
          </w:tcPr>
          <w:p w:rsidR="00A4384D" w:rsidRPr="0068492B" w:rsidRDefault="0068492B" w:rsidP="0068492B">
            <w:pPr>
              <w:pStyle w:val="NoSpacing"/>
              <w:jc w:val="right"/>
              <w:rPr>
                <w:rFonts w:cstheme="minorHAnsi"/>
              </w:rPr>
            </w:pPr>
            <w:r w:rsidRPr="0068492B">
              <w:rPr>
                <w:rFonts w:cstheme="minorHAnsi"/>
              </w:rPr>
              <w:t>-37.0%</w:t>
            </w:r>
          </w:p>
        </w:tc>
        <w:tc>
          <w:tcPr>
            <w:tcW w:w="1395" w:type="dxa"/>
          </w:tcPr>
          <w:p w:rsidR="00A4384D" w:rsidRPr="0068492B" w:rsidRDefault="0068492B" w:rsidP="0068492B">
            <w:pPr>
              <w:pStyle w:val="NoSpacing"/>
              <w:jc w:val="right"/>
              <w:rPr>
                <w:rFonts w:cstheme="minorHAnsi"/>
              </w:rPr>
            </w:pPr>
            <w:r w:rsidRPr="0068492B">
              <w:rPr>
                <w:rFonts w:cstheme="minorHAnsi"/>
              </w:rPr>
              <w:t>1.30</w:t>
            </w:r>
          </w:p>
        </w:tc>
        <w:tc>
          <w:tcPr>
            <w:tcW w:w="1225" w:type="dxa"/>
          </w:tcPr>
          <w:p w:rsidR="00A4384D" w:rsidRPr="0068492B" w:rsidRDefault="0068492B" w:rsidP="0068492B">
            <w:pPr>
              <w:pStyle w:val="NoSpacing"/>
              <w:jc w:val="right"/>
              <w:rPr>
                <w:rFonts w:cstheme="minorHAnsi"/>
              </w:rPr>
            </w:pPr>
            <w:r w:rsidRPr="0068492B">
              <w:rPr>
                <w:rFonts w:cstheme="minorHAnsi"/>
              </w:rPr>
              <w:t>-20.1%</w:t>
            </w:r>
          </w:p>
        </w:tc>
      </w:tr>
      <w:tr w:rsidR="00A4384D" w:rsidTr="0068492B">
        <w:tc>
          <w:tcPr>
            <w:tcW w:w="979" w:type="dxa"/>
          </w:tcPr>
          <w:p w:rsidR="00A4384D" w:rsidRPr="0068492B" w:rsidRDefault="0068492B" w:rsidP="00A4384D">
            <w:pPr>
              <w:pStyle w:val="NoSpacing"/>
              <w:rPr>
                <w:rFonts w:cstheme="minorHAnsi"/>
              </w:rPr>
            </w:pPr>
            <w:r w:rsidRPr="0068492B">
              <w:rPr>
                <w:rFonts w:cstheme="minorHAnsi"/>
              </w:rPr>
              <w:t>2016</w:t>
            </w:r>
          </w:p>
        </w:tc>
        <w:tc>
          <w:tcPr>
            <w:tcW w:w="929" w:type="dxa"/>
          </w:tcPr>
          <w:p w:rsidR="00A4384D" w:rsidRPr="0068492B" w:rsidRDefault="0068492B" w:rsidP="0068492B">
            <w:pPr>
              <w:pStyle w:val="NoSpacing"/>
              <w:jc w:val="right"/>
              <w:rPr>
                <w:rFonts w:cstheme="minorHAnsi"/>
              </w:rPr>
            </w:pPr>
            <w:r w:rsidRPr="0068492B">
              <w:rPr>
                <w:rFonts w:cstheme="minorHAnsi"/>
              </w:rPr>
              <w:t>16,308</w:t>
            </w:r>
          </w:p>
        </w:tc>
        <w:tc>
          <w:tcPr>
            <w:tcW w:w="1395" w:type="dxa"/>
          </w:tcPr>
          <w:p w:rsidR="00A4384D" w:rsidRPr="0068492B" w:rsidRDefault="0068492B" w:rsidP="0068492B">
            <w:pPr>
              <w:pStyle w:val="NoSpacing"/>
              <w:jc w:val="right"/>
              <w:rPr>
                <w:rFonts w:cstheme="minorHAnsi"/>
              </w:rPr>
            </w:pPr>
            <w:r w:rsidRPr="0068492B">
              <w:rPr>
                <w:rFonts w:cstheme="minorHAnsi"/>
              </w:rPr>
              <w:t>0.95</w:t>
            </w:r>
          </w:p>
        </w:tc>
        <w:tc>
          <w:tcPr>
            <w:tcW w:w="1302" w:type="dxa"/>
          </w:tcPr>
          <w:p w:rsidR="00A4384D" w:rsidRPr="0068492B" w:rsidRDefault="0068492B" w:rsidP="0068492B">
            <w:pPr>
              <w:pStyle w:val="NoSpacing"/>
              <w:jc w:val="right"/>
              <w:rPr>
                <w:rFonts w:cstheme="minorHAnsi"/>
              </w:rPr>
            </w:pPr>
            <w:r w:rsidRPr="0068492B">
              <w:rPr>
                <w:rFonts w:cstheme="minorHAnsi"/>
              </w:rPr>
              <w:t>-42.0%</w:t>
            </w:r>
          </w:p>
        </w:tc>
        <w:tc>
          <w:tcPr>
            <w:tcW w:w="1395" w:type="dxa"/>
          </w:tcPr>
          <w:p w:rsidR="00A4384D" w:rsidRPr="0068492B" w:rsidRDefault="0068492B" w:rsidP="0068492B">
            <w:pPr>
              <w:pStyle w:val="NoSpacing"/>
              <w:jc w:val="right"/>
              <w:rPr>
                <w:rFonts w:cstheme="minorHAnsi"/>
              </w:rPr>
            </w:pPr>
            <w:r w:rsidRPr="0068492B">
              <w:rPr>
                <w:rFonts w:cstheme="minorHAnsi"/>
              </w:rPr>
              <w:t>1.22</w:t>
            </w:r>
          </w:p>
        </w:tc>
        <w:tc>
          <w:tcPr>
            <w:tcW w:w="1225" w:type="dxa"/>
          </w:tcPr>
          <w:p w:rsidR="00A4384D" w:rsidRPr="0068492B" w:rsidRDefault="0068492B" w:rsidP="0068492B">
            <w:pPr>
              <w:pStyle w:val="NoSpacing"/>
              <w:jc w:val="right"/>
              <w:rPr>
                <w:rFonts w:cstheme="minorHAnsi"/>
              </w:rPr>
            </w:pPr>
            <w:r w:rsidRPr="0068492B">
              <w:rPr>
                <w:rFonts w:cstheme="minorHAnsi"/>
              </w:rPr>
              <w:t>-25.3%</w:t>
            </w:r>
          </w:p>
        </w:tc>
      </w:tr>
      <w:tr w:rsidR="00A4384D" w:rsidTr="0068492B">
        <w:tc>
          <w:tcPr>
            <w:tcW w:w="979" w:type="dxa"/>
          </w:tcPr>
          <w:p w:rsidR="00A4384D" w:rsidRPr="0068492B" w:rsidRDefault="0068492B" w:rsidP="00A4384D">
            <w:pPr>
              <w:pStyle w:val="NoSpacing"/>
              <w:rPr>
                <w:rFonts w:cstheme="minorHAnsi"/>
              </w:rPr>
            </w:pPr>
            <w:r w:rsidRPr="0068492B">
              <w:rPr>
                <w:rFonts w:cstheme="minorHAnsi"/>
              </w:rPr>
              <w:t>2017</w:t>
            </w:r>
          </w:p>
        </w:tc>
        <w:tc>
          <w:tcPr>
            <w:tcW w:w="929" w:type="dxa"/>
          </w:tcPr>
          <w:p w:rsidR="00A4384D" w:rsidRPr="0068492B" w:rsidRDefault="0068492B" w:rsidP="0068492B">
            <w:pPr>
              <w:pStyle w:val="NoSpacing"/>
              <w:jc w:val="right"/>
              <w:rPr>
                <w:rFonts w:cstheme="minorHAnsi"/>
              </w:rPr>
            </w:pPr>
            <w:r w:rsidRPr="0068492B">
              <w:rPr>
                <w:rFonts w:cstheme="minorHAnsi"/>
              </w:rPr>
              <w:t>17,348</w:t>
            </w:r>
          </w:p>
        </w:tc>
        <w:tc>
          <w:tcPr>
            <w:tcW w:w="1395" w:type="dxa"/>
          </w:tcPr>
          <w:p w:rsidR="00A4384D" w:rsidRPr="0068492B" w:rsidRDefault="0068492B" w:rsidP="0068492B">
            <w:pPr>
              <w:pStyle w:val="NoSpacing"/>
              <w:jc w:val="right"/>
              <w:rPr>
                <w:rFonts w:cstheme="minorHAnsi"/>
              </w:rPr>
            </w:pPr>
            <w:r w:rsidRPr="0068492B">
              <w:rPr>
                <w:rFonts w:cstheme="minorHAnsi"/>
              </w:rPr>
              <w:t>0.90</w:t>
            </w:r>
          </w:p>
        </w:tc>
        <w:tc>
          <w:tcPr>
            <w:tcW w:w="1302" w:type="dxa"/>
          </w:tcPr>
          <w:p w:rsidR="00A4384D" w:rsidRPr="0068492B" w:rsidRDefault="0068492B" w:rsidP="0068492B">
            <w:pPr>
              <w:pStyle w:val="NoSpacing"/>
              <w:jc w:val="right"/>
              <w:rPr>
                <w:rFonts w:cstheme="minorHAnsi"/>
              </w:rPr>
            </w:pPr>
            <w:r w:rsidRPr="0068492B">
              <w:rPr>
                <w:rFonts w:cstheme="minorHAnsi"/>
              </w:rPr>
              <w:t>-45.0%</w:t>
            </w:r>
          </w:p>
        </w:tc>
        <w:tc>
          <w:tcPr>
            <w:tcW w:w="1395" w:type="dxa"/>
          </w:tcPr>
          <w:p w:rsidR="00A4384D" w:rsidRPr="0068492B" w:rsidRDefault="0068492B" w:rsidP="0068492B">
            <w:pPr>
              <w:pStyle w:val="NoSpacing"/>
              <w:jc w:val="right"/>
              <w:rPr>
                <w:rFonts w:cstheme="minorHAnsi"/>
              </w:rPr>
            </w:pPr>
            <w:r w:rsidRPr="0068492B">
              <w:rPr>
                <w:rFonts w:cstheme="minorHAnsi"/>
              </w:rPr>
              <w:t>1.10</w:t>
            </w:r>
          </w:p>
        </w:tc>
        <w:tc>
          <w:tcPr>
            <w:tcW w:w="1225" w:type="dxa"/>
          </w:tcPr>
          <w:p w:rsidR="00A4384D" w:rsidRPr="0068492B" w:rsidRDefault="0068492B" w:rsidP="0068492B">
            <w:pPr>
              <w:pStyle w:val="NoSpacing"/>
              <w:jc w:val="right"/>
              <w:rPr>
                <w:rFonts w:cstheme="minorHAnsi"/>
              </w:rPr>
            </w:pPr>
            <w:r w:rsidRPr="0068492B">
              <w:rPr>
                <w:rFonts w:cstheme="minorHAnsi"/>
              </w:rPr>
              <w:t>-33.6%</w:t>
            </w:r>
          </w:p>
        </w:tc>
      </w:tr>
    </w:tbl>
    <w:p w:rsidR="00A4384D" w:rsidRDefault="00A4384D" w:rsidP="00A4384D">
      <w:pPr>
        <w:pStyle w:val="NoSpacing"/>
        <w:rPr>
          <w:rFonts w:ascii="ProximaNovaA-Light" w:hAnsi="ProximaNovaA-Light" w:cs="ProximaNovaA-Light"/>
          <w:sz w:val="18"/>
          <w:szCs w:val="18"/>
        </w:rPr>
      </w:pPr>
    </w:p>
    <w:p w:rsidR="00A4384D" w:rsidRDefault="0068492B" w:rsidP="00A4384D">
      <w:pPr>
        <w:pStyle w:val="NoSpacing"/>
      </w:pPr>
      <w:r>
        <w:t>Table 1: Actual verses Target sustainability indices</w:t>
      </w:r>
    </w:p>
    <w:p w:rsidR="005531E4" w:rsidRDefault="005531E4" w:rsidP="00A4384D">
      <w:pPr>
        <w:pStyle w:val="NoSpacing"/>
      </w:pPr>
    </w:p>
    <w:p w:rsidR="005531E4" w:rsidRPr="005531E4" w:rsidRDefault="005531E4" w:rsidP="00234E85">
      <w:pPr>
        <w:pStyle w:val="Heading3"/>
      </w:pPr>
      <w:r w:rsidRPr="005531E4">
        <w:t xml:space="preserve">Carbon Management </w:t>
      </w:r>
    </w:p>
    <w:p w:rsidR="005531E4" w:rsidRDefault="005531E4" w:rsidP="00A4384D">
      <w:pPr>
        <w:pStyle w:val="NoSpacing"/>
      </w:pPr>
    </w:p>
    <w:p w:rsidR="005531E4" w:rsidRDefault="005531E4" w:rsidP="005531E4">
      <w:pPr>
        <w:autoSpaceDE w:val="0"/>
        <w:autoSpaceDN w:val="0"/>
        <w:adjustRightInd w:val="0"/>
        <w:spacing w:after="0" w:line="240" w:lineRule="auto"/>
      </w:pPr>
      <w:r>
        <w:rPr>
          <w:rFonts w:ascii="ProximaNovaA-Light" w:hAnsi="ProximaNovaA-Light" w:cs="ProximaNovaA-Light"/>
          <w:sz w:val="18"/>
          <w:szCs w:val="18"/>
        </w:rPr>
        <w:t>The Institute’s carbon footprint has been measured for each calendar year since 2008-9. The carbon footprint as defined by the National Greenhouse and Energy Reporting Act 2007, has included the greenhouse gas emissions associated activities over which the institute has operational control.</w:t>
      </w:r>
    </w:p>
    <w:p w:rsidR="0068492B" w:rsidRDefault="0068492B" w:rsidP="00A4384D">
      <w:pPr>
        <w:pStyle w:val="NoSpacing"/>
      </w:pPr>
    </w:p>
    <w:tbl>
      <w:tblPr>
        <w:tblStyle w:val="TableGrid"/>
        <w:tblW w:w="0" w:type="auto"/>
        <w:tblLook w:val="04A0" w:firstRow="1" w:lastRow="0" w:firstColumn="1" w:lastColumn="0" w:noHBand="0" w:noVBand="1"/>
      </w:tblPr>
      <w:tblGrid>
        <w:gridCol w:w="6516"/>
        <w:gridCol w:w="1276"/>
        <w:gridCol w:w="1224"/>
      </w:tblGrid>
      <w:tr w:rsidR="005531E4" w:rsidTr="005B087D">
        <w:tc>
          <w:tcPr>
            <w:tcW w:w="6516" w:type="dxa"/>
            <w:vAlign w:val="bottom"/>
          </w:tcPr>
          <w:p w:rsidR="005531E4" w:rsidRDefault="005531E4" w:rsidP="00A4384D">
            <w:pPr>
              <w:pStyle w:val="NoSpacing"/>
            </w:pPr>
            <w:r>
              <w:t>Target</w:t>
            </w:r>
          </w:p>
        </w:tc>
        <w:tc>
          <w:tcPr>
            <w:tcW w:w="1276" w:type="dxa"/>
          </w:tcPr>
          <w:p w:rsidR="005531E4" w:rsidRDefault="005531E4" w:rsidP="005B087D">
            <w:pPr>
              <w:pStyle w:val="NoSpacing"/>
              <w:jc w:val="right"/>
            </w:pPr>
            <w:r>
              <w:t>Short term</w:t>
            </w:r>
            <w:r w:rsidR="005B087D">
              <w:t xml:space="preserve"> 2017</w:t>
            </w:r>
          </w:p>
        </w:tc>
        <w:tc>
          <w:tcPr>
            <w:tcW w:w="1224" w:type="dxa"/>
          </w:tcPr>
          <w:p w:rsidR="005531E4" w:rsidRDefault="005531E4" w:rsidP="005B087D">
            <w:pPr>
              <w:pStyle w:val="NoSpacing"/>
              <w:jc w:val="right"/>
            </w:pPr>
            <w:r>
              <w:t>Long term</w:t>
            </w:r>
            <w:r w:rsidR="005B087D">
              <w:t xml:space="preserve"> 2020 </w:t>
            </w:r>
          </w:p>
        </w:tc>
      </w:tr>
      <w:tr w:rsidR="005531E4" w:rsidTr="005531E4">
        <w:tc>
          <w:tcPr>
            <w:tcW w:w="6516" w:type="dxa"/>
          </w:tcPr>
          <w:p w:rsidR="005531E4" w:rsidRDefault="005531E4" w:rsidP="00A4384D">
            <w:pPr>
              <w:pStyle w:val="NoSpacing"/>
            </w:pPr>
            <w:r>
              <w:t>Emissions reduction</w:t>
            </w:r>
          </w:p>
        </w:tc>
        <w:tc>
          <w:tcPr>
            <w:tcW w:w="1276" w:type="dxa"/>
          </w:tcPr>
          <w:p w:rsidR="005531E4" w:rsidRDefault="005B087D" w:rsidP="005B087D">
            <w:pPr>
              <w:pStyle w:val="NoSpacing"/>
              <w:jc w:val="right"/>
            </w:pPr>
            <w:r>
              <w:t>-43%</w:t>
            </w:r>
          </w:p>
        </w:tc>
        <w:tc>
          <w:tcPr>
            <w:tcW w:w="1224" w:type="dxa"/>
          </w:tcPr>
          <w:p w:rsidR="005531E4" w:rsidRDefault="005B087D" w:rsidP="005B087D">
            <w:pPr>
              <w:pStyle w:val="NoSpacing"/>
              <w:jc w:val="right"/>
            </w:pPr>
            <w:r>
              <w:t>-50%</w:t>
            </w:r>
          </w:p>
        </w:tc>
      </w:tr>
      <w:tr w:rsidR="005531E4" w:rsidTr="005531E4">
        <w:tc>
          <w:tcPr>
            <w:tcW w:w="6516" w:type="dxa"/>
          </w:tcPr>
          <w:p w:rsidR="005531E4" w:rsidRDefault="005531E4" w:rsidP="00A4384D">
            <w:pPr>
              <w:pStyle w:val="NoSpacing"/>
            </w:pPr>
            <w:r>
              <w:t>Energy reduction</w:t>
            </w:r>
          </w:p>
        </w:tc>
        <w:tc>
          <w:tcPr>
            <w:tcW w:w="1276" w:type="dxa"/>
          </w:tcPr>
          <w:p w:rsidR="005531E4" w:rsidRDefault="005B087D" w:rsidP="005B087D">
            <w:pPr>
              <w:pStyle w:val="NoSpacing"/>
              <w:jc w:val="right"/>
            </w:pPr>
            <w:r>
              <w:t>-43%</w:t>
            </w:r>
          </w:p>
        </w:tc>
        <w:tc>
          <w:tcPr>
            <w:tcW w:w="1224" w:type="dxa"/>
          </w:tcPr>
          <w:p w:rsidR="005531E4" w:rsidRDefault="005B087D" w:rsidP="005B087D">
            <w:pPr>
              <w:pStyle w:val="NoSpacing"/>
              <w:jc w:val="right"/>
            </w:pPr>
            <w:r>
              <w:t>-50%</w:t>
            </w:r>
          </w:p>
        </w:tc>
      </w:tr>
      <w:tr w:rsidR="005531E4" w:rsidTr="005531E4">
        <w:tc>
          <w:tcPr>
            <w:tcW w:w="6516" w:type="dxa"/>
          </w:tcPr>
          <w:p w:rsidR="005531E4" w:rsidRDefault="005531E4" w:rsidP="00A4384D">
            <w:pPr>
              <w:pStyle w:val="NoSpacing"/>
            </w:pPr>
            <w:r>
              <w:t>GreenPower Purchase Increase</w:t>
            </w:r>
          </w:p>
        </w:tc>
        <w:tc>
          <w:tcPr>
            <w:tcW w:w="1276" w:type="dxa"/>
          </w:tcPr>
          <w:p w:rsidR="005531E4" w:rsidRDefault="005B087D" w:rsidP="005B087D">
            <w:pPr>
              <w:pStyle w:val="NoSpacing"/>
              <w:jc w:val="right"/>
            </w:pPr>
            <w:r>
              <w:t>45%</w:t>
            </w:r>
          </w:p>
        </w:tc>
        <w:tc>
          <w:tcPr>
            <w:tcW w:w="1224" w:type="dxa"/>
          </w:tcPr>
          <w:p w:rsidR="005531E4" w:rsidRDefault="005B087D" w:rsidP="005B087D">
            <w:pPr>
              <w:pStyle w:val="NoSpacing"/>
              <w:jc w:val="right"/>
            </w:pPr>
            <w:r>
              <w:t>60%</w:t>
            </w:r>
          </w:p>
        </w:tc>
      </w:tr>
      <w:tr w:rsidR="005531E4" w:rsidTr="005531E4">
        <w:tc>
          <w:tcPr>
            <w:tcW w:w="6516" w:type="dxa"/>
          </w:tcPr>
          <w:p w:rsidR="005531E4" w:rsidRDefault="005531E4" w:rsidP="00A4384D">
            <w:pPr>
              <w:pStyle w:val="NoSpacing"/>
            </w:pPr>
            <w:r>
              <w:t>Onsite Renewable Energy Generation Increase</w:t>
            </w:r>
          </w:p>
        </w:tc>
        <w:tc>
          <w:tcPr>
            <w:tcW w:w="1276" w:type="dxa"/>
          </w:tcPr>
          <w:p w:rsidR="005531E4" w:rsidRDefault="005B087D" w:rsidP="005B087D">
            <w:pPr>
              <w:pStyle w:val="NoSpacing"/>
              <w:jc w:val="right"/>
            </w:pPr>
            <w:r>
              <w:t>20%</w:t>
            </w:r>
          </w:p>
        </w:tc>
        <w:tc>
          <w:tcPr>
            <w:tcW w:w="1224" w:type="dxa"/>
          </w:tcPr>
          <w:p w:rsidR="005531E4" w:rsidRDefault="005B087D" w:rsidP="005B087D">
            <w:pPr>
              <w:pStyle w:val="NoSpacing"/>
              <w:jc w:val="right"/>
            </w:pPr>
            <w:r>
              <w:t>30%</w:t>
            </w:r>
          </w:p>
        </w:tc>
      </w:tr>
      <w:tr w:rsidR="005531E4" w:rsidTr="005531E4">
        <w:tc>
          <w:tcPr>
            <w:tcW w:w="6516" w:type="dxa"/>
          </w:tcPr>
          <w:p w:rsidR="005531E4" w:rsidRDefault="005531E4" w:rsidP="00A4384D">
            <w:pPr>
              <w:pStyle w:val="NoSpacing"/>
            </w:pPr>
            <w:r>
              <w:t>Water Reduction</w:t>
            </w:r>
          </w:p>
        </w:tc>
        <w:tc>
          <w:tcPr>
            <w:tcW w:w="1276" w:type="dxa"/>
          </w:tcPr>
          <w:p w:rsidR="005531E4" w:rsidRDefault="005B087D" w:rsidP="005B087D">
            <w:pPr>
              <w:pStyle w:val="NoSpacing"/>
              <w:jc w:val="right"/>
            </w:pPr>
            <w:r>
              <w:t>-75%</w:t>
            </w:r>
          </w:p>
        </w:tc>
        <w:tc>
          <w:tcPr>
            <w:tcW w:w="1224" w:type="dxa"/>
          </w:tcPr>
          <w:p w:rsidR="005531E4" w:rsidRDefault="005B087D" w:rsidP="005B087D">
            <w:pPr>
              <w:pStyle w:val="NoSpacing"/>
              <w:jc w:val="right"/>
            </w:pPr>
            <w:r>
              <w:t>-90%</w:t>
            </w:r>
          </w:p>
        </w:tc>
      </w:tr>
      <w:tr w:rsidR="005531E4" w:rsidTr="005531E4">
        <w:tc>
          <w:tcPr>
            <w:tcW w:w="6516" w:type="dxa"/>
          </w:tcPr>
          <w:p w:rsidR="005531E4" w:rsidRDefault="005B087D" w:rsidP="00A4384D">
            <w:pPr>
              <w:pStyle w:val="NoSpacing"/>
            </w:pPr>
            <w:r>
              <w:lastRenderedPageBreak/>
              <w:t>Recycling Increased</w:t>
            </w:r>
          </w:p>
        </w:tc>
        <w:tc>
          <w:tcPr>
            <w:tcW w:w="1276" w:type="dxa"/>
          </w:tcPr>
          <w:p w:rsidR="005531E4" w:rsidRDefault="005B087D" w:rsidP="005B087D">
            <w:pPr>
              <w:pStyle w:val="NoSpacing"/>
              <w:jc w:val="right"/>
            </w:pPr>
            <w:r>
              <w:t>65%</w:t>
            </w:r>
          </w:p>
        </w:tc>
        <w:tc>
          <w:tcPr>
            <w:tcW w:w="1224" w:type="dxa"/>
          </w:tcPr>
          <w:p w:rsidR="005531E4" w:rsidRDefault="005B087D" w:rsidP="005B087D">
            <w:pPr>
              <w:pStyle w:val="NoSpacing"/>
              <w:jc w:val="right"/>
            </w:pPr>
            <w:r>
              <w:t>80%</w:t>
            </w:r>
          </w:p>
        </w:tc>
      </w:tr>
    </w:tbl>
    <w:p w:rsidR="005531E4" w:rsidRDefault="005531E4" w:rsidP="00A4384D">
      <w:pPr>
        <w:pStyle w:val="NoSpacing"/>
      </w:pPr>
    </w:p>
    <w:p w:rsidR="005B087D" w:rsidRDefault="005B087D" w:rsidP="005B087D">
      <w:pPr>
        <w:pStyle w:val="NoSpacing"/>
        <w:rPr>
          <w:sz w:val="18"/>
          <w:szCs w:val="18"/>
        </w:rPr>
      </w:pPr>
      <w:r>
        <w:t>Table 2: Sustainability targets based on ResourceSmart strategy relative to 2007 baselines specified payback period</w:t>
      </w:r>
      <w:r>
        <w:rPr>
          <w:sz w:val="18"/>
          <w:szCs w:val="18"/>
        </w:rPr>
        <w:t>.</w:t>
      </w:r>
    </w:p>
    <w:p w:rsidR="005B087D" w:rsidRDefault="005B087D" w:rsidP="005B087D">
      <w:pPr>
        <w:pStyle w:val="NoSpacing"/>
        <w:rPr>
          <w:sz w:val="18"/>
          <w:szCs w:val="18"/>
        </w:rPr>
      </w:pPr>
    </w:p>
    <w:p w:rsidR="005B087D" w:rsidRDefault="005B087D" w:rsidP="005B087D">
      <w:pPr>
        <w:pStyle w:val="NoSpacing"/>
      </w:pPr>
      <w:r>
        <w:t>&lt;pp&gt;103</w:t>
      </w:r>
    </w:p>
    <w:p w:rsidR="005B087D" w:rsidRDefault="005B087D" w:rsidP="005B087D">
      <w:pPr>
        <w:pStyle w:val="NoSpacing"/>
      </w:pPr>
    </w:p>
    <w:p w:rsidR="005B087D" w:rsidRPr="005B087D" w:rsidRDefault="005B087D" w:rsidP="00234E85">
      <w:pPr>
        <w:pStyle w:val="Heading3"/>
      </w:pPr>
      <w:r w:rsidRPr="005B087D">
        <w:t>Carbon management (continued)</w:t>
      </w:r>
    </w:p>
    <w:p w:rsidR="009F4C62" w:rsidRDefault="009F4C62" w:rsidP="005B087D">
      <w:pPr>
        <w:pStyle w:val="NoSpacing"/>
      </w:pPr>
    </w:p>
    <w:p w:rsidR="009F4C62" w:rsidRPr="009F4C62" w:rsidRDefault="009F4C62" w:rsidP="009F4C62">
      <w:pPr>
        <w:pStyle w:val="NoSpacing"/>
      </w:pPr>
      <w:r w:rsidRPr="009F4C62">
        <w:t>Table 3: The Institute’s carbon foot print (tonnes CO2-e emissions</w:t>
      </w:r>
      <w:r>
        <w:t xml:space="preserve"> </w:t>
      </w:r>
      <w:r w:rsidRPr="009F4C62">
        <w:t>pa based on ResourceSmart strategy relative to 2007 baselines</w:t>
      </w:r>
    </w:p>
    <w:p w:rsidR="009F4C62" w:rsidRPr="009F4C62" w:rsidRDefault="009F4C62" w:rsidP="009F4C62">
      <w:pPr>
        <w:pStyle w:val="NoSpacing"/>
      </w:pPr>
      <w:r w:rsidRPr="009F4C62">
        <w:t>Note:</w:t>
      </w:r>
    </w:p>
    <w:p w:rsidR="009F4C62" w:rsidRPr="009F4C62" w:rsidRDefault="009F4C62" w:rsidP="009F4C62">
      <w:pPr>
        <w:pStyle w:val="NoSpacing"/>
      </w:pPr>
      <w:r w:rsidRPr="009F4C62">
        <w:t>Scope 1 (On-site emissions arising from combustion of gas and fuels and the</w:t>
      </w:r>
    </w:p>
    <w:p w:rsidR="009F4C62" w:rsidRPr="009F4C62" w:rsidRDefault="009F4C62" w:rsidP="009F4C62">
      <w:pPr>
        <w:pStyle w:val="NoSpacing"/>
      </w:pPr>
      <w:r w:rsidRPr="009F4C62">
        <w:t>Scope 2 (Indirect emissions arising from the generation of imported electricity</w:t>
      </w:r>
    </w:p>
    <w:p w:rsidR="009F4C62" w:rsidRDefault="009F4C62" w:rsidP="009F4C62">
      <w:pPr>
        <w:pStyle w:val="NoSpacing"/>
      </w:pPr>
      <w:r w:rsidRPr="009F4C62">
        <w:t>Scope 3 (Indirect emissions arising from the extraction, production and</w:t>
      </w:r>
      <w:r>
        <w:t xml:space="preserve"> </w:t>
      </w:r>
      <w:r w:rsidRPr="009F4C62">
        <w:t>transport of gas, fuels and electricity; electricity lost in delivery; waste disposal;</w:t>
      </w:r>
      <w:r>
        <w:t xml:space="preserve"> </w:t>
      </w:r>
      <w:r w:rsidRPr="009F4C62">
        <w:t>embodied energy in paper and water; business travel by staff; and transport.</w:t>
      </w:r>
    </w:p>
    <w:p w:rsidR="009F4C62" w:rsidRDefault="009F4C62" w:rsidP="009F4C62">
      <w:pPr>
        <w:pStyle w:val="NoSpacing"/>
      </w:pPr>
    </w:p>
    <w:p w:rsidR="009F4C62" w:rsidRPr="009F4C62" w:rsidRDefault="009F4C62" w:rsidP="00234E85">
      <w:pPr>
        <w:pStyle w:val="Heading3"/>
      </w:pPr>
      <w:r w:rsidRPr="009F4C62">
        <w:t>Energy consumption</w:t>
      </w:r>
    </w:p>
    <w:p w:rsidR="009F4C62" w:rsidRDefault="009F4C62" w:rsidP="009F4C62">
      <w:pPr>
        <w:pStyle w:val="NoSpacing"/>
      </w:pPr>
    </w:p>
    <w:p w:rsidR="009F4C62" w:rsidRDefault="009F4C62" w:rsidP="009F4C62">
      <w:pPr>
        <w:pStyle w:val="NoSpacing"/>
      </w:pPr>
      <w:r>
        <w:t>To encourage the adoption of low energy and passive design in new buildings, a range of efficiency measures include the following:</w:t>
      </w:r>
    </w:p>
    <w:p w:rsidR="009F4C62" w:rsidRDefault="009F4C62" w:rsidP="009F4C62">
      <w:pPr>
        <w:pStyle w:val="NoSpacing"/>
      </w:pPr>
      <w:r>
        <w:t>• Improvements in the monitor and reporting infrastructure to measure consumption,</w:t>
      </w:r>
    </w:p>
    <w:p w:rsidR="009F4C62" w:rsidRPr="009F4C62" w:rsidRDefault="009F4C62" w:rsidP="009F4C62">
      <w:pPr>
        <w:pStyle w:val="NoSpacing"/>
      </w:pPr>
      <w:r>
        <w:t>• Replacement of aging infrastructure including the replacement of end of life boilers.</w:t>
      </w:r>
    </w:p>
    <w:p w:rsidR="005B087D" w:rsidRDefault="005B087D" w:rsidP="005B087D">
      <w:pPr>
        <w:pStyle w:val="NoSpacing"/>
      </w:pPr>
    </w:p>
    <w:p w:rsidR="009F4C62" w:rsidRDefault="009F4C62" w:rsidP="005B087D">
      <w:pPr>
        <w:pStyle w:val="NoSpacing"/>
      </w:pPr>
      <w:r>
        <w:t>Total energy (GJ)</w:t>
      </w:r>
    </w:p>
    <w:p w:rsidR="009F4C62" w:rsidRDefault="009F4C62" w:rsidP="005B087D">
      <w:pPr>
        <w:pStyle w:val="NoSpacing"/>
      </w:pPr>
    </w:p>
    <w:tbl>
      <w:tblPr>
        <w:tblStyle w:val="TableGrid"/>
        <w:tblW w:w="0" w:type="auto"/>
        <w:tblLook w:val="04A0" w:firstRow="1" w:lastRow="0" w:firstColumn="1" w:lastColumn="0" w:noHBand="0" w:noVBand="1"/>
      </w:tblPr>
      <w:tblGrid>
        <w:gridCol w:w="2547"/>
        <w:gridCol w:w="1276"/>
        <w:gridCol w:w="1275"/>
        <w:gridCol w:w="1276"/>
        <w:gridCol w:w="1276"/>
        <w:gridCol w:w="1366"/>
      </w:tblGrid>
      <w:tr w:rsidR="009F4C62" w:rsidTr="009F4C62">
        <w:tc>
          <w:tcPr>
            <w:tcW w:w="2547" w:type="dxa"/>
            <w:vAlign w:val="bottom"/>
          </w:tcPr>
          <w:p w:rsidR="009F4C62" w:rsidRDefault="009F4C62" w:rsidP="009F4C62">
            <w:pPr>
              <w:pStyle w:val="NoSpacing"/>
            </w:pPr>
            <w:r>
              <w:t>Faculty</w:t>
            </w:r>
          </w:p>
        </w:tc>
        <w:tc>
          <w:tcPr>
            <w:tcW w:w="1276" w:type="dxa"/>
            <w:vAlign w:val="bottom"/>
          </w:tcPr>
          <w:p w:rsidR="009F4C62" w:rsidRDefault="009F4C62" w:rsidP="009F4C62">
            <w:pPr>
              <w:pStyle w:val="NoSpacing"/>
              <w:jc w:val="right"/>
            </w:pPr>
            <w:r>
              <w:t>2007</w:t>
            </w:r>
          </w:p>
          <w:p w:rsidR="009F4C62" w:rsidRDefault="009F4C62" w:rsidP="009F4C62">
            <w:pPr>
              <w:pStyle w:val="NoSpacing"/>
              <w:jc w:val="right"/>
            </w:pPr>
            <w:r>
              <w:t xml:space="preserve"> Baseline</w:t>
            </w:r>
          </w:p>
        </w:tc>
        <w:tc>
          <w:tcPr>
            <w:tcW w:w="1275" w:type="dxa"/>
            <w:vAlign w:val="bottom"/>
          </w:tcPr>
          <w:p w:rsidR="009F4C62" w:rsidRDefault="009F4C62" w:rsidP="009F4C62">
            <w:pPr>
              <w:pStyle w:val="NoSpacing"/>
              <w:jc w:val="right"/>
            </w:pPr>
            <w:r>
              <w:t>2015</w:t>
            </w:r>
          </w:p>
        </w:tc>
        <w:tc>
          <w:tcPr>
            <w:tcW w:w="1276" w:type="dxa"/>
            <w:vAlign w:val="bottom"/>
          </w:tcPr>
          <w:p w:rsidR="009F4C62" w:rsidRDefault="009F4C62" w:rsidP="009F4C62">
            <w:pPr>
              <w:pStyle w:val="NoSpacing"/>
              <w:jc w:val="right"/>
            </w:pPr>
            <w:r>
              <w:t>2016</w:t>
            </w:r>
          </w:p>
        </w:tc>
        <w:tc>
          <w:tcPr>
            <w:tcW w:w="1276" w:type="dxa"/>
            <w:vAlign w:val="bottom"/>
          </w:tcPr>
          <w:p w:rsidR="009F4C62" w:rsidRDefault="009F4C62" w:rsidP="009F4C62">
            <w:pPr>
              <w:pStyle w:val="NoSpacing"/>
              <w:jc w:val="right"/>
            </w:pPr>
            <w:r>
              <w:t>2017</w:t>
            </w:r>
          </w:p>
        </w:tc>
        <w:tc>
          <w:tcPr>
            <w:tcW w:w="1366" w:type="dxa"/>
            <w:vAlign w:val="bottom"/>
          </w:tcPr>
          <w:p w:rsidR="009F4C62" w:rsidRDefault="009F4C62" w:rsidP="009F4C62">
            <w:pPr>
              <w:pStyle w:val="NoSpacing"/>
              <w:jc w:val="right"/>
            </w:pPr>
            <w:r>
              <w:t>Change btn 2016 &amp; 2017</w:t>
            </w:r>
          </w:p>
        </w:tc>
      </w:tr>
      <w:tr w:rsidR="009F4C62" w:rsidTr="009F4C62">
        <w:tc>
          <w:tcPr>
            <w:tcW w:w="2547" w:type="dxa"/>
          </w:tcPr>
          <w:p w:rsidR="009F4C62" w:rsidRDefault="009F4C62" w:rsidP="005B087D">
            <w:pPr>
              <w:pStyle w:val="NoSpacing"/>
            </w:pPr>
            <w:r>
              <w:t>Bass Coast</w:t>
            </w:r>
          </w:p>
        </w:tc>
        <w:tc>
          <w:tcPr>
            <w:tcW w:w="1276" w:type="dxa"/>
          </w:tcPr>
          <w:p w:rsidR="009F4C62" w:rsidRDefault="009F4C62" w:rsidP="009F4C62">
            <w:pPr>
              <w:pStyle w:val="NoSpacing"/>
              <w:jc w:val="right"/>
            </w:pPr>
            <w:r>
              <w:t>563</w:t>
            </w:r>
          </w:p>
        </w:tc>
        <w:tc>
          <w:tcPr>
            <w:tcW w:w="1275" w:type="dxa"/>
          </w:tcPr>
          <w:p w:rsidR="009F4C62" w:rsidRDefault="009F4C62" w:rsidP="009F4C62">
            <w:pPr>
              <w:pStyle w:val="NoSpacing"/>
              <w:jc w:val="right"/>
            </w:pPr>
            <w:r>
              <w:t>386</w:t>
            </w:r>
          </w:p>
        </w:tc>
        <w:tc>
          <w:tcPr>
            <w:tcW w:w="1276" w:type="dxa"/>
          </w:tcPr>
          <w:p w:rsidR="009F4C62" w:rsidRDefault="009F4C62" w:rsidP="009F4C62">
            <w:pPr>
              <w:pStyle w:val="NoSpacing"/>
              <w:jc w:val="right"/>
            </w:pPr>
            <w:r>
              <w:t>392</w:t>
            </w:r>
          </w:p>
        </w:tc>
        <w:tc>
          <w:tcPr>
            <w:tcW w:w="1276" w:type="dxa"/>
          </w:tcPr>
          <w:p w:rsidR="009F4C62" w:rsidRDefault="009F4C62" w:rsidP="009F4C62">
            <w:pPr>
              <w:pStyle w:val="NoSpacing"/>
              <w:jc w:val="right"/>
            </w:pPr>
            <w:r>
              <w:t>330</w:t>
            </w:r>
          </w:p>
        </w:tc>
        <w:tc>
          <w:tcPr>
            <w:tcW w:w="1366" w:type="dxa"/>
          </w:tcPr>
          <w:p w:rsidR="009F4C62" w:rsidRDefault="009F4C62" w:rsidP="009F4C62">
            <w:pPr>
              <w:pStyle w:val="NoSpacing"/>
              <w:jc w:val="right"/>
            </w:pPr>
            <w:r>
              <w:t>-15.8%</w:t>
            </w:r>
          </w:p>
        </w:tc>
      </w:tr>
      <w:tr w:rsidR="009F4C62" w:rsidTr="009F4C62">
        <w:tc>
          <w:tcPr>
            <w:tcW w:w="2547" w:type="dxa"/>
          </w:tcPr>
          <w:p w:rsidR="009F4C62" w:rsidRDefault="009F4C62" w:rsidP="005B087D">
            <w:pPr>
              <w:pStyle w:val="NoSpacing"/>
            </w:pPr>
            <w:r>
              <w:t>Berwick</w:t>
            </w:r>
          </w:p>
        </w:tc>
        <w:tc>
          <w:tcPr>
            <w:tcW w:w="1276" w:type="dxa"/>
          </w:tcPr>
          <w:p w:rsidR="009F4C62" w:rsidRDefault="009F4C62" w:rsidP="009F4C62">
            <w:pPr>
              <w:pStyle w:val="NoSpacing"/>
              <w:jc w:val="right"/>
            </w:pPr>
            <w:r>
              <w:t>3,805</w:t>
            </w:r>
          </w:p>
        </w:tc>
        <w:tc>
          <w:tcPr>
            <w:tcW w:w="1275" w:type="dxa"/>
          </w:tcPr>
          <w:p w:rsidR="009F4C62" w:rsidRDefault="009F4C62" w:rsidP="009F4C62">
            <w:pPr>
              <w:pStyle w:val="NoSpacing"/>
              <w:jc w:val="right"/>
            </w:pPr>
            <w:r>
              <w:t>7,084</w:t>
            </w:r>
          </w:p>
        </w:tc>
        <w:tc>
          <w:tcPr>
            <w:tcW w:w="1276" w:type="dxa"/>
          </w:tcPr>
          <w:p w:rsidR="009F4C62" w:rsidRDefault="009F4C62" w:rsidP="009F4C62">
            <w:pPr>
              <w:pStyle w:val="NoSpacing"/>
              <w:jc w:val="right"/>
            </w:pPr>
            <w:r>
              <w:t>6,317</w:t>
            </w:r>
          </w:p>
        </w:tc>
        <w:tc>
          <w:tcPr>
            <w:tcW w:w="1276" w:type="dxa"/>
          </w:tcPr>
          <w:p w:rsidR="009F4C62" w:rsidRDefault="009F4C62" w:rsidP="009F4C62">
            <w:pPr>
              <w:pStyle w:val="NoSpacing"/>
              <w:jc w:val="right"/>
            </w:pPr>
            <w:r>
              <w:t>6,075</w:t>
            </w:r>
          </w:p>
        </w:tc>
        <w:tc>
          <w:tcPr>
            <w:tcW w:w="1366" w:type="dxa"/>
          </w:tcPr>
          <w:p w:rsidR="009F4C62" w:rsidRDefault="009F4C62" w:rsidP="009F4C62">
            <w:pPr>
              <w:pStyle w:val="NoSpacing"/>
              <w:jc w:val="right"/>
            </w:pPr>
            <w:r>
              <w:t>-3.8%</w:t>
            </w:r>
          </w:p>
        </w:tc>
      </w:tr>
      <w:tr w:rsidR="009F4C62" w:rsidTr="009F4C62">
        <w:tc>
          <w:tcPr>
            <w:tcW w:w="2547" w:type="dxa"/>
          </w:tcPr>
          <w:p w:rsidR="009F4C62" w:rsidRDefault="009F4C62" w:rsidP="005B087D">
            <w:pPr>
              <w:pStyle w:val="NoSpacing"/>
            </w:pPr>
            <w:r>
              <w:t>Cranbourne</w:t>
            </w:r>
          </w:p>
        </w:tc>
        <w:tc>
          <w:tcPr>
            <w:tcW w:w="1276" w:type="dxa"/>
          </w:tcPr>
          <w:p w:rsidR="009F4C62" w:rsidRDefault="009F4C62" w:rsidP="009F4C62">
            <w:pPr>
              <w:pStyle w:val="NoSpacing"/>
              <w:jc w:val="right"/>
            </w:pPr>
            <w:r>
              <w:t>3,426</w:t>
            </w:r>
          </w:p>
        </w:tc>
        <w:tc>
          <w:tcPr>
            <w:tcW w:w="1275" w:type="dxa"/>
          </w:tcPr>
          <w:p w:rsidR="009F4C62" w:rsidRDefault="009F4C62" w:rsidP="009F4C62">
            <w:pPr>
              <w:pStyle w:val="NoSpacing"/>
              <w:jc w:val="right"/>
            </w:pPr>
            <w:r>
              <w:t>5,328</w:t>
            </w:r>
          </w:p>
        </w:tc>
        <w:tc>
          <w:tcPr>
            <w:tcW w:w="1276" w:type="dxa"/>
          </w:tcPr>
          <w:p w:rsidR="009F4C62" w:rsidRDefault="009F4C62" w:rsidP="009F4C62">
            <w:pPr>
              <w:pStyle w:val="NoSpacing"/>
              <w:jc w:val="right"/>
            </w:pPr>
            <w:r>
              <w:t>4,900</w:t>
            </w:r>
          </w:p>
        </w:tc>
        <w:tc>
          <w:tcPr>
            <w:tcW w:w="1276" w:type="dxa"/>
          </w:tcPr>
          <w:p w:rsidR="009F4C62" w:rsidRDefault="009F4C62" w:rsidP="009F4C62">
            <w:pPr>
              <w:pStyle w:val="NoSpacing"/>
              <w:jc w:val="right"/>
            </w:pPr>
            <w:r>
              <w:t>4,863</w:t>
            </w:r>
          </w:p>
        </w:tc>
        <w:tc>
          <w:tcPr>
            <w:tcW w:w="1366" w:type="dxa"/>
          </w:tcPr>
          <w:p w:rsidR="009F4C62" w:rsidRDefault="009F4C62" w:rsidP="009F4C62">
            <w:pPr>
              <w:pStyle w:val="NoSpacing"/>
              <w:jc w:val="right"/>
            </w:pPr>
            <w:r>
              <w:t>-0.8%</w:t>
            </w:r>
          </w:p>
        </w:tc>
      </w:tr>
      <w:tr w:rsidR="009F4C62" w:rsidTr="009F4C62">
        <w:tc>
          <w:tcPr>
            <w:tcW w:w="2547" w:type="dxa"/>
          </w:tcPr>
          <w:p w:rsidR="009F4C62" w:rsidRDefault="009F4C62" w:rsidP="005B087D">
            <w:pPr>
              <w:pStyle w:val="NoSpacing"/>
            </w:pPr>
            <w:r>
              <w:t>Dandenong</w:t>
            </w:r>
          </w:p>
        </w:tc>
        <w:tc>
          <w:tcPr>
            <w:tcW w:w="1276" w:type="dxa"/>
          </w:tcPr>
          <w:p w:rsidR="009F4C62" w:rsidRDefault="009F4C62" w:rsidP="009F4C62">
            <w:pPr>
              <w:pStyle w:val="NoSpacing"/>
              <w:jc w:val="right"/>
            </w:pPr>
            <w:r>
              <w:t>29,163</w:t>
            </w:r>
          </w:p>
        </w:tc>
        <w:tc>
          <w:tcPr>
            <w:tcW w:w="1275" w:type="dxa"/>
          </w:tcPr>
          <w:p w:rsidR="009F4C62" w:rsidRDefault="009F4C62" w:rsidP="009F4C62">
            <w:pPr>
              <w:pStyle w:val="NoSpacing"/>
              <w:jc w:val="right"/>
            </w:pPr>
            <w:r>
              <w:t>20,663</w:t>
            </w:r>
          </w:p>
        </w:tc>
        <w:tc>
          <w:tcPr>
            <w:tcW w:w="1276" w:type="dxa"/>
          </w:tcPr>
          <w:p w:rsidR="009F4C62" w:rsidRDefault="009F4C62" w:rsidP="009F4C62">
            <w:pPr>
              <w:pStyle w:val="NoSpacing"/>
              <w:jc w:val="right"/>
            </w:pPr>
            <w:r>
              <w:t>18,974</w:t>
            </w:r>
          </w:p>
        </w:tc>
        <w:tc>
          <w:tcPr>
            <w:tcW w:w="1276" w:type="dxa"/>
          </w:tcPr>
          <w:p w:rsidR="009F4C62" w:rsidRDefault="009F4C62" w:rsidP="009F4C62">
            <w:pPr>
              <w:pStyle w:val="NoSpacing"/>
              <w:jc w:val="right"/>
            </w:pPr>
            <w:r>
              <w:t>20,648</w:t>
            </w:r>
          </w:p>
        </w:tc>
        <w:tc>
          <w:tcPr>
            <w:tcW w:w="1366" w:type="dxa"/>
          </w:tcPr>
          <w:p w:rsidR="009F4C62" w:rsidRDefault="009F4C62" w:rsidP="009F4C62">
            <w:pPr>
              <w:pStyle w:val="NoSpacing"/>
              <w:jc w:val="right"/>
            </w:pPr>
            <w:r>
              <w:t>8.8%</w:t>
            </w:r>
          </w:p>
        </w:tc>
      </w:tr>
      <w:tr w:rsidR="009F4C62" w:rsidTr="009F4C62">
        <w:tc>
          <w:tcPr>
            <w:tcW w:w="2547" w:type="dxa"/>
          </w:tcPr>
          <w:p w:rsidR="009F4C62" w:rsidRDefault="009F4C62" w:rsidP="005B087D">
            <w:pPr>
              <w:pStyle w:val="NoSpacing"/>
            </w:pPr>
            <w:r>
              <w:t>Dandenong @ 311</w:t>
            </w:r>
          </w:p>
        </w:tc>
        <w:tc>
          <w:tcPr>
            <w:tcW w:w="1276" w:type="dxa"/>
          </w:tcPr>
          <w:p w:rsidR="009F4C62" w:rsidRDefault="009F4C62" w:rsidP="009F4C62">
            <w:pPr>
              <w:pStyle w:val="NoSpacing"/>
              <w:jc w:val="right"/>
            </w:pPr>
          </w:p>
        </w:tc>
        <w:tc>
          <w:tcPr>
            <w:tcW w:w="1275" w:type="dxa"/>
          </w:tcPr>
          <w:p w:rsidR="009F4C62" w:rsidRDefault="009F4C62" w:rsidP="009F4C62">
            <w:pPr>
              <w:pStyle w:val="NoSpacing"/>
              <w:jc w:val="right"/>
            </w:pPr>
            <w:r>
              <w:t>418</w:t>
            </w:r>
          </w:p>
        </w:tc>
        <w:tc>
          <w:tcPr>
            <w:tcW w:w="1276" w:type="dxa"/>
          </w:tcPr>
          <w:p w:rsidR="009F4C62" w:rsidRDefault="009F4C62" w:rsidP="009F4C62">
            <w:pPr>
              <w:pStyle w:val="NoSpacing"/>
              <w:jc w:val="right"/>
            </w:pPr>
            <w:r>
              <w:t>433</w:t>
            </w:r>
          </w:p>
        </w:tc>
        <w:tc>
          <w:tcPr>
            <w:tcW w:w="1276" w:type="dxa"/>
          </w:tcPr>
          <w:p w:rsidR="009F4C62" w:rsidRDefault="009F4C62" w:rsidP="009F4C62">
            <w:pPr>
              <w:pStyle w:val="NoSpacing"/>
              <w:jc w:val="right"/>
            </w:pPr>
            <w:r>
              <w:t>395</w:t>
            </w:r>
          </w:p>
        </w:tc>
        <w:tc>
          <w:tcPr>
            <w:tcW w:w="1366" w:type="dxa"/>
          </w:tcPr>
          <w:p w:rsidR="009F4C62" w:rsidRDefault="009F4C62" w:rsidP="009F4C62">
            <w:pPr>
              <w:pStyle w:val="NoSpacing"/>
              <w:jc w:val="right"/>
            </w:pPr>
            <w:r>
              <w:t>-8.7%</w:t>
            </w:r>
          </w:p>
        </w:tc>
      </w:tr>
      <w:tr w:rsidR="009F4C62" w:rsidTr="009F4C62">
        <w:tc>
          <w:tcPr>
            <w:tcW w:w="2547" w:type="dxa"/>
          </w:tcPr>
          <w:p w:rsidR="009F4C62" w:rsidRDefault="009F4C62" w:rsidP="005B087D">
            <w:pPr>
              <w:pStyle w:val="NoSpacing"/>
            </w:pPr>
            <w:r>
              <w:t>Frankston</w:t>
            </w:r>
          </w:p>
        </w:tc>
        <w:tc>
          <w:tcPr>
            <w:tcW w:w="1276" w:type="dxa"/>
          </w:tcPr>
          <w:p w:rsidR="009F4C62" w:rsidRDefault="009F4C62" w:rsidP="009F4C62">
            <w:pPr>
              <w:pStyle w:val="NoSpacing"/>
              <w:jc w:val="right"/>
            </w:pPr>
            <w:r>
              <w:t>22,892</w:t>
            </w:r>
          </w:p>
        </w:tc>
        <w:tc>
          <w:tcPr>
            <w:tcW w:w="1275" w:type="dxa"/>
          </w:tcPr>
          <w:p w:rsidR="009F4C62" w:rsidRDefault="009F4C62" w:rsidP="009F4C62">
            <w:pPr>
              <w:pStyle w:val="NoSpacing"/>
              <w:jc w:val="right"/>
            </w:pPr>
            <w:r>
              <w:t>20,784</w:t>
            </w:r>
          </w:p>
        </w:tc>
        <w:tc>
          <w:tcPr>
            <w:tcW w:w="1276" w:type="dxa"/>
          </w:tcPr>
          <w:p w:rsidR="009F4C62" w:rsidRDefault="009F4C62" w:rsidP="009F4C62">
            <w:pPr>
              <w:pStyle w:val="NoSpacing"/>
              <w:jc w:val="right"/>
            </w:pPr>
            <w:r>
              <w:t>18,524</w:t>
            </w:r>
          </w:p>
        </w:tc>
        <w:tc>
          <w:tcPr>
            <w:tcW w:w="1276" w:type="dxa"/>
          </w:tcPr>
          <w:p w:rsidR="009F4C62" w:rsidRDefault="009F4C62" w:rsidP="009F4C62">
            <w:pPr>
              <w:pStyle w:val="NoSpacing"/>
              <w:jc w:val="right"/>
            </w:pPr>
            <w:r>
              <w:t>14,987</w:t>
            </w:r>
          </w:p>
        </w:tc>
        <w:tc>
          <w:tcPr>
            <w:tcW w:w="1366" w:type="dxa"/>
          </w:tcPr>
          <w:p w:rsidR="009F4C62" w:rsidRDefault="009F4C62" w:rsidP="009F4C62">
            <w:pPr>
              <w:pStyle w:val="NoSpacing"/>
              <w:jc w:val="right"/>
            </w:pPr>
            <w:r>
              <w:t>-19.1%</w:t>
            </w:r>
          </w:p>
        </w:tc>
      </w:tr>
      <w:tr w:rsidR="009F4C62" w:rsidTr="009F4C62">
        <w:tc>
          <w:tcPr>
            <w:tcW w:w="2547" w:type="dxa"/>
          </w:tcPr>
          <w:p w:rsidR="009F4C62" w:rsidRDefault="009F4C62" w:rsidP="005B087D">
            <w:pPr>
              <w:pStyle w:val="NoSpacing"/>
            </w:pPr>
            <w:r>
              <w:t>Melbourne City</w:t>
            </w:r>
          </w:p>
        </w:tc>
        <w:tc>
          <w:tcPr>
            <w:tcW w:w="1276" w:type="dxa"/>
          </w:tcPr>
          <w:p w:rsidR="009F4C62" w:rsidRDefault="009F4C62" w:rsidP="009F4C62">
            <w:pPr>
              <w:pStyle w:val="NoSpacing"/>
              <w:jc w:val="right"/>
            </w:pPr>
          </w:p>
        </w:tc>
        <w:tc>
          <w:tcPr>
            <w:tcW w:w="1275" w:type="dxa"/>
          </w:tcPr>
          <w:p w:rsidR="009F4C62" w:rsidRDefault="009F4C62" w:rsidP="009F4C62">
            <w:pPr>
              <w:pStyle w:val="NoSpacing"/>
              <w:jc w:val="right"/>
            </w:pPr>
          </w:p>
        </w:tc>
        <w:tc>
          <w:tcPr>
            <w:tcW w:w="1276" w:type="dxa"/>
          </w:tcPr>
          <w:p w:rsidR="009F4C62" w:rsidRDefault="009F4C62" w:rsidP="009F4C62">
            <w:pPr>
              <w:pStyle w:val="NoSpacing"/>
              <w:jc w:val="right"/>
            </w:pPr>
            <w:r>
              <w:t>862</w:t>
            </w:r>
          </w:p>
        </w:tc>
        <w:tc>
          <w:tcPr>
            <w:tcW w:w="1276" w:type="dxa"/>
          </w:tcPr>
          <w:p w:rsidR="009F4C62" w:rsidRDefault="009F4C62" w:rsidP="009F4C62">
            <w:pPr>
              <w:pStyle w:val="NoSpacing"/>
              <w:jc w:val="right"/>
            </w:pPr>
            <w:r>
              <w:t>575</w:t>
            </w:r>
          </w:p>
        </w:tc>
        <w:tc>
          <w:tcPr>
            <w:tcW w:w="1366" w:type="dxa"/>
          </w:tcPr>
          <w:p w:rsidR="009F4C62" w:rsidRDefault="009F4C62" w:rsidP="009F4C62">
            <w:pPr>
              <w:pStyle w:val="NoSpacing"/>
              <w:jc w:val="right"/>
            </w:pPr>
            <w:r>
              <w:t>-33.3%</w:t>
            </w:r>
          </w:p>
        </w:tc>
      </w:tr>
      <w:tr w:rsidR="009F4C62" w:rsidTr="009F4C62">
        <w:tc>
          <w:tcPr>
            <w:tcW w:w="2547" w:type="dxa"/>
          </w:tcPr>
          <w:p w:rsidR="009F4C62" w:rsidRDefault="009F4C62" w:rsidP="005B087D">
            <w:pPr>
              <w:pStyle w:val="NoSpacing"/>
            </w:pPr>
            <w:r>
              <w:t>Pakenham</w:t>
            </w:r>
          </w:p>
        </w:tc>
        <w:tc>
          <w:tcPr>
            <w:tcW w:w="1276" w:type="dxa"/>
          </w:tcPr>
          <w:p w:rsidR="009F4C62" w:rsidRDefault="009F4C62" w:rsidP="009F4C62">
            <w:pPr>
              <w:pStyle w:val="NoSpacing"/>
              <w:jc w:val="right"/>
            </w:pPr>
          </w:p>
        </w:tc>
        <w:tc>
          <w:tcPr>
            <w:tcW w:w="1275" w:type="dxa"/>
          </w:tcPr>
          <w:p w:rsidR="009F4C62" w:rsidRDefault="009F4C62" w:rsidP="009F4C62">
            <w:pPr>
              <w:pStyle w:val="NoSpacing"/>
              <w:jc w:val="right"/>
            </w:pPr>
            <w:r>
              <w:t>64</w:t>
            </w:r>
          </w:p>
        </w:tc>
        <w:tc>
          <w:tcPr>
            <w:tcW w:w="1276" w:type="dxa"/>
          </w:tcPr>
          <w:p w:rsidR="009F4C62" w:rsidRDefault="009F4C62" w:rsidP="009F4C62">
            <w:pPr>
              <w:pStyle w:val="NoSpacing"/>
              <w:jc w:val="right"/>
            </w:pPr>
            <w:r>
              <w:t>44</w:t>
            </w:r>
          </w:p>
        </w:tc>
        <w:tc>
          <w:tcPr>
            <w:tcW w:w="1276" w:type="dxa"/>
          </w:tcPr>
          <w:p w:rsidR="009F4C62" w:rsidRDefault="009F4C62" w:rsidP="009F4C62">
            <w:pPr>
              <w:pStyle w:val="NoSpacing"/>
              <w:jc w:val="right"/>
            </w:pPr>
            <w:r>
              <w:t>5</w:t>
            </w:r>
          </w:p>
        </w:tc>
        <w:tc>
          <w:tcPr>
            <w:tcW w:w="1366" w:type="dxa"/>
          </w:tcPr>
          <w:p w:rsidR="009F4C62" w:rsidRDefault="009F4C62" w:rsidP="009F4C62">
            <w:pPr>
              <w:pStyle w:val="NoSpacing"/>
              <w:jc w:val="right"/>
            </w:pPr>
            <w:r>
              <w:t>-90.5%</w:t>
            </w:r>
          </w:p>
        </w:tc>
      </w:tr>
      <w:tr w:rsidR="009F4C62" w:rsidTr="009F4C62">
        <w:tc>
          <w:tcPr>
            <w:tcW w:w="2547" w:type="dxa"/>
          </w:tcPr>
          <w:p w:rsidR="009F4C62" w:rsidRDefault="009F4C62" w:rsidP="005B087D">
            <w:pPr>
              <w:pStyle w:val="NoSpacing"/>
            </w:pPr>
            <w:r>
              <w:t>Rosebud</w:t>
            </w:r>
          </w:p>
        </w:tc>
        <w:tc>
          <w:tcPr>
            <w:tcW w:w="1276" w:type="dxa"/>
          </w:tcPr>
          <w:p w:rsidR="009F4C62" w:rsidRDefault="009F4C62" w:rsidP="009F4C62">
            <w:pPr>
              <w:pStyle w:val="NoSpacing"/>
              <w:jc w:val="right"/>
            </w:pPr>
            <w:r>
              <w:t>1,788</w:t>
            </w:r>
          </w:p>
        </w:tc>
        <w:tc>
          <w:tcPr>
            <w:tcW w:w="1275" w:type="dxa"/>
          </w:tcPr>
          <w:p w:rsidR="009F4C62" w:rsidRDefault="009F4C62" w:rsidP="009F4C62">
            <w:pPr>
              <w:pStyle w:val="NoSpacing"/>
              <w:jc w:val="right"/>
            </w:pPr>
            <w:r>
              <w:t>1,483</w:t>
            </w:r>
          </w:p>
        </w:tc>
        <w:tc>
          <w:tcPr>
            <w:tcW w:w="1276" w:type="dxa"/>
          </w:tcPr>
          <w:p w:rsidR="009F4C62" w:rsidRDefault="009F4C62" w:rsidP="009F4C62">
            <w:pPr>
              <w:pStyle w:val="NoSpacing"/>
              <w:jc w:val="right"/>
            </w:pPr>
            <w:r>
              <w:t>1,406</w:t>
            </w:r>
          </w:p>
        </w:tc>
        <w:tc>
          <w:tcPr>
            <w:tcW w:w="1276" w:type="dxa"/>
          </w:tcPr>
          <w:p w:rsidR="009F4C62" w:rsidRDefault="009F4C62" w:rsidP="009F4C62">
            <w:pPr>
              <w:pStyle w:val="NoSpacing"/>
              <w:jc w:val="right"/>
            </w:pPr>
            <w:r>
              <w:t>1,304</w:t>
            </w:r>
          </w:p>
        </w:tc>
        <w:tc>
          <w:tcPr>
            <w:tcW w:w="1366" w:type="dxa"/>
          </w:tcPr>
          <w:p w:rsidR="009F4C62" w:rsidRDefault="009F4C62" w:rsidP="009F4C62">
            <w:pPr>
              <w:pStyle w:val="NoSpacing"/>
              <w:jc w:val="right"/>
            </w:pPr>
            <w:r>
              <w:t>-7.3%</w:t>
            </w:r>
          </w:p>
        </w:tc>
      </w:tr>
      <w:tr w:rsidR="009F4C62" w:rsidTr="009F4C62">
        <w:tc>
          <w:tcPr>
            <w:tcW w:w="2547" w:type="dxa"/>
          </w:tcPr>
          <w:p w:rsidR="009F4C62" w:rsidRDefault="009F4C62" w:rsidP="005B087D">
            <w:pPr>
              <w:pStyle w:val="NoSpacing"/>
            </w:pPr>
            <w:r>
              <w:t xml:space="preserve">Grand Total </w:t>
            </w:r>
          </w:p>
        </w:tc>
        <w:tc>
          <w:tcPr>
            <w:tcW w:w="1276" w:type="dxa"/>
          </w:tcPr>
          <w:p w:rsidR="009F4C62" w:rsidRDefault="009F4C62" w:rsidP="009F4C62">
            <w:pPr>
              <w:pStyle w:val="NoSpacing"/>
              <w:jc w:val="right"/>
            </w:pPr>
            <w:r>
              <w:t>61,637</w:t>
            </w:r>
          </w:p>
        </w:tc>
        <w:tc>
          <w:tcPr>
            <w:tcW w:w="1275" w:type="dxa"/>
          </w:tcPr>
          <w:p w:rsidR="009F4C62" w:rsidRDefault="009F4C62" w:rsidP="009F4C62">
            <w:pPr>
              <w:pStyle w:val="NoSpacing"/>
              <w:jc w:val="right"/>
            </w:pPr>
            <w:r>
              <w:t>56,212</w:t>
            </w:r>
          </w:p>
        </w:tc>
        <w:tc>
          <w:tcPr>
            <w:tcW w:w="1276" w:type="dxa"/>
          </w:tcPr>
          <w:p w:rsidR="009F4C62" w:rsidRDefault="009F4C62" w:rsidP="009F4C62">
            <w:pPr>
              <w:pStyle w:val="NoSpacing"/>
              <w:jc w:val="right"/>
            </w:pPr>
            <w:r>
              <w:t>51,852</w:t>
            </w:r>
          </w:p>
        </w:tc>
        <w:tc>
          <w:tcPr>
            <w:tcW w:w="1276" w:type="dxa"/>
          </w:tcPr>
          <w:p w:rsidR="009F4C62" w:rsidRDefault="009F4C62" w:rsidP="009F4C62">
            <w:pPr>
              <w:pStyle w:val="NoSpacing"/>
              <w:jc w:val="right"/>
            </w:pPr>
            <w:r>
              <w:t>49,182</w:t>
            </w:r>
          </w:p>
        </w:tc>
        <w:tc>
          <w:tcPr>
            <w:tcW w:w="1366" w:type="dxa"/>
          </w:tcPr>
          <w:p w:rsidR="009F4C62" w:rsidRDefault="009F4C62" w:rsidP="009F4C62">
            <w:pPr>
              <w:pStyle w:val="NoSpacing"/>
              <w:jc w:val="right"/>
            </w:pPr>
            <w:r>
              <w:t>-5.1%</w:t>
            </w:r>
          </w:p>
        </w:tc>
      </w:tr>
    </w:tbl>
    <w:p w:rsidR="009F4C62" w:rsidRDefault="009F4C62" w:rsidP="005B087D">
      <w:pPr>
        <w:pStyle w:val="NoSpacing"/>
      </w:pPr>
    </w:p>
    <w:p w:rsidR="00C970D0" w:rsidRPr="00C970D0" w:rsidRDefault="00C970D0" w:rsidP="00234E85">
      <w:pPr>
        <w:pStyle w:val="Heading3"/>
      </w:pPr>
      <w:r w:rsidRPr="00C970D0">
        <w:t>Environmental Sustainable Design in New Works</w:t>
      </w:r>
    </w:p>
    <w:p w:rsidR="00C970D0" w:rsidRPr="00C970D0" w:rsidRDefault="00C970D0" w:rsidP="00C970D0">
      <w:pPr>
        <w:pStyle w:val="NoSpacing"/>
      </w:pPr>
      <w:r w:rsidRPr="00C970D0">
        <w:t>The design, constructio</w:t>
      </w:r>
      <w:r>
        <w:t xml:space="preserve">n, operation, refurbishment and </w:t>
      </w:r>
      <w:r w:rsidRPr="00C970D0">
        <w:t>demolition of buildings can have significant environmental</w:t>
      </w:r>
      <w:r>
        <w:t xml:space="preserve"> </w:t>
      </w:r>
      <w:r w:rsidRPr="00C970D0">
        <w:t>impact for the Institute.</w:t>
      </w:r>
    </w:p>
    <w:p w:rsidR="00C970D0" w:rsidRPr="00C970D0" w:rsidRDefault="00C970D0" w:rsidP="00C970D0">
      <w:pPr>
        <w:pStyle w:val="NoSpacing"/>
      </w:pPr>
      <w:r w:rsidRPr="00C970D0">
        <w:t>New works currently unde</w:t>
      </w:r>
      <w:r>
        <w:t xml:space="preserve">rway incorporate sustainability </w:t>
      </w:r>
      <w:r w:rsidRPr="00C970D0">
        <w:t>objectives. The Institute has ensured that in planning new</w:t>
      </w:r>
      <w:r>
        <w:t xml:space="preserve"> </w:t>
      </w:r>
      <w:r w:rsidRPr="00C970D0">
        <w:t xml:space="preserve">buildings and refurbishment of </w:t>
      </w:r>
      <w:r>
        <w:t xml:space="preserve">existing buildings, challenging </w:t>
      </w:r>
      <w:r w:rsidRPr="00C970D0">
        <w:t>targets are considered to enable the lowest possible use of</w:t>
      </w:r>
      <w:r>
        <w:t xml:space="preserve"> </w:t>
      </w:r>
      <w:r w:rsidRPr="00C970D0">
        <w:t>energy and water. This will prov</w:t>
      </w:r>
      <w:r>
        <w:t xml:space="preserve">ide buildings which are fit for </w:t>
      </w:r>
      <w:r w:rsidRPr="00C970D0">
        <w:t>purpose and support the Instit</w:t>
      </w:r>
      <w:r>
        <w:t xml:space="preserve">ute reaching its sustainability </w:t>
      </w:r>
      <w:r w:rsidRPr="00C970D0">
        <w:t>targets, as well as providing a higher user satisfaction.</w:t>
      </w:r>
    </w:p>
    <w:p w:rsidR="00C970D0" w:rsidRDefault="00C970D0" w:rsidP="00C970D0">
      <w:pPr>
        <w:pStyle w:val="NoSpacing"/>
        <w:rPr>
          <w:caps/>
        </w:rPr>
      </w:pPr>
    </w:p>
    <w:p w:rsidR="00C970D0" w:rsidRPr="00C970D0" w:rsidRDefault="00C970D0" w:rsidP="00234E85">
      <w:pPr>
        <w:pStyle w:val="Heading3"/>
      </w:pPr>
      <w:r w:rsidRPr="00C970D0">
        <w:lastRenderedPageBreak/>
        <w:t>Water</w:t>
      </w:r>
    </w:p>
    <w:p w:rsidR="00C970D0" w:rsidRPr="00C970D0" w:rsidRDefault="00C970D0" w:rsidP="00C970D0">
      <w:pPr>
        <w:pStyle w:val="NoSpacing"/>
      </w:pPr>
      <w:r w:rsidRPr="00C970D0">
        <w:t>The institute has implemented a number of water efficiency</w:t>
      </w:r>
      <w:r>
        <w:t xml:space="preserve"> </w:t>
      </w:r>
      <w:r w:rsidRPr="00C970D0">
        <w:t>measures such as flow restrictors and water efficient fittings,</w:t>
      </w:r>
      <w:r>
        <w:t xml:space="preserve"> </w:t>
      </w:r>
      <w:r w:rsidRPr="00C970D0">
        <w:t>and have achieved reduct</w:t>
      </w:r>
      <w:r>
        <w:t xml:space="preserve">ion in water consumption by 26% </w:t>
      </w:r>
      <w:r w:rsidRPr="00C970D0">
        <w:t>from the 2008.</w:t>
      </w:r>
    </w:p>
    <w:p w:rsidR="00C970D0" w:rsidRDefault="00C970D0" w:rsidP="00C970D0">
      <w:pPr>
        <w:pStyle w:val="NoSpacing"/>
        <w:rPr>
          <w:caps/>
        </w:rPr>
      </w:pPr>
    </w:p>
    <w:p w:rsidR="00C970D0" w:rsidRPr="00C970D0" w:rsidRDefault="00C970D0" w:rsidP="00234E85">
      <w:pPr>
        <w:pStyle w:val="Heading3"/>
      </w:pPr>
      <w:r w:rsidRPr="00C970D0">
        <w:t>Waste</w:t>
      </w:r>
    </w:p>
    <w:p w:rsidR="009F4C62" w:rsidRDefault="00C970D0" w:rsidP="00C970D0">
      <w:pPr>
        <w:pStyle w:val="NoSpacing"/>
      </w:pPr>
      <w:r w:rsidRPr="00C970D0">
        <w:t>The Institute produced 1446 tonnes of waste in 2017 of which</w:t>
      </w:r>
      <w:r>
        <w:t xml:space="preserve"> </w:t>
      </w:r>
      <w:r w:rsidRPr="00C970D0">
        <w:t>approximately 26%</w:t>
      </w:r>
      <w:r>
        <w:t xml:space="preserve"> was recycled. These figures have</w:t>
      </w:r>
      <w:r w:rsidRPr="00C970D0">
        <w:t xml:space="preserve"> doubled</w:t>
      </w:r>
      <w:r>
        <w:t xml:space="preserve"> </w:t>
      </w:r>
      <w:r w:rsidRPr="00C970D0">
        <w:t>compared to the 2007 baseline figure.</w:t>
      </w:r>
    </w:p>
    <w:p w:rsidR="00C970D0" w:rsidRDefault="00C970D0" w:rsidP="00C970D0">
      <w:pPr>
        <w:pStyle w:val="NoSpacing"/>
      </w:pPr>
    </w:p>
    <w:tbl>
      <w:tblPr>
        <w:tblStyle w:val="TableGrid"/>
        <w:tblW w:w="0" w:type="auto"/>
        <w:tblLook w:val="04A0" w:firstRow="1" w:lastRow="0" w:firstColumn="1" w:lastColumn="0" w:noHBand="0" w:noVBand="1"/>
      </w:tblPr>
      <w:tblGrid>
        <w:gridCol w:w="846"/>
        <w:gridCol w:w="2551"/>
        <w:gridCol w:w="2694"/>
        <w:gridCol w:w="2925"/>
      </w:tblGrid>
      <w:tr w:rsidR="00C970D0" w:rsidTr="00C970D0">
        <w:tc>
          <w:tcPr>
            <w:tcW w:w="846" w:type="dxa"/>
          </w:tcPr>
          <w:p w:rsidR="00C970D0" w:rsidRDefault="00C970D0" w:rsidP="00C970D0">
            <w:pPr>
              <w:pStyle w:val="NoSpacing"/>
            </w:pPr>
            <w:r>
              <w:t>Year</w:t>
            </w:r>
          </w:p>
        </w:tc>
        <w:tc>
          <w:tcPr>
            <w:tcW w:w="2551" w:type="dxa"/>
          </w:tcPr>
          <w:p w:rsidR="00C970D0" w:rsidRDefault="00C970D0" w:rsidP="00C970D0">
            <w:pPr>
              <w:pStyle w:val="NoSpacing"/>
              <w:jc w:val="right"/>
            </w:pPr>
            <w:r>
              <w:t>Total waste generated (t)</w:t>
            </w:r>
          </w:p>
        </w:tc>
        <w:tc>
          <w:tcPr>
            <w:tcW w:w="2694" w:type="dxa"/>
          </w:tcPr>
          <w:p w:rsidR="00C970D0" w:rsidRDefault="00C970D0" w:rsidP="00C970D0">
            <w:pPr>
              <w:pStyle w:val="NoSpacing"/>
              <w:jc w:val="right"/>
            </w:pPr>
            <w:r>
              <w:t>Waster recycled (t)</w:t>
            </w:r>
          </w:p>
        </w:tc>
        <w:tc>
          <w:tcPr>
            <w:tcW w:w="2925" w:type="dxa"/>
          </w:tcPr>
          <w:p w:rsidR="00C970D0" w:rsidRDefault="00C970D0" w:rsidP="00C970D0">
            <w:pPr>
              <w:pStyle w:val="NoSpacing"/>
              <w:jc w:val="right"/>
            </w:pPr>
            <w:r>
              <w:t>% of waste recycled (%)</w:t>
            </w:r>
          </w:p>
        </w:tc>
      </w:tr>
      <w:tr w:rsidR="00C970D0" w:rsidTr="00C970D0">
        <w:tc>
          <w:tcPr>
            <w:tcW w:w="846" w:type="dxa"/>
          </w:tcPr>
          <w:p w:rsidR="00C970D0" w:rsidRDefault="00C970D0" w:rsidP="00C970D0">
            <w:pPr>
              <w:pStyle w:val="NoSpacing"/>
            </w:pPr>
            <w:r>
              <w:t>2007</w:t>
            </w:r>
          </w:p>
        </w:tc>
        <w:tc>
          <w:tcPr>
            <w:tcW w:w="2551" w:type="dxa"/>
          </w:tcPr>
          <w:p w:rsidR="00C970D0" w:rsidRDefault="00C970D0" w:rsidP="00C970D0">
            <w:pPr>
              <w:pStyle w:val="NoSpacing"/>
              <w:jc w:val="right"/>
            </w:pPr>
            <w:r>
              <w:t>976</w:t>
            </w:r>
          </w:p>
        </w:tc>
        <w:tc>
          <w:tcPr>
            <w:tcW w:w="2694" w:type="dxa"/>
          </w:tcPr>
          <w:p w:rsidR="00C970D0" w:rsidRDefault="00C970D0" w:rsidP="00C970D0">
            <w:pPr>
              <w:pStyle w:val="NoSpacing"/>
              <w:jc w:val="right"/>
            </w:pPr>
            <w:r>
              <w:t>130</w:t>
            </w:r>
          </w:p>
        </w:tc>
        <w:tc>
          <w:tcPr>
            <w:tcW w:w="2925" w:type="dxa"/>
          </w:tcPr>
          <w:p w:rsidR="00C970D0" w:rsidRDefault="00C970D0" w:rsidP="00C970D0">
            <w:pPr>
              <w:pStyle w:val="NoSpacing"/>
              <w:jc w:val="right"/>
            </w:pPr>
            <w:r>
              <w:t>13%</w:t>
            </w:r>
          </w:p>
        </w:tc>
      </w:tr>
      <w:tr w:rsidR="00C970D0" w:rsidTr="00C970D0">
        <w:tc>
          <w:tcPr>
            <w:tcW w:w="846" w:type="dxa"/>
          </w:tcPr>
          <w:p w:rsidR="00C970D0" w:rsidRDefault="00C970D0" w:rsidP="00C970D0">
            <w:pPr>
              <w:pStyle w:val="NoSpacing"/>
            </w:pPr>
            <w:r>
              <w:t>2015</w:t>
            </w:r>
          </w:p>
        </w:tc>
        <w:tc>
          <w:tcPr>
            <w:tcW w:w="2551" w:type="dxa"/>
          </w:tcPr>
          <w:p w:rsidR="00C970D0" w:rsidRDefault="00C970D0" w:rsidP="00C970D0">
            <w:pPr>
              <w:pStyle w:val="NoSpacing"/>
              <w:jc w:val="right"/>
            </w:pPr>
            <w:r>
              <w:t>1459</w:t>
            </w:r>
          </w:p>
        </w:tc>
        <w:tc>
          <w:tcPr>
            <w:tcW w:w="2694" w:type="dxa"/>
          </w:tcPr>
          <w:p w:rsidR="00C970D0" w:rsidRDefault="00C970D0" w:rsidP="00C970D0">
            <w:pPr>
              <w:pStyle w:val="NoSpacing"/>
              <w:jc w:val="right"/>
            </w:pPr>
            <w:r>
              <w:t>332</w:t>
            </w:r>
          </w:p>
        </w:tc>
        <w:tc>
          <w:tcPr>
            <w:tcW w:w="2925" w:type="dxa"/>
          </w:tcPr>
          <w:p w:rsidR="00C970D0" w:rsidRDefault="00C970D0" w:rsidP="00C970D0">
            <w:pPr>
              <w:pStyle w:val="NoSpacing"/>
              <w:jc w:val="right"/>
            </w:pPr>
            <w:r>
              <w:t>23%</w:t>
            </w:r>
          </w:p>
        </w:tc>
      </w:tr>
      <w:tr w:rsidR="00C970D0" w:rsidTr="00C970D0">
        <w:tc>
          <w:tcPr>
            <w:tcW w:w="846" w:type="dxa"/>
          </w:tcPr>
          <w:p w:rsidR="00C970D0" w:rsidRDefault="00C970D0" w:rsidP="00C970D0">
            <w:pPr>
              <w:pStyle w:val="NoSpacing"/>
            </w:pPr>
            <w:r>
              <w:t>2016</w:t>
            </w:r>
          </w:p>
        </w:tc>
        <w:tc>
          <w:tcPr>
            <w:tcW w:w="2551" w:type="dxa"/>
          </w:tcPr>
          <w:p w:rsidR="00C970D0" w:rsidRDefault="00C970D0" w:rsidP="00C970D0">
            <w:pPr>
              <w:pStyle w:val="NoSpacing"/>
              <w:jc w:val="right"/>
            </w:pPr>
            <w:r>
              <w:t>1439</w:t>
            </w:r>
          </w:p>
        </w:tc>
        <w:tc>
          <w:tcPr>
            <w:tcW w:w="2694" w:type="dxa"/>
          </w:tcPr>
          <w:p w:rsidR="00C970D0" w:rsidRDefault="00C970D0" w:rsidP="00C970D0">
            <w:pPr>
              <w:pStyle w:val="NoSpacing"/>
              <w:jc w:val="right"/>
            </w:pPr>
            <w:r>
              <w:t>360</w:t>
            </w:r>
          </w:p>
        </w:tc>
        <w:tc>
          <w:tcPr>
            <w:tcW w:w="2925" w:type="dxa"/>
          </w:tcPr>
          <w:p w:rsidR="00C970D0" w:rsidRDefault="00C970D0" w:rsidP="00C970D0">
            <w:pPr>
              <w:pStyle w:val="NoSpacing"/>
              <w:jc w:val="right"/>
            </w:pPr>
            <w:r>
              <w:t>25%</w:t>
            </w:r>
          </w:p>
        </w:tc>
      </w:tr>
      <w:tr w:rsidR="00C970D0" w:rsidTr="00C970D0">
        <w:tc>
          <w:tcPr>
            <w:tcW w:w="846" w:type="dxa"/>
          </w:tcPr>
          <w:p w:rsidR="00C970D0" w:rsidRDefault="00C970D0" w:rsidP="00C970D0">
            <w:pPr>
              <w:pStyle w:val="NoSpacing"/>
            </w:pPr>
            <w:r>
              <w:t>2017</w:t>
            </w:r>
          </w:p>
        </w:tc>
        <w:tc>
          <w:tcPr>
            <w:tcW w:w="2551" w:type="dxa"/>
          </w:tcPr>
          <w:p w:rsidR="00C970D0" w:rsidRDefault="00C970D0" w:rsidP="00C970D0">
            <w:pPr>
              <w:pStyle w:val="NoSpacing"/>
              <w:jc w:val="right"/>
            </w:pPr>
            <w:r>
              <w:t>1435</w:t>
            </w:r>
          </w:p>
        </w:tc>
        <w:tc>
          <w:tcPr>
            <w:tcW w:w="2694" w:type="dxa"/>
          </w:tcPr>
          <w:p w:rsidR="00C970D0" w:rsidRDefault="00C970D0" w:rsidP="00C970D0">
            <w:pPr>
              <w:pStyle w:val="NoSpacing"/>
              <w:jc w:val="right"/>
            </w:pPr>
            <w:r>
              <w:t>371</w:t>
            </w:r>
          </w:p>
        </w:tc>
        <w:tc>
          <w:tcPr>
            <w:tcW w:w="2925" w:type="dxa"/>
          </w:tcPr>
          <w:p w:rsidR="00C970D0" w:rsidRDefault="00C970D0" w:rsidP="00C970D0">
            <w:pPr>
              <w:pStyle w:val="NoSpacing"/>
              <w:jc w:val="right"/>
            </w:pPr>
            <w:r>
              <w:t>25%</w:t>
            </w:r>
          </w:p>
        </w:tc>
      </w:tr>
    </w:tbl>
    <w:p w:rsidR="00C970D0" w:rsidRDefault="00C970D0" w:rsidP="00C970D0">
      <w:pPr>
        <w:pStyle w:val="NoSpacing"/>
      </w:pPr>
    </w:p>
    <w:p w:rsidR="00C970D0" w:rsidRDefault="00C970D0" w:rsidP="00C970D0">
      <w:pPr>
        <w:pStyle w:val="NoSpacing"/>
      </w:pPr>
      <w:r>
        <w:t>One area of focus has been to manage waste streams within departments, to reduce the amount of contamination.</w:t>
      </w:r>
    </w:p>
    <w:p w:rsidR="00C970D0" w:rsidRDefault="00C970D0" w:rsidP="00C970D0">
      <w:pPr>
        <w:pStyle w:val="NoSpacing"/>
      </w:pPr>
    </w:p>
    <w:p w:rsidR="00C970D0" w:rsidRDefault="00C970D0" w:rsidP="00C970D0">
      <w:pPr>
        <w:pStyle w:val="NoSpacing"/>
      </w:pPr>
      <w:r>
        <w:t>Disposal (m</w:t>
      </w:r>
      <w:r w:rsidRPr="00C970D0">
        <w:rPr>
          <w:position w:val="6"/>
          <w:sz w:val="12"/>
          <w:szCs w:val="12"/>
        </w:rPr>
        <w:t>3</w:t>
      </w:r>
      <w:r>
        <w:t>) 74%</w:t>
      </w:r>
    </w:p>
    <w:p w:rsidR="00C970D0" w:rsidRDefault="00C970D0" w:rsidP="00C970D0">
      <w:pPr>
        <w:pStyle w:val="NoSpacing"/>
      </w:pPr>
      <w:r>
        <w:t>Other (m</w:t>
      </w:r>
      <w:r w:rsidRPr="00C970D0">
        <w:rPr>
          <w:position w:val="6"/>
          <w:sz w:val="12"/>
          <w:szCs w:val="12"/>
        </w:rPr>
        <w:t>3</w:t>
      </w:r>
      <w:r>
        <w:t>) 26%</w:t>
      </w:r>
    </w:p>
    <w:p w:rsidR="00C970D0" w:rsidRDefault="00C970D0" w:rsidP="00C970D0">
      <w:pPr>
        <w:pStyle w:val="NoSpacing"/>
      </w:pPr>
    </w:p>
    <w:p w:rsidR="00C970D0" w:rsidRDefault="00C970D0" w:rsidP="00C970D0">
      <w:pPr>
        <w:pStyle w:val="NoSpacing"/>
      </w:pPr>
      <w:r>
        <w:t>Paper (m</w:t>
      </w:r>
      <w:r w:rsidRPr="00C970D0">
        <w:rPr>
          <w:position w:val="6"/>
          <w:sz w:val="12"/>
          <w:szCs w:val="12"/>
        </w:rPr>
        <w:t>3</w:t>
      </w:r>
      <w:r>
        <w:t>) 22%</w:t>
      </w:r>
    </w:p>
    <w:p w:rsidR="00C970D0" w:rsidRDefault="00C970D0" w:rsidP="00C970D0">
      <w:pPr>
        <w:pStyle w:val="NoSpacing"/>
      </w:pPr>
      <w:r>
        <w:t>Co-Mingled (m</w:t>
      </w:r>
      <w:r w:rsidRPr="00C970D0">
        <w:rPr>
          <w:position w:val="6"/>
          <w:sz w:val="12"/>
          <w:szCs w:val="12"/>
        </w:rPr>
        <w:t>3</w:t>
      </w:r>
      <w:r>
        <w:t>) 1%</w:t>
      </w:r>
    </w:p>
    <w:p w:rsidR="00C970D0" w:rsidRDefault="00C970D0" w:rsidP="00C970D0">
      <w:pPr>
        <w:pStyle w:val="NoSpacing"/>
      </w:pPr>
      <w:r>
        <w:t>Timber (m</w:t>
      </w:r>
      <w:r w:rsidRPr="00C970D0">
        <w:rPr>
          <w:position w:val="6"/>
          <w:sz w:val="12"/>
          <w:szCs w:val="12"/>
        </w:rPr>
        <w:t>3</w:t>
      </w:r>
      <w:r>
        <w:t>) 2%</w:t>
      </w:r>
    </w:p>
    <w:p w:rsidR="00C970D0" w:rsidRDefault="00C970D0" w:rsidP="00C970D0">
      <w:pPr>
        <w:pStyle w:val="NoSpacing"/>
      </w:pPr>
      <w:r>
        <w:t>Other</w:t>
      </w:r>
    </w:p>
    <w:p w:rsidR="00C970D0" w:rsidRDefault="00C970D0" w:rsidP="00C970D0">
      <w:pPr>
        <w:pStyle w:val="NoSpacing"/>
      </w:pPr>
    </w:p>
    <w:p w:rsidR="00C970D0" w:rsidRPr="00C970D0" w:rsidRDefault="00C970D0" w:rsidP="00234E85">
      <w:pPr>
        <w:pStyle w:val="Heading3"/>
      </w:pPr>
      <w:r w:rsidRPr="00C970D0">
        <w:t>Travel</w:t>
      </w:r>
    </w:p>
    <w:p w:rsidR="00C970D0" w:rsidRDefault="00C970D0" w:rsidP="00C970D0">
      <w:pPr>
        <w:pStyle w:val="NoSpacing"/>
      </w:pPr>
    </w:p>
    <w:p w:rsidR="00C970D0" w:rsidRPr="00C970D0" w:rsidRDefault="00C970D0" w:rsidP="00C970D0">
      <w:pPr>
        <w:pStyle w:val="NoSpacing"/>
      </w:pPr>
      <w:r w:rsidRPr="00C970D0">
        <w:t>Total fleet vehicle and private ve</w:t>
      </w:r>
      <w:r>
        <w:t xml:space="preserve">hicle fuel consumption remained </w:t>
      </w:r>
      <w:r w:rsidRPr="00C970D0">
        <w:t>approximately the same in 2017 as in the previous year, at</w:t>
      </w:r>
      <w:r>
        <w:t xml:space="preserve"> </w:t>
      </w:r>
      <w:r w:rsidRPr="00C970D0">
        <w:t>108kltrs, still significantly below the baseline figure of 179 kLtrs.</w:t>
      </w:r>
    </w:p>
    <w:p w:rsidR="00C970D0" w:rsidRPr="00C970D0" w:rsidRDefault="00C970D0" w:rsidP="00C970D0">
      <w:pPr>
        <w:pStyle w:val="NoSpacing"/>
      </w:pPr>
      <w:r w:rsidRPr="00C970D0">
        <w:t>The Institute continues to moni</w:t>
      </w:r>
      <w:r>
        <w:t xml:space="preserve">tor and review the viability of </w:t>
      </w:r>
      <w:r w:rsidRPr="00C970D0">
        <w:t>electric and hybrid vehicles for fleet use.</w:t>
      </w:r>
    </w:p>
    <w:p w:rsidR="00C970D0" w:rsidRDefault="00C970D0" w:rsidP="00C970D0">
      <w:pPr>
        <w:pStyle w:val="NoSpacing"/>
      </w:pPr>
    </w:p>
    <w:p w:rsidR="00C970D0" w:rsidRDefault="00C970D0" w:rsidP="00C970D0">
      <w:pPr>
        <w:pStyle w:val="NoSpacing"/>
      </w:pPr>
      <w:r>
        <w:t>&lt;pp&gt;104</w:t>
      </w:r>
    </w:p>
    <w:p w:rsidR="00C970D0" w:rsidRDefault="00C970D0" w:rsidP="00C970D0">
      <w:pPr>
        <w:pStyle w:val="NoSpacing"/>
      </w:pPr>
    </w:p>
    <w:p w:rsidR="00C970D0" w:rsidRPr="009F2AD7" w:rsidRDefault="009F2AD7" w:rsidP="00234E85">
      <w:pPr>
        <w:pStyle w:val="Heading3"/>
      </w:pPr>
      <w:r w:rsidRPr="009F2AD7">
        <w:t xml:space="preserve">Sustainability performance </w:t>
      </w:r>
    </w:p>
    <w:p w:rsidR="009F2AD7" w:rsidRDefault="009F2AD7" w:rsidP="00C970D0">
      <w:pPr>
        <w:pStyle w:val="NoSpacing"/>
      </w:pPr>
    </w:p>
    <w:p w:rsidR="009F2AD7" w:rsidRDefault="009F2AD7" w:rsidP="00C970D0">
      <w:pPr>
        <w:pStyle w:val="NoSpacing"/>
      </w:pPr>
      <w:r>
        <w:t>Chisholm monitors its sustainability performance against ResourceSmart targets quarterly.</w:t>
      </w:r>
    </w:p>
    <w:p w:rsidR="009F2AD7" w:rsidRDefault="009F2AD7" w:rsidP="00C970D0">
      <w:pPr>
        <w:pStyle w:val="NoSpacing"/>
      </w:pPr>
      <w:r>
        <w:t>The 2017 performance summary follows:</w:t>
      </w:r>
    </w:p>
    <w:p w:rsidR="009F2AD7" w:rsidRDefault="009F2AD7" w:rsidP="00C970D0">
      <w:pPr>
        <w:pStyle w:val="NoSpacing"/>
      </w:pPr>
    </w:p>
    <w:p w:rsidR="009F2AD7" w:rsidRPr="00C970D0" w:rsidRDefault="009F2AD7" w:rsidP="00C970D0">
      <w:pPr>
        <w:pStyle w:val="NoSpacing"/>
      </w:pPr>
      <w:r>
        <w:t xml:space="preserve">2017 VS 2007 Baseline </w:t>
      </w:r>
    </w:p>
    <w:p w:rsidR="005B087D" w:rsidRPr="00C970D0" w:rsidRDefault="005B087D" w:rsidP="00C970D0">
      <w:pPr>
        <w:pStyle w:val="NoSpacing"/>
      </w:pPr>
    </w:p>
    <w:tbl>
      <w:tblPr>
        <w:tblStyle w:val="TableGrid"/>
        <w:tblW w:w="10916" w:type="dxa"/>
        <w:tblInd w:w="-998" w:type="dxa"/>
        <w:tblLook w:val="04A0" w:firstRow="1" w:lastRow="0" w:firstColumn="1" w:lastColumn="0" w:noHBand="0" w:noVBand="1"/>
      </w:tblPr>
      <w:tblGrid>
        <w:gridCol w:w="3828"/>
        <w:gridCol w:w="2552"/>
        <w:gridCol w:w="1559"/>
        <w:gridCol w:w="1559"/>
        <w:gridCol w:w="1418"/>
      </w:tblGrid>
      <w:tr w:rsidR="009F2AD7" w:rsidTr="0041506A">
        <w:tc>
          <w:tcPr>
            <w:tcW w:w="3828" w:type="dxa"/>
            <w:vAlign w:val="bottom"/>
          </w:tcPr>
          <w:p w:rsidR="009F2AD7" w:rsidRDefault="009F2AD7" w:rsidP="005B087D">
            <w:pPr>
              <w:pStyle w:val="NoSpacing"/>
            </w:pPr>
            <w:r>
              <w:t>Impacts/indicators</w:t>
            </w:r>
          </w:p>
        </w:tc>
        <w:tc>
          <w:tcPr>
            <w:tcW w:w="2552" w:type="dxa"/>
            <w:vAlign w:val="bottom"/>
          </w:tcPr>
          <w:p w:rsidR="009F2AD7" w:rsidRDefault="009F2AD7" w:rsidP="0041506A">
            <w:pPr>
              <w:pStyle w:val="NoSpacing"/>
              <w:jc w:val="right"/>
            </w:pPr>
            <w:r>
              <w:t>Measure</w:t>
            </w:r>
          </w:p>
        </w:tc>
        <w:tc>
          <w:tcPr>
            <w:tcW w:w="1559" w:type="dxa"/>
            <w:vAlign w:val="bottom"/>
          </w:tcPr>
          <w:p w:rsidR="009F2AD7" w:rsidRDefault="009F2AD7" w:rsidP="0041506A">
            <w:pPr>
              <w:pStyle w:val="NoSpacing"/>
              <w:jc w:val="right"/>
            </w:pPr>
            <w:r>
              <w:t>Baseline 2007</w:t>
            </w:r>
          </w:p>
        </w:tc>
        <w:tc>
          <w:tcPr>
            <w:tcW w:w="1559" w:type="dxa"/>
            <w:vAlign w:val="bottom"/>
          </w:tcPr>
          <w:p w:rsidR="009F2AD7" w:rsidRDefault="009F2AD7" w:rsidP="0041506A">
            <w:pPr>
              <w:pStyle w:val="NoSpacing"/>
              <w:jc w:val="right"/>
            </w:pPr>
            <w:r>
              <w:t>Actual 2017</w:t>
            </w:r>
          </w:p>
        </w:tc>
        <w:tc>
          <w:tcPr>
            <w:tcW w:w="1418" w:type="dxa"/>
            <w:vAlign w:val="bottom"/>
          </w:tcPr>
          <w:p w:rsidR="009F2AD7" w:rsidRDefault="009F2AD7" w:rsidP="0041506A">
            <w:pPr>
              <w:pStyle w:val="NoSpacing"/>
              <w:jc w:val="right"/>
            </w:pPr>
            <w:r>
              <w:t>% difference form the Baseline</w:t>
            </w:r>
          </w:p>
        </w:tc>
      </w:tr>
      <w:tr w:rsidR="009F2AD7" w:rsidTr="0041506A">
        <w:tc>
          <w:tcPr>
            <w:tcW w:w="3828" w:type="dxa"/>
          </w:tcPr>
          <w:p w:rsidR="009F2AD7" w:rsidRPr="0041506A" w:rsidRDefault="009F2AD7" w:rsidP="0041506A">
            <w:pPr>
              <w:pStyle w:val="NoSpacing"/>
            </w:pPr>
            <w:r w:rsidRPr="0041506A">
              <w:t>Square metres (mth avg)</w:t>
            </w:r>
          </w:p>
        </w:tc>
        <w:tc>
          <w:tcPr>
            <w:tcW w:w="2552" w:type="dxa"/>
          </w:tcPr>
          <w:p w:rsidR="009F2AD7" w:rsidRPr="0041506A" w:rsidRDefault="009F2AD7" w:rsidP="0041506A">
            <w:pPr>
              <w:pStyle w:val="NoSpacing"/>
              <w:jc w:val="right"/>
            </w:pPr>
            <w:r w:rsidRPr="0041506A">
              <w:t>M</w:t>
            </w:r>
            <w:r w:rsidR="009A1CB0">
              <w:rPr>
                <w:position w:val="6"/>
                <w:sz w:val="12"/>
                <w:szCs w:val="12"/>
              </w:rPr>
              <w:t>2</w:t>
            </w:r>
          </w:p>
        </w:tc>
        <w:tc>
          <w:tcPr>
            <w:tcW w:w="1559" w:type="dxa"/>
          </w:tcPr>
          <w:p w:rsidR="009F2AD7" w:rsidRDefault="0041506A" w:rsidP="0041506A">
            <w:pPr>
              <w:pStyle w:val="NoSpacing"/>
              <w:jc w:val="right"/>
            </w:pPr>
            <w:r>
              <w:t>98,784</w:t>
            </w:r>
          </w:p>
        </w:tc>
        <w:tc>
          <w:tcPr>
            <w:tcW w:w="1559" w:type="dxa"/>
          </w:tcPr>
          <w:p w:rsidR="009F2AD7" w:rsidRDefault="0041506A" w:rsidP="0041506A">
            <w:pPr>
              <w:pStyle w:val="NoSpacing"/>
              <w:jc w:val="right"/>
            </w:pPr>
            <w:r>
              <w:t>128,521</w:t>
            </w:r>
          </w:p>
        </w:tc>
        <w:tc>
          <w:tcPr>
            <w:tcW w:w="1418" w:type="dxa"/>
          </w:tcPr>
          <w:p w:rsidR="009F2AD7" w:rsidRDefault="0041506A" w:rsidP="0041506A">
            <w:pPr>
              <w:pStyle w:val="NoSpacing"/>
              <w:jc w:val="right"/>
            </w:pPr>
            <w:r>
              <w:t>30.1%</w:t>
            </w:r>
          </w:p>
        </w:tc>
      </w:tr>
      <w:tr w:rsidR="009F2AD7" w:rsidTr="0041506A">
        <w:tc>
          <w:tcPr>
            <w:tcW w:w="3828" w:type="dxa"/>
          </w:tcPr>
          <w:p w:rsidR="009F2AD7" w:rsidRPr="0041506A" w:rsidRDefault="009F2AD7" w:rsidP="0041506A">
            <w:pPr>
              <w:pStyle w:val="NoSpacing"/>
            </w:pPr>
            <w:r w:rsidRPr="0041506A">
              <w:t>Student contact hours (enrolled)</w:t>
            </w:r>
          </w:p>
        </w:tc>
        <w:tc>
          <w:tcPr>
            <w:tcW w:w="2552" w:type="dxa"/>
          </w:tcPr>
          <w:p w:rsidR="009F2AD7" w:rsidRPr="0041506A" w:rsidRDefault="009F2AD7" w:rsidP="0041506A">
            <w:pPr>
              <w:pStyle w:val="NoSpacing"/>
              <w:jc w:val="right"/>
            </w:pPr>
            <w:r w:rsidRPr="0041506A">
              <w:t>SCH</w:t>
            </w:r>
          </w:p>
        </w:tc>
        <w:tc>
          <w:tcPr>
            <w:tcW w:w="1559" w:type="dxa"/>
          </w:tcPr>
          <w:p w:rsidR="009F2AD7" w:rsidRDefault="0041506A" w:rsidP="0041506A">
            <w:pPr>
              <w:pStyle w:val="NoSpacing"/>
              <w:jc w:val="right"/>
            </w:pPr>
            <w:r>
              <w:t>9,250,627</w:t>
            </w:r>
          </w:p>
        </w:tc>
        <w:tc>
          <w:tcPr>
            <w:tcW w:w="1559" w:type="dxa"/>
          </w:tcPr>
          <w:p w:rsidR="009F2AD7" w:rsidRDefault="0041506A" w:rsidP="0041506A">
            <w:pPr>
              <w:pStyle w:val="NoSpacing"/>
              <w:jc w:val="right"/>
            </w:pPr>
            <w:r>
              <w:t>11,835,294</w:t>
            </w:r>
          </w:p>
        </w:tc>
        <w:tc>
          <w:tcPr>
            <w:tcW w:w="1418" w:type="dxa"/>
          </w:tcPr>
          <w:p w:rsidR="009F2AD7" w:rsidRDefault="0041506A" w:rsidP="0041506A">
            <w:pPr>
              <w:pStyle w:val="NoSpacing"/>
              <w:jc w:val="right"/>
            </w:pPr>
            <w:r>
              <w:t>27.9%</w:t>
            </w:r>
          </w:p>
        </w:tc>
      </w:tr>
      <w:tr w:rsidR="009F2AD7" w:rsidTr="0041506A">
        <w:tc>
          <w:tcPr>
            <w:tcW w:w="3828" w:type="dxa"/>
          </w:tcPr>
          <w:p w:rsidR="009F2AD7" w:rsidRPr="0041506A" w:rsidRDefault="009F2AD7" w:rsidP="0041506A">
            <w:pPr>
              <w:pStyle w:val="NoSpacing"/>
            </w:pPr>
            <w:r w:rsidRPr="0041506A">
              <w:t>Student enrolments</w:t>
            </w:r>
          </w:p>
        </w:tc>
        <w:tc>
          <w:tcPr>
            <w:tcW w:w="2552" w:type="dxa"/>
          </w:tcPr>
          <w:p w:rsidR="009F2AD7" w:rsidRPr="0041506A" w:rsidRDefault="009F2AD7" w:rsidP="0041506A">
            <w:pPr>
              <w:pStyle w:val="NoSpacing"/>
              <w:jc w:val="right"/>
            </w:pPr>
            <w:r w:rsidRPr="0041506A">
              <w:t>#</w:t>
            </w:r>
          </w:p>
        </w:tc>
        <w:tc>
          <w:tcPr>
            <w:tcW w:w="1559" w:type="dxa"/>
          </w:tcPr>
          <w:p w:rsidR="009F2AD7" w:rsidRDefault="0041506A" w:rsidP="0041506A">
            <w:pPr>
              <w:pStyle w:val="NoSpacing"/>
              <w:jc w:val="right"/>
            </w:pPr>
            <w:r>
              <w:t>40,329</w:t>
            </w:r>
          </w:p>
        </w:tc>
        <w:tc>
          <w:tcPr>
            <w:tcW w:w="1559" w:type="dxa"/>
          </w:tcPr>
          <w:p w:rsidR="009F2AD7" w:rsidRDefault="0041506A" w:rsidP="0041506A">
            <w:pPr>
              <w:pStyle w:val="NoSpacing"/>
              <w:jc w:val="right"/>
            </w:pPr>
            <w:r>
              <w:t>35,074</w:t>
            </w:r>
          </w:p>
        </w:tc>
        <w:tc>
          <w:tcPr>
            <w:tcW w:w="1418" w:type="dxa"/>
          </w:tcPr>
          <w:p w:rsidR="009F2AD7" w:rsidRDefault="0041506A" w:rsidP="0041506A">
            <w:pPr>
              <w:pStyle w:val="NoSpacing"/>
              <w:jc w:val="right"/>
            </w:pPr>
            <w:r>
              <w:t>-13.0%</w:t>
            </w:r>
          </w:p>
        </w:tc>
      </w:tr>
      <w:tr w:rsidR="009F2AD7" w:rsidTr="0041506A">
        <w:tc>
          <w:tcPr>
            <w:tcW w:w="3828" w:type="dxa"/>
          </w:tcPr>
          <w:p w:rsidR="009F2AD7" w:rsidRPr="0041506A" w:rsidRDefault="009F2AD7" w:rsidP="0041506A">
            <w:pPr>
              <w:pStyle w:val="NoSpacing"/>
            </w:pPr>
            <w:r w:rsidRPr="0041506A">
              <w:t>Staff FTE</w:t>
            </w:r>
          </w:p>
        </w:tc>
        <w:tc>
          <w:tcPr>
            <w:tcW w:w="2552" w:type="dxa"/>
          </w:tcPr>
          <w:p w:rsidR="009F2AD7" w:rsidRPr="0041506A" w:rsidRDefault="009F2AD7" w:rsidP="0041506A">
            <w:pPr>
              <w:pStyle w:val="NoSpacing"/>
              <w:jc w:val="right"/>
            </w:pPr>
            <w:r w:rsidRPr="0041506A">
              <w:t>FTE</w:t>
            </w:r>
          </w:p>
        </w:tc>
        <w:tc>
          <w:tcPr>
            <w:tcW w:w="1559" w:type="dxa"/>
          </w:tcPr>
          <w:p w:rsidR="009F2AD7" w:rsidRDefault="0041506A" w:rsidP="0041506A">
            <w:pPr>
              <w:pStyle w:val="NoSpacing"/>
              <w:jc w:val="right"/>
            </w:pPr>
            <w:r>
              <w:t>956</w:t>
            </w:r>
          </w:p>
        </w:tc>
        <w:tc>
          <w:tcPr>
            <w:tcW w:w="1559" w:type="dxa"/>
          </w:tcPr>
          <w:p w:rsidR="009F2AD7" w:rsidRDefault="0041506A" w:rsidP="0041506A">
            <w:pPr>
              <w:pStyle w:val="NoSpacing"/>
              <w:jc w:val="right"/>
            </w:pPr>
            <w:r>
              <w:t>910</w:t>
            </w:r>
          </w:p>
        </w:tc>
        <w:tc>
          <w:tcPr>
            <w:tcW w:w="1418" w:type="dxa"/>
          </w:tcPr>
          <w:p w:rsidR="009F2AD7" w:rsidRDefault="0041506A" w:rsidP="0041506A">
            <w:pPr>
              <w:pStyle w:val="NoSpacing"/>
              <w:jc w:val="right"/>
            </w:pPr>
            <w:r>
              <w:t>-4.8%</w:t>
            </w:r>
          </w:p>
        </w:tc>
      </w:tr>
      <w:tr w:rsidR="009F2AD7" w:rsidTr="0041506A">
        <w:tc>
          <w:tcPr>
            <w:tcW w:w="3828" w:type="dxa"/>
          </w:tcPr>
          <w:p w:rsidR="009F2AD7" w:rsidRPr="0041506A" w:rsidRDefault="009F2AD7" w:rsidP="0041506A">
            <w:pPr>
              <w:pStyle w:val="NoSpacing"/>
            </w:pPr>
            <w:r w:rsidRPr="0041506A">
              <w:t>Student FTESL (SCH/720)</w:t>
            </w:r>
          </w:p>
        </w:tc>
        <w:tc>
          <w:tcPr>
            <w:tcW w:w="2552" w:type="dxa"/>
          </w:tcPr>
          <w:p w:rsidR="009F2AD7" w:rsidRPr="0041506A" w:rsidRDefault="009F2AD7" w:rsidP="0041506A">
            <w:pPr>
              <w:pStyle w:val="NoSpacing"/>
              <w:jc w:val="right"/>
            </w:pPr>
            <w:r w:rsidRPr="0041506A">
              <w:t>FTESL</w:t>
            </w:r>
          </w:p>
        </w:tc>
        <w:tc>
          <w:tcPr>
            <w:tcW w:w="1559" w:type="dxa"/>
          </w:tcPr>
          <w:p w:rsidR="009F2AD7" w:rsidRDefault="0041506A" w:rsidP="0041506A">
            <w:pPr>
              <w:pStyle w:val="NoSpacing"/>
              <w:jc w:val="right"/>
            </w:pPr>
            <w:r>
              <w:t>12,848</w:t>
            </w:r>
          </w:p>
        </w:tc>
        <w:tc>
          <w:tcPr>
            <w:tcW w:w="1559" w:type="dxa"/>
          </w:tcPr>
          <w:p w:rsidR="009F2AD7" w:rsidRDefault="0041506A" w:rsidP="0041506A">
            <w:pPr>
              <w:pStyle w:val="NoSpacing"/>
              <w:jc w:val="right"/>
            </w:pPr>
            <w:r>
              <w:t>16,438</w:t>
            </w:r>
          </w:p>
        </w:tc>
        <w:tc>
          <w:tcPr>
            <w:tcW w:w="1418" w:type="dxa"/>
          </w:tcPr>
          <w:p w:rsidR="009F2AD7" w:rsidRDefault="0041506A" w:rsidP="0041506A">
            <w:pPr>
              <w:pStyle w:val="NoSpacing"/>
              <w:jc w:val="right"/>
            </w:pPr>
            <w:r>
              <w:t>27.9%</w:t>
            </w:r>
          </w:p>
        </w:tc>
      </w:tr>
      <w:tr w:rsidR="009F2AD7" w:rsidTr="0041506A">
        <w:tc>
          <w:tcPr>
            <w:tcW w:w="3828" w:type="dxa"/>
          </w:tcPr>
          <w:p w:rsidR="009F2AD7" w:rsidRPr="0041506A" w:rsidRDefault="009F2AD7" w:rsidP="0041506A">
            <w:pPr>
              <w:pStyle w:val="NoSpacing"/>
            </w:pPr>
            <w:r w:rsidRPr="0041506A">
              <w:t>Student (FTESL) + staff (FTE)</w:t>
            </w:r>
          </w:p>
        </w:tc>
        <w:tc>
          <w:tcPr>
            <w:tcW w:w="2552" w:type="dxa"/>
          </w:tcPr>
          <w:p w:rsidR="009F2AD7" w:rsidRPr="0041506A" w:rsidRDefault="009F2AD7" w:rsidP="0041506A">
            <w:pPr>
              <w:pStyle w:val="NoSpacing"/>
              <w:jc w:val="right"/>
            </w:pPr>
            <w:r w:rsidRPr="0041506A">
              <w:t>FTESL + FTE</w:t>
            </w:r>
          </w:p>
        </w:tc>
        <w:tc>
          <w:tcPr>
            <w:tcW w:w="1559" w:type="dxa"/>
          </w:tcPr>
          <w:p w:rsidR="009F2AD7" w:rsidRDefault="0041506A" w:rsidP="0041506A">
            <w:pPr>
              <w:pStyle w:val="NoSpacing"/>
              <w:jc w:val="right"/>
            </w:pPr>
            <w:r>
              <w:t>13,805</w:t>
            </w:r>
          </w:p>
        </w:tc>
        <w:tc>
          <w:tcPr>
            <w:tcW w:w="1559" w:type="dxa"/>
          </w:tcPr>
          <w:p w:rsidR="009F2AD7" w:rsidRDefault="0041506A" w:rsidP="0041506A">
            <w:pPr>
              <w:pStyle w:val="NoSpacing"/>
              <w:jc w:val="right"/>
            </w:pPr>
            <w:r>
              <w:t>17,348</w:t>
            </w:r>
          </w:p>
        </w:tc>
        <w:tc>
          <w:tcPr>
            <w:tcW w:w="1418" w:type="dxa"/>
          </w:tcPr>
          <w:p w:rsidR="009F2AD7" w:rsidRDefault="0041506A" w:rsidP="0041506A">
            <w:pPr>
              <w:pStyle w:val="NoSpacing"/>
              <w:jc w:val="right"/>
            </w:pPr>
            <w:r>
              <w:t>25.6%</w:t>
            </w:r>
          </w:p>
        </w:tc>
      </w:tr>
      <w:tr w:rsidR="009F2AD7" w:rsidTr="0041506A">
        <w:tc>
          <w:tcPr>
            <w:tcW w:w="3828" w:type="dxa"/>
          </w:tcPr>
          <w:p w:rsidR="009F2AD7" w:rsidRPr="0041506A" w:rsidRDefault="009F2AD7" w:rsidP="0041506A">
            <w:pPr>
              <w:pStyle w:val="NoSpacing"/>
            </w:pPr>
            <w:r w:rsidRPr="0041506A">
              <w:lastRenderedPageBreak/>
              <w:t>T1 - Emissions reduction (-43%)</w:t>
            </w:r>
          </w:p>
        </w:tc>
        <w:tc>
          <w:tcPr>
            <w:tcW w:w="2552" w:type="dxa"/>
          </w:tcPr>
          <w:p w:rsidR="009F2AD7" w:rsidRPr="0041506A" w:rsidRDefault="009F2AD7" w:rsidP="0041506A">
            <w:pPr>
              <w:pStyle w:val="NoSpacing"/>
              <w:jc w:val="right"/>
            </w:pPr>
            <w:r w:rsidRPr="0041506A">
              <w:t>T Co2e</w:t>
            </w:r>
          </w:p>
          <w:p w:rsidR="009F2AD7" w:rsidRPr="0041506A" w:rsidRDefault="009F2AD7" w:rsidP="0041506A">
            <w:pPr>
              <w:pStyle w:val="NoSpacing"/>
              <w:jc w:val="right"/>
            </w:pPr>
            <w:r w:rsidRPr="0041506A">
              <w:t>t CO2e/FTESL + FTE</w:t>
            </w:r>
          </w:p>
        </w:tc>
        <w:tc>
          <w:tcPr>
            <w:tcW w:w="1559" w:type="dxa"/>
          </w:tcPr>
          <w:p w:rsidR="0041506A" w:rsidRDefault="0041506A" w:rsidP="0041506A">
            <w:pPr>
              <w:pStyle w:val="NoSpacing"/>
              <w:jc w:val="right"/>
            </w:pPr>
            <w:r>
              <w:t>14,257</w:t>
            </w:r>
          </w:p>
          <w:p w:rsidR="009F2AD7" w:rsidRDefault="0041506A" w:rsidP="0041506A">
            <w:pPr>
              <w:pStyle w:val="NoSpacing"/>
              <w:jc w:val="right"/>
            </w:pPr>
            <w:r>
              <w:t>1.03</w:t>
            </w:r>
          </w:p>
        </w:tc>
        <w:tc>
          <w:tcPr>
            <w:tcW w:w="1559" w:type="dxa"/>
          </w:tcPr>
          <w:p w:rsidR="009F2AD7" w:rsidRDefault="0041506A" w:rsidP="0041506A">
            <w:pPr>
              <w:pStyle w:val="NoSpacing"/>
              <w:jc w:val="right"/>
            </w:pPr>
            <w:r>
              <w:t>12,571</w:t>
            </w:r>
          </w:p>
          <w:p w:rsidR="0041506A" w:rsidRDefault="0041506A" w:rsidP="0041506A">
            <w:pPr>
              <w:pStyle w:val="NoSpacing"/>
              <w:jc w:val="right"/>
            </w:pPr>
            <w:r>
              <w:t>0.72</w:t>
            </w:r>
          </w:p>
        </w:tc>
        <w:tc>
          <w:tcPr>
            <w:tcW w:w="1418" w:type="dxa"/>
          </w:tcPr>
          <w:p w:rsidR="009F2AD7" w:rsidRDefault="0041506A" w:rsidP="0041506A">
            <w:pPr>
              <w:pStyle w:val="NoSpacing"/>
              <w:jc w:val="right"/>
            </w:pPr>
            <w:r>
              <w:t>-29.8%</w:t>
            </w:r>
          </w:p>
        </w:tc>
      </w:tr>
      <w:tr w:rsidR="009F2AD7" w:rsidTr="0041506A">
        <w:tc>
          <w:tcPr>
            <w:tcW w:w="3828" w:type="dxa"/>
          </w:tcPr>
          <w:p w:rsidR="009F2AD7" w:rsidRPr="0041506A" w:rsidRDefault="009F2AD7" w:rsidP="0041506A">
            <w:pPr>
              <w:pStyle w:val="NoSpacing"/>
            </w:pPr>
            <w:r w:rsidRPr="0041506A">
              <w:t>T2 - Energy reduction (-43%)</w:t>
            </w:r>
          </w:p>
        </w:tc>
        <w:tc>
          <w:tcPr>
            <w:tcW w:w="2552" w:type="dxa"/>
          </w:tcPr>
          <w:p w:rsidR="009F2AD7" w:rsidRPr="0041506A" w:rsidRDefault="009F2AD7" w:rsidP="0041506A">
            <w:pPr>
              <w:pStyle w:val="NoSpacing"/>
              <w:jc w:val="right"/>
            </w:pPr>
            <w:r w:rsidRPr="0041506A">
              <w:t>MJ</w:t>
            </w:r>
          </w:p>
          <w:p w:rsidR="009F2AD7" w:rsidRPr="0041506A" w:rsidRDefault="009F2AD7" w:rsidP="0041506A">
            <w:pPr>
              <w:pStyle w:val="NoSpacing"/>
              <w:jc w:val="right"/>
            </w:pPr>
            <w:r w:rsidRPr="0041506A">
              <w:t>Total MJ/FTESL + FTE</w:t>
            </w:r>
          </w:p>
        </w:tc>
        <w:tc>
          <w:tcPr>
            <w:tcW w:w="1559" w:type="dxa"/>
          </w:tcPr>
          <w:p w:rsidR="009F2AD7" w:rsidRDefault="0041506A" w:rsidP="0041506A">
            <w:pPr>
              <w:pStyle w:val="NoSpacing"/>
              <w:jc w:val="right"/>
            </w:pPr>
            <w:r>
              <w:t>61,636,903</w:t>
            </w:r>
          </w:p>
          <w:p w:rsidR="0041506A" w:rsidRDefault="0041506A" w:rsidP="0041506A">
            <w:pPr>
              <w:pStyle w:val="NoSpacing"/>
              <w:jc w:val="right"/>
            </w:pPr>
            <w:r>
              <w:t>4,465</w:t>
            </w:r>
          </w:p>
        </w:tc>
        <w:tc>
          <w:tcPr>
            <w:tcW w:w="1559" w:type="dxa"/>
          </w:tcPr>
          <w:p w:rsidR="009F2AD7" w:rsidRDefault="0041506A" w:rsidP="0041506A">
            <w:pPr>
              <w:pStyle w:val="NoSpacing"/>
              <w:jc w:val="right"/>
            </w:pPr>
            <w:r>
              <w:t>49,182,029</w:t>
            </w:r>
          </w:p>
          <w:p w:rsidR="0041506A" w:rsidRDefault="0041506A" w:rsidP="0041506A">
            <w:pPr>
              <w:pStyle w:val="NoSpacing"/>
              <w:jc w:val="right"/>
            </w:pPr>
            <w:r>
              <w:t>2,835</w:t>
            </w:r>
          </w:p>
        </w:tc>
        <w:tc>
          <w:tcPr>
            <w:tcW w:w="1418" w:type="dxa"/>
          </w:tcPr>
          <w:p w:rsidR="009F2AD7" w:rsidRDefault="0041506A" w:rsidP="0041506A">
            <w:pPr>
              <w:pStyle w:val="NoSpacing"/>
              <w:jc w:val="right"/>
            </w:pPr>
            <w:r>
              <w:t>-36.5%</w:t>
            </w:r>
          </w:p>
        </w:tc>
      </w:tr>
      <w:tr w:rsidR="009F2AD7" w:rsidTr="0041506A">
        <w:tc>
          <w:tcPr>
            <w:tcW w:w="3828" w:type="dxa"/>
          </w:tcPr>
          <w:p w:rsidR="009F2AD7" w:rsidRPr="0041506A" w:rsidRDefault="009F2AD7" w:rsidP="0041506A">
            <w:pPr>
              <w:pStyle w:val="NoSpacing"/>
            </w:pPr>
            <w:r w:rsidRPr="0041506A">
              <w:t>T3 - GreenPower purchase (45%)</w:t>
            </w:r>
          </w:p>
        </w:tc>
        <w:tc>
          <w:tcPr>
            <w:tcW w:w="2552" w:type="dxa"/>
          </w:tcPr>
          <w:p w:rsidR="009F2AD7" w:rsidRPr="0041506A" w:rsidRDefault="009F2AD7" w:rsidP="0041506A">
            <w:pPr>
              <w:pStyle w:val="NoSpacing"/>
              <w:jc w:val="right"/>
            </w:pPr>
            <w:r w:rsidRPr="0041506A">
              <w:t>MJ</w:t>
            </w:r>
          </w:p>
          <w:p w:rsidR="009F2AD7" w:rsidRPr="0041506A" w:rsidRDefault="009F2AD7" w:rsidP="0041506A">
            <w:pPr>
              <w:pStyle w:val="NoSpacing"/>
              <w:jc w:val="right"/>
            </w:pPr>
            <w:r w:rsidRPr="0041506A">
              <w:t>%</w:t>
            </w:r>
          </w:p>
        </w:tc>
        <w:tc>
          <w:tcPr>
            <w:tcW w:w="1559" w:type="dxa"/>
          </w:tcPr>
          <w:p w:rsidR="009F2AD7" w:rsidRDefault="0041506A" w:rsidP="0041506A">
            <w:pPr>
              <w:pStyle w:val="NoSpacing"/>
              <w:jc w:val="right"/>
            </w:pPr>
            <w:r>
              <w:t>3,187,044</w:t>
            </w:r>
          </w:p>
          <w:p w:rsidR="0041506A" w:rsidRDefault="0041506A" w:rsidP="0041506A">
            <w:pPr>
              <w:pStyle w:val="NoSpacing"/>
              <w:jc w:val="right"/>
            </w:pPr>
            <w:r>
              <w:t>9.8%</w:t>
            </w:r>
          </w:p>
        </w:tc>
        <w:tc>
          <w:tcPr>
            <w:tcW w:w="1559" w:type="dxa"/>
          </w:tcPr>
          <w:p w:rsidR="009F2AD7" w:rsidRDefault="0041506A" w:rsidP="0041506A">
            <w:pPr>
              <w:pStyle w:val="NoSpacing"/>
              <w:jc w:val="right"/>
            </w:pPr>
            <w:r>
              <w:t>0</w:t>
            </w:r>
          </w:p>
          <w:p w:rsidR="0041506A" w:rsidRDefault="0041506A" w:rsidP="0041506A">
            <w:pPr>
              <w:pStyle w:val="NoSpacing"/>
              <w:jc w:val="right"/>
            </w:pPr>
            <w:r>
              <w:t>0%</w:t>
            </w:r>
          </w:p>
        </w:tc>
        <w:tc>
          <w:tcPr>
            <w:tcW w:w="1418" w:type="dxa"/>
          </w:tcPr>
          <w:p w:rsidR="009F2AD7" w:rsidRDefault="0041506A" w:rsidP="0041506A">
            <w:pPr>
              <w:pStyle w:val="NoSpacing"/>
              <w:jc w:val="right"/>
            </w:pPr>
            <w:r>
              <w:t>N/A</w:t>
            </w:r>
          </w:p>
        </w:tc>
      </w:tr>
      <w:tr w:rsidR="009F2AD7" w:rsidTr="0041506A">
        <w:tc>
          <w:tcPr>
            <w:tcW w:w="3828" w:type="dxa"/>
          </w:tcPr>
          <w:p w:rsidR="009F2AD7" w:rsidRPr="0041506A" w:rsidRDefault="009F2AD7" w:rsidP="0041506A">
            <w:pPr>
              <w:pStyle w:val="NoSpacing"/>
            </w:pPr>
            <w:r w:rsidRPr="0041506A">
              <w:t>T4 - % Renewable energy of the</w:t>
            </w:r>
            <w:r w:rsidR="0041506A">
              <w:t xml:space="preserve"> </w:t>
            </w:r>
            <w:r w:rsidRPr="0041506A">
              <w:t>total 2007 Energy Use (20%)</w:t>
            </w:r>
          </w:p>
        </w:tc>
        <w:tc>
          <w:tcPr>
            <w:tcW w:w="2552" w:type="dxa"/>
          </w:tcPr>
          <w:p w:rsidR="009F2AD7" w:rsidRPr="0041506A" w:rsidRDefault="009F2AD7" w:rsidP="0041506A">
            <w:pPr>
              <w:pStyle w:val="NoSpacing"/>
              <w:jc w:val="right"/>
            </w:pPr>
            <w:r w:rsidRPr="0041506A">
              <w:t>MJ</w:t>
            </w:r>
          </w:p>
          <w:p w:rsidR="009F2AD7" w:rsidRPr="0041506A" w:rsidRDefault="009F2AD7" w:rsidP="0041506A">
            <w:pPr>
              <w:pStyle w:val="NoSpacing"/>
              <w:jc w:val="right"/>
            </w:pPr>
            <w:r w:rsidRPr="0041506A">
              <w:t>%</w:t>
            </w:r>
          </w:p>
        </w:tc>
        <w:tc>
          <w:tcPr>
            <w:tcW w:w="1559" w:type="dxa"/>
          </w:tcPr>
          <w:p w:rsidR="009F2AD7" w:rsidRDefault="0041506A" w:rsidP="0041506A">
            <w:pPr>
              <w:pStyle w:val="NoSpacing"/>
              <w:jc w:val="right"/>
            </w:pPr>
            <w:r>
              <w:t>3,135</w:t>
            </w:r>
          </w:p>
          <w:p w:rsidR="0041506A" w:rsidRDefault="0041506A" w:rsidP="0041506A">
            <w:pPr>
              <w:pStyle w:val="NoSpacing"/>
              <w:jc w:val="right"/>
            </w:pPr>
            <w:r>
              <w:t>0.01%</w:t>
            </w:r>
          </w:p>
        </w:tc>
        <w:tc>
          <w:tcPr>
            <w:tcW w:w="1559" w:type="dxa"/>
          </w:tcPr>
          <w:p w:rsidR="009F2AD7" w:rsidRDefault="0041506A" w:rsidP="0041506A">
            <w:pPr>
              <w:pStyle w:val="NoSpacing"/>
              <w:jc w:val="right"/>
            </w:pPr>
            <w:r>
              <w:t>239,851</w:t>
            </w:r>
          </w:p>
          <w:p w:rsidR="0041506A" w:rsidRDefault="0041506A" w:rsidP="0041506A">
            <w:pPr>
              <w:pStyle w:val="NoSpacing"/>
              <w:jc w:val="right"/>
            </w:pPr>
            <w:r>
              <w:t>0.49%</w:t>
            </w:r>
          </w:p>
        </w:tc>
        <w:tc>
          <w:tcPr>
            <w:tcW w:w="1418" w:type="dxa"/>
          </w:tcPr>
          <w:p w:rsidR="009F2AD7" w:rsidRDefault="0041506A" w:rsidP="0041506A">
            <w:pPr>
              <w:pStyle w:val="NoSpacing"/>
              <w:jc w:val="right"/>
            </w:pPr>
            <w:r>
              <w:t>0.49%</w:t>
            </w:r>
          </w:p>
        </w:tc>
      </w:tr>
      <w:tr w:rsidR="009F2AD7" w:rsidTr="0041506A">
        <w:tc>
          <w:tcPr>
            <w:tcW w:w="3828" w:type="dxa"/>
          </w:tcPr>
          <w:p w:rsidR="009F2AD7" w:rsidRPr="0041506A" w:rsidRDefault="009F2AD7" w:rsidP="0041506A">
            <w:pPr>
              <w:pStyle w:val="NoSpacing"/>
            </w:pPr>
            <w:r w:rsidRPr="0041506A">
              <w:t>T5 - Water reduction (-75%)</w:t>
            </w:r>
          </w:p>
        </w:tc>
        <w:tc>
          <w:tcPr>
            <w:tcW w:w="2552" w:type="dxa"/>
          </w:tcPr>
          <w:p w:rsidR="009F2AD7" w:rsidRPr="0041506A" w:rsidRDefault="009F2AD7" w:rsidP="0041506A">
            <w:pPr>
              <w:pStyle w:val="NoSpacing"/>
              <w:jc w:val="right"/>
            </w:pPr>
            <w:r w:rsidRPr="0041506A">
              <w:t>kL</w:t>
            </w:r>
          </w:p>
          <w:p w:rsidR="009F2AD7" w:rsidRPr="0041506A" w:rsidRDefault="009F2AD7" w:rsidP="0041506A">
            <w:pPr>
              <w:pStyle w:val="NoSpacing"/>
              <w:jc w:val="right"/>
            </w:pPr>
            <w:r w:rsidRPr="0041506A">
              <w:t>kL/FTESL + FTET</w:t>
            </w:r>
          </w:p>
        </w:tc>
        <w:tc>
          <w:tcPr>
            <w:tcW w:w="1559" w:type="dxa"/>
          </w:tcPr>
          <w:p w:rsidR="009F2AD7" w:rsidRDefault="0041506A" w:rsidP="0041506A">
            <w:pPr>
              <w:pStyle w:val="NoSpacing"/>
              <w:jc w:val="right"/>
            </w:pPr>
            <w:r>
              <w:t>36,744</w:t>
            </w:r>
          </w:p>
          <w:p w:rsidR="0041506A" w:rsidRDefault="0041506A" w:rsidP="0041506A">
            <w:pPr>
              <w:pStyle w:val="NoSpacing"/>
              <w:jc w:val="right"/>
            </w:pPr>
            <w:r>
              <w:t>2.66</w:t>
            </w:r>
          </w:p>
        </w:tc>
        <w:tc>
          <w:tcPr>
            <w:tcW w:w="1559" w:type="dxa"/>
          </w:tcPr>
          <w:p w:rsidR="009F2AD7" w:rsidRDefault="0041506A" w:rsidP="0041506A">
            <w:pPr>
              <w:pStyle w:val="NoSpacing"/>
              <w:jc w:val="right"/>
            </w:pPr>
            <w:r>
              <w:t>26,628</w:t>
            </w:r>
          </w:p>
          <w:p w:rsidR="0041506A" w:rsidRDefault="0041506A" w:rsidP="0041506A">
            <w:pPr>
              <w:pStyle w:val="NoSpacing"/>
              <w:jc w:val="right"/>
            </w:pPr>
            <w:r>
              <w:t>1.54</w:t>
            </w:r>
          </w:p>
        </w:tc>
        <w:tc>
          <w:tcPr>
            <w:tcW w:w="1418" w:type="dxa"/>
          </w:tcPr>
          <w:p w:rsidR="009F2AD7" w:rsidRDefault="0041506A" w:rsidP="0041506A">
            <w:pPr>
              <w:pStyle w:val="NoSpacing"/>
              <w:jc w:val="right"/>
            </w:pPr>
            <w:r>
              <w:t>-42.3%</w:t>
            </w:r>
          </w:p>
        </w:tc>
      </w:tr>
      <w:tr w:rsidR="009F2AD7" w:rsidTr="0041506A">
        <w:tc>
          <w:tcPr>
            <w:tcW w:w="3828" w:type="dxa"/>
          </w:tcPr>
          <w:p w:rsidR="009F2AD7" w:rsidRPr="0041506A" w:rsidRDefault="009F2AD7" w:rsidP="0041506A">
            <w:pPr>
              <w:pStyle w:val="NoSpacing"/>
            </w:pPr>
            <w:r w:rsidRPr="0041506A">
              <w:t>T6 - Waste to landfill reduction (65%)</w:t>
            </w:r>
          </w:p>
        </w:tc>
        <w:tc>
          <w:tcPr>
            <w:tcW w:w="2552" w:type="dxa"/>
          </w:tcPr>
          <w:p w:rsidR="009F2AD7" w:rsidRPr="0041506A" w:rsidRDefault="009F2AD7" w:rsidP="0041506A">
            <w:pPr>
              <w:pStyle w:val="NoSpacing"/>
              <w:jc w:val="right"/>
            </w:pPr>
            <w:r w:rsidRPr="0041506A">
              <w:t>t</w:t>
            </w:r>
          </w:p>
          <w:p w:rsidR="009F2AD7" w:rsidRPr="0041506A" w:rsidRDefault="009F2AD7" w:rsidP="0041506A">
            <w:pPr>
              <w:pStyle w:val="NoSpacing"/>
              <w:jc w:val="right"/>
            </w:pPr>
            <w:r w:rsidRPr="0041506A">
              <w:t>t/FTESL + FTE</w:t>
            </w:r>
          </w:p>
          <w:p w:rsidR="009F2AD7" w:rsidRPr="0041506A" w:rsidRDefault="009F2AD7" w:rsidP="0041506A">
            <w:pPr>
              <w:pStyle w:val="NoSpacing"/>
              <w:jc w:val="right"/>
            </w:pPr>
            <w:r w:rsidRPr="0041506A">
              <w:t>% recycled</w:t>
            </w:r>
          </w:p>
        </w:tc>
        <w:tc>
          <w:tcPr>
            <w:tcW w:w="1559" w:type="dxa"/>
          </w:tcPr>
          <w:p w:rsidR="009F2AD7" w:rsidRDefault="0041506A" w:rsidP="0041506A">
            <w:pPr>
              <w:pStyle w:val="NoSpacing"/>
              <w:jc w:val="right"/>
            </w:pPr>
            <w:r>
              <w:t>847</w:t>
            </w:r>
          </w:p>
          <w:p w:rsidR="0041506A" w:rsidRDefault="0041506A" w:rsidP="0041506A">
            <w:pPr>
              <w:pStyle w:val="NoSpacing"/>
              <w:jc w:val="right"/>
            </w:pPr>
            <w:r>
              <w:t>0.061</w:t>
            </w:r>
          </w:p>
          <w:p w:rsidR="0041506A" w:rsidRDefault="0041506A" w:rsidP="0041506A">
            <w:pPr>
              <w:pStyle w:val="NoSpacing"/>
              <w:jc w:val="right"/>
            </w:pPr>
            <w:r>
              <w:t>13.3%</w:t>
            </w:r>
          </w:p>
        </w:tc>
        <w:tc>
          <w:tcPr>
            <w:tcW w:w="1559" w:type="dxa"/>
          </w:tcPr>
          <w:p w:rsidR="009F2AD7" w:rsidRDefault="0041506A" w:rsidP="0041506A">
            <w:pPr>
              <w:pStyle w:val="NoSpacing"/>
              <w:jc w:val="right"/>
            </w:pPr>
            <w:r>
              <w:t>1,074</w:t>
            </w:r>
          </w:p>
          <w:p w:rsidR="0041506A" w:rsidRDefault="0041506A" w:rsidP="0041506A">
            <w:pPr>
              <w:pStyle w:val="NoSpacing"/>
              <w:jc w:val="right"/>
            </w:pPr>
            <w:r>
              <w:t>0.062</w:t>
            </w:r>
          </w:p>
          <w:p w:rsidR="0041506A" w:rsidRDefault="0041506A" w:rsidP="0041506A">
            <w:pPr>
              <w:pStyle w:val="NoSpacing"/>
              <w:jc w:val="right"/>
            </w:pPr>
            <w:r>
              <w:t>25%</w:t>
            </w:r>
          </w:p>
        </w:tc>
        <w:tc>
          <w:tcPr>
            <w:tcW w:w="1418" w:type="dxa"/>
          </w:tcPr>
          <w:p w:rsidR="009F2AD7" w:rsidRDefault="0041506A" w:rsidP="0041506A">
            <w:pPr>
              <w:pStyle w:val="NoSpacing"/>
              <w:jc w:val="right"/>
            </w:pPr>
            <w:r>
              <w:t>1.1%</w:t>
            </w:r>
          </w:p>
        </w:tc>
      </w:tr>
    </w:tbl>
    <w:p w:rsidR="005B087D" w:rsidRDefault="005B087D" w:rsidP="005B087D">
      <w:pPr>
        <w:pStyle w:val="NoSpacing"/>
      </w:pPr>
    </w:p>
    <w:p w:rsidR="009A1CB0" w:rsidRDefault="00554C3D" w:rsidP="005B087D">
      <w:pPr>
        <w:pStyle w:val="NoSpacing"/>
      </w:pPr>
      <w:r>
        <w:t>&lt;pp&gt;105</w:t>
      </w:r>
    </w:p>
    <w:p w:rsidR="00554C3D" w:rsidRDefault="00554C3D" w:rsidP="005B087D">
      <w:pPr>
        <w:pStyle w:val="NoSpacing"/>
      </w:pPr>
    </w:p>
    <w:p w:rsidR="00554C3D" w:rsidRPr="00157A6B" w:rsidRDefault="00554C3D" w:rsidP="00234E85">
      <w:pPr>
        <w:pStyle w:val="Heading3"/>
      </w:pPr>
      <w:r w:rsidRPr="00157A6B">
        <w:t>2017 Environmental Data</w:t>
      </w:r>
    </w:p>
    <w:p w:rsidR="00554C3D" w:rsidRPr="00157A6B" w:rsidRDefault="00554C3D" w:rsidP="005B087D">
      <w:pPr>
        <w:pStyle w:val="NoSpacing"/>
        <w:rPr>
          <w:caps/>
        </w:rPr>
      </w:pPr>
    </w:p>
    <w:p w:rsidR="00554C3D" w:rsidRDefault="00554C3D" w:rsidP="005B087D">
      <w:pPr>
        <w:pStyle w:val="NoSpacing"/>
      </w:pPr>
      <w:r>
        <w:t xml:space="preserve">Energy use </w:t>
      </w:r>
    </w:p>
    <w:tbl>
      <w:tblPr>
        <w:tblStyle w:val="TableGrid"/>
        <w:tblW w:w="10916" w:type="dxa"/>
        <w:tblInd w:w="-998" w:type="dxa"/>
        <w:tblLook w:val="04A0" w:firstRow="1" w:lastRow="0" w:firstColumn="1" w:lastColumn="0" w:noHBand="0" w:noVBand="1"/>
      </w:tblPr>
      <w:tblGrid>
        <w:gridCol w:w="6096"/>
        <w:gridCol w:w="2410"/>
        <w:gridCol w:w="2410"/>
      </w:tblGrid>
      <w:tr w:rsidR="00554C3D" w:rsidTr="00157A6B">
        <w:tc>
          <w:tcPr>
            <w:tcW w:w="6096" w:type="dxa"/>
          </w:tcPr>
          <w:p w:rsidR="00554C3D" w:rsidRPr="00157A6B" w:rsidRDefault="00157A6B" w:rsidP="00157A6B">
            <w:pPr>
              <w:pStyle w:val="NoSpacing"/>
            </w:pPr>
            <w:r w:rsidRPr="00157A6B">
              <w:t>Total energy usage segment</w:t>
            </w:r>
            <w:r>
              <w:t xml:space="preserve">ed by primary source, including </w:t>
            </w:r>
            <w:r w:rsidRPr="00157A6B">
              <w:t>GreenPower</w:t>
            </w:r>
            <w:r>
              <w:t xml:space="preserve"> </w:t>
            </w:r>
            <w:r w:rsidRPr="00157A6B">
              <w:t>(megajoules)</w:t>
            </w:r>
          </w:p>
        </w:tc>
        <w:tc>
          <w:tcPr>
            <w:tcW w:w="2410" w:type="dxa"/>
          </w:tcPr>
          <w:p w:rsidR="00554C3D" w:rsidRDefault="00157A6B" w:rsidP="00157A6B">
            <w:pPr>
              <w:pStyle w:val="NoSpacing"/>
              <w:jc w:val="right"/>
            </w:pPr>
            <w:r>
              <w:t>Electricity</w:t>
            </w:r>
          </w:p>
          <w:p w:rsidR="00157A6B" w:rsidRDefault="00157A6B" w:rsidP="00157A6B">
            <w:pPr>
              <w:pStyle w:val="NoSpacing"/>
              <w:jc w:val="right"/>
            </w:pPr>
            <w:r>
              <w:t>Natural gas</w:t>
            </w:r>
          </w:p>
          <w:p w:rsidR="00157A6B" w:rsidRDefault="00157A6B" w:rsidP="00157A6B">
            <w:pPr>
              <w:pStyle w:val="NoSpacing"/>
              <w:jc w:val="right"/>
            </w:pPr>
            <w:r>
              <w:t>GreenPower</w:t>
            </w:r>
          </w:p>
          <w:p w:rsidR="00157A6B" w:rsidRDefault="00157A6B" w:rsidP="00157A6B">
            <w:pPr>
              <w:pStyle w:val="NoSpacing"/>
              <w:jc w:val="right"/>
            </w:pPr>
            <w:r>
              <w:t xml:space="preserve">Total </w:t>
            </w:r>
          </w:p>
        </w:tc>
        <w:tc>
          <w:tcPr>
            <w:tcW w:w="2410" w:type="dxa"/>
          </w:tcPr>
          <w:p w:rsidR="00554C3D" w:rsidRDefault="00157A6B" w:rsidP="00157A6B">
            <w:pPr>
              <w:pStyle w:val="NoSpacing"/>
              <w:jc w:val="right"/>
            </w:pPr>
            <w:r>
              <w:t>28,564,774</w:t>
            </w:r>
          </w:p>
          <w:p w:rsidR="00157A6B" w:rsidRDefault="00157A6B" w:rsidP="00157A6B">
            <w:pPr>
              <w:pStyle w:val="NoSpacing"/>
              <w:jc w:val="right"/>
            </w:pPr>
            <w:r>
              <w:t>20,617,255</w:t>
            </w:r>
          </w:p>
          <w:p w:rsidR="00157A6B" w:rsidRDefault="00157A6B" w:rsidP="00157A6B">
            <w:pPr>
              <w:pStyle w:val="NoSpacing"/>
              <w:jc w:val="right"/>
            </w:pPr>
            <w:r>
              <w:t>0</w:t>
            </w:r>
          </w:p>
          <w:p w:rsidR="00157A6B" w:rsidRDefault="00157A6B" w:rsidP="00157A6B">
            <w:pPr>
              <w:pStyle w:val="NoSpacing"/>
              <w:jc w:val="right"/>
            </w:pPr>
            <w:r>
              <w:t>49,182,029</w:t>
            </w:r>
          </w:p>
        </w:tc>
      </w:tr>
      <w:tr w:rsidR="00554C3D" w:rsidTr="00157A6B">
        <w:tc>
          <w:tcPr>
            <w:tcW w:w="6096" w:type="dxa"/>
          </w:tcPr>
          <w:p w:rsidR="00554C3D" w:rsidRPr="00157A6B" w:rsidRDefault="00157A6B" w:rsidP="00157A6B">
            <w:pPr>
              <w:pStyle w:val="NoSpacing"/>
            </w:pPr>
            <w:r w:rsidRPr="00157A6B">
              <w:t>Greenhouse gas emissi</w:t>
            </w:r>
            <w:r>
              <w:t xml:space="preserve">ons associated with energy use, </w:t>
            </w:r>
            <w:r w:rsidRPr="00157A6B">
              <w:t>segmented by primary</w:t>
            </w:r>
            <w:r>
              <w:t xml:space="preserve"> </w:t>
            </w:r>
            <w:r w:rsidRPr="00157A6B">
              <w:t>source and offsets (tonnes CO2e)</w:t>
            </w:r>
          </w:p>
        </w:tc>
        <w:tc>
          <w:tcPr>
            <w:tcW w:w="2410" w:type="dxa"/>
          </w:tcPr>
          <w:p w:rsidR="00554C3D" w:rsidRDefault="00157A6B" w:rsidP="00157A6B">
            <w:pPr>
              <w:pStyle w:val="NoSpacing"/>
              <w:jc w:val="right"/>
            </w:pPr>
            <w:r>
              <w:t>Electricity (S2)</w:t>
            </w:r>
          </w:p>
          <w:p w:rsidR="00157A6B" w:rsidRDefault="00157A6B" w:rsidP="00157A6B">
            <w:pPr>
              <w:pStyle w:val="NoSpacing"/>
              <w:jc w:val="right"/>
            </w:pPr>
            <w:r>
              <w:t>Electricity (S3)</w:t>
            </w:r>
          </w:p>
          <w:p w:rsidR="00157A6B" w:rsidRDefault="00157A6B" w:rsidP="00157A6B">
            <w:pPr>
              <w:pStyle w:val="NoSpacing"/>
              <w:jc w:val="right"/>
            </w:pPr>
            <w:r>
              <w:t>Natural gas (S1)</w:t>
            </w:r>
          </w:p>
          <w:p w:rsidR="00157A6B" w:rsidRDefault="00157A6B" w:rsidP="00157A6B">
            <w:pPr>
              <w:pStyle w:val="NoSpacing"/>
              <w:jc w:val="right"/>
            </w:pPr>
            <w:r>
              <w:t>Natural gas (S3)</w:t>
            </w:r>
          </w:p>
          <w:p w:rsidR="00157A6B" w:rsidRDefault="00157A6B" w:rsidP="00157A6B">
            <w:pPr>
              <w:pStyle w:val="NoSpacing"/>
              <w:jc w:val="right"/>
            </w:pPr>
            <w:r>
              <w:t>GreenPower</w:t>
            </w:r>
          </w:p>
          <w:p w:rsidR="00157A6B" w:rsidRDefault="00157A6B" w:rsidP="00157A6B">
            <w:pPr>
              <w:pStyle w:val="NoSpacing"/>
              <w:jc w:val="right"/>
            </w:pPr>
            <w:r>
              <w:t xml:space="preserve">Total </w:t>
            </w:r>
          </w:p>
        </w:tc>
        <w:tc>
          <w:tcPr>
            <w:tcW w:w="2410" w:type="dxa"/>
          </w:tcPr>
          <w:p w:rsidR="00554C3D" w:rsidRDefault="00157A6B" w:rsidP="00157A6B">
            <w:pPr>
              <w:pStyle w:val="NoSpacing"/>
              <w:jc w:val="right"/>
            </w:pPr>
            <w:r>
              <w:t>8,569</w:t>
            </w:r>
          </w:p>
          <w:p w:rsidR="00157A6B" w:rsidRDefault="00157A6B" w:rsidP="00157A6B">
            <w:pPr>
              <w:pStyle w:val="NoSpacing"/>
              <w:jc w:val="right"/>
            </w:pPr>
            <w:r>
              <w:t>793</w:t>
            </w:r>
          </w:p>
          <w:p w:rsidR="00157A6B" w:rsidRDefault="00157A6B" w:rsidP="00157A6B">
            <w:pPr>
              <w:pStyle w:val="NoSpacing"/>
              <w:jc w:val="right"/>
            </w:pPr>
            <w:r>
              <w:t>1,060</w:t>
            </w:r>
          </w:p>
          <w:p w:rsidR="00157A6B" w:rsidRDefault="00157A6B" w:rsidP="00157A6B">
            <w:pPr>
              <w:pStyle w:val="NoSpacing"/>
              <w:jc w:val="right"/>
            </w:pPr>
            <w:r>
              <w:t>89</w:t>
            </w:r>
          </w:p>
          <w:p w:rsidR="00157A6B" w:rsidRDefault="00157A6B" w:rsidP="00157A6B">
            <w:pPr>
              <w:pStyle w:val="NoSpacing"/>
              <w:jc w:val="right"/>
            </w:pPr>
            <w:r>
              <w:t>0</w:t>
            </w:r>
          </w:p>
          <w:p w:rsidR="00157A6B" w:rsidRDefault="00157A6B" w:rsidP="00157A6B">
            <w:pPr>
              <w:pStyle w:val="NoSpacing"/>
              <w:jc w:val="right"/>
            </w:pPr>
            <w:r>
              <w:t>10,551</w:t>
            </w:r>
          </w:p>
        </w:tc>
      </w:tr>
      <w:tr w:rsidR="00554C3D" w:rsidTr="00157A6B">
        <w:tc>
          <w:tcPr>
            <w:tcW w:w="6096" w:type="dxa"/>
          </w:tcPr>
          <w:p w:rsidR="00554C3D" w:rsidRPr="00157A6B" w:rsidRDefault="00157A6B" w:rsidP="00157A6B">
            <w:pPr>
              <w:pStyle w:val="NoSpacing"/>
            </w:pPr>
            <w:r w:rsidRPr="00157A6B">
              <w:t>Percentage of electricity purchased as GreenPower (%)</w:t>
            </w:r>
          </w:p>
        </w:tc>
        <w:tc>
          <w:tcPr>
            <w:tcW w:w="2410" w:type="dxa"/>
          </w:tcPr>
          <w:p w:rsidR="00554C3D" w:rsidRDefault="00554C3D" w:rsidP="00157A6B">
            <w:pPr>
              <w:pStyle w:val="NoSpacing"/>
              <w:jc w:val="right"/>
            </w:pPr>
          </w:p>
        </w:tc>
        <w:tc>
          <w:tcPr>
            <w:tcW w:w="2410" w:type="dxa"/>
          </w:tcPr>
          <w:p w:rsidR="00554C3D" w:rsidRDefault="00157A6B" w:rsidP="00157A6B">
            <w:pPr>
              <w:pStyle w:val="NoSpacing"/>
              <w:jc w:val="right"/>
            </w:pPr>
            <w:r>
              <w:t>0</w:t>
            </w:r>
          </w:p>
        </w:tc>
      </w:tr>
      <w:tr w:rsidR="00554C3D" w:rsidTr="00157A6B">
        <w:tc>
          <w:tcPr>
            <w:tcW w:w="6096" w:type="dxa"/>
          </w:tcPr>
          <w:p w:rsidR="00554C3D" w:rsidRPr="00157A6B" w:rsidRDefault="00157A6B" w:rsidP="00157A6B">
            <w:pPr>
              <w:pStyle w:val="NoSpacing"/>
            </w:pPr>
            <w:r w:rsidRPr="00157A6B">
              <w:t>Units of energy used per full</w:t>
            </w:r>
            <w:r>
              <w:t xml:space="preserve"> time employee - FTE value used </w:t>
            </w:r>
            <w:r w:rsidRPr="00157A6B">
              <w:t>(megajoules per FTE)</w:t>
            </w:r>
          </w:p>
        </w:tc>
        <w:tc>
          <w:tcPr>
            <w:tcW w:w="2410" w:type="dxa"/>
          </w:tcPr>
          <w:p w:rsidR="00554C3D" w:rsidRDefault="00554C3D" w:rsidP="00157A6B">
            <w:pPr>
              <w:pStyle w:val="NoSpacing"/>
              <w:jc w:val="right"/>
            </w:pPr>
          </w:p>
        </w:tc>
        <w:tc>
          <w:tcPr>
            <w:tcW w:w="2410" w:type="dxa"/>
          </w:tcPr>
          <w:p w:rsidR="00554C3D" w:rsidRDefault="00157A6B" w:rsidP="00157A6B">
            <w:pPr>
              <w:pStyle w:val="NoSpacing"/>
              <w:jc w:val="right"/>
            </w:pPr>
            <w:r>
              <w:t>54,046</w:t>
            </w:r>
          </w:p>
        </w:tc>
      </w:tr>
      <w:tr w:rsidR="00554C3D" w:rsidTr="00157A6B">
        <w:tc>
          <w:tcPr>
            <w:tcW w:w="6096" w:type="dxa"/>
          </w:tcPr>
          <w:p w:rsidR="00554C3D" w:rsidRPr="00157A6B" w:rsidRDefault="00157A6B" w:rsidP="00157A6B">
            <w:pPr>
              <w:pStyle w:val="NoSpacing"/>
            </w:pPr>
            <w:r w:rsidRPr="00157A6B">
              <w:t>Units of energy used per unit of office area (megajoules per m</w:t>
            </w:r>
            <w:r>
              <w:rPr>
                <w:position w:val="6"/>
                <w:sz w:val="12"/>
                <w:szCs w:val="12"/>
              </w:rPr>
              <w:t>2</w:t>
            </w:r>
            <w:r w:rsidRPr="00157A6B">
              <w:t>)</w:t>
            </w:r>
          </w:p>
        </w:tc>
        <w:tc>
          <w:tcPr>
            <w:tcW w:w="2410" w:type="dxa"/>
          </w:tcPr>
          <w:p w:rsidR="00554C3D" w:rsidRDefault="00554C3D" w:rsidP="00157A6B">
            <w:pPr>
              <w:pStyle w:val="NoSpacing"/>
              <w:jc w:val="right"/>
            </w:pPr>
          </w:p>
        </w:tc>
        <w:tc>
          <w:tcPr>
            <w:tcW w:w="2410" w:type="dxa"/>
          </w:tcPr>
          <w:p w:rsidR="00554C3D" w:rsidRDefault="00157A6B" w:rsidP="00157A6B">
            <w:pPr>
              <w:pStyle w:val="NoSpacing"/>
              <w:jc w:val="right"/>
            </w:pPr>
            <w:r>
              <w:t>382</w:t>
            </w:r>
          </w:p>
        </w:tc>
      </w:tr>
    </w:tbl>
    <w:p w:rsidR="00554C3D" w:rsidRDefault="00554C3D" w:rsidP="005B087D">
      <w:pPr>
        <w:pStyle w:val="NoSpacing"/>
      </w:pPr>
    </w:p>
    <w:p w:rsidR="00554C3D" w:rsidRDefault="00554C3D" w:rsidP="005B087D">
      <w:pPr>
        <w:pStyle w:val="NoSpacing"/>
      </w:pPr>
    </w:p>
    <w:p w:rsidR="00157A6B" w:rsidRDefault="00D27A59" w:rsidP="005B087D">
      <w:pPr>
        <w:pStyle w:val="NoSpacing"/>
      </w:pPr>
      <w:r>
        <w:t>Waste production</w:t>
      </w:r>
    </w:p>
    <w:tbl>
      <w:tblPr>
        <w:tblStyle w:val="TableGrid"/>
        <w:tblW w:w="10916" w:type="dxa"/>
        <w:tblInd w:w="-998" w:type="dxa"/>
        <w:tblLook w:val="04A0" w:firstRow="1" w:lastRow="0" w:firstColumn="1" w:lastColumn="0" w:noHBand="0" w:noVBand="1"/>
      </w:tblPr>
      <w:tblGrid>
        <w:gridCol w:w="6096"/>
        <w:gridCol w:w="2410"/>
        <w:gridCol w:w="2410"/>
      </w:tblGrid>
      <w:tr w:rsidR="00D27A59" w:rsidTr="008F073A">
        <w:tc>
          <w:tcPr>
            <w:tcW w:w="6096" w:type="dxa"/>
          </w:tcPr>
          <w:p w:rsidR="00D27A59" w:rsidRPr="002F6813" w:rsidRDefault="00D27A59" w:rsidP="002F6813">
            <w:pPr>
              <w:pStyle w:val="NoSpacing"/>
            </w:pPr>
            <w:r w:rsidRPr="002F6813">
              <w:t>Total units of office waste dis</w:t>
            </w:r>
            <w:r w:rsidR="002F6813">
              <w:t xml:space="preserve">posed of by destination (kg per </w:t>
            </w:r>
            <w:r w:rsidRPr="002F6813">
              <w:t>year)</w:t>
            </w:r>
          </w:p>
        </w:tc>
        <w:tc>
          <w:tcPr>
            <w:tcW w:w="2410" w:type="dxa"/>
          </w:tcPr>
          <w:p w:rsidR="00D27A59" w:rsidRDefault="00D27A59" w:rsidP="00D27A59">
            <w:pPr>
              <w:pStyle w:val="NoSpacing"/>
              <w:jc w:val="right"/>
            </w:pPr>
            <w:r>
              <w:t>Landfill</w:t>
            </w:r>
          </w:p>
          <w:p w:rsidR="00D27A59" w:rsidRDefault="00D27A59" w:rsidP="00D27A59">
            <w:pPr>
              <w:pStyle w:val="NoSpacing"/>
              <w:jc w:val="right"/>
            </w:pPr>
            <w:r>
              <w:t>Recycled</w:t>
            </w:r>
          </w:p>
          <w:p w:rsidR="00D27A59" w:rsidRDefault="00D27A59" w:rsidP="00D27A59">
            <w:pPr>
              <w:pStyle w:val="NoSpacing"/>
              <w:jc w:val="right"/>
            </w:pPr>
            <w:r>
              <w:t>Total</w:t>
            </w:r>
          </w:p>
        </w:tc>
        <w:tc>
          <w:tcPr>
            <w:tcW w:w="2410" w:type="dxa"/>
          </w:tcPr>
          <w:p w:rsidR="00D27A59" w:rsidRDefault="00D27A59" w:rsidP="00D27A59">
            <w:pPr>
              <w:pStyle w:val="NoSpacing"/>
              <w:jc w:val="right"/>
            </w:pPr>
            <w:r>
              <w:t>1,073,974</w:t>
            </w:r>
          </w:p>
          <w:p w:rsidR="00D27A59" w:rsidRDefault="00D27A59" w:rsidP="00D27A59">
            <w:pPr>
              <w:pStyle w:val="NoSpacing"/>
              <w:jc w:val="right"/>
            </w:pPr>
            <w:r>
              <w:t>360,943</w:t>
            </w:r>
          </w:p>
          <w:p w:rsidR="00D27A59" w:rsidRDefault="00D27A59" w:rsidP="00D27A59">
            <w:pPr>
              <w:pStyle w:val="NoSpacing"/>
              <w:jc w:val="right"/>
            </w:pPr>
            <w:r>
              <w:t>1,434,916</w:t>
            </w:r>
          </w:p>
        </w:tc>
      </w:tr>
      <w:tr w:rsidR="00D27A59" w:rsidTr="008F073A">
        <w:tc>
          <w:tcPr>
            <w:tcW w:w="6096" w:type="dxa"/>
          </w:tcPr>
          <w:p w:rsidR="00D27A59" w:rsidRPr="002F6813" w:rsidRDefault="00D27A59" w:rsidP="002F6813">
            <w:pPr>
              <w:pStyle w:val="NoSpacing"/>
            </w:pPr>
            <w:r w:rsidRPr="002F6813">
              <w:t>Units of office waste disposed of per full time employee - FTE by destination (kg per FTE)</w:t>
            </w:r>
          </w:p>
        </w:tc>
        <w:tc>
          <w:tcPr>
            <w:tcW w:w="2410" w:type="dxa"/>
          </w:tcPr>
          <w:p w:rsidR="00D27A59" w:rsidRDefault="00D27A59" w:rsidP="008F073A">
            <w:pPr>
              <w:pStyle w:val="NoSpacing"/>
              <w:jc w:val="right"/>
            </w:pPr>
          </w:p>
        </w:tc>
        <w:tc>
          <w:tcPr>
            <w:tcW w:w="2410" w:type="dxa"/>
          </w:tcPr>
          <w:p w:rsidR="00D27A59" w:rsidRDefault="00D27A59" w:rsidP="008F073A">
            <w:pPr>
              <w:pStyle w:val="NoSpacing"/>
              <w:jc w:val="right"/>
            </w:pPr>
            <w:r>
              <w:t>1,577</w:t>
            </w:r>
          </w:p>
        </w:tc>
      </w:tr>
      <w:tr w:rsidR="00D27A59" w:rsidTr="008F073A">
        <w:tc>
          <w:tcPr>
            <w:tcW w:w="6096" w:type="dxa"/>
          </w:tcPr>
          <w:p w:rsidR="00D27A59" w:rsidRPr="002F6813" w:rsidRDefault="00D27A59" w:rsidP="002F6813">
            <w:pPr>
              <w:pStyle w:val="NoSpacing"/>
            </w:pPr>
            <w:r w:rsidRPr="002F6813">
              <w:t>Recycling rate (% of total waste by weight)</w:t>
            </w:r>
          </w:p>
        </w:tc>
        <w:tc>
          <w:tcPr>
            <w:tcW w:w="2410" w:type="dxa"/>
          </w:tcPr>
          <w:p w:rsidR="00D27A59" w:rsidRDefault="00D27A59" w:rsidP="008F073A">
            <w:pPr>
              <w:pStyle w:val="NoSpacing"/>
              <w:jc w:val="right"/>
            </w:pPr>
          </w:p>
        </w:tc>
        <w:tc>
          <w:tcPr>
            <w:tcW w:w="2410" w:type="dxa"/>
          </w:tcPr>
          <w:p w:rsidR="00D27A59" w:rsidRDefault="00D27A59" w:rsidP="008F073A">
            <w:pPr>
              <w:pStyle w:val="NoSpacing"/>
              <w:jc w:val="right"/>
            </w:pPr>
            <w:r>
              <w:t>25%</w:t>
            </w:r>
          </w:p>
        </w:tc>
      </w:tr>
      <w:tr w:rsidR="00D27A59" w:rsidTr="008F073A">
        <w:tc>
          <w:tcPr>
            <w:tcW w:w="6096" w:type="dxa"/>
          </w:tcPr>
          <w:p w:rsidR="00D27A59" w:rsidRPr="002F6813" w:rsidRDefault="00D27A59" w:rsidP="002F6813">
            <w:pPr>
              <w:pStyle w:val="NoSpacing"/>
            </w:pPr>
            <w:r w:rsidRPr="002F6813">
              <w:t>Greenhouse gas emissions</w:t>
            </w:r>
            <w:r w:rsidR="002F6813">
              <w:t xml:space="preserve"> associated with waste disposal </w:t>
            </w:r>
            <w:r w:rsidRPr="002F6813">
              <w:t>(tonnes CO2e)</w:t>
            </w:r>
          </w:p>
        </w:tc>
        <w:tc>
          <w:tcPr>
            <w:tcW w:w="2410" w:type="dxa"/>
          </w:tcPr>
          <w:p w:rsidR="00D27A59" w:rsidRDefault="00D27A59" w:rsidP="008F073A">
            <w:pPr>
              <w:pStyle w:val="NoSpacing"/>
              <w:jc w:val="right"/>
            </w:pPr>
          </w:p>
        </w:tc>
        <w:tc>
          <w:tcPr>
            <w:tcW w:w="2410" w:type="dxa"/>
          </w:tcPr>
          <w:p w:rsidR="00D27A59" w:rsidRDefault="00D27A59" w:rsidP="008F073A">
            <w:pPr>
              <w:pStyle w:val="NoSpacing"/>
              <w:jc w:val="right"/>
            </w:pPr>
            <w:r>
              <w:t>1,181</w:t>
            </w:r>
          </w:p>
        </w:tc>
      </w:tr>
    </w:tbl>
    <w:p w:rsidR="005B087D" w:rsidRDefault="005B087D" w:rsidP="00A4384D">
      <w:pPr>
        <w:pStyle w:val="NoSpacing"/>
      </w:pPr>
    </w:p>
    <w:p w:rsidR="00D27A59" w:rsidRDefault="00D27A59" w:rsidP="00A4384D">
      <w:pPr>
        <w:pStyle w:val="NoSpacing"/>
      </w:pPr>
      <w:r>
        <w:t xml:space="preserve">Paper use </w:t>
      </w:r>
    </w:p>
    <w:tbl>
      <w:tblPr>
        <w:tblStyle w:val="TableGrid"/>
        <w:tblW w:w="10916" w:type="dxa"/>
        <w:tblInd w:w="-998" w:type="dxa"/>
        <w:tblLook w:val="04A0" w:firstRow="1" w:lastRow="0" w:firstColumn="1" w:lastColumn="0" w:noHBand="0" w:noVBand="1"/>
      </w:tblPr>
      <w:tblGrid>
        <w:gridCol w:w="6096"/>
        <w:gridCol w:w="2410"/>
        <w:gridCol w:w="2410"/>
      </w:tblGrid>
      <w:tr w:rsidR="00D27A59" w:rsidTr="008F073A">
        <w:tc>
          <w:tcPr>
            <w:tcW w:w="6096" w:type="dxa"/>
          </w:tcPr>
          <w:p w:rsidR="00D27A59" w:rsidRPr="00157A6B" w:rsidRDefault="00D27A59" w:rsidP="00DB1B5F">
            <w:pPr>
              <w:pStyle w:val="NoSpacing"/>
            </w:pPr>
            <w:r>
              <w:t>Total units of A4 equivalent copy paper used (reams) (1 ream = 500 pages/sheets).</w:t>
            </w:r>
            <w:r w:rsidR="00DB1B5F">
              <w:t xml:space="preserve"> </w:t>
            </w:r>
            <w:r>
              <w:t>*Figure is based o</w:t>
            </w:r>
            <w:r w:rsidR="00DB1B5F">
              <w:t xml:space="preserve">n the assumption that the total </w:t>
            </w:r>
            <w:r>
              <w:t>impres</w:t>
            </w:r>
            <w:r w:rsidR="00DB1B5F">
              <w:t xml:space="preserve">sions/clicks are all calculated </w:t>
            </w:r>
            <w:r>
              <w:t xml:space="preserve">as printing double sided </w:t>
            </w:r>
            <w:r>
              <w:lastRenderedPageBreak/>
              <w:t>only to work out the total page/paper count. A3 paper usage</w:t>
            </w:r>
            <w:r w:rsidR="00DB1B5F">
              <w:t xml:space="preserve"> </w:t>
            </w:r>
            <w:r>
              <w:t>has not been included.</w:t>
            </w:r>
          </w:p>
        </w:tc>
        <w:tc>
          <w:tcPr>
            <w:tcW w:w="2410" w:type="dxa"/>
          </w:tcPr>
          <w:p w:rsidR="00D27A59" w:rsidRDefault="002F6813" w:rsidP="008F073A">
            <w:pPr>
              <w:pStyle w:val="NoSpacing"/>
              <w:jc w:val="right"/>
            </w:pPr>
            <w:r>
              <w:lastRenderedPageBreak/>
              <w:t>Corridor printers*</w:t>
            </w:r>
          </w:p>
          <w:p w:rsidR="002F6813" w:rsidRDefault="002F6813" w:rsidP="008F073A">
            <w:pPr>
              <w:pStyle w:val="NoSpacing"/>
              <w:jc w:val="right"/>
            </w:pPr>
            <w:r>
              <w:t>Print Room</w:t>
            </w:r>
          </w:p>
          <w:p w:rsidR="002F6813" w:rsidRDefault="002F6813" w:rsidP="008F073A">
            <w:pPr>
              <w:pStyle w:val="NoSpacing"/>
              <w:jc w:val="right"/>
            </w:pPr>
            <w:r>
              <w:t>Total</w:t>
            </w:r>
          </w:p>
        </w:tc>
        <w:tc>
          <w:tcPr>
            <w:tcW w:w="2410" w:type="dxa"/>
          </w:tcPr>
          <w:p w:rsidR="00D27A59" w:rsidRDefault="002F6813" w:rsidP="008F073A">
            <w:pPr>
              <w:pStyle w:val="NoSpacing"/>
              <w:jc w:val="right"/>
            </w:pPr>
            <w:r>
              <w:t>16,716</w:t>
            </w:r>
          </w:p>
          <w:p w:rsidR="002F6813" w:rsidRDefault="002F6813" w:rsidP="008F073A">
            <w:pPr>
              <w:pStyle w:val="NoSpacing"/>
              <w:jc w:val="right"/>
            </w:pPr>
            <w:r>
              <w:t>9,493</w:t>
            </w:r>
          </w:p>
          <w:p w:rsidR="002F6813" w:rsidRDefault="002F6813" w:rsidP="008F073A">
            <w:pPr>
              <w:pStyle w:val="NoSpacing"/>
              <w:jc w:val="right"/>
            </w:pPr>
            <w:r>
              <w:t>26,208</w:t>
            </w:r>
          </w:p>
          <w:p w:rsidR="002F6813" w:rsidRDefault="002F6813" w:rsidP="008F073A">
            <w:pPr>
              <w:pStyle w:val="NoSpacing"/>
              <w:jc w:val="right"/>
            </w:pPr>
          </w:p>
        </w:tc>
      </w:tr>
      <w:tr w:rsidR="00D27A59" w:rsidTr="008F073A">
        <w:tc>
          <w:tcPr>
            <w:tcW w:w="6096" w:type="dxa"/>
          </w:tcPr>
          <w:p w:rsidR="00D27A59" w:rsidRPr="00157A6B" w:rsidRDefault="00D27A59" w:rsidP="00DB1B5F">
            <w:pPr>
              <w:pStyle w:val="NoSpacing"/>
            </w:pPr>
            <w:r>
              <w:t>Units of A4 equivalent copy p</w:t>
            </w:r>
            <w:r w:rsidR="00DB1B5F">
              <w:t xml:space="preserve">aper used per full time employee </w:t>
            </w:r>
            <w:r>
              <w:t>FTE (reams per FTE)</w:t>
            </w:r>
          </w:p>
        </w:tc>
        <w:tc>
          <w:tcPr>
            <w:tcW w:w="2410" w:type="dxa"/>
          </w:tcPr>
          <w:p w:rsidR="00D27A59" w:rsidRDefault="00D27A59" w:rsidP="008F073A">
            <w:pPr>
              <w:pStyle w:val="NoSpacing"/>
              <w:jc w:val="right"/>
            </w:pPr>
          </w:p>
        </w:tc>
        <w:tc>
          <w:tcPr>
            <w:tcW w:w="2410" w:type="dxa"/>
          </w:tcPr>
          <w:p w:rsidR="00D27A59" w:rsidRDefault="002F6813" w:rsidP="008F073A">
            <w:pPr>
              <w:pStyle w:val="NoSpacing"/>
              <w:jc w:val="right"/>
            </w:pPr>
            <w:r>
              <w:t>28.8</w:t>
            </w:r>
          </w:p>
        </w:tc>
      </w:tr>
      <w:tr w:rsidR="00D27A59" w:rsidTr="008F073A">
        <w:tc>
          <w:tcPr>
            <w:tcW w:w="6096" w:type="dxa"/>
          </w:tcPr>
          <w:p w:rsidR="00D27A59" w:rsidRPr="00157A6B" w:rsidRDefault="00D27A59" w:rsidP="00DB1B5F">
            <w:pPr>
              <w:pStyle w:val="NoSpacing"/>
            </w:pPr>
            <w:r>
              <w:t>Percentage of recycled content in copy paper purchased (%)</w:t>
            </w:r>
          </w:p>
        </w:tc>
        <w:tc>
          <w:tcPr>
            <w:tcW w:w="2410" w:type="dxa"/>
          </w:tcPr>
          <w:p w:rsidR="00D27A59" w:rsidRDefault="00DB1B5F" w:rsidP="008F073A">
            <w:pPr>
              <w:pStyle w:val="NoSpacing"/>
              <w:jc w:val="right"/>
            </w:pPr>
            <w:r>
              <w:t>Recycled content</w:t>
            </w:r>
          </w:p>
          <w:p w:rsidR="00DB1B5F" w:rsidRDefault="00DB1B5F" w:rsidP="008F073A">
            <w:pPr>
              <w:pStyle w:val="NoSpacing"/>
              <w:jc w:val="right"/>
            </w:pPr>
            <w:r>
              <w:t>Carbon neutral</w:t>
            </w:r>
          </w:p>
          <w:p w:rsidR="00DB1B5F" w:rsidRDefault="00DB1B5F" w:rsidP="008F073A">
            <w:pPr>
              <w:pStyle w:val="NoSpacing"/>
              <w:jc w:val="right"/>
            </w:pPr>
            <w:r>
              <w:t>FSC/PEFC accredited</w:t>
            </w:r>
          </w:p>
        </w:tc>
        <w:tc>
          <w:tcPr>
            <w:tcW w:w="2410" w:type="dxa"/>
          </w:tcPr>
          <w:p w:rsidR="00D27A59" w:rsidRDefault="00DB1B5F" w:rsidP="008F073A">
            <w:pPr>
              <w:pStyle w:val="NoSpacing"/>
              <w:jc w:val="right"/>
            </w:pPr>
            <w:r>
              <w:t>-</w:t>
            </w:r>
          </w:p>
          <w:p w:rsidR="00DB1B5F" w:rsidRDefault="00DB1B5F" w:rsidP="008F073A">
            <w:pPr>
              <w:pStyle w:val="NoSpacing"/>
              <w:jc w:val="right"/>
            </w:pPr>
            <w:r>
              <w:t>-</w:t>
            </w:r>
          </w:p>
          <w:p w:rsidR="00DB1B5F" w:rsidRDefault="00DB1B5F" w:rsidP="008F073A">
            <w:pPr>
              <w:pStyle w:val="NoSpacing"/>
              <w:jc w:val="right"/>
            </w:pPr>
            <w:r>
              <w:t>48.6</w:t>
            </w:r>
          </w:p>
        </w:tc>
      </w:tr>
    </w:tbl>
    <w:p w:rsidR="0068492B" w:rsidRDefault="0068492B" w:rsidP="00A4384D">
      <w:pPr>
        <w:pStyle w:val="NoSpacing"/>
      </w:pPr>
    </w:p>
    <w:p w:rsidR="00D27A59" w:rsidRDefault="00D27A59" w:rsidP="00A4384D">
      <w:pPr>
        <w:pStyle w:val="NoSpacing"/>
      </w:pPr>
      <w:r>
        <w:t>Water consumption</w:t>
      </w:r>
    </w:p>
    <w:tbl>
      <w:tblPr>
        <w:tblStyle w:val="TableGrid"/>
        <w:tblW w:w="10916" w:type="dxa"/>
        <w:tblInd w:w="-998" w:type="dxa"/>
        <w:tblLook w:val="04A0" w:firstRow="1" w:lastRow="0" w:firstColumn="1" w:lastColumn="0" w:noHBand="0" w:noVBand="1"/>
      </w:tblPr>
      <w:tblGrid>
        <w:gridCol w:w="9640"/>
        <w:gridCol w:w="1276"/>
      </w:tblGrid>
      <w:tr w:rsidR="00865CCA" w:rsidTr="00865CCA">
        <w:tc>
          <w:tcPr>
            <w:tcW w:w="9640" w:type="dxa"/>
          </w:tcPr>
          <w:p w:rsidR="00865CCA" w:rsidRPr="00865CCA" w:rsidRDefault="00865CCA" w:rsidP="00865CCA">
            <w:pPr>
              <w:pStyle w:val="NoSpacing"/>
            </w:pPr>
            <w:r w:rsidRPr="00865CCA">
              <w:t>Total units of metered water consumed by water source (kilolitres)</w:t>
            </w:r>
          </w:p>
        </w:tc>
        <w:tc>
          <w:tcPr>
            <w:tcW w:w="1276" w:type="dxa"/>
          </w:tcPr>
          <w:p w:rsidR="00865CCA" w:rsidRDefault="00865CCA" w:rsidP="008F073A">
            <w:pPr>
              <w:pStyle w:val="NoSpacing"/>
              <w:jc w:val="right"/>
            </w:pPr>
            <w:r>
              <w:t>26,629</w:t>
            </w:r>
          </w:p>
        </w:tc>
      </w:tr>
      <w:tr w:rsidR="00865CCA" w:rsidTr="00865CCA">
        <w:tc>
          <w:tcPr>
            <w:tcW w:w="9640" w:type="dxa"/>
          </w:tcPr>
          <w:p w:rsidR="00865CCA" w:rsidRPr="00865CCA" w:rsidRDefault="00865CCA" w:rsidP="00865CCA">
            <w:pPr>
              <w:pStyle w:val="NoSpacing"/>
            </w:pPr>
            <w:r w:rsidRPr="00865CCA">
              <w:t>Units of metered water consumed in offices per FTE (kilolitres per full time employee - FTE)</w:t>
            </w:r>
          </w:p>
        </w:tc>
        <w:tc>
          <w:tcPr>
            <w:tcW w:w="1276" w:type="dxa"/>
          </w:tcPr>
          <w:p w:rsidR="00865CCA" w:rsidRDefault="00865CCA" w:rsidP="008F073A">
            <w:pPr>
              <w:pStyle w:val="NoSpacing"/>
              <w:jc w:val="right"/>
            </w:pPr>
            <w:r>
              <w:t>29.3</w:t>
            </w:r>
          </w:p>
        </w:tc>
      </w:tr>
      <w:tr w:rsidR="00865CCA" w:rsidTr="00865CCA">
        <w:tc>
          <w:tcPr>
            <w:tcW w:w="9640" w:type="dxa"/>
          </w:tcPr>
          <w:p w:rsidR="00865CCA" w:rsidRPr="00865CCA" w:rsidRDefault="00865CCA" w:rsidP="00865CCA">
            <w:pPr>
              <w:pStyle w:val="NoSpacing"/>
            </w:pPr>
            <w:r w:rsidRPr="00865CCA">
              <w:t>Units of metered water consumed in offices per unit of office area (kilolitres per m</w:t>
            </w:r>
            <w:r w:rsidR="005F21BC">
              <w:rPr>
                <w:position w:val="6"/>
                <w:sz w:val="12"/>
                <w:szCs w:val="12"/>
              </w:rPr>
              <w:t>2</w:t>
            </w:r>
            <w:r w:rsidRPr="00865CCA">
              <w:t>)</w:t>
            </w:r>
          </w:p>
        </w:tc>
        <w:tc>
          <w:tcPr>
            <w:tcW w:w="1276" w:type="dxa"/>
          </w:tcPr>
          <w:p w:rsidR="00865CCA" w:rsidRDefault="00865CCA" w:rsidP="008F073A">
            <w:pPr>
              <w:pStyle w:val="NoSpacing"/>
              <w:jc w:val="right"/>
            </w:pPr>
            <w:r>
              <w:t>0.21</w:t>
            </w:r>
          </w:p>
        </w:tc>
      </w:tr>
    </w:tbl>
    <w:p w:rsidR="00D27A59" w:rsidRDefault="00D27A59" w:rsidP="00A4384D">
      <w:pPr>
        <w:pStyle w:val="NoSpacing"/>
      </w:pPr>
    </w:p>
    <w:p w:rsidR="005F21BC" w:rsidRDefault="005F21BC" w:rsidP="00A4384D">
      <w:pPr>
        <w:pStyle w:val="NoSpacing"/>
      </w:pPr>
      <w:r>
        <w:t>&lt;pp&gt;106</w:t>
      </w:r>
    </w:p>
    <w:p w:rsidR="005F21BC" w:rsidRDefault="005F21BC" w:rsidP="00A4384D">
      <w:pPr>
        <w:pStyle w:val="NoSpacing"/>
      </w:pPr>
    </w:p>
    <w:p w:rsidR="005F21BC" w:rsidRPr="00157A6B" w:rsidRDefault="005F21BC" w:rsidP="00234E85">
      <w:pPr>
        <w:pStyle w:val="Heading3"/>
      </w:pPr>
      <w:r w:rsidRPr="00157A6B">
        <w:t>2017 Environmental Data</w:t>
      </w:r>
      <w:r>
        <w:t xml:space="preserve"> (continued)</w:t>
      </w:r>
    </w:p>
    <w:p w:rsidR="005F21BC" w:rsidRDefault="005F21BC" w:rsidP="00A4384D">
      <w:pPr>
        <w:pStyle w:val="NoSpacing"/>
      </w:pPr>
    </w:p>
    <w:p w:rsidR="005F21BC" w:rsidRDefault="005F21BC" w:rsidP="00A4384D">
      <w:pPr>
        <w:pStyle w:val="NoSpacing"/>
      </w:pPr>
      <w:r>
        <w:t>Transportation</w:t>
      </w:r>
    </w:p>
    <w:tbl>
      <w:tblPr>
        <w:tblStyle w:val="TableGrid"/>
        <w:tblW w:w="10916" w:type="dxa"/>
        <w:tblInd w:w="-998" w:type="dxa"/>
        <w:tblLook w:val="04A0" w:firstRow="1" w:lastRow="0" w:firstColumn="1" w:lastColumn="0" w:noHBand="0" w:noVBand="1"/>
      </w:tblPr>
      <w:tblGrid>
        <w:gridCol w:w="6096"/>
        <w:gridCol w:w="2410"/>
        <w:gridCol w:w="2410"/>
      </w:tblGrid>
      <w:tr w:rsidR="005F21BC" w:rsidTr="008F073A">
        <w:tc>
          <w:tcPr>
            <w:tcW w:w="6096" w:type="dxa"/>
          </w:tcPr>
          <w:p w:rsidR="005F21BC" w:rsidRPr="005F21BC" w:rsidRDefault="005F21BC" w:rsidP="005F21BC">
            <w:pPr>
              <w:pStyle w:val="NoSpacing"/>
            </w:pPr>
            <w:r w:rsidRPr="005F21BC">
              <w:t>Total energy consumption by vehicle fleet segmented by vehicle type (MJ)</w:t>
            </w:r>
          </w:p>
        </w:tc>
        <w:tc>
          <w:tcPr>
            <w:tcW w:w="2410" w:type="dxa"/>
          </w:tcPr>
          <w:p w:rsidR="005F21BC" w:rsidRDefault="005F21BC" w:rsidP="008F073A">
            <w:pPr>
              <w:pStyle w:val="NoSpacing"/>
              <w:jc w:val="right"/>
            </w:pPr>
            <w:r>
              <w:t>Diesel</w:t>
            </w:r>
          </w:p>
          <w:p w:rsidR="005F21BC" w:rsidRDefault="005F21BC" w:rsidP="008F073A">
            <w:pPr>
              <w:pStyle w:val="NoSpacing"/>
              <w:jc w:val="right"/>
            </w:pPr>
            <w:r>
              <w:t>LPG</w:t>
            </w:r>
          </w:p>
          <w:p w:rsidR="005F21BC" w:rsidRDefault="005F21BC" w:rsidP="008F073A">
            <w:pPr>
              <w:pStyle w:val="NoSpacing"/>
              <w:jc w:val="right"/>
            </w:pPr>
            <w:r>
              <w:t>Petrol</w:t>
            </w:r>
          </w:p>
          <w:p w:rsidR="005F21BC" w:rsidRDefault="005F21BC" w:rsidP="008F073A">
            <w:pPr>
              <w:pStyle w:val="NoSpacing"/>
              <w:jc w:val="right"/>
            </w:pPr>
            <w:r>
              <w:t>Total</w:t>
            </w:r>
          </w:p>
        </w:tc>
        <w:tc>
          <w:tcPr>
            <w:tcW w:w="2410" w:type="dxa"/>
          </w:tcPr>
          <w:p w:rsidR="005F21BC" w:rsidRDefault="005F21BC" w:rsidP="008F073A">
            <w:pPr>
              <w:pStyle w:val="NoSpacing"/>
              <w:jc w:val="right"/>
            </w:pPr>
            <w:r>
              <w:t>285,812</w:t>
            </w:r>
          </w:p>
          <w:p w:rsidR="005F21BC" w:rsidRDefault="005F21BC" w:rsidP="008F073A">
            <w:pPr>
              <w:pStyle w:val="NoSpacing"/>
              <w:jc w:val="right"/>
            </w:pPr>
            <w:r>
              <w:t>203,290</w:t>
            </w:r>
          </w:p>
          <w:p w:rsidR="005F21BC" w:rsidRDefault="005F21BC" w:rsidP="008F073A">
            <w:pPr>
              <w:pStyle w:val="NoSpacing"/>
              <w:jc w:val="right"/>
            </w:pPr>
            <w:r>
              <w:t>3,121,295</w:t>
            </w:r>
          </w:p>
          <w:p w:rsidR="005F21BC" w:rsidRDefault="005F21BC" w:rsidP="008F073A">
            <w:pPr>
              <w:pStyle w:val="NoSpacing"/>
              <w:jc w:val="right"/>
            </w:pPr>
            <w:r>
              <w:t>3,610,397</w:t>
            </w:r>
          </w:p>
        </w:tc>
      </w:tr>
      <w:tr w:rsidR="005F21BC" w:rsidTr="008F073A">
        <w:tc>
          <w:tcPr>
            <w:tcW w:w="6096" w:type="dxa"/>
          </w:tcPr>
          <w:p w:rsidR="005F21BC" w:rsidRPr="005F21BC" w:rsidRDefault="005F21BC" w:rsidP="005F21BC">
            <w:pPr>
              <w:pStyle w:val="NoSpacing"/>
            </w:pPr>
            <w:r w:rsidRPr="005F21BC">
              <w:t>Total vehicle travel associated with entity operations (km)</w:t>
            </w:r>
          </w:p>
        </w:tc>
        <w:tc>
          <w:tcPr>
            <w:tcW w:w="2410" w:type="dxa"/>
          </w:tcPr>
          <w:p w:rsidR="005F21BC" w:rsidRDefault="005F21BC" w:rsidP="008F073A">
            <w:pPr>
              <w:pStyle w:val="NoSpacing"/>
              <w:jc w:val="right"/>
            </w:pPr>
          </w:p>
        </w:tc>
        <w:tc>
          <w:tcPr>
            <w:tcW w:w="2410" w:type="dxa"/>
          </w:tcPr>
          <w:p w:rsidR="005F21BC" w:rsidRDefault="005F21BC" w:rsidP="008F073A">
            <w:pPr>
              <w:pStyle w:val="NoSpacing"/>
              <w:jc w:val="right"/>
            </w:pPr>
            <w:r>
              <w:t>1,264,134</w:t>
            </w:r>
          </w:p>
        </w:tc>
      </w:tr>
      <w:tr w:rsidR="005F21BC" w:rsidTr="008F073A">
        <w:tc>
          <w:tcPr>
            <w:tcW w:w="6096" w:type="dxa"/>
          </w:tcPr>
          <w:p w:rsidR="005F21BC" w:rsidRPr="005F21BC" w:rsidRDefault="005F21BC" w:rsidP="005F21BC">
            <w:pPr>
              <w:pStyle w:val="NoSpacing"/>
            </w:pPr>
            <w:r w:rsidRPr="005F21BC">
              <w:t>Greenhouse gas emissions f</w:t>
            </w:r>
            <w:r>
              <w:t xml:space="preserve">rom vehicle fleet (tonnes CO2e) </w:t>
            </w:r>
            <w:r w:rsidRPr="005F21BC">
              <w:t>segmented by vehicle type</w:t>
            </w:r>
          </w:p>
        </w:tc>
        <w:tc>
          <w:tcPr>
            <w:tcW w:w="2410" w:type="dxa"/>
          </w:tcPr>
          <w:p w:rsidR="005F21BC" w:rsidRDefault="005F21BC" w:rsidP="008F073A">
            <w:pPr>
              <w:pStyle w:val="NoSpacing"/>
              <w:jc w:val="right"/>
            </w:pPr>
            <w:r>
              <w:t>Diesel (S1+3)</w:t>
            </w:r>
          </w:p>
          <w:p w:rsidR="005F21BC" w:rsidRDefault="005F21BC" w:rsidP="008F073A">
            <w:pPr>
              <w:pStyle w:val="NoSpacing"/>
              <w:jc w:val="right"/>
            </w:pPr>
            <w:r>
              <w:t>LPG (S1+3)</w:t>
            </w:r>
          </w:p>
          <w:p w:rsidR="005F21BC" w:rsidRDefault="005F21BC" w:rsidP="008F073A">
            <w:pPr>
              <w:pStyle w:val="NoSpacing"/>
              <w:jc w:val="right"/>
            </w:pPr>
            <w:r>
              <w:t>Petrol (S1+3)</w:t>
            </w:r>
          </w:p>
          <w:p w:rsidR="005F21BC" w:rsidRDefault="005F21BC" w:rsidP="008F073A">
            <w:pPr>
              <w:pStyle w:val="NoSpacing"/>
              <w:jc w:val="right"/>
            </w:pPr>
            <w:r>
              <w:t>Total</w:t>
            </w:r>
          </w:p>
        </w:tc>
        <w:tc>
          <w:tcPr>
            <w:tcW w:w="2410" w:type="dxa"/>
          </w:tcPr>
          <w:p w:rsidR="005F21BC" w:rsidRDefault="005F21BC" w:rsidP="008F073A">
            <w:pPr>
              <w:pStyle w:val="NoSpacing"/>
              <w:jc w:val="right"/>
            </w:pPr>
            <w:r>
              <w:t>21</w:t>
            </w:r>
          </w:p>
          <w:p w:rsidR="005F21BC" w:rsidRDefault="005F21BC" w:rsidP="008F073A">
            <w:pPr>
              <w:pStyle w:val="NoSpacing"/>
              <w:jc w:val="right"/>
            </w:pPr>
            <w:r>
              <w:t>13</w:t>
            </w:r>
          </w:p>
          <w:p w:rsidR="005F21BC" w:rsidRDefault="005F21BC" w:rsidP="008F073A">
            <w:pPr>
              <w:pStyle w:val="NoSpacing"/>
              <w:jc w:val="right"/>
            </w:pPr>
            <w:r>
              <w:t>221.6</w:t>
            </w:r>
          </w:p>
          <w:p w:rsidR="005F21BC" w:rsidRDefault="005F21BC" w:rsidP="008F073A">
            <w:pPr>
              <w:pStyle w:val="NoSpacing"/>
              <w:jc w:val="right"/>
            </w:pPr>
            <w:r>
              <w:t>255.6</w:t>
            </w:r>
          </w:p>
        </w:tc>
      </w:tr>
      <w:tr w:rsidR="005F21BC" w:rsidTr="008F073A">
        <w:tc>
          <w:tcPr>
            <w:tcW w:w="6096" w:type="dxa"/>
          </w:tcPr>
          <w:p w:rsidR="005F21BC" w:rsidRPr="005F21BC" w:rsidRDefault="005F21BC" w:rsidP="005F21BC">
            <w:pPr>
              <w:pStyle w:val="NoSpacing"/>
            </w:pPr>
            <w:r w:rsidRPr="005F21BC">
              <w:t>Greenhouse gas emissions f</w:t>
            </w:r>
            <w:r>
              <w:t xml:space="preserve">rom vehicle fleet (Tonnes CO2e) </w:t>
            </w:r>
            <w:r w:rsidRPr="005F21BC">
              <w:t>segmented by vehicle</w:t>
            </w:r>
            <w:r>
              <w:t xml:space="preserve"> </w:t>
            </w:r>
            <w:r w:rsidRPr="005F21BC">
              <w:t>type per 1000km</w:t>
            </w:r>
          </w:p>
        </w:tc>
        <w:tc>
          <w:tcPr>
            <w:tcW w:w="2410" w:type="dxa"/>
          </w:tcPr>
          <w:p w:rsidR="005F21BC" w:rsidRDefault="005F21BC" w:rsidP="008F073A">
            <w:pPr>
              <w:pStyle w:val="NoSpacing"/>
              <w:jc w:val="right"/>
            </w:pPr>
          </w:p>
        </w:tc>
        <w:tc>
          <w:tcPr>
            <w:tcW w:w="2410" w:type="dxa"/>
          </w:tcPr>
          <w:p w:rsidR="005F21BC" w:rsidRDefault="005F21BC" w:rsidP="008F073A">
            <w:pPr>
              <w:pStyle w:val="NoSpacing"/>
              <w:jc w:val="right"/>
            </w:pPr>
            <w:r>
              <w:t>0.20</w:t>
            </w:r>
          </w:p>
        </w:tc>
      </w:tr>
      <w:tr w:rsidR="005F21BC" w:rsidTr="008F073A">
        <w:tc>
          <w:tcPr>
            <w:tcW w:w="6096" w:type="dxa"/>
          </w:tcPr>
          <w:p w:rsidR="005F21BC" w:rsidRPr="005F21BC" w:rsidRDefault="005F21BC" w:rsidP="005F21BC">
            <w:pPr>
              <w:pStyle w:val="NoSpacing"/>
            </w:pPr>
            <w:r w:rsidRPr="005F21BC">
              <w:t>Total distance travelled by air (km)</w:t>
            </w:r>
          </w:p>
        </w:tc>
        <w:tc>
          <w:tcPr>
            <w:tcW w:w="2410" w:type="dxa"/>
          </w:tcPr>
          <w:p w:rsidR="005F21BC" w:rsidRDefault="005F21BC" w:rsidP="008F073A">
            <w:pPr>
              <w:pStyle w:val="NoSpacing"/>
              <w:jc w:val="right"/>
            </w:pPr>
          </w:p>
        </w:tc>
        <w:tc>
          <w:tcPr>
            <w:tcW w:w="2410" w:type="dxa"/>
          </w:tcPr>
          <w:p w:rsidR="005F21BC" w:rsidRDefault="005F21BC" w:rsidP="008F073A">
            <w:pPr>
              <w:pStyle w:val="NoSpacing"/>
              <w:jc w:val="right"/>
            </w:pPr>
            <w:r>
              <w:t>705,746</w:t>
            </w:r>
          </w:p>
        </w:tc>
      </w:tr>
    </w:tbl>
    <w:p w:rsidR="005F21BC" w:rsidRDefault="005F21BC" w:rsidP="00A4384D">
      <w:pPr>
        <w:pStyle w:val="NoSpacing"/>
      </w:pPr>
    </w:p>
    <w:p w:rsidR="00A4384D" w:rsidRDefault="000E2A85" w:rsidP="00A4384D">
      <w:pPr>
        <w:pStyle w:val="NoSpacing"/>
      </w:pPr>
      <w:r>
        <w:t xml:space="preserve">Greenhouse gas emissions </w:t>
      </w:r>
    </w:p>
    <w:tbl>
      <w:tblPr>
        <w:tblStyle w:val="TableGrid"/>
        <w:tblW w:w="10916" w:type="dxa"/>
        <w:tblInd w:w="-998" w:type="dxa"/>
        <w:tblLook w:val="04A0" w:firstRow="1" w:lastRow="0" w:firstColumn="1" w:lastColumn="0" w:noHBand="0" w:noVBand="1"/>
      </w:tblPr>
      <w:tblGrid>
        <w:gridCol w:w="9640"/>
        <w:gridCol w:w="1276"/>
      </w:tblGrid>
      <w:tr w:rsidR="000E2A85" w:rsidTr="000E2A85">
        <w:tc>
          <w:tcPr>
            <w:tcW w:w="9640" w:type="dxa"/>
          </w:tcPr>
          <w:p w:rsidR="000E2A85" w:rsidRPr="000E2A85" w:rsidRDefault="000E2A85" w:rsidP="000E2A85">
            <w:pPr>
              <w:pStyle w:val="NoSpacing"/>
            </w:pPr>
            <w:r w:rsidRPr="000E2A85">
              <w:t>Total greenhouse gas emissions associated with energy use (tonnes CO2e)</w:t>
            </w:r>
          </w:p>
        </w:tc>
        <w:tc>
          <w:tcPr>
            <w:tcW w:w="1276" w:type="dxa"/>
          </w:tcPr>
          <w:p w:rsidR="000E2A85" w:rsidRDefault="000E2A85" w:rsidP="008F073A">
            <w:pPr>
              <w:pStyle w:val="NoSpacing"/>
              <w:jc w:val="right"/>
            </w:pPr>
            <w:r>
              <w:t>10,503</w:t>
            </w:r>
          </w:p>
        </w:tc>
      </w:tr>
      <w:tr w:rsidR="000E2A85" w:rsidTr="000E2A85">
        <w:tc>
          <w:tcPr>
            <w:tcW w:w="9640" w:type="dxa"/>
          </w:tcPr>
          <w:p w:rsidR="000E2A85" w:rsidRPr="000E2A85" w:rsidRDefault="000E2A85" w:rsidP="000E2A85">
            <w:pPr>
              <w:pStyle w:val="NoSpacing"/>
            </w:pPr>
            <w:r w:rsidRPr="000E2A85">
              <w:t>Total greenhouse gas emissions associated with vehicle fleet (tonnes CO2e)</w:t>
            </w:r>
          </w:p>
        </w:tc>
        <w:tc>
          <w:tcPr>
            <w:tcW w:w="1276" w:type="dxa"/>
          </w:tcPr>
          <w:p w:rsidR="000E2A85" w:rsidRDefault="000E2A85" w:rsidP="008F073A">
            <w:pPr>
              <w:pStyle w:val="NoSpacing"/>
              <w:jc w:val="right"/>
            </w:pPr>
            <w:r>
              <w:t>271</w:t>
            </w:r>
          </w:p>
        </w:tc>
      </w:tr>
      <w:tr w:rsidR="000E2A85" w:rsidTr="000E2A85">
        <w:tc>
          <w:tcPr>
            <w:tcW w:w="9640" w:type="dxa"/>
          </w:tcPr>
          <w:p w:rsidR="000E2A85" w:rsidRPr="000E2A85" w:rsidRDefault="000E2A85" w:rsidP="000E2A85">
            <w:pPr>
              <w:pStyle w:val="NoSpacing"/>
            </w:pPr>
            <w:r w:rsidRPr="000E2A85">
              <w:t>Total greenhouse gas emissions associated with air travel (tonnes CO2e)</w:t>
            </w:r>
          </w:p>
        </w:tc>
        <w:tc>
          <w:tcPr>
            <w:tcW w:w="1276" w:type="dxa"/>
          </w:tcPr>
          <w:p w:rsidR="000E2A85" w:rsidRDefault="000E2A85" w:rsidP="008F073A">
            <w:pPr>
              <w:pStyle w:val="NoSpacing"/>
              <w:jc w:val="right"/>
            </w:pPr>
            <w:r>
              <w:t>615</w:t>
            </w:r>
          </w:p>
        </w:tc>
      </w:tr>
      <w:tr w:rsidR="000E2A85" w:rsidTr="000E2A85">
        <w:tc>
          <w:tcPr>
            <w:tcW w:w="9640" w:type="dxa"/>
          </w:tcPr>
          <w:p w:rsidR="000E2A85" w:rsidRPr="000E2A85" w:rsidRDefault="000E2A85" w:rsidP="000E2A85">
            <w:pPr>
              <w:pStyle w:val="NoSpacing"/>
            </w:pPr>
            <w:r w:rsidRPr="000E2A85">
              <w:t>Total greenhouse gas emissions associated with waste disposal (tonnes CO2e)</w:t>
            </w:r>
          </w:p>
        </w:tc>
        <w:tc>
          <w:tcPr>
            <w:tcW w:w="1276" w:type="dxa"/>
          </w:tcPr>
          <w:p w:rsidR="000E2A85" w:rsidRDefault="000E2A85" w:rsidP="008F073A">
            <w:pPr>
              <w:pStyle w:val="NoSpacing"/>
              <w:jc w:val="right"/>
            </w:pPr>
            <w:r>
              <w:t>1182</w:t>
            </w:r>
          </w:p>
        </w:tc>
      </w:tr>
      <w:tr w:rsidR="000E2A85" w:rsidTr="000E2A85">
        <w:tc>
          <w:tcPr>
            <w:tcW w:w="9640" w:type="dxa"/>
          </w:tcPr>
          <w:p w:rsidR="000E2A85" w:rsidRPr="000E2A85" w:rsidRDefault="000E2A85" w:rsidP="000E2A85">
            <w:pPr>
              <w:pStyle w:val="NoSpacing"/>
            </w:pPr>
            <w:r w:rsidRPr="000E2A85">
              <w:t>Greenhouse gas emission offsets purchased (CO2-e)</w:t>
            </w:r>
          </w:p>
        </w:tc>
        <w:tc>
          <w:tcPr>
            <w:tcW w:w="1276" w:type="dxa"/>
          </w:tcPr>
          <w:p w:rsidR="000E2A85" w:rsidRDefault="000E2A85" w:rsidP="008F073A">
            <w:pPr>
              <w:pStyle w:val="NoSpacing"/>
              <w:jc w:val="right"/>
            </w:pPr>
            <w:r>
              <w:t>None</w:t>
            </w:r>
          </w:p>
        </w:tc>
      </w:tr>
      <w:tr w:rsidR="000E2A85" w:rsidTr="000E2A85">
        <w:tc>
          <w:tcPr>
            <w:tcW w:w="9640" w:type="dxa"/>
          </w:tcPr>
          <w:p w:rsidR="000E2A85" w:rsidRPr="000E2A85" w:rsidRDefault="000E2A85" w:rsidP="000E2A85">
            <w:pPr>
              <w:pStyle w:val="NoSpacing"/>
            </w:pPr>
            <w:r w:rsidRPr="000E2A85">
              <w:t>Total Emissions from all sources</w:t>
            </w:r>
          </w:p>
        </w:tc>
        <w:tc>
          <w:tcPr>
            <w:tcW w:w="1276" w:type="dxa"/>
          </w:tcPr>
          <w:p w:rsidR="000E2A85" w:rsidRDefault="000E2A85" w:rsidP="008F073A">
            <w:pPr>
              <w:pStyle w:val="NoSpacing"/>
              <w:jc w:val="right"/>
            </w:pPr>
            <w:r>
              <w:t>12,571</w:t>
            </w:r>
          </w:p>
        </w:tc>
      </w:tr>
    </w:tbl>
    <w:p w:rsidR="000E2A85" w:rsidRPr="00650F19" w:rsidRDefault="000E2A85" w:rsidP="00A4384D">
      <w:pPr>
        <w:pStyle w:val="NoSpacing"/>
      </w:pPr>
    </w:p>
    <w:p w:rsidR="00675E5D" w:rsidRDefault="0057647B" w:rsidP="00B17EA2">
      <w:pPr>
        <w:pStyle w:val="NoSpacing"/>
      </w:pPr>
      <w:r>
        <w:t>&lt;pp&gt;107</w:t>
      </w:r>
    </w:p>
    <w:p w:rsidR="0057647B" w:rsidRDefault="0057647B" w:rsidP="00B17EA2">
      <w:pPr>
        <w:pStyle w:val="NoSpacing"/>
      </w:pPr>
    </w:p>
    <w:p w:rsidR="0057647B" w:rsidRDefault="0057647B" w:rsidP="00234E85">
      <w:pPr>
        <w:pStyle w:val="Heading2"/>
      </w:pPr>
      <w:r>
        <w:t>Acronyms</w:t>
      </w:r>
    </w:p>
    <w:p w:rsidR="0057647B" w:rsidRDefault="0057647B" w:rsidP="00B17EA2">
      <w:pPr>
        <w:pStyle w:val="NoSpacing"/>
      </w:pPr>
    </w:p>
    <w:p w:rsidR="0057647B" w:rsidRDefault="0057647B" w:rsidP="00B17EA2">
      <w:pPr>
        <w:pStyle w:val="NoSpacing"/>
      </w:pPr>
      <w:r>
        <w:t>This listing is prepared to assist in the understanding of the Annual Report and related materials.</w:t>
      </w:r>
    </w:p>
    <w:p w:rsidR="0057647B" w:rsidRDefault="0057647B" w:rsidP="00B17EA2">
      <w:pPr>
        <w:pStyle w:val="NoSpacing"/>
      </w:pPr>
    </w:p>
    <w:p w:rsidR="0057647B" w:rsidRDefault="0057647B" w:rsidP="0057647B">
      <w:pPr>
        <w:pStyle w:val="NoSpacing"/>
      </w:pPr>
      <w:r>
        <w:rPr>
          <w:rFonts w:ascii="ProximaNovaA-Bold" w:hAnsi="ProximaNovaA-Bold" w:cs="ProximaNovaA-Bold"/>
          <w:b/>
          <w:bCs/>
        </w:rPr>
        <w:t xml:space="preserve">AAS </w:t>
      </w:r>
      <w:r>
        <w:t>Australian Accounting Standard</w:t>
      </w:r>
    </w:p>
    <w:p w:rsidR="0057647B" w:rsidRDefault="0057647B" w:rsidP="0057647B">
      <w:pPr>
        <w:pStyle w:val="NoSpacing"/>
      </w:pPr>
      <w:r>
        <w:rPr>
          <w:rFonts w:ascii="ProximaNovaA-Bold" w:hAnsi="ProximaNovaA-Bold" w:cs="ProximaNovaA-Bold"/>
          <w:b/>
          <w:bCs/>
        </w:rPr>
        <w:t xml:space="preserve">AASB </w:t>
      </w:r>
      <w:r>
        <w:t>Australian Accounting Standards Board</w:t>
      </w:r>
    </w:p>
    <w:p w:rsidR="0057647B" w:rsidRDefault="0057647B" w:rsidP="0057647B">
      <w:pPr>
        <w:pStyle w:val="NoSpacing"/>
      </w:pPr>
      <w:r>
        <w:rPr>
          <w:rFonts w:ascii="ProximaNovaA-Bold" w:hAnsi="ProximaNovaA-Bold" w:cs="ProximaNovaA-Bold"/>
          <w:b/>
          <w:bCs/>
        </w:rPr>
        <w:t xml:space="preserve">AEE </w:t>
      </w:r>
      <w:r>
        <w:t>Annualised employee equivalent</w:t>
      </w:r>
    </w:p>
    <w:p w:rsidR="0057647B" w:rsidRDefault="0057647B" w:rsidP="0057647B">
      <w:pPr>
        <w:pStyle w:val="NoSpacing"/>
      </w:pPr>
      <w:r>
        <w:rPr>
          <w:rFonts w:ascii="ProximaNovaA-Bold" w:hAnsi="ProximaNovaA-Bold" w:cs="ProximaNovaA-Bold"/>
          <w:b/>
          <w:bCs/>
        </w:rPr>
        <w:t xml:space="preserve">ARR </w:t>
      </w:r>
      <w:r>
        <w:t>Accounting rate of return</w:t>
      </w:r>
    </w:p>
    <w:p w:rsidR="0057647B" w:rsidRDefault="0057647B" w:rsidP="0057647B">
      <w:pPr>
        <w:pStyle w:val="NoSpacing"/>
      </w:pPr>
      <w:r>
        <w:rPr>
          <w:rFonts w:ascii="ProximaNovaA-Bold" w:hAnsi="ProximaNovaA-Bold" w:cs="ProximaNovaA-Bold"/>
          <w:b/>
          <w:bCs/>
        </w:rPr>
        <w:t xml:space="preserve">CCEF </w:t>
      </w:r>
      <w:r>
        <w:t>Caroline Chisholm Education Foundation</w:t>
      </w:r>
    </w:p>
    <w:p w:rsidR="0057647B" w:rsidRDefault="0057647B" w:rsidP="0057647B">
      <w:pPr>
        <w:pStyle w:val="NoSpacing"/>
      </w:pPr>
      <w:r>
        <w:rPr>
          <w:rFonts w:ascii="ProximaNovaA-Bold" w:hAnsi="ProximaNovaA-Bold" w:cs="ProximaNovaA-Bold"/>
          <w:b/>
          <w:bCs/>
        </w:rPr>
        <w:lastRenderedPageBreak/>
        <w:t xml:space="preserve">CEO </w:t>
      </w:r>
      <w:r>
        <w:t>Chief Executive Officer</w:t>
      </w:r>
    </w:p>
    <w:p w:rsidR="0057647B" w:rsidRDefault="0057647B" w:rsidP="0057647B">
      <w:pPr>
        <w:pStyle w:val="NoSpacing"/>
      </w:pPr>
      <w:r>
        <w:rPr>
          <w:rFonts w:ascii="ProximaNovaA-Bold" w:hAnsi="ProximaNovaA-Bold" w:cs="ProximaNovaA-Bold"/>
          <w:b/>
          <w:bCs/>
        </w:rPr>
        <w:t xml:space="preserve">EBITDA </w:t>
      </w:r>
      <w:r>
        <w:t>Earnings before interest, taxes and amortisation</w:t>
      </w:r>
    </w:p>
    <w:p w:rsidR="0057647B" w:rsidRDefault="0057647B" w:rsidP="0057647B">
      <w:pPr>
        <w:pStyle w:val="NoSpacing"/>
      </w:pPr>
      <w:r>
        <w:rPr>
          <w:rFonts w:ascii="ProximaNovaA-Bold" w:hAnsi="ProximaNovaA-Bold" w:cs="ProximaNovaA-Bold"/>
          <w:b/>
          <w:bCs/>
        </w:rPr>
        <w:t xml:space="preserve">EFT </w:t>
      </w:r>
      <w:r>
        <w:t>Equivalent full time (when referring to staffing)</w:t>
      </w:r>
    </w:p>
    <w:p w:rsidR="0057647B" w:rsidRDefault="0057647B" w:rsidP="0057647B">
      <w:pPr>
        <w:pStyle w:val="NoSpacing"/>
      </w:pPr>
      <w:r>
        <w:rPr>
          <w:rFonts w:ascii="ProximaNovaA-Bold" w:hAnsi="ProximaNovaA-Bold" w:cs="ProximaNovaA-Bold"/>
          <w:b/>
          <w:bCs/>
        </w:rPr>
        <w:t xml:space="preserve">EFTSL </w:t>
      </w:r>
      <w:r>
        <w:t>Equivalent full time student load</w:t>
      </w:r>
    </w:p>
    <w:p w:rsidR="0057647B" w:rsidRDefault="0057647B" w:rsidP="0057647B">
      <w:pPr>
        <w:pStyle w:val="NoSpacing"/>
      </w:pPr>
      <w:r>
        <w:rPr>
          <w:rFonts w:ascii="ProximaNovaA-Bold" w:hAnsi="ProximaNovaA-Bold" w:cs="ProximaNovaA-Bold"/>
          <w:b/>
          <w:bCs/>
        </w:rPr>
        <w:t xml:space="preserve">ETRA </w:t>
      </w:r>
      <w:r>
        <w:t>Education and Training Reform Act 2006</w:t>
      </w:r>
    </w:p>
    <w:p w:rsidR="0057647B" w:rsidRDefault="0057647B" w:rsidP="0057647B">
      <w:pPr>
        <w:pStyle w:val="NoSpacing"/>
      </w:pPr>
      <w:r>
        <w:rPr>
          <w:rFonts w:ascii="ProximaNovaA-Bold" w:hAnsi="ProximaNovaA-Bold" w:cs="ProximaNovaA-Bold"/>
          <w:b/>
          <w:bCs/>
        </w:rPr>
        <w:t xml:space="preserve">FBT </w:t>
      </w:r>
      <w:r>
        <w:t>Fringe benefits tax</w:t>
      </w:r>
    </w:p>
    <w:p w:rsidR="0057647B" w:rsidRDefault="0057647B" w:rsidP="0057647B">
      <w:pPr>
        <w:pStyle w:val="NoSpacing"/>
      </w:pPr>
      <w:r>
        <w:rPr>
          <w:rFonts w:ascii="ProximaNovaA-Bold" w:hAnsi="ProximaNovaA-Bold" w:cs="ProximaNovaA-Bold"/>
          <w:b/>
          <w:bCs/>
        </w:rPr>
        <w:t xml:space="preserve">FFS </w:t>
      </w:r>
      <w:r>
        <w:t>Fee-for-service</w:t>
      </w:r>
    </w:p>
    <w:p w:rsidR="0057647B" w:rsidRDefault="0057647B" w:rsidP="0057647B">
      <w:pPr>
        <w:pStyle w:val="NoSpacing"/>
      </w:pPr>
      <w:r>
        <w:rPr>
          <w:rFonts w:ascii="ProximaNovaA-Bold" w:hAnsi="ProximaNovaA-Bold" w:cs="ProximaNovaA-Bold"/>
          <w:b/>
          <w:bCs/>
        </w:rPr>
        <w:t xml:space="preserve">FMA </w:t>
      </w:r>
      <w:r>
        <w:t>Financial Management Act 1994</w:t>
      </w:r>
    </w:p>
    <w:p w:rsidR="0057647B" w:rsidRDefault="0057647B" w:rsidP="0057647B">
      <w:pPr>
        <w:pStyle w:val="NoSpacing"/>
      </w:pPr>
      <w:r>
        <w:rPr>
          <w:rFonts w:ascii="ProximaNovaA-Bold" w:hAnsi="ProximaNovaA-Bold" w:cs="ProximaNovaA-Bold"/>
          <w:b/>
          <w:bCs/>
        </w:rPr>
        <w:t xml:space="preserve">FMCF </w:t>
      </w:r>
      <w:r>
        <w:t>Financial Management Compliance Framework</w:t>
      </w:r>
    </w:p>
    <w:p w:rsidR="0057647B" w:rsidRDefault="0057647B" w:rsidP="0057647B">
      <w:pPr>
        <w:pStyle w:val="NoSpacing"/>
      </w:pPr>
      <w:r>
        <w:rPr>
          <w:rFonts w:ascii="ProximaNovaA-Bold" w:hAnsi="ProximaNovaA-Bold" w:cs="ProximaNovaA-Bold"/>
          <w:b/>
          <w:bCs/>
        </w:rPr>
        <w:t xml:space="preserve">FRD </w:t>
      </w:r>
      <w:r>
        <w:t>Financial Reporting Directions</w:t>
      </w:r>
    </w:p>
    <w:p w:rsidR="0057647B" w:rsidRDefault="0057647B" w:rsidP="0057647B">
      <w:pPr>
        <w:pStyle w:val="NoSpacing"/>
      </w:pPr>
      <w:r>
        <w:rPr>
          <w:rFonts w:ascii="ProximaNovaA-Bold" w:hAnsi="ProximaNovaA-Bold" w:cs="ProximaNovaA-Bold"/>
          <w:b/>
          <w:bCs/>
        </w:rPr>
        <w:t xml:space="preserve">FSC </w:t>
      </w:r>
      <w:r>
        <w:t>Forest Stewardship Council</w:t>
      </w:r>
    </w:p>
    <w:p w:rsidR="0057647B" w:rsidRDefault="0057647B" w:rsidP="0057647B">
      <w:pPr>
        <w:pStyle w:val="NoSpacing"/>
      </w:pPr>
      <w:r>
        <w:rPr>
          <w:rFonts w:ascii="ProximaNovaA-Bold" w:hAnsi="ProximaNovaA-Bold" w:cs="ProximaNovaA-Bold"/>
          <w:b/>
          <w:bCs/>
        </w:rPr>
        <w:t xml:space="preserve">FTE </w:t>
      </w:r>
      <w:r>
        <w:t>Full time employee</w:t>
      </w:r>
    </w:p>
    <w:p w:rsidR="0057647B" w:rsidRDefault="0057647B" w:rsidP="0057647B">
      <w:pPr>
        <w:pStyle w:val="NoSpacing"/>
      </w:pPr>
      <w:r>
        <w:rPr>
          <w:rFonts w:ascii="ProximaNovaA-Bold" w:hAnsi="ProximaNovaA-Bold" w:cs="ProximaNovaA-Bold"/>
          <w:b/>
          <w:bCs/>
        </w:rPr>
        <w:t xml:space="preserve">GST </w:t>
      </w:r>
      <w:r>
        <w:t>Goods and services tax</w:t>
      </w:r>
    </w:p>
    <w:p w:rsidR="0057647B" w:rsidRDefault="0057647B" w:rsidP="0057647B">
      <w:pPr>
        <w:pStyle w:val="NoSpacing"/>
      </w:pPr>
      <w:r>
        <w:rPr>
          <w:rFonts w:ascii="ProximaNovaA-Bold" w:hAnsi="ProximaNovaA-Bold" w:cs="ProximaNovaA-Bold"/>
          <w:b/>
          <w:bCs/>
        </w:rPr>
        <w:t xml:space="preserve">IFRS </w:t>
      </w:r>
      <w:r>
        <w:t>International Financial Reporting Standards</w:t>
      </w:r>
    </w:p>
    <w:p w:rsidR="0057647B" w:rsidRDefault="0057647B" w:rsidP="0057647B">
      <w:pPr>
        <w:pStyle w:val="NoSpacing"/>
      </w:pPr>
      <w:r>
        <w:rPr>
          <w:rFonts w:ascii="ProximaNovaA-Bold" w:hAnsi="ProximaNovaA-Bold" w:cs="ProximaNovaA-Bold"/>
          <w:b/>
          <w:bCs/>
        </w:rPr>
        <w:t xml:space="preserve">LSL </w:t>
      </w:r>
      <w:r>
        <w:t>Long service leave</w:t>
      </w:r>
    </w:p>
    <w:p w:rsidR="0057647B" w:rsidRDefault="0057647B" w:rsidP="0057647B">
      <w:pPr>
        <w:pStyle w:val="NoSpacing"/>
      </w:pPr>
      <w:r>
        <w:rPr>
          <w:rFonts w:ascii="ProximaNovaA-Bold" w:hAnsi="ProximaNovaA-Bold" w:cs="ProximaNovaA-Bold"/>
          <w:b/>
          <w:bCs/>
        </w:rPr>
        <w:t xml:space="preserve">NEXT </w:t>
      </w:r>
      <w:r>
        <w:t>New Employment Exchange and Training Centre</w:t>
      </w:r>
    </w:p>
    <w:p w:rsidR="0057647B" w:rsidRDefault="0057647B" w:rsidP="0057647B">
      <w:pPr>
        <w:pStyle w:val="NoSpacing"/>
      </w:pPr>
      <w:r>
        <w:rPr>
          <w:rFonts w:ascii="ProximaNovaA-Bold" w:hAnsi="ProximaNovaA-Bold" w:cs="ProximaNovaA-Bold"/>
          <w:b/>
          <w:bCs/>
        </w:rPr>
        <w:t xml:space="preserve">PAEC </w:t>
      </w:r>
      <w:r>
        <w:t>Decision of Public Accounts and Estimates Committee of Parliament December 1997</w:t>
      </w:r>
    </w:p>
    <w:p w:rsidR="0057647B" w:rsidRDefault="0057647B" w:rsidP="0057647B">
      <w:pPr>
        <w:pStyle w:val="NoSpacing"/>
      </w:pPr>
      <w:r>
        <w:rPr>
          <w:rFonts w:ascii="ProximaNovaA-Bold" w:hAnsi="ProximaNovaA-Bold" w:cs="ProximaNovaA-Bold"/>
          <w:b/>
          <w:bCs/>
        </w:rPr>
        <w:t xml:space="preserve">PPE </w:t>
      </w:r>
      <w:r>
        <w:rPr>
          <w:rFonts w:ascii="ProximaNovaA-Light" w:hAnsi="ProximaNovaA-Light" w:cs="ProximaNovaA-Light"/>
        </w:rPr>
        <w:t>P</w:t>
      </w:r>
      <w:r>
        <w:t>ersonal protective equipment</w:t>
      </w:r>
    </w:p>
    <w:p w:rsidR="0057647B" w:rsidRDefault="0057647B" w:rsidP="0057647B">
      <w:pPr>
        <w:pStyle w:val="NoSpacing"/>
      </w:pPr>
      <w:r>
        <w:rPr>
          <w:rFonts w:ascii="ProximaNovaA-Bold" w:hAnsi="ProximaNovaA-Bold" w:cs="ProximaNovaA-Bold"/>
          <w:b/>
          <w:bCs/>
        </w:rPr>
        <w:t xml:space="preserve">SCH </w:t>
      </w:r>
      <w:r>
        <w:t>Student contact hours</w:t>
      </w:r>
    </w:p>
    <w:p w:rsidR="0057647B" w:rsidRDefault="0057647B" w:rsidP="0057647B">
      <w:pPr>
        <w:pStyle w:val="NoSpacing"/>
      </w:pPr>
      <w:r>
        <w:rPr>
          <w:rFonts w:ascii="ProximaNovaA-Bold" w:hAnsi="ProximaNovaA-Bold" w:cs="ProximaNovaA-Bold"/>
          <w:b/>
          <w:bCs/>
        </w:rPr>
        <w:t xml:space="preserve">SD </w:t>
      </w:r>
      <w:r>
        <w:t>Standing Directions of the Minister for Finance issued under the Financial Management Act 1994</w:t>
      </w:r>
    </w:p>
    <w:p w:rsidR="0057647B" w:rsidRDefault="0057647B" w:rsidP="0057647B">
      <w:pPr>
        <w:pStyle w:val="NoSpacing"/>
      </w:pPr>
      <w:r>
        <w:rPr>
          <w:rFonts w:ascii="ProximaNovaA-Bold" w:hAnsi="ProximaNovaA-Bold" w:cs="ProximaNovaA-Bold"/>
          <w:b/>
          <w:bCs/>
        </w:rPr>
        <w:t xml:space="preserve">STEM </w:t>
      </w:r>
      <w:r>
        <w:t>Science, technology, engineering and mathematics</w:t>
      </w:r>
    </w:p>
    <w:p w:rsidR="0057647B" w:rsidRDefault="0057647B" w:rsidP="0057647B">
      <w:pPr>
        <w:pStyle w:val="NoSpacing"/>
      </w:pPr>
      <w:r>
        <w:rPr>
          <w:rFonts w:ascii="ProximaNovaA-Bold" w:hAnsi="ProximaNovaA-Bold" w:cs="ProximaNovaA-Bold"/>
          <w:b/>
          <w:bCs/>
        </w:rPr>
        <w:t xml:space="preserve">TVET </w:t>
      </w:r>
      <w:r>
        <w:t>Company owned by the Ministerial Council for Tertiary Education and Employment</w:t>
      </w:r>
    </w:p>
    <w:p w:rsidR="0057647B" w:rsidRDefault="0057647B" w:rsidP="0057647B">
      <w:pPr>
        <w:pStyle w:val="NoSpacing"/>
        <w:rPr>
          <w:rFonts w:ascii="ProximaNovaA-Light" w:hAnsi="ProximaNovaA-Light" w:cs="ProximaNovaA-Light"/>
        </w:rPr>
      </w:pPr>
      <w:r>
        <w:rPr>
          <w:rFonts w:ascii="ProximaNovaA-Bold" w:hAnsi="ProximaNovaA-Bold" w:cs="ProximaNovaA-Bold"/>
          <w:b/>
          <w:bCs/>
        </w:rPr>
        <w:t xml:space="preserve">UIG </w:t>
      </w:r>
      <w:r>
        <w:rPr>
          <w:rFonts w:ascii="ProximaNovaA-Light" w:hAnsi="ProximaNovaA-Light" w:cs="ProximaNovaA-Light"/>
        </w:rPr>
        <w:t>Urgent Issues Group</w:t>
      </w:r>
    </w:p>
    <w:p w:rsidR="0057647B" w:rsidRDefault="0057647B" w:rsidP="0057647B">
      <w:pPr>
        <w:pStyle w:val="NoSpacing"/>
        <w:rPr>
          <w:rFonts w:ascii="ProximaNovaA-Light" w:hAnsi="ProximaNovaA-Light" w:cs="ProximaNovaA-Light"/>
        </w:rPr>
      </w:pPr>
      <w:r>
        <w:rPr>
          <w:rFonts w:ascii="ProximaNovaA-Bold" w:hAnsi="ProximaNovaA-Bold" w:cs="ProximaNovaA-Bold"/>
          <w:b/>
          <w:bCs/>
        </w:rPr>
        <w:t xml:space="preserve">VCAL </w:t>
      </w:r>
      <w:r>
        <w:rPr>
          <w:rFonts w:ascii="ProximaNovaA-Light" w:hAnsi="ProximaNovaA-Light" w:cs="ProximaNovaA-Light"/>
        </w:rPr>
        <w:t>Victorian Certificate of Applied Learning</w:t>
      </w:r>
    </w:p>
    <w:p w:rsidR="0057647B" w:rsidRDefault="0057647B" w:rsidP="0057647B">
      <w:pPr>
        <w:pStyle w:val="NoSpacing"/>
        <w:rPr>
          <w:rFonts w:ascii="ProximaNovaA-Light" w:hAnsi="ProximaNovaA-Light" w:cs="ProximaNovaA-Light"/>
        </w:rPr>
      </w:pPr>
      <w:r>
        <w:rPr>
          <w:rFonts w:ascii="ProximaNovaA-Bold" w:hAnsi="ProximaNovaA-Bold" w:cs="ProximaNovaA-Bold"/>
          <w:b/>
          <w:bCs/>
        </w:rPr>
        <w:t xml:space="preserve">VCE </w:t>
      </w:r>
      <w:r>
        <w:rPr>
          <w:rFonts w:ascii="ProximaNovaA-Light" w:hAnsi="ProximaNovaA-Light" w:cs="ProximaNovaA-Light"/>
        </w:rPr>
        <w:t>Victorian Certificate of Education</w:t>
      </w:r>
    </w:p>
    <w:p w:rsidR="0057647B" w:rsidRDefault="0057647B" w:rsidP="0057647B">
      <w:pPr>
        <w:pStyle w:val="NoSpacing"/>
      </w:pPr>
      <w:r>
        <w:rPr>
          <w:rFonts w:ascii="ProximaNovaA-Bold" w:hAnsi="ProximaNovaA-Bold" w:cs="ProximaNovaA-Bold"/>
          <w:b/>
          <w:bCs/>
        </w:rPr>
        <w:t xml:space="preserve">VET </w:t>
      </w:r>
      <w:r>
        <w:t>Vocational education and training</w:t>
      </w:r>
    </w:p>
    <w:p w:rsidR="0057647B" w:rsidRDefault="0057647B" w:rsidP="0057647B">
      <w:pPr>
        <w:pStyle w:val="NoSpacing"/>
      </w:pPr>
      <w:r>
        <w:rPr>
          <w:rFonts w:ascii="ProximaNovaA-Bold" w:hAnsi="ProximaNovaA-Bold" w:cs="ProximaNovaA-Bold"/>
          <w:b/>
          <w:bCs/>
        </w:rPr>
        <w:t xml:space="preserve">VETiS </w:t>
      </w:r>
      <w:r>
        <w:t>Vocational education and training in school</w:t>
      </w:r>
    </w:p>
    <w:p w:rsidR="00A645DD" w:rsidRDefault="00A645DD" w:rsidP="0057647B">
      <w:pPr>
        <w:pStyle w:val="NoSpacing"/>
      </w:pPr>
    </w:p>
    <w:p w:rsidR="00A645DD" w:rsidRDefault="00A645DD" w:rsidP="0057647B">
      <w:pPr>
        <w:pStyle w:val="NoSpacing"/>
      </w:pPr>
      <w:r>
        <w:t>&lt;pp&gt;108</w:t>
      </w:r>
    </w:p>
    <w:p w:rsidR="00A645DD" w:rsidRDefault="00A645DD" w:rsidP="0057647B">
      <w:pPr>
        <w:pStyle w:val="NoSpacing"/>
      </w:pPr>
    </w:p>
    <w:p w:rsidR="00A645DD" w:rsidRDefault="00A645DD" w:rsidP="0057647B">
      <w:pPr>
        <w:pStyle w:val="NoSpacing"/>
      </w:pPr>
      <w:r>
        <w:t>Chisholm</w:t>
      </w:r>
    </w:p>
    <w:p w:rsidR="00A645DD" w:rsidRPr="00A645DD" w:rsidRDefault="00A645DD" w:rsidP="00A645DD">
      <w:pPr>
        <w:pStyle w:val="NoSpacing"/>
      </w:pPr>
    </w:p>
    <w:p w:rsidR="00A645DD" w:rsidRDefault="00A645DD" w:rsidP="00A645DD">
      <w:pPr>
        <w:pStyle w:val="NoSpacing"/>
      </w:pPr>
      <w:r w:rsidRPr="00A645DD">
        <w:t>1820_0318 CRICOS No 00881F RTO No 0260</w:t>
      </w:r>
    </w:p>
    <w:p w:rsidR="00A645DD" w:rsidRDefault="00A645DD" w:rsidP="00A645DD">
      <w:pPr>
        <w:pStyle w:val="NoSpacing"/>
      </w:pPr>
    </w:p>
    <w:p w:rsidR="001F6EF1" w:rsidRDefault="00234E85" w:rsidP="00965404">
      <w:pPr>
        <w:pStyle w:val="NoSpacing"/>
        <w:sectPr w:rsidR="001F6EF1" w:rsidSect="001F6EF1">
          <w:pgSz w:w="11906" w:h="16838" w:code="9"/>
          <w:pgMar w:top="1440" w:right="1440" w:bottom="1440" w:left="1440" w:header="709" w:footer="709" w:gutter="0"/>
          <w:cols w:space="708"/>
          <w:docGrid w:linePitch="360"/>
        </w:sectPr>
      </w:pPr>
      <w:r>
        <w:t>&lt;back cover&gt;</w:t>
      </w:r>
      <w:bookmarkStart w:id="0" w:name="_GoBack"/>
      <w:bookmarkEnd w:id="0"/>
    </w:p>
    <w:p w:rsidR="00234E85" w:rsidRPr="00234E85" w:rsidRDefault="00234E85" w:rsidP="00234E85">
      <w:pPr>
        <w:jc w:val="both"/>
        <w:rPr>
          <w:rFonts w:cstheme="minorHAnsi"/>
        </w:rPr>
      </w:pPr>
    </w:p>
    <w:sectPr w:rsidR="00234E85" w:rsidRPr="00234E85" w:rsidSect="001F6EF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roximaNovaA-Light">
    <w:panose1 w:val="00000000000000000000"/>
    <w:charset w:val="00"/>
    <w:family w:val="auto"/>
    <w:notTrueType/>
    <w:pitch w:val="default"/>
    <w:sig w:usb0="00000003" w:usb1="00000000" w:usb2="00000000" w:usb3="00000000" w:csb0="00000001" w:csb1="00000000"/>
  </w:font>
  <w:font w:name="ProximaNovaA-Semibold">
    <w:panose1 w:val="00000000000000000000"/>
    <w:charset w:val="00"/>
    <w:family w:val="auto"/>
    <w:notTrueType/>
    <w:pitch w:val="default"/>
    <w:sig w:usb0="00000003" w:usb1="00000000" w:usb2="00000000" w:usb3="00000000" w:csb0="00000001" w:csb1="00000000"/>
  </w:font>
  <w:font w:name="ProximaNova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53" w:hanging="454"/>
      </w:pPr>
      <w:rPr>
        <w:rFonts w:ascii="Symbol" w:hAnsi="Symbol" w:cs="Symbol"/>
        <w:b w:val="0"/>
        <w:bCs w:val="0"/>
        <w:w w:val="99"/>
        <w:sz w:val="17"/>
        <w:szCs w:val="17"/>
      </w:rPr>
    </w:lvl>
    <w:lvl w:ilvl="1">
      <w:numFmt w:val="bullet"/>
      <w:lvlText w:val="•"/>
      <w:lvlJc w:val="left"/>
      <w:pPr>
        <w:ind w:left="1102" w:hanging="454"/>
      </w:pPr>
    </w:lvl>
    <w:lvl w:ilvl="2">
      <w:numFmt w:val="bullet"/>
      <w:lvlText w:val="•"/>
      <w:lvlJc w:val="left"/>
      <w:pPr>
        <w:ind w:left="1744" w:hanging="454"/>
      </w:pPr>
    </w:lvl>
    <w:lvl w:ilvl="3">
      <w:numFmt w:val="bullet"/>
      <w:lvlText w:val="•"/>
      <w:lvlJc w:val="left"/>
      <w:pPr>
        <w:ind w:left="2386" w:hanging="454"/>
      </w:pPr>
    </w:lvl>
    <w:lvl w:ilvl="4">
      <w:numFmt w:val="bullet"/>
      <w:lvlText w:val="•"/>
      <w:lvlJc w:val="left"/>
      <w:pPr>
        <w:ind w:left="3028" w:hanging="454"/>
      </w:pPr>
    </w:lvl>
    <w:lvl w:ilvl="5">
      <w:numFmt w:val="bullet"/>
      <w:lvlText w:val="•"/>
      <w:lvlJc w:val="left"/>
      <w:pPr>
        <w:ind w:left="3670" w:hanging="454"/>
      </w:pPr>
    </w:lvl>
    <w:lvl w:ilvl="6">
      <w:numFmt w:val="bullet"/>
      <w:lvlText w:val="•"/>
      <w:lvlJc w:val="left"/>
      <w:pPr>
        <w:ind w:left="4312" w:hanging="454"/>
      </w:pPr>
    </w:lvl>
    <w:lvl w:ilvl="7">
      <w:numFmt w:val="bullet"/>
      <w:lvlText w:val="•"/>
      <w:lvlJc w:val="left"/>
      <w:pPr>
        <w:ind w:left="4954" w:hanging="454"/>
      </w:pPr>
    </w:lvl>
    <w:lvl w:ilvl="8">
      <w:numFmt w:val="bullet"/>
      <w:lvlText w:val="•"/>
      <w:lvlJc w:val="left"/>
      <w:pPr>
        <w:ind w:left="5596" w:hanging="454"/>
      </w:pPr>
    </w:lvl>
  </w:abstractNum>
  <w:abstractNum w:abstractNumId="1" w15:restartNumberingAfterBreak="0">
    <w:nsid w:val="052A5104"/>
    <w:multiLevelType w:val="hybridMultilevel"/>
    <w:tmpl w:val="2EE2E920"/>
    <w:lvl w:ilvl="0" w:tplc="6AC2FE30">
      <w:start w:val="1"/>
      <w:numFmt w:val="decimal"/>
      <w:suff w:val="nothing"/>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D5A5A"/>
    <w:multiLevelType w:val="hybridMultilevel"/>
    <w:tmpl w:val="E184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53841"/>
    <w:multiLevelType w:val="multilevel"/>
    <w:tmpl w:val="7E4EF9BC"/>
    <w:lvl w:ilvl="0">
      <w:start w:val="1"/>
      <w:numFmt w:val="decimal"/>
      <w:suff w:val="nothing"/>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B72E0F"/>
    <w:multiLevelType w:val="multilevel"/>
    <w:tmpl w:val="8BC0AC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ED5FF7"/>
    <w:multiLevelType w:val="hybridMultilevel"/>
    <w:tmpl w:val="A88CB5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26611B5"/>
    <w:multiLevelType w:val="hybridMultilevel"/>
    <w:tmpl w:val="4F3ABBCC"/>
    <w:lvl w:ilvl="0" w:tplc="3B06C65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1C3CA5"/>
    <w:multiLevelType w:val="hybridMultilevel"/>
    <w:tmpl w:val="7F04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104FA"/>
    <w:multiLevelType w:val="hybridMultilevel"/>
    <w:tmpl w:val="97C01D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616CC6"/>
    <w:multiLevelType w:val="hybridMultilevel"/>
    <w:tmpl w:val="190C5010"/>
    <w:lvl w:ilvl="0" w:tplc="FA263658">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48396EE8"/>
    <w:multiLevelType w:val="hybridMultilevel"/>
    <w:tmpl w:val="FB6A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C60EA5"/>
    <w:multiLevelType w:val="hybridMultilevel"/>
    <w:tmpl w:val="15EC50B6"/>
    <w:lvl w:ilvl="0" w:tplc="C6BA80AE">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8622FC"/>
    <w:multiLevelType w:val="hybridMultilevel"/>
    <w:tmpl w:val="A4E8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3479E8"/>
    <w:multiLevelType w:val="hybridMultilevel"/>
    <w:tmpl w:val="37BC77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B085CDA"/>
    <w:multiLevelType w:val="hybridMultilevel"/>
    <w:tmpl w:val="A118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519C4"/>
    <w:multiLevelType w:val="hybridMultilevel"/>
    <w:tmpl w:val="77986F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79AE4FD8"/>
    <w:multiLevelType w:val="hybridMultilevel"/>
    <w:tmpl w:val="E55A73EE"/>
    <w:lvl w:ilvl="0" w:tplc="BB80D4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032ABD"/>
    <w:multiLevelType w:val="hybridMultilevel"/>
    <w:tmpl w:val="02863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0"/>
  </w:num>
  <w:num w:numId="5">
    <w:abstractNumId w:val="17"/>
  </w:num>
  <w:num w:numId="6">
    <w:abstractNumId w:val="4"/>
  </w:num>
  <w:num w:numId="7">
    <w:abstractNumId w:val="5"/>
  </w:num>
  <w:num w:numId="8">
    <w:abstractNumId w:val="2"/>
  </w:num>
  <w:num w:numId="9">
    <w:abstractNumId w:val="7"/>
  </w:num>
  <w:num w:numId="10">
    <w:abstractNumId w:val="6"/>
  </w:num>
  <w:num w:numId="11">
    <w:abstractNumId w:val="3"/>
  </w:num>
  <w:num w:numId="12">
    <w:abstractNumId w:val="1"/>
  </w:num>
  <w:num w:numId="13">
    <w:abstractNumId w:val="16"/>
  </w:num>
  <w:num w:numId="14">
    <w:abstractNumId w:val="15"/>
  </w:num>
  <w:num w:numId="15">
    <w:abstractNumId w:val="13"/>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76"/>
    <w:rsid w:val="00014AE0"/>
    <w:rsid w:val="00025C17"/>
    <w:rsid w:val="00037587"/>
    <w:rsid w:val="00060E29"/>
    <w:rsid w:val="00084A82"/>
    <w:rsid w:val="00085A3C"/>
    <w:rsid w:val="00095FF3"/>
    <w:rsid w:val="000972E4"/>
    <w:rsid w:val="000B1104"/>
    <w:rsid w:val="000B7ABF"/>
    <w:rsid w:val="000C0D3B"/>
    <w:rsid w:val="000C5F30"/>
    <w:rsid w:val="000D4921"/>
    <w:rsid w:val="000E0D01"/>
    <w:rsid w:val="000E2A85"/>
    <w:rsid w:val="000F1ACC"/>
    <w:rsid w:val="000F2612"/>
    <w:rsid w:val="000F6BAC"/>
    <w:rsid w:val="000F772D"/>
    <w:rsid w:val="001021C5"/>
    <w:rsid w:val="00117D7A"/>
    <w:rsid w:val="00131023"/>
    <w:rsid w:val="00151224"/>
    <w:rsid w:val="00157A6B"/>
    <w:rsid w:val="0016231F"/>
    <w:rsid w:val="00174774"/>
    <w:rsid w:val="001776C5"/>
    <w:rsid w:val="001B7F5C"/>
    <w:rsid w:val="001C611A"/>
    <w:rsid w:val="001D7EE6"/>
    <w:rsid w:val="001E7117"/>
    <w:rsid w:val="001F6EF1"/>
    <w:rsid w:val="00201504"/>
    <w:rsid w:val="002050CB"/>
    <w:rsid w:val="002077DA"/>
    <w:rsid w:val="00213963"/>
    <w:rsid w:val="00213D6E"/>
    <w:rsid w:val="00216CEC"/>
    <w:rsid w:val="00234E85"/>
    <w:rsid w:val="002432A2"/>
    <w:rsid w:val="0026376E"/>
    <w:rsid w:val="00273C10"/>
    <w:rsid w:val="00284AA0"/>
    <w:rsid w:val="002A5DBB"/>
    <w:rsid w:val="002B69A0"/>
    <w:rsid w:val="002C4C34"/>
    <w:rsid w:val="002D21F1"/>
    <w:rsid w:val="002E022F"/>
    <w:rsid w:val="002E5A27"/>
    <w:rsid w:val="002F1865"/>
    <w:rsid w:val="002F6813"/>
    <w:rsid w:val="00307527"/>
    <w:rsid w:val="003132AC"/>
    <w:rsid w:val="00326DBB"/>
    <w:rsid w:val="003444A2"/>
    <w:rsid w:val="00345886"/>
    <w:rsid w:val="0035022F"/>
    <w:rsid w:val="003727DF"/>
    <w:rsid w:val="00373CC7"/>
    <w:rsid w:val="003A30A3"/>
    <w:rsid w:val="003A4641"/>
    <w:rsid w:val="003A5F79"/>
    <w:rsid w:val="003B70D4"/>
    <w:rsid w:val="003D1751"/>
    <w:rsid w:val="003D3419"/>
    <w:rsid w:val="003F7A37"/>
    <w:rsid w:val="0041506A"/>
    <w:rsid w:val="00443639"/>
    <w:rsid w:val="00463D64"/>
    <w:rsid w:val="00471676"/>
    <w:rsid w:val="00482ACF"/>
    <w:rsid w:val="00485842"/>
    <w:rsid w:val="004B1F18"/>
    <w:rsid w:val="004B54F6"/>
    <w:rsid w:val="004E4F99"/>
    <w:rsid w:val="004F2258"/>
    <w:rsid w:val="00503768"/>
    <w:rsid w:val="005108E6"/>
    <w:rsid w:val="00522975"/>
    <w:rsid w:val="00524DBE"/>
    <w:rsid w:val="005531E4"/>
    <w:rsid w:val="00553A5A"/>
    <w:rsid w:val="00554C3D"/>
    <w:rsid w:val="0055534E"/>
    <w:rsid w:val="00562C13"/>
    <w:rsid w:val="0057647B"/>
    <w:rsid w:val="00577475"/>
    <w:rsid w:val="005B087D"/>
    <w:rsid w:val="005B1CAA"/>
    <w:rsid w:val="005C15E2"/>
    <w:rsid w:val="005D6835"/>
    <w:rsid w:val="005E2EC9"/>
    <w:rsid w:val="005E5585"/>
    <w:rsid w:val="005E6EC7"/>
    <w:rsid w:val="005F21BC"/>
    <w:rsid w:val="005F2D9D"/>
    <w:rsid w:val="00605972"/>
    <w:rsid w:val="00613058"/>
    <w:rsid w:val="0061450E"/>
    <w:rsid w:val="00623165"/>
    <w:rsid w:val="0064043C"/>
    <w:rsid w:val="00650F19"/>
    <w:rsid w:val="006626E7"/>
    <w:rsid w:val="006751F0"/>
    <w:rsid w:val="00675E5D"/>
    <w:rsid w:val="0068492B"/>
    <w:rsid w:val="006863B4"/>
    <w:rsid w:val="00690F98"/>
    <w:rsid w:val="006914D6"/>
    <w:rsid w:val="006E3F43"/>
    <w:rsid w:val="00706BC7"/>
    <w:rsid w:val="00706C3B"/>
    <w:rsid w:val="00710E35"/>
    <w:rsid w:val="00712C34"/>
    <w:rsid w:val="00716DA0"/>
    <w:rsid w:val="007278E0"/>
    <w:rsid w:val="00765CBC"/>
    <w:rsid w:val="00771CE1"/>
    <w:rsid w:val="007829BB"/>
    <w:rsid w:val="00783AC6"/>
    <w:rsid w:val="007954D8"/>
    <w:rsid w:val="007A705A"/>
    <w:rsid w:val="007C1E46"/>
    <w:rsid w:val="007E0E76"/>
    <w:rsid w:val="007F0535"/>
    <w:rsid w:val="007F3FB3"/>
    <w:rsid w:val="00836D1B"/>
    <w:rsid w:val="00841027"/>
    <w:rsid w:val="008421BC"/>
    <w:rsid w:val="008435ED"/>
    <w:rsid w:val="00845A3B"/>
    <w:rsid w:val="00852FAB"/>
    <w:rsid w:val="00860606"/>
    <w:rsid w:val="00865CCA"/>
    <w:rsid w:val="00871D73"/>
    <w:rsid w:val="0087319C"/>
    <w:rsid w:val="00895275"/>
    <w:rsid w:val="008B310D"/>
    <w:rsid w:val="008C167C"/>
    <w:rsid w:val="008C240B"/>
    <w:rsid w:val="008D1AE6"/>
    <w:rsid w:val="008D4A3E"/>
    <w:rsid w:val="008D6056"/>
    <w:rsid w:val="008E71D5"/>
    <w:rsid w:val="008F073A"/>
    <w:rsid w:val="009363D1"/>
    <w:rsid w:val="00940F07"/>
    <w:rsid w:val="00941859"/>
    <w:rsid w:val="00952E28"/>
    <w:rsid w:val="00965404"/>
    <w:rsid w:val="00973A24"/>
    <w:rsid w:val="0097406F"/>
    <w:rsid w:val="00983296"/>
    <w:rsid w:val="00997C14"/>
    <w:rsid w:val="009A1CB0"/>
    <w:rsid w:val="009B377A"/>
    <w:rsid w:val="009E3926"/>
    <w:rsid w:val="009F0D7B"/>
    <w:rsid w:val="009F2AD7"/>
    <w:rsid w:val="009F4C62"/>
    <w:rsid w:val="009F7004"/>
    <w:rsid w:val="00A02648"/>
    <w:rsid w:val="00A142C7"/>
    <w:rsid w:val="00A2050A"/>
    <w:rsid w:val="00A30F35"/>
    <w:rsid w:val="00A31F01"/>
    <w:rsid w:val="00A33D74"/>
    <w:rsid w:val="00A33DC3"/>
    <w:rsid w:val="00A3505C"/>
    <w:rsid w:val="00A376F4"/>
    <w:rsid w:val="00A4384D"/>
    <w:rsid w:val="00A450BC"/>
    <w:rsid w:val="00A46FE2"/>
    <w:rsid w:val="00A47E87"/>
    <w:rsid w:val="00A60264"/>
    <w:rsid w:val="00A635C4"/>
    <w:rsid w:val="00A645DD"/>
    <w:rsid w:val="00A65F8B"/>
    <w:rsid w:val="00A83BEE"/>
    <w:rsid w:val="00A93734"/>
    <w:rsid w:val="00AA1609"/>
    <w:rsid w:val="00AA46FA"/>
    <w:rsid w:val="00AA56D9"/>
    <w:rsid w:val="00AA59FF"/>
    <w:rsid w:val="00AC14AF"/>
    <w:rsid w:val="00AD1DCC"/>
    <w:rsid w:val="00AE115E"/>
    <w:rsid w:val="00AE2D8D"/>
    <w:rsid w:val="00AE5086"/>
    <w:rsid w:val="00AE559A"/>
    <w:rsid w:val="00B004A1"/>
    <w:rsid w:val="00B17EA2"/>
    <w:rsid w:val="00B45A2C"/>
    <w:rsid w:val="00B50005"/>
    <w:rsid w:val="00B503F5"/>
    <w:rsid w:val="00B61463"/>
    <w:rsid w:val="00BA1028"/>
    <w:rsid w:val="00BA1B39"/>
    <w:rsid w:val="00BA3671"/>
    <w:rsid w:val="00BA4A5E"/>
    <w:rsid w:val="00BA4BC1"/>
    <w:rsid w:val="00BA720E"/>
    <w:rsid w:val="00BB4096"/>
    <w:rsid w:val="00BE4F30"/>
    <w:rsid w:val="00BE5373"/>
    <w:rsid w:val="00BF5A91"/>
    <w:rsid w:val="00C24A4B"/>
    <w:rsid w:val="00C24C0E"/>
    <w:rsid w:val="00C25308"/>
    <w:rsid w:val="00C43874"/>
    <w:rsid w:val="00C45B25"/>
    <w:rsid w:val="00C93E40"/>
    <w:rsid w:val="00C970D0"/>
    <w:rsid w:val="00CA7020"/>
    <w:rsid w:val="00CC640E"/>
    <w:rsid w:val="00CC6BC6"/>
    <w:rsid w:val="00CE40F3"/>
    <w:rsid w:val="00CF1C32"/>
    <w:rsid w:val="00D02C09"/>
    <w:rsid w:val="00D06A30"/>
    <w:rsid w:val="00D27A59"/>
    <w:rsid w:val="00D32014"/>
    <w:rsid w:val="00D33D34"/>
    <w:rsid w:val="00D34E24"/>
    <w:rsid w:val="00D36BB2"/>
    <w:rsid w:val="00D36E31"/>
    <w:rsid w:val="00D45C46"/>
    <w:rsid w:val="00D464D8"/>
    <w:rsid w:val="00D62814"/>
    <w:rsid w:val="00D63D1D"/>
    <w:rsid w:val="00D6608D"/>
    <w:rsid w:val="00D67052"/>
    <w:rsid w:val="00D71378"/>
    <w:rsid w:val="00D814AC"/>
    <w:rsid w:val="00D837C9"/>
    <w:rsid w:val="00D861AE"/>
    <w:rsid w:val="00D905F9"/>
    <w:rsid w:val="00DA36C5"/>
    <w:rsid w:val="00DB1B5F"/>
    <w:rsid w:val="00DB2DD4"/>
    <w:rsid w:val="00DD0F8D"/>
    <w:rsid w:val="00DE1A91"/>
    <w:rsid w:val="00E03D36"/>
    <w:rsid w:val="00E26AE1"/>
    <w:rsid w:val="00E301D3"/>
    <w:rsid w:val="00E301E8"/>
    <w:rsid w:val="00E46644"/>
    <w:rsid w:val="00E46FF0"/>
    <w:rsid w:val="00EB0F91"/>
    <w:rsid w:val="00EB53E5"/>
    <w:rsid w:val="00EC605D"/>
    <w:rsid w:val="00ED38D4"/>
    <w:rsid w:val="00EE38E1"/>
    <w:rsid w:val="00EF4889"/>
    <w:rsid w:val="00EF54B4"/>
    <w:rsid w:val="00F3225A"/>
    <w:rsid w:val="00F33250"/>
    <w:rsid w:val="00F441B2"/>
    <w:rsid w:val="00F5306D"/>
    <w:rsid w:val="00F5437E"/>
    <w:rsid w:val="00F54F93"/>
    <w:rsid w:val="00F809E3"/>
    <w:rsid w:val="00F856CE"/>
    <w:rsid w:val="00F9295B"/>
    <w:rsid w:val="00F93D24"/>
    <w:rsid w:val="00F961CD"/>
    <w:rsid w:val="00FB572C"/>
    <w:rsid w:val="00FC3FCD"/>
    <w:rsid w:val="00FE1085"/>
    <w:rsid w:val="00FE1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AF7E"/>
  <w15:chartTrackingRefBased/>
  <w15:docId w15:val="{0A1925F9-DE57-46AF-A616-31BCDD28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4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1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6B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1676"/>
    <w:pPr>
      <w:spacing w:after="0" w:line="240" w:lineRule="auto"/>
    </w:pPr>
  </w:style>
  <w:style w:type="paragraph" w:styleId="ListParagraph">
    <w:name w:val="List Paragraph"/>
    <w:basedOn w:val="Normal"/>
    <w:uiPriority w:val="1"/>
    <w:qFormat/>
    <w:rsid w:val="00D34E24"/>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D34E24"/>
    <w:pPr>
      <w:autoSpaceDE w:val="0"/>
      <w:autoSpaceDN w:val="0"/>
      <w:adjustRightInd w:val="0"/>
      <w:spacing w:before="87" w:after="0" w:line="240" w:lineRule="auto"/>
      <w:jc w:val="right"/>
    </w:pPr>
    <w:rPr>
      <w:rFonts w:ascii="Calibri" w:hAnsi="Calibri" w:cs="Calibri"/>
      <w:sz w:val="24"/>
      <w:szCs w:val="24"/>
    </w:rPr>
  </w:style>
  <w:style w:type="paragraph" w:styleId="BodyText">
    <w:name w:val="Body Text"/>
    <w:basedOn w:val="Normal"/>
    <w:link w:val="BodyTextChar"/>
    <w:uiPriority w:val="1"/>
    <w:qFormat/>
    <w:rsid w:val="00D34E24"/>
    <w:pPr>
      <w:autoSpaceDE w:val="0"/>
      <w:autoSpaceDN w:val="0"/>
      <w:adjustRightInd w:val="0"/>
      <w:spacing w:after="0" w:line="240" w:lineRule="auto"/>
    </w:pPr>
    <w:rPr>
      <w:rFonts w:ascii="Calibri" w:hAnsi="Calibri" w:cs="Calibri"/>
      <w:b/>
      <w:bCs/>
      <w:sz w:val="16"/>
      <w:szCs w:val="16"/>
    </w:rPr>
  </w:style>
  <w:style w:type="character" w:customStyle="1" w:styleId="BodyTextChar">
    <w:name w:val="Body Text Char"/>
    <w:basedOn w:val="DefaultParagraphFont"/>
    <w:link w:val="BodyText"/>
    <w:uiPriority w:val="1"/>
    <w:rsid w:val="00D34E24"/>
    <w:rPr>
      <w:rFonts w:ascii="Calibri" w:hAnsi="Calibri" w:cs="Calibri"/>
      <w:b/>
      <w:bCs/>
      <w:sz w:val="16"/>
      <w:szCs w:val="16"/>
    </w:rPr>
  </w:style>
  <w:style w:type="paragraph" w:customStyle="1" w:styleId="AnnualReportHeading1">
    <w:name w:val="Annual Report Heading1"/>
    <w:basedOn w:val="NoSpacing"/>
    <w:link w:val="AnnualReportHeading1Char"/>
    <w:qFormat/>
    <w:rsid w:val="00940F07"/>
    <w:pPr>
      <w:jc w:val="center"/>
    </w:pPr>
    <w:rPr>
      <w:rFonts w:cstheme="minorHAnsi"/>
      <w:b/>
      <w:sz w:val="40"/>
      <w:szCs w:val="24"/>
    </w:rPr>
  </w:style>
  <w:style w:type="table" w:styleId="TableGrid">
    <w:name w:val="Table Grid"/>
    <w:basedOn w:val="TableNormal"/>
    <w:uiPriority w:val="39"/>
    <w:rsid w:val="0077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40F07"/>
  </w:style>
  <w:style w:type="character" w:customStyle="1" w:styleId="AnnualReportHeading1Char">
    <w:name w:val="Annual Report Heading1 Char"/>
    <w:basedOn w:val="NoSpacingChar"/>
    <w:link w:val="AnnualReportHeading1"/>
    <w:rsid w:val="00940F07"/>
    <w:rPr>
      <w:rFonts w:cstheme="minorHAnsi"/>
      <w:b/>
      <w:sz w:val="40"/>
      <w:szCs w:val="24"/>
    </w:rPr>
  </w:style>
  <w:style w:type="character" w:styleId="Hyperlink">
    <w:name w:val="Hyperlink"/>
    <w:basedOn w:val="DefaultParagraphFont"/>
    <w:uiPriority w:val="99"/>
    <w:unhideWhenUsed/>
    <w:rsid w:val="00273C10"/>
    <w:rPr>
      <w:color w:val="0563C1" w:themeColor="hyperlink"/>
      <w:u w:val="single"/>
    </w:rPr>
  </w:style>
  <w:style w:type="character" w:customStyle="1" w:styleId="Heading1Char">
    <w:name w:val="Heading 1 Char"/>
    <w:basedOn w:val="DefaultParagraphFont"/>
    <w:link w:val="Heading1"/>
    <w:uiPriority w:val="9"/>
    <w:rsid w:val="006914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14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14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36BB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mciver@chisholm.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udit.vic.gov.a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quiries@audit.vic.gov.au" TargetMode="External"/><Relationship Id="rId11" Type="http://schemas.openxmlformats.org/officeDocument/2006/relationships/hyperlink" Target="http://www.chisholm.edu.au/about-us/publications" TargetMode="External"/><Relationship Id="rId5" Type="http://schemas.openxmlformats.org/officeDocument/2006/relationships/webSettings" Target="webSettings.xml"/><Relationship Id="rId10" Type="http://schemas.openxmlformats.org/officeDocument/2006/relationships/hyperlink" Target="mailto:grant.radford@chisholm.edu.au" TargetMode="External"/><Relationship Id="rId4" Type="http://schemas.openxmlformats.org/officeDocument/2006/relationships/settings" Target="settings.xml"/><Relationship Id="rId9" Type="http://schemas.openxmlformats.org/officeDocument/2006/relationships/hyperlink" Target="http://www.iba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DF4C-4139-4E58-A14D-72625F47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6159</TotalTime>
  <Pages>146</Pages>
  <Words>34347</Words>
  <Characters>195780</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229668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Lee</dc:creator>
  <cp:keywords/>
  <dc:description/>
  <cp:lastModifiedBy>Trish Lee</cp:lastModifiedBy>
  <cp:revision>120</cp:revision>
  <dcterms:created xsi:type="dcterms:W3CDTF">2019-03-27T21:55:00Z</dcterms:created>
  <dcterms:modified xsi:type="dcterms:W3CDTF">2020-01-06T03:48:00Z</dcterms:modified>
</cp:coreProperties>
</file>