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2B8" w:rsidRDefault="005942B8" w:rsidP="005942B8">
      <w:pPr>
        <w:pStyle w:val="Heading1"/>
      </w:pPr>
      <w:r>
        <w:t xml:space="preserve">Chisholm Institute 2019 Annual Report </w:t>
      </w:r>
    </w:p>
    <w:p w:rsidR="00741BC2" w:rsidRDefault="00741BC2" w:rsidP="005942B8">
      <w:pPr>
        <w:pStyle w:val="NoSpacing"/>
      </w:pPr>
    </w:p>
    <w:p w:rsidR="005942B8" w:rsidRDefault="005942B8" w:rsidP="005942B8">
      <w:pPr>
        <w:pStyle w:val="NoSpacing"/>
      </w:pPr>
      <w:r>
        <w:t xml:space="preserve">TAFE Victoria logo </w:t>
      </w:r>
    </w:p>
    <w:p w:rsidR="005942B8" w:rsidRDefault="005942B8" w:rsidP="005942B8">
      <w:pPr>
        <w:pStyle w:val="NoSpacing"/>
      </w:pPr>
      <w:r>
        <w:t>1300 244 746</w:t>
      </w:r>
    </w:p>
    <w:p w:rsidR="005942B8" w:rsidRDefault="005942B8" w:rsidP="005942B8">
      <w:pPr>
        <w:pStyle w:val="NoSpacing"/>
      </w:pPr>
      <w:r>
        <w:t xml:space="preserve">chisholm.edu.au </w:t>
      </w:r>
    </w:p>
    <w:p w:rsidR="005942B8" w:rsidRDefault="005942B8" w:rsidP="005942B8">
      <w:pPr>
        <w:pStyle w:val="NoSpacing"/>
      </w:pPr>
    </w:p>
    <w:p w:rsidR="005942B8" w:rsidRDefault="005942B8" w:rsidP="005942B8">
      <w:pPr>
        <w:pStyle w:val="NoSpacing"/>
      </w:pPr>
      <w:r>
        <w:t>&lt;front cover&gt;</w:t>
      </w:r>
    </w:p>
    <w:p w:rsidR="005942B8" w:rsidRDefault="005942B8" w:rsidP="005942B8">
      <w:pPr>
        <w:pStyle w:val="NoSpacing"/>
      </w:pPr>
    </w:p>
    <w:p w:rsidR="005942B8" w:rsidRDefault="005942B8" w:rsidP="005942B8">
      <w:pPr>
        <w:pStyle w:val="NoSpacing"/>
      </w:pPr>
      <w:r>
        <w:t>Our Vision</w:t>
      </w:r>
    </w:p>
    <w:p w:rsidR="005942B8" w:rsidRDefault="005942B8" w:rsidP="005942B8">
      <w:pPr>
        <w:pStyle w:val="NoSpacing"/>
      </w:pPr>
    </w:p>
    <w:p w:rsidR="005942B8" w:rsidRDefault="005942B8" w:rsidP="005942B8">
      <w:pPr>
        <w:pStyle w:val="NoSpacing"/>
      </w:pPr>
      <w:r>
        <w:t>Leading the way in education and training to inspire success and transform lives.</w:t>
      </w:r>
    </w:p>
    <w:p w:rsidR="005942B8" w:rsidRDefault="005942B8" w:rsidP="005942B8">
      <w:pPr>
        <w:pStyle w:val="NoSpacing"/>
      </w:pPr>
    </w:p>
    <w:p w:rsidR="005942B8" w:rsidRDefault="005942B8" w:rsidP="005942B8">
      <w:pPr>
        <w:pStyle w:val="NoSpacing"/>
      </w:pPr>
      <w:r>
        <w:t>Our Purpose</w:t>
      </w:r>
    </w:p>
    <w:p w:rsidR="005942B8" w:rsidRDefault="005942B8" w:rsidP="005942B8">
      <w:pPr>
        <w:pStyle w:val="NoSpacing"/>
      </w:pPr>
    </w:p>
    <w:p w:rsidR="005942B8" w:rsidRDefault="005942B8" w:rsidP="005942B8">
      <w:pPr>
        <w:pStyle w:val="NoSpacing"/>
      </w:pPr>
      <w:r>
        <w:t>Chisholm Institute excels in education and training and is respected and valued for enhancing the social and economic futures of individuals, industry and communities.</w:t>
      </w:r>
    </w:p>
    <w:p w:rsidR="005942B8" w:rsidRDefault="005942B8" w:rsidP="005942B8">
      <w:pPr>
        <w:pStyle w:val="NoSpacing"/>
      </w:pPr>
    </w:p>
    <w:p w:rsidR="005942B8" w:rsidRDefault="005942B8" w:rsidP="005942B8">
      <w:pPr>
        <w:pStyle w:val="NoSpacing"/>
      </w:pPr>
      <w:r>
        <w:t>Our Values</w:t>
      </w:r>
    </w:p>
    <w:p w:rsidR="005942B8" w:rsidRDefault="005942B8" w:rsidP="005942B8">
      <w:pPr>
        <w:pStyle w:val="NoSpacing"/>
      </w:pPr>
    </w:p>
    <w:p w:rsidR="005942B8" w:rsidRDefault="005942B8" w:rsidP="005942B8">
      <w:pPr>
        <w:pStyle w:val="NoSpacing"/>
      </w:pPr>
      <w:r>
        <w:t>Our drive for commercial success is underpinned by our core values:</w:t>
      </w:r>
    </w:p>
    <w:p w:rsidR="005942B8" w:rsidRDefault="005942B8" w:rsidP="005942B8">
      <w:pPr>
        <w:pStyle w:val="NoSpacing"/>
      </w:pPr>
    </w:p>
    <w:p w:rsidR="005942B8" w:rsidRDefault="005942B8" w:rsidP="00925530">
      <w:pPr>
        <w:pStyle w:val="NoSpacing"/>
        <w:numPr>
          <w:ilvl w:val="0"/>
          <w:numId w:val="10"/>
        </w:numPr>
      </w:pPr>
      <w:r>
        <w:t>Opportunity</w:t>
      </w:r>
    </w:p>
    <w:p w:rsidR="005942B8" w:rsidRDefault="005942B8" w:rsidP="00925530">
      <w:pPr>
        <w:pStyle w:val="NoSpacing"/>
        <w:numPr>
          <w:ilvl w:val="0"/>
          <w:numId w:val="10"/>
        </w:numPr>
      </w:pPr>
      <w:r>
        <w:t>Integrity</w:t>
      </w:r>
    </w:p>
    <w:p w:rsidR="005942B8" w:rsidRDefault="005942B8" w:rsidP="00925530">
      <w:pPr>
        <w:pStyle w:val="NoSpacing"/>
        <w:numPr>
          <w:ilvl w:val="0"/>
          <w:numId w:val="10"/>
        </w:numPr>
      </w:pPr>
      <w:r>
        <w:t>Collaboration</w:t>
      </w:r>
    </w:p>
    <w:p w:rsidR="005942B8" w:rsidRDefault="005942B8" w:rsidP="00925530">
      <w:pPr>
        <w:pStyle w:val="NoSpacing"/>
        <w:numPr>
          <w:ilvl w:val="0"/>
          <w:numId w:val="10"/>
        </w:numPr>
      </w:pPr>
      <w:r>
        <w:t>Achievement</w:t>
      </w:r>
    </w:p>
    <w:p w:rsidR="005942B8" w:rsidRDefault="005942B8" w:rsidP="005942B8">
      <w:pPr>
        <w:pStyle w:val="NoSpacing"/>
      </w:pPr>
    </w:p>
    <w:p w:rsidR="00280ED8" w:rsidRDefault="00280ED8" w:rsidP="00280ED8">
      <w:pPr>
        <w:autoSpaceDE w:val="0"/>
        <w:autoSpaceDN w:val="0"/>
        <w:adjustRightInd w:val="0"/>
        <w:spacing w:after="0" w:line="240" w:lineRule="auto"/>
        <w:rPr>
          <w:rFonts w:cstheme="minorHAnsi"/>
        </w:rPr>
      </w:pPr>
      <w:r>
        <w:rPr>
          <w:rFonts w:cstheme="minorHAnsi"/>
        </w:rPr>
        <w:t xml:space="preserve">Womin Djeka, Welcome to Chisholm </w:t>
      </w:r>
    </w:p>
    <w:p w:rsidR="00280ED8" w:rsidRDefault="00280ED8" w:rsidP="00280ED8">
      <w:pPr>
        <w:autoSpaceDE w:val="0"/>
        <w:autoSpaceDN w:val="0"/>
        <w:adjustRightInd w:val="0"/>
        <w:spacing w:after="0" w:line="240" w:lineRule="auto"/>
        <w:rPr>
          <w:rFonts w:cstheme="minorHAnsi"/>
        </w:rPr>
      </w:pPr>
    </w:p>
    <w:p w:rsidR="00280ED8" w:rsidRPr="00280ED8" w:rsidRDefault="00280ED8" w:rsidP="00280ED8">
      <w:pPr>
        <w:autoSpaceDE w:val="0"/>
        <w:autoSpaceDN w:val="0"/>
        <w:adjustRightInd w:val="0"/>
        <w:spacing w:after="0" w:line="240" w:lineRule="auto"/>
        <w:rPr>
          <w:rFonts w:cstheme="minorHAnsi"/>
        </w:rPr>
      </w:pPr>
      <w:r w:rsidRPr="00280ED8">
        <w:rPr>
          <w:rFonts w:cstheme="minorHAnsi"/>
        </w:rPr>
        <w:t>Chisholm Institute respectful</w:t>
      </w:r>
      <w:r>
        <w:rPr>
          <w:rFonts w:cstheme="minorHAnsi"/>
        </w:rPr>
        <w:t xml:space="preserve">ly acknowledges the Traditional </w:t>
      </w:r>
      <w:r w:rsidRPr="00280ED8">
        <w:rPr>
          <w:rFonts w:cstheme="minorHAnsi"/>
        </w:rPr>
        <w:t>Custodians of this land. We pay respect to Elders past,</w:t>
      </w:r>
      <w:r>
        <w:rPr>
          <w:rFonts w:cstheme="minorHAnsi"/>
        </w:rPr>
        <w:t xml:space="preserve"> </w:t>
      </w:r>
      <w:r w:rsidRPr="00280ED8">
        <w:rPr>
          <w:rFonts w:cstheme="minorHAnsi"/>
        </w:rPr>
        <w:t>present, and future for they hol</w:t>
      </w:r>
      <w:r>
        <w:rPr>
          <w:rFonts w:cstheme="minorHAnsi"/>
        </w:rPr>
        <w:t xml:space="preserve">d the memories, the traditions, </w:t>
      </w:r>
      <w:r w:rsidRPr="00280ED8">
        <w:rPr>
          <w:rFonts w:cstheme="minorHAnsi"/>
        </w:rPr>
        <w:t>the culture, and hopes of our nation’s First Peoples.</w:t>
      </w:r>
    </w:p>
    <w:p w:rsidR="00280ED8" w:rsidRDefault="00280ED8" w:rsidP="00280ED8">
      <w:pPr>
        <w:autoSpaceDE w:val="0"/>
        <w:autoSpaceDN w:val="0"/>
        <w:adjustRightInd w:val="0"/>
        <w:spacing w:after="0" w:line="240" w:lineRule="auto"/>
        <w:rPr>
          <w:rFonts w:cstheme="minorHAnsi"/>
        </w:rPr>
      </w:pPr>
    </w:p>
    <w:p w:rsidR="00280ED8" w:rsidRPr="00280ED8" w:rsidRDefault="00280ED8" w:rsidP="00280ED8">
      <w:pPr>
        <w:autoSpaceDE w:val="0"/>
        <w:autoSpaceDN w:val="0"/>
        <w:adjustRightInd w:val="0"/>
        <w:spacing w:after="0" w:line="240" w:lineRule="auto"/>
        <w:rPr>
          <w:rFonts w:cstheme="minorHAnsi"/>
        </w:rPr>
      </w:pPr>
      <w:r w:rsidRPr="00280ED8">
        <w:rPr>
          <w:rFonts w:cstheme="minorHAnsi"/>
        </w:rPr>
        <w:t>Chisholm is committed t</w:t>
      </w:r>
      <w:r>
        <w:rPr>
          <w:rFonts w:cstheme="minorHAnsi"/>
        </w:rPr>
        <w:t xml:space="preserve">o supporting and empowering our </w:t>
      </w:r>
      <w:r w:rsidRPr="00280ED8">
        <w:rPr>
          <w:rFonts w:cstheme="minorHAnsi"/>
        </w:rPr>
        <w:t>Aboriginal and Torres Strait Islander staff, students, and</w:t>
      </w:r>
      <w:r>
        <w:rPr>
          <w:rFonts w:cstheme="minorHAnsi"/>
        </w:rPr>
        <w:t xml:space="preserve"> </w:t>
      </w:r>
      <w:r w:rsidRPr="00280ED8">
        <w:rPr>
          <w:rFonts w:cstheme="minorHAnsi"/>
        </w:rPr>
        <w:t>their communities by</w:t>
      </w:r>
      <w:r>
        <w:rPr>
          <w:rFonts w:cstheme="minorHAnsi"/>
        </w:rPr>
        <w:t xml:space="preserve"> providing quality teaching and </w:t>
      </w:r>
      <w:r w:rsidRPr="00280ED8">
        <w:rPr>
          <w:rFonts w:cstheme="minorHAnsi"/>
        </w:rPr>
        <w:t>learning opportunities.</w:t>
      </w:r>
    </w:p>
    <w:p w:rsidR="00280ED8" w:rsidRDefault="00280ED8" w:rsidP="005942B8">
      <w:pPr>
        <w:pStyle w:val="NoSpacing"/>
      </w:pPr>
    </w:p>
    <w:p w:rsidR="00280ED8" w:rsidRDefault="00280ED8" w:rsidP="005942B8">
      <w:pPr>
        <w:pStyle w:val="NoSpacing"/>
      </w:pPr>
      <w:r>
        <w:t xml:space="preserve">&lt;images - Australian flag, Indigenous flag, Torres Strait Islander flag&gt;  </w:t>
      </w:r>
    </w:p>
    <w:p w:rsidR="00280ED8" w:rsidRDefault="00280ED8" w:rsidP="005942B8">
      <w:pPr>
        <w:pStyle w:val="NoSpacing"/>
      </w:pPr>
    </w:p>
    <w:p w:rsidR="005942B8" w:rsidRDefault="005942B8" w:rsidP="005942B8">
      <w:pPr>
        <w:pStyle w:val="NoSpacing"/>
      </w:pPr>
      <w:r>
        <w:t>&lt;</w:t>
      </w:r>
      <w:r w:rsidR="00B547B4">
        <w:t>p</w:t>
      </w:r>
      <w:r w:rsidR="0062667A">
        <w:t>age</w:t>
      </w:r>
      <w:r w:rsidR="00B547B4">
        <w:t xml:space="preserve"> front B</w:t>
      </w:r>
      <w:r>
        <w:t>&gt;</w:t>
      </w:r>
    </w:p>
    <w:p w:rsidR="005942B8" w:rsidRDefault="005942B8" w:rsidP="005942B8">
      <w:pPr>
        <w:pStyle w:val="NoSpacing"/>
      </w:pPr>
    </w:p>
    <w:p w:rsidR="005942B8" w:rsidRDefault="005942B8" w:rsidP="005942B8">
      <w:pPr>
        <w:pStyle w:val="Heading2"/>
      </w:pPr>
      <w:r>
        <w:t xml:space="preserve">Contents  </w:t>
      </w:r>
    </w:p>
    <w:p w:rsidR="005942B8" w:rsidRDefault="005942B8" w:rsidP="005942B8">
      <w:pPr>
        <w:pStyle w:val="NoSpacing"/>
      </w:pPr>
    </w:p>
    <w:p w:rsidR="00280ED8" w:rsidRDefault="0062667A" w:rsidP="005942B8">
      <w:pPr>
        <w:pStyle w:val="NoSpacing"/>
      </w:pPr>
      <w:r>
        <w:t xml:space="preserve">About this report </w:t>
      </w:r>
      <w:r w:rsidR="00280ED8">
        <w:t>1</w:t>
      </w:r>
    </w:p>
    <w:p w:rsidR="00280ED8" w:rsidRDefault="0062667A" w:rsidP="005942B8">
      <w:pPr>
        <w:pStyle w:val="NoSpacing"/>
      </w:pPr>
      <w:r>
        <w:t>About Chisholm</w:t>
      </w:r>
      <w:r>
        <w:tab/>
        <w:t xml:space="preserve"> </w:t>
      </w:r>
      <w:r w:rsidR="00280ED8">
        <w:t>2</w:t>
      </w:r>
    </w:p>
    <w:p w:rsidR="00280ED8" w:rsidRDefault="0062667A" w:rsidP="005942B8">
      <w:pPr>
        <w:pStyle w:val="NoSpacing"/>
      </w:pPr>
      <w:r>
        <w:t xml:space="preserve">Board Chair’s message </w:t>
      </w:r>
      <w:r w:rsidR="00280ED8">
        <w:t>3</w:t>
      </w:r>
    </w:p>
    <w:p w:rsidR="00280ED8" w:rsidRDefault="0062667A" w:rsidP="005942B8">
      <w:pPr>
        <w:pStyle w:val="NoSpacing"/>
      </w:pPr>
      <w:r>
        <w:t xml:space="preserve">CEO’s message </w:t>
      </w:r>
      <w:r w:rsidR="00280ED8">
        <w:t>4</w:t>
      </w:r>
    </w:p>
    <w:p w:rsidR="00280ED8" w:rsidRDefault="0062667A" w:rsidP="005942B8">
      <w:pPr>
        <w:pStyle w:val="NoSpacing"/>
      </w:pPr>
      <w:r>
        <w:t xml:space="preserve">Awards and achievements </w:t>
      </w:r>
      <w:r w:rsidR="00280ED8">
        <w:t>5</w:t>
      </w:r>
    </w:p>
    <w:p w:rsidR="00280ED8" w:rsidRDefault="0062667A" w:rsidP="005942B8">
      <w:pPr>
        <w:pStyle w:val="NoSpacing"/>
      </w:pPr>
      <w:r>
        <w:t xml:space="preserve">Working with Industry </w:t>
      </w:r>
      <w:r w:rsidR="00280ED8">
        <w:t>8</w:t>
      </w:r>
    </w:p>
    <w:p w:rsidR="00280ED8" w:rsidRDefault="00280ED8" w:rsidP="005942B8">
      <w:pPr>
        <w:pStyle w:val="NoSpacing"/>
      </w:pPr>
      <w:r>
        <w:t>Working wi</w:t>
      </w:r>
      <w:r w:rsidR="0062667A">
        <w:t xml:space="preserve">th the Australian Defence Force </w:t>
      </w:r>
      <w:r>
        <w:t>9</w:t>
      </w:r>
    </w:p>
    <w:p w:rsidR="00280ED8" w:rsidRDefault="0062667A" w:rsidP="005942B8">
      <w:pPr>
        <w:pStyle w:val="NoSpacing"/>
      </w:pPr>
      <w:r>
        <w:t xml:space="preserve">Local Communities </w:t>
      </w:r>
      <w:r w:rsidR="00280ED8">
        <w:t>10</w:t>
      </w:r>
    </w:p>
    <w:p w:rsidR="00280ED8" w:rsidRDefault="00280ED8" w:rsidP="005942B8">
      <w:pPr>
        <w:pStyle w:val="NoSpacing"/>
      </w:pPr>
      <w:r>
        <w:lastRenderedPageBreak/>
        <w:t>Free T</w:t>
      </w:r>
      <w:r w:rsidR="0062667A">
        <w:t xml:space="preserve">AFE </w:t>
      </w:r>
      <w:r>
        <w:t>11</w:t>
      </w:r>
    </w:p>
    <w:p w:rsidR="00280ED8" w:rsidRDefault="0062667A" w:rsidP="005942B8">
      <w:pPr>
        <w:pStyle w:val="NoSpacing"/>
      </w:pPr>
      <w:r>
        <w:t xml:space="preserve">Higher Education Partnership </w:t>
      </w:r>
      <w:r w:rsidR="00280ED8">
        <w:t>12</w:t>
      </w:r>
    </w:p>
    <w:p w:rsidR="00280ED8" w:rsidRDefault="0062667A" w:rsidP="005942B8">
      <w:pPr>
        <w:pStyle w:val="NoSpacing"/>
      </w:pPr>
      <w:r>
        <w:t xml:space="preserve">Chisholm Online </w:t>
      </w:r>
      <w:r w:rsidR="00280ED8">
        <w:t>12</w:t>
      </w:r>
    </w:p>
    <w:p w:rsidR="00280ED8" w:rsidRDefault="0062667A" w:rsidP="005942B8">
      <w:pPr>
        <w:pStyle w:val="NoSpacing"/>
      </w:pPr>
      <w:r>
        <w:t xml:space="preserve">International projects </w:t>
      </w:r>
      <w:r w:rsidR="00280ED8">
        <w:t>13</w:t>
      </w:r>
    </w:p>
    <w:p w:rsidR="00280ED8" w:rsidRDefault="0062667A" w:rsidP="005942B8">
      <w:pPr>
        <w:pStyle w:val="NoSpacing"/>
      </w:pPr>
      <w:r>
        <w:t xml:space="preserve">Strategic Direction </w:t>
      </w:r>
      <w:r w:rsidR="00280ED8">
        <w:t>15</w:t>
      </w:r>
    </w:p>
    <w:p w:rsidR="00280ED8" w:rsidRDefault="00280ED8" w:rsidP="005942B8">
      <w:pPr>
        <w:pStyle w:val="NoSpacing"/>
      </w:pPr>
      <w:r>
        <w:t>Frankston L</w:t>
      </w:r>
      <w:r w:rsidR="0062667A">
        <w:t xml:space="preserve">earning and Innovation Precinct </w:t>
      </w:r>
      <w:r>
        <w:t>17</w:t>
      </w:r>
    </w:p>
    <w:p w:rsidR="00280ED8" w:rsidRDefault="0062667A" w:rsidP="005942B8">
      <w:pPr>
        <w:pStyle w:val="NoSpacing"/>
      </w:pPr>
      <w:r>
        <w:t xml:space="preserve">Mysa Salon and Spa at Chisholm </w:t>
      </w:r>
      <w:r w:rsidR="00280ED8">
        <w:t>18</w:t>
      </w:r>
    </w:p>
    <w:p w:rsidR="00280ED8" w:rsidRDefault="0062667A" w:rsidP="005942B8">
      <w:pPr>
        <w:pStyle w:val="NoSpacing"/>
      </w:pPr>
      <w:r>
        <w:t xml:space="preserve">Berwick Centre of Health </w:t>
      </w:r>
      <w:r w:rsidR="00280ED8">
        <w:t>19</w:t>
      </w:r>
    </w:p>
    <w:p w:rsidR="00280ED8" w:rsidRDefault="0062667A" w:rsidP="005942B8">
      <w:pPr>
        <w:pStyle w:val="NoSpacing"/>
      </w:pPr>
      <w:r>
        <w:t xml:space="preserve">Casey Tech School </w:t>
      </w:r>
      <w:r w:rsidR="00280ED8">
        <w:t>20</w:t>
      </w:r>
    </w:p>
    <w:p w:rsidR="00280ED8" w:rsidRDefault="0062667A" w:rsidP="005942B8">
      <w:pPr>
        <w:pStyle w:val="NoSpacing"/>
      </w:pPr>
      <w:r>
        <w:t xml:space="preserve">Apprenticeship Hub </w:t>
      </w:r>
      <w:r w:rsidR="00280ED8">
        <w:t>21</w:t>
      </w:r>
    </w:p>
    <w:p w:rsidR="00280ED8" w:rsidRDefault="0062667A" w:rsidP="005942B8">
      <w:pPr>
        <w:pStyle w:val="NoSpacing"/>
      </w:pPr>
      <w:r>
        <w:t xml:space="preserve">Chisholm Skills and Jobs Centre </w:t>
      </w:r>
      <w:r w:rsidR="00280ED8">
        <w:t>22</w:t>
      </w:r>
    </w:p>
    <w:p w:rsidR="00280ED8" w:rsidRDefault="0062667A" w:rsidP="005942B8">
      <w:pPr>
        <w:pStyle w:val="NoSpacing"/>
      </w:pPr>
      <w:r>
        <w:t xml:space="preserve">Student Support and Engagement </w:t>
      </w:r>
      <w:r w:rsidR="00280ED8">
        <w:t>23</w:t>
      </w:r>
    </w:p>
    <w:p w:rsidR="00280ED8" w:rsidRDefault="0062667A" w:rsidP="005942B8">
      <w:pPr>
        <w:pStyle w:val="NoSpacing"/>
      </w:pPr>
      <w:r>
        <w:t xml:space="preserve">Foundation College </w:t>
      </w:r>
      <w:r w:rsidR="00280ED8">
        <w:t>24</w:t>
      </w:r>
    </w:p>
    <w:p w:rsidR="00280ED8" w:rsidRDefault="00280ED8" w:rsidP="005942B8">
      <w:pPr>
        <w:pStyle w:val="NoSpacing"/>
      </w:pPr>
      <w:r>
        <w:t>Carolin</w:t>
      </w:r>
      <w:r w:rsidR="0062667A">
        <w:t xml:space="preserve">e Chisholm Education Foundation </w:t>
      </w:r>
      <w:r>
        <w:t>26</w:t>
      </w:r>
    </w:p>
    <w:p w:rsidR="00280ED8" w:rsidRDefault="00280ED8" w:rsidP="005942B8">
      <w:pPr>
        <w:pStyle w:val="NoSpacing"/>
      </w:pPr>
      <w:r>
        <w:t>Wo</w:t>
      </w:r>
      <w:r w:rsidR="0062667A">
        <w:t xml:space="preserve">rk Health, Safety and Wellbeing </w:t>
      </w:r>
      <w:r>
        <w:t>27</w:t>
      </w:r>
    </w:p>
    <w:p w:rsidR="00280ED8" w:rsidRDefault="0062667A" w:rsidP="005942B8">
      <w:pPr>
        <w:pStyle w:val="NoSpacing"/>
      </w:pPr>
      <w:r>
        <w:t xml:space="preserve">Workforce data </w:t>
      </w:r>
      <w:r w:rsidR="00280ED8">
        <w:t>29</w:t>
      </w:r>
    </w:p>
    <w:p w:rsidR="00280ED8" w:rsidRDefault="0062667A" w:rsidP="005942B8">
      <w:pPr>
        <w:pStyle w:val="NoSpacing"/>
      </w:pPr>
      <w:r>
        <w:t xml:space="preserve">Statistical overview </w:t>
      </w:r>
      <w:r w:rsidR="00280ED8">
        <w:t>31</w:t>
      </w:r>
    </w:p>
    <w:p w:rsidR="00280ED8" w:rsidRDefault="0062667A" w:rsidP="005942B8">
      <w:pPr>
        <w:pStyle w:val="NoSpacing"/>
      </w:pPr>
      <w:r>
        <w:t xml:space="preserve">Financial Performance Summary </w:t>
      </w:r>
      <w:r w:rsidR="00280ED8">
        <w:t>33</w:t>
      </w:r>
    </w:p>
    <w:p w:rsidR="00280ED8" w:rsidRDefault="00280ED8" w:rsidP="005942B8">
      <w:pPr>
        <w:pStyle w:val="NoSpacing"/>
      </w:pPr>
      <w:r>
        <w:t>Board a</w:t>
      </w:r>
      <w:r w:rsidR="0062667A">
        <w:t xml:space="preserve">nd Committees </w:t>
      </w:r>
      <w:r>
        <w:t>34</w:t>
      </w:r>
    </w:p>
    <w:p w:rsidR="00280ED8" w:rsidRDefault="0062667A" w:rsidP="005942B8">
      <w:pPr>
        <w:pStyle w:val="NoSpacing"/>
      </w:pPr>
      <w:r>
        <w:t xml:space="preserve">Executive Directors Group </w:t>
      </w:r>
      <w:r w:rsidR="00280ED8">
        <w:t>37</w:t>
      </w:r>
    </w:p>
    <w:p w:rsidR="00280ED8" w:rsidRDefault="0062667A" w:rsidP="005942B8">
      <w:pPr>
        <w:pStyle w:val="NoSpacing"/>
      </w:pPr>
      <w:r>
        <w:t xml:space="preserve">Corporate Governance </w:t>
      </w:r>
      <w:r w:rsidR="00280ED8">
        <w:t>38</w:t>
      </w:r>
    </w:p>
    <w:p w:rsidR="00280ED8" w:rsidRDefault="00280ED8" w:rsidP="005942B8">
      <w:pPr>
        <w:pStyle w:val="NoSpacing"/>
      </w:pPr>
      <w:r>
        <w:t xml:space="preserve">Board </w:t>
      </w:r>
      <w:r w:rsidR="0062667A">
        <w:t xml:space="preserve">Committees Chart and Membership </w:t>
      </w:r>
      <w:r>
        <w:t>39</w:t>
      </w:r>
    </w:p>
    <w:p w:rsidR="00280ED8" w:rsidRDefault="0062667A" w:rsidP="005942B8">
      <w:pPr>
        <w:pStyle w:val="NoSpacing"/>
      </w:pPr>
      <w:r>
        <w:t xml:space="preserve">Controlled Entities </w:t>
      </w:r>
      <w:r w:rsidR="00EF7075">
        <w:t>40</w:t>
      </w:r>
    </w:p>
    <w:p w:rsidR="00EF7075" w:rsidRDefault="0062667A" w:rsidP="005942B8">
      <w:pPr>
        <w:pStyle w:val="NoSpacing"/>
      </w:pPr>
      <w:r>
        <w:t xml:space="preserve">Attestations </w:t>
      </w:r>
      <w:r w:rsidR="00EF7075">
        <w:t>41</w:t>
      </w:r>
    </w:p>
    <w:p w:rsidR="00EF7075" w:rsidRDefault="00EF7075" w:rsidP="005942B8">
      <w:pPr>
        <w:pStyle w:val="NoSpacing"/>
      </w:pPr>
      <w:r>
        <w:t>Co</w:t>
      </w:r>
      <w:r w:rsidR="0062667A">
        <w:t xml:space="preserve">nsolidated Financial Statements </w:t>
      </w:r>
      <w:r>
        <w:t>42</w:t>
      </w:r>
    </w:p>
    <w:p w:rsidR="00EF7075" w:rsidRDefault="00EF7075" w:rsidP="005942B8">
      <w:pPr>
        <w:pStyle w:val="NoSpacing"/>
      </w:pPr>
      <w:r>
        <w:t>Not</w:t>
      </w:r>
      <w:r w:rsidR="0062667A">
        <w:t xml:space="preserve">es to the Financial Statements </w:t>
      </w:r>
      <w:r>
        <w:t>50</w:t>
      </w:r>
    </w:p>
    <w:p w:rsidR="00EF7075" w:rsidRDefault="0062667A" w:rsidP="005942B8">
      <w:pPr>
        <w:pStyle w:val="NoSpacing"/>
      </w:pPr>
      <w:r>
        <w:t>Performance Statement</w:t>
      </w:r>
      <w:r>
        <w:tab/>
        <w:t xml:space="preserve"> </w:t>
      </w:r>
      <w:r w:rsidR="00EF7075">
        <w:t>97</w:t>
      </w:r>
    </w:p>
    <w:p w:rsidR="00EF7075" w:rsidRDefault="00EF7075" w:rsidP="005942B8">
      <w:pPr>
        <w:pStyle w:val="NoSpacing"/>
      </w:pPr>
      <w:r>
        <w:t>Discl</w:t>
      </w:r>
      <w:r w:rsidR="0062667A">
        <w:t xml:space="preserve">osure Index </w:t>
      </w:r>
      <w:r>
        <w:t>102</w:t>
      </w:r>
    </w:p>
    <w:p w:rsidR="00EF7075" w:rsidRDefault="0062667A" w:rsidP="005942B8">
      <w:pPr>
        <w:pStyle w:val="NoSpacing"/>
      </w:pPr>
      <w:r>
        <w:t xml:space="preserve">Environmental Performance </w:t>
      </w:r>
      <w:r w:rsidR="00EF7075">
        <w:t>108</w:t>
      </w:r>
    </w:p>
    <w:p w:rsidR="00EF7075" w:rsidRDefault="0062667A" w:rsidP="005942B8">
      <w:pPr>
        <w:pStyle w:val="NoSpacing"/>
      </w:pPr>
      <w:r>
        <w:t xml:space="preserve">Acronyms </w:t>
      </w:r>
      <w:r w:rsidR="00EF7075">
        <w:t>112</w:t>
      </w:r>
    </w:p>
    <w:p w:rsidR="00280ED8" w:rsidRDefault="00280ED8" w:rsidP="005942B8">
      <w:pPr>
        <w:pStyle w:val="NoSpacing"/>
      </w:pPr>
    </w:p>
    <w:p w:rsidR="005942B8" w:rsidRDefault="005942B8" w:rsidP="005942B8">
      <w:pPr>
        <w:pStyle w:val="NoSpacing"/>
      </w:pPr>
      <w:r>
        <w:t>&lt;</w:t>
      </w:r>
      <w:r w:rsidR="0062667A">
        <w:t>page</w:t>
      </w:r>
      <w:r w:rsidR="00B547B4">
        <w:t xml:space="preserve"> front C</w:t>
      </w:r>
      <w:r>
        <w:t>&gt;</w:t>
      </w:r>
    </w:p>
    <w:p w:rsidR="005942B8" w:rsidRDefault="005942B8" w:rsidP="005942B8">
      <w:pPr>
        <w:pStyle w:val="NoSpacing"/>
      </w:pPr>
    </w:p>
    <w:p w:rsidR="00B547B4" w:rsidRDefault="00B547B4" w:rsidP="00B547B4">
      <w:pPr>
        <w:pStyle w:val="Heading2"/>
      </w:pPr>
      <w:r>
        <w:t xml:space="preserve">About this Report </w:t>
      </w:r>
    </w:p>
    <w:p w:rsidR="00B547B4" w:rsidRDefault="00B547B4" w:rsidP="005942B8">
      <w:pPr>
        <w:pStyle w:val="NoSpacing"/>
      </w:pPr>
    </w:p>
    <w:p w:rsidR="00B547B4" w:rsidRDefault="00B547B4" w:rsidP="005942B8">
      <w:pPr>
        <w:pStyle w:val="NoSpacing"/>
      </w:pPr>
      <w:r>
        <w:t>The Chisholm Institute 2019 Annual Report is a report to the Parliament of Victoria required under Section 45 of the Financial Management Act 1994.</w:t>
      </w:r>
    </w:p>
    <w:p w:rsidR="00B547B4" w:rsidRDefault="00B547B4" w:rsidP="005942B8">
      <w:pPr>
        <w:pStyle w:val="NoSpacing"/>
      </w:pPr>
    </w:p>
    <w:p w:rsidR="00B547B4" w:rsidRPr="00B547B4" w:rsidRDefault="00B547B4" w:rsidP="00B547B4">
      <w:pPr>
        <w:autoSpaceDE w:val="0"/>
        <w:autoSpaceDN w:val="0"/>
        <w:adjustRightInd w:val="0"/>
        <w:spacing w:after="0" w:line="240" w:lineRule="auto"/>
        <w:rPr>
          <w:rFonts w:cstheme="minorHAnsi"/>
        </w:rPr>
      </w:pPr>
      <w:r w:rsidRPr="00B547B4">
        <w:rPr>
          <w:rFonts w:cstheme="minorHAnsi"/>
        </w:rPr>
        <w:t>This document</w:t>
      </w:r>
      <w:r>
        <w:rPr>
          <w:rFonts w:cstheme="minorHAnsi"/>
        </w:rPr>
        <w:t xml:space="preserve"> reports on the 2019 </w:t>
      </w:r>
      <w:r w:rsidRPr="00B547B4">
        <w:rPr>
          <w:rFonts w:cstheme="minorHAnsi"/>
        </w:rPr>
        <w:t>operations of Chisholm Institute, TAFE</w:t>
      </w:r>
      <w:r>
        <w:rPr>
          <w:rFonts w:cstheme="minorHAnsi"/>
        </w:rPr>
        <w:t xml:space="preserve"> </w:t>
      </w:r>
      <w:r w:rsidRPr="00B547B4">
        <w:rPr>
          <w:rFonts w:cstheme="minorHAnsi"/>
        </w:rPr>
        <w:t>Online (trading as Chisholm Online)</w:t>
      </w:r>
      <w:r>
        <w:rPr>
          <w:rFonts w:cstheme="minorHAnsi"/>
        </w:rPr>
        <w:t xml:space="preserve"> </w:t>
      </w:r>
      <w:r w:rsidRPr="00B547B4">
        <w:rPr>
          <w:rFonts w:cstheme="minorHAnsi"/>
        </w:rPr>
        <w:t>and the Caroline Chisholm Education</w:t>
      </w:r>
      <w:r>
        <w:rPr>
          <w:rFonts w:cstheme="minorHAnsi"/>
        </w:rPr>
        <w:t xml:space="preserve"> </w:t>
      </w:r>
      <w:r w:rsidRPr="00B547B4">
        <w:rPr>
          <w:rFonts w:cstheme="minorHAnsi"/>
        </w:rPr>
        <w:t>Foundation.</w:t>
      </w:r>
    </w:p>
    <w:p w:rsidR="00B547B4" w:rsidRDefault="00B547B4" w:rsidP="00B547B4">
      <w:pPr>
        <w:autoSpaceDE w:val="0"/>
        <w:autoSpaceDN w:val="0"/>
        <w:adjustRightInd w:val="0"/>
        <w:spacing w:after="0" w:line="240" w:lineRule="auto"/>
        <w:rPr>
          <w:rFonts w:cstheme="minorHAnsi"/>
        </w:rPr>
      </w:pPr>
    </w:p>
    <w:p w:rsidR="00B547B4" w:rsidRPr="00B547B4" w:rsidRDefault="00B547B4" w:rsidP="00B547B4">
      <w:pPr>
        <w:autoSpaceDE w:val="0"/>
        <w:autoSpaceDN w:val="0"/>
        <w:adjustRightInd w:val="0"/>
        <w:spacing w:after="0" w:line="240" w:lineRule="auto"/>
        <w:rPr>
          <w:rFonts w:cstheme="minorHAnsi"/>
        </w:rPr>
      </w:pPr>
      <w:r w:rsidRPr="00B547B4">
        <w:rPr>
          <w:rFonts w:cstheme="minorHAnsi"/>
        </w:rPr>
        <w:t>It provides a consolidated financial</w:t>
      </w:r>
      <w:r>
        <w:rPr>
          <w:rFonts w:cstheme="minorHAnsi"/>
        </w:rPr>
        <w:t xml:space="preserve"> </w:t>
      </w:r>
      <w:r w:rsidRPr="00B547B4">
        <w:rPr>
          <w:rFonts w:cstheme="minorHAnsi"/>
        </w:rPr>
        <w:t>state</w:t>
      </w:r>
      <w:r>
        <w:rPr>
          <w:rFonts w:cstheme="minorHAnsi"/>
        </w:rPr>
        <w:t xml:space="preserve">ment, performance statement and </w:t>
      </w:r>
      <w:r w:rsidRPr="00B547B4">
        <w:rPr>
          <w:rFonts w:cstheme="minorHAnsi"/>
        </w:rPr>
        <w:t>other information required under the</w:t>
      </w:r>
      <w:r>
        <w:rPr>
          <w:rFonts w:cstheme="minorHAnsi"/>
        </w:rPr>
        <w:t xml:space="preserve"> </w:t>
      </w:r>
      <w:r w:rsidRPr="00B547B4">
        <w:rPr>
          <w:rFonts w:cstheme="minorHAnsi"/>
        </w:rPr>
        <w:t>Standing Directions 2019 under the</w:t>
      </w:r>
      <w:r>
        <w:rPr>
          <w:rFonts w:cstheme="minorHAnsi"/>
        </w:rPr>
        <w:t xml:space="preserve"> </w:t>
      </w:r>
      <w:r w:rsidRPr="00B547B4">
        <w:rPr>
          <w:rFonts w:cstheme="minorHAnsi"/>
        </w:rPr>
        <w:t>Financial Management Act 1994.</w:t>
      </w:r>
    </w:p>
    <w:p w:rsidR="00B547B4" w:rsidRDefault="00B547B4" w:rsidP="00B547B4">
      <w:pPr>
        <w:autoSpaceDE w:val="0"/>
        <w:autoSpaceDN w:val="0"/>
        <w:adjustRightInd w:val="0"/>
        <w:spacing w:after="0" w:line="240" w:lineRule="auto"/>
        <w:rPr>
          <w:rFonts w:cstheme="minorHAnsi"/>
        </w:rPr>
      </w:pPr>
    </w:p>
    <w:p w:rsidR="00B547B4" w:rsidRPr="00B547B4" w:rsidRDefault="00B547B4" w:rsidP="00B547B4">
      <w:pPr>
        <w:autoSpaceDE w:val="0"/>
        <w:autoSpaceDN w:val="0"/>
        <w:adjustRightInd w:val="0"/>
        <w:spacing w:after="0" w:line="240" w:lineRule="auto"/>
        <w:rPr>
          <w:rFonts w:cstheme="minorHAnsi"/>
        </w:rPr>
      </w:pPr>
      <w:r w:rsidRPr="00B547B4">
        <w:rPr>
          <w:rFonts w:cstheme="minorHAnsi"/>
        </w:rPr>
        <w:t>It is based on the model Annual</w:t>
      </w:r>
      <w:r>
        <w:rPr>
          <w:rFonts w:cstheme="minorHAnsi"/>
        </w:rPr>
        <w:t xml:space="preserve"> </w:t>
      </w:r>
      <w:r w:rsidRPr="00B547B4">
        <w:rPr>
          <w:rFonts w:cstheme="minorHAnsi"/>
        </w:rPr>
        <w:t>Rep</w:t>
      </w:r>
      <w:r>
        <w:rPr>
          <w:rFonts w:cstheme="minorHAnsi"/>
        </w:rPr>
        <w:t xml:space="preserve">ort issued with the guidelines, </w:t>
      </w:r>
      <w:r w:rsidRPr="00B547B4">
        <w:rPr>
          <w:rFonts w:cstheme="minorHAnsi"/>
        </w:rPr>
        <w:t>in accordance with the Financial</w:t>
      </w:r>
      <w:r>
        <w:rPr>
          <w:rFonts w:cstheme="minorHAnsi"/>
        </w:rPr>
        <w:t xml:space="preserve"> </w:t>
      </w:r>
      <w:r w:rsidRPr="00B547B4">
        <w:rPr>
          <w:rFonts w:cstheme="minorHAnsi"/>
        </w:rPr>
        <w:t>Management Act, Australian</w:t>
      </w:r>
      <w:r>
        <w:rPr>
          <w:rFonts w:cstheme="minorHAnsi"/>
        </w:rPr>
        <w:t xml:space="preserve"> </w:t>
      </w:r>
      <w:r w:rsidRPr="00B547B4">
        <w:rPr>
          <w:rFonts w:cstheme="minorHAnsi"/>
        </w:rPr>
        <w:t>Acc</w:t>
      </w:r>
      <w:r>
        <w:rPr>
          <w:rFonts w:cstheme="minorHAnsi"/>
        </w:rPr>
        <w:t xml:space="preserve">ounting Standards, Statement of </w:t>
      </w:r>
      <w:r w:rsidRPr="00B547B4">
        <w:rPr>
          <w:rFonts w:cstheme="minorHAnsi"/>
        </w:rPr>
        <w:t>Accounting Concepts, authoritative</w:t>
      </w:r>
      <w:r>
        <w:rPr>
          <w:rFonts w:cstheme="minorHAnsi"/>
        </w:rPr>
        <w:t xml:space="preserve"> </w:t>
      </w:r>
      <w:r w:rsidRPr="00B547B4">
        <w:rPr>
          <w:rFonts w:cstheme="minorHAnsi"/>
        </w:rPr>
        <w:t>p</w:t>
      </w:r>
      <w:r>
        <w:rPr>
          <w:rFonts w:cstheme="minorHAnsi"/>
        </w:rPr>
        <w:t xml:space="preserve">ronouncements of the Australian </w:t>
      </w:r>
      <w:r w:rsidRPr="00B547B4">
        <w:rPr>
          <w:rFonts w:cstheme="minorHAnsi"/>
        </w:rPr>
        <w:t>Accou</w:t>
      </w:r>
      <w:r>
        <w:rPr>
          <w:rFonts w:cstheme="minorHAnsi"/>
        </w:rPr>
        <w:t xml:space="preserve">nting Standards Board and other </w:t>
      </w:r>
      <w:r w:rsidRPr="00B547B4">
        <w:rPr>
          <w:rFonts w:cstheme="minorHAnsi"/>
        </w:rPr>
        <w:t>legislative requirements.</w:t>
      </w:r>
    </w:p>
    <w:p w:rsidR="00B547B4" w:rsidRDefault="00B547B4" w:rsidP="00B547B4">
      <w:pPr>
        <w:autoSpaceDE w:val="0"/>
        <w:autoSpaceDN w:val="0"/>
        <w:adjustRightInd w:val="0"/>
        <w:spacing w:after="0" w:line="240" w:lineRule="auto"/>
        <w:rPr>
          <w:rFonts w:cstheme="minorHAnsi"/>
        </w:rPr>
      </w:pPr>
    </w:p>
    <w:p w:rsidR="00B547B4" w:rsidRPr="00B547B4" w:rsidRDefault="00B547B4" w:rsidP="00B547B4">
      <w:pPr>
        <w:autoSpaceDE w:val="0"/>
        <w:autoSpaceDN w:val="0"/>
        <w:adjustRightInd w:val="0"/>
        <w:spacing w:after="0" w:line="240" w:lineRule="auto"/>
        <w:rPr>
          <w:rFonts w:cstheme="minorHAnsi"/>
        </w:rPr>
      </w:pPr>
      <w:r w:rsidRPr="00B547B4">
        <w:rPr>
          <w:rFonts w:cstheme="minorHAnsi"/>
        </w:rPr>
        <w:t>All financial information presented</w:t>
      </w:r>
      <w:r>
        <w:rPr>
          <w:rFonts w:cstheme="minorHAnsi"/>
        </w:rPr>
        <w:t xml:space="preserve"> </w:t>
      </w:r>
      <w:r w:rsidRPr="00B547B4">
        <w:rPr>
          <w:rFonts w:cstheme="minorHAnsi"/>
        </w:rPr>
        <w:t>in thi</w:t>
      </w:r>
      <w:r>
        <w:rPr>
          <w:rFonts w:cstheme="minorHAnsi"/>
        </w:rPr>
        <w:t xml:space="preserve">s report is consistent with the </w:t>
      </w:r>
      <w:r w:rsidRPr="00B547B4">
        <w:rPr>
          <w:rFonts w:cstheme="minorHAnsi"/>
        </w:rPr>
        <w:t>consolidated financial report for</w:t>
      </w:r>
      <w:r>
        <w:rPr>
          <w:rFonts w:cstheme="minorHAnsi"/>
        </w:rPr>
        <w:t xml:space="preserve"> </w:t>
      </w:r>
      <w:r w:rsidRPr="00B547B4">
        <w:rPr>
          <w:rFonts w:cstheme="minorHAnsi"/>
        </w:rPr>
        <w:t>Chisholm Institute.</w:t>
      </w:r>
    </w:p>
    <w:p w:rsidR="00B547B4" w:rsidRDefault="00B547B4" w:rsidP="00B547B4">
      <w:pPr>
        <w:autoSpaceDE w:val="0"/>
        <w:autoSpaceDN w:val="0"/>
        <w:adjustRightInd w:val="0"/>
        <w:spacing w:after="0" w:line="240" w:lineRule="auto"/>
        <w:rPr>
          <w:rFonts w:cstheme="minorHAnsi"/>
        </w:rPr>
      </w:pPr>
    </w:p>
    <w:p w:rsidR="00B547B4" w:rsidRPr="00B547B4" w:rsidRDefault="00B547B4" w:rsidP="00B547B4">
      <w:pPr>
        <w:autoSpaceDE w:val="0"/>
        <w:autoSpaceDN w:val="0"/>
        <w:adjustRightInd w:val="0"/>
        <w:spacing w:after="0" w:line="240" w:lineRule="auto"/>
        <w:rPr>
          <w:rFonts w:cstheme="minorHAnsi"/>
        </w:rPr>
      </w:pPr>
      <w:r w:rsidRPr="00B547B4">
        <w:rPr>
          <w:rFonts w:cstheme="minorHAnsi"/>
        </w:rPr>
        <w:t>Inq</w:t>
      </w:r>
      <w:r>
        <w:rPr>
          <w:rFonts w:cstheme="minorHAnsi"/>
        </w:rPr>
        <w:t xml:space="preserve">uiries about this report can be </w:t>
      </w:r>
      <w:r w:rsidRPr="00B547B4">
        <w:rPr>
          <w:rFonts w:cstheme="minorHAnsi"/>
        </w:rPr>
        <w:t>addressed to:</w:t>
      </w:r>
    </w:p>
    <w:p w:rsidR="00B547B4" w:rsidRDefault="00B547B4" w:rsidP="005942B8">
      <w:pPr>
        <w:pStyle w:val="NoSpacing"/>
      </w:pPr>
    </w:p>
    <w:p w:rsidR="00B547B4" w:rsidRDefault="00B547B4" w:rsidP="005942B8">
      <w:pPr>
        <w:pStyle w:val="NoSpacing"/>
      </w:pPr>
      <w:r>
        <w:t>Corporate Communications Manager</w:t>
      </w:r>
    </w:p>
    <w:p w:rsidR="00B547B4" w:rsidRDefault="00B547B4" w:rsidP="005942B8">
      <w:pPr>
        <w:pStyle w:val="NoSpacing"/>
      </w:pPr>
      <w:r>
        <w:t xml:space="preserve">E: </w:t>
      </w:r>
      <w:hyperlink r:id="rId8" w:history="1">
        <w:r w:rsidRPr="00C4392B">
          <w:rPr>
            <w:rStyle w:val="Hyperlink"/>
          </w:rPr>
          <w:t>CorporateCommunications@chisholm.edu.au</w:t>
        </w:r>
      </w:hyperlink>
      <w:r>
        <w:tab/>
      </w:r>
    </w:p>
    <w:p w:rsidR="00B547B4" w:rsidRDefault="00B547B4" w:rsidP="005942B8">
      <w:pPr>
        <w:pStyle w:val="NoSpacing"/>
      </w:pPr>
    </w:p>
    <w:p w:rsidR="00B547B4" w:rsidRDefault="00B547B4" w:rsidP="005942B8">
      <w:pPr>
        <w:pStyle w:val="NoSpacing"/>
      </w:pPr>
      <w:r>
        <w:t>More information about Chisholm is available at Chisholm.edu.au</w:t>
      </w:r>
    </w:p>
    <w:p w:rsidR="00B547B4" w:rsidRDefault="00B547B4" w:rsidP="005942B8">
      <w:pPr>
        <w:pStyle w:val="NoSpacing"/>
      </w:pPr>
    </w:p>
    <w:p w:rsidR="00B547B4" w:rsidRDefault="00B547B4" w:rsidP="005942B8">
      <w:pPr>
        <w:pStyle w:val="NoSpacing"/>
      </w:pPr>
      <w:r>
        <w:t>Stephen Varty</w:t>
      </w:r>
    </w:p>
    <w:p w:rsidR="00B547B4" w:rsidRDefault="00B547B4" w:rsidP="005942B8">
      <w:pPr>
        <w:pStyle w:val="NoSpacing"/>
      </w:pPr>
      <w:r>
        <w:t>Chief Executive Officer</w:t>
      </w:r>
    </w:p>
    <w:p w:rsidR="00B547B4" w:rsidRDefault="00B547B4" w:rsidP="005942B8">
      <w:pPr>
        <w:pStyle w:val="NoSpacing"/>
      </w:pPr>
      <w:r>
        <w:t xml:space="preserve">Date: </w:t>
      </w:r>
      <w:r w:rsidR="004A75EA">
        <w:t>26</w:t>
      </w:r>
      <w:r w:rsidRPr="004A75EA">
        <w:t xml:space="preserve"> February 2020</w:t>
      </w:r>
    </w:p>
    <w:p w:rsidR="00B547B4" w:rsidRDefault="00B547B4" w:rsidP="005942B8">
      <w:pPr>
        <w:pStyle w:val="NoSpacing"/>
      </w:pPr>
      <w:r>
        <w:t xml:space="preserve">Place: Dandenong </w:t>
      </w:r>
    </w:p>
    <w:p w:rsidR="00B547B4" w:rsidRDefault="00B547B4" w:rsidP="005942B8">
      <w:pPr>
        <w:pStyle w:val="NoSpacing"/>
      </w:pPr>
    </w:p>
    <w:p w:rsidR="00B547B4" w:rsidRDefault="00B547B4" w:rsidP="005942B8">
      <w:pPr>
        <w:pStyle w:val="NoSpacing"/>
      </w:pPr>
      <w:r>
        <w:t>Toniann Stitz</w:t>
      </w:r>
    </w:p>
    <w:p w:rsidR="00B547B4" w:rsidRDefault="00B547B4" w:rsidP="005942B8">
      <w:pPr>
        <w:pStyle w:val="NoSpacing"/>
      </w:pPr>
      <w:r>
        <w:t xml:space="preserve">Chief Finance Officer </w:t>
      </w:r>
    </w:p>
    <w:p w:rsidR="00B547B4" w:rsidRDefault="00B547B4" w:rsidP="005942B8">
      <w:pPr>
        <w:pStyle w:val="NoSpacing"/>
      </w:pPr>
      <w:r>
        <w:t xml:space="preserve">Date: </w:t>
      </w:r>
      <w:r w:rsidR="004A75EA">
        <w:t>26</w:t>
      </w:r>
      <w:r w:rsidRPr="004A75EA">
        <w:t xml:space="preserve"> February 2020</w:t>
      </w:r>
    </w:p>
    <w:p w:rsidR="00B547B4" w:rsidRDefault="00B547B4" w:rsidP="005942B8">
      <w:pPr>
        <w:pStyle w:val="NoSpacing"/>
      </w:pPr>
      <w:r>
        <w:t>Place: Dandenong</w:t>
      </w:r>
    </w:p>
    <w:p w:rsidR="00B547B4" w:rsidRDefault="00B547B4" w:rsidP="005942B8">
      <w:pPr>
        <w:pStyle w:val="NoSpacing"/>
      </w:pPr>
    </w:p>
    <w:p w:rsidR="00B547B4" w:rsidRDefault="0062667A" w:rsidP="005942B8">
      <w:pPr>
        <w:pStyle w:val="NoSpacing"/>
      </w:pPr>
      <w:r>
        <w:t>&lt;page 1&gt;</w:t>
      </w:r>
    </w:p>
    <w:p w:rsidR="00B547B4" w:rsidRDefault="00B547B4" w:rsidP="005942B8">
      <w:pPr>
        <w:pStyle w:val="NoSpacing"/>
      </w:pPr>
    </w:p>
    <w:p w:rsidR="000437BB" w:rsidRPr="000437BB" w:rsidRDefault="000437BB" w:rsidP="000437BB">
      <w:pPr>
        <w:pStyle w:val="Heading2"/>
      </w:pPr>
      <w:r>
        <w:t>About Chisholm</w:t>
      </w:r>
    </w:p>
    <w:p w:rsidR="000437BB" w:rsidRDefault="000437BB" w:rsidP="005942B8">
      <w:pPr>
        <w:pStyle w:val="NoSpacing"/>
      </w:pPr>
    </w:p>
    <w:p w:rsidR="000437BB" w:rsidRDefault="000437BB" w:rsidP="005942B8">
      <w:pPr>
        <w:pStyle w:val="NoSpacing"/>
      </w:pPr>
      <w:r>
        <w:t>Chisholm was established in the South East region of Melbourne, and now extends across the South East of Victoria to deliver engaging education that makes a real and lasting difference to our diverse local, national and international communities and markets.</w:t>
      </w:r>
    </w:p>
    <w:p w:rsidR="000437BB" w:rsidRDefault="000437BB" w:rsidP="005942B8">
      <w:pPr>
        <w:pStyle w:val="NoSpacing"/>
      </w:pPr>
    </w:p>
    <w:p w:rsidR="000437BB" w:rsidRPr="000437BB" w:rsidRDefault="000437BB" w:rsidP="000437BB">
      <w:pPr>
        <w:autoSpaceDE w:val="0"/>
        <w:autoSpaceDN w:val="0"/>
        <w:adjustRightInd w:val="0"/>
        <w:spacing w:after="0" w:line="240" w:lineRule="auto"/>
        <w:rPr>
          <w:rFonts w:cstheme="minorHAnsi"/>
        </w:rPr>
      </w:pPr>
      <w:r w:rsidRPr="000437BB">
        <w:rPr>
          <w:rFonts w:cstheme="minorHAnsi"/>
        </w:rPr>
        <w:t xml:space="preserve">As a </w:t>
      </w:r>
      <w:r>
        <w:rPr>
          <w:rFonts w:cstheme="minorHAnsi"/>
        </w:rPr>
        <w:t xml:space="preserve">leading TAFE provider we have a </w:t>
      </w:r>
      <w:r w:rsidRPr="000437BB">
        <w:rPr>
          <w:rFonts w:cstheme="minorHAnsi"/>
        </w:rPr>
        <w:t>significant</w:t>
      </w:r>
      <w:r>
        <w:rPr>
          <w:rFonts w:cstheme="minorHAnsi"/>
        </w:rPr>
        <w:t xml:space="preserve"> role to play in supporting our </w:t>
      </w:r>
      <w:r w:rsidRPr="000437BB">
        <w:rPr>
          <w:rFonts w:cstheme="minorHAnsi"/>
        </w:rPr>
        <w:t>diverse student groups and industry</w:t>
      </w:r>
      <w:r>
        <w:rPr>
          <w:rFonts w:cstheme="minorHAnsi"/>
        </w:rPr>
        <w:t xml:space="preserve"> </w:t>
      </w:r>
      <w:r w:rsidRPr="000437BB">
        <w:rPr>
          <w:rFonts w:cstheme="minorHAnsi"/>
        </w:rPr>
        <w:t>clients and partners, to meet their</w:t>
      </w:r>
      <w:r>
        <w:rPr>
          <w:rFonts w:cstheme="minorHAnsi"/>
        </w:rPr>
        <w:t xml:space="preserve"> </w:t>
      </w:r>
      <w:r w:rsidRPr="000437BB">
        <w:rPr>
          <w:rFonts w:cstheme="minorHAnsi"/>
        </w:rPr>
        <w:t>current needs, and adapt to the rapid</w:t>
      </w:r>
      <w:r>
        <w:rPr>
          <w:rFonts w:cstheme="minorHAnsi"/>
        </w:rPr>
        <w:t xml:space="preserve"> </w:t>
      </w:r>
      <w:r w:rsidRPr="000437BB">
        <w:rPr>
          <w:rFonts w:cstheme="minorHAnsi"/>
        </w:rPr>
        <w:t>changes taking place globally. By</w:t>
      </w:r>
      <w:r>
        <w:rPr>
          <w:rFonts w:cstheme="minorHAnsi"/>
        </w:rPr>
        <w:t xml:space="preserve"> </w:t>
      </w:r>
      <w:r w:rsidRPr="000437BB">
        <w:rPr>
          <w:rFonts w:cstheme="minorHAnsi"/>
        </w:rPr>
        <w:t>doing this, we contribute to an inclusive,</w:t>
      </w:r>
      <w:r>
        <w:rPr>
          <w:rFonts w:cstheme="minorHAnsi"/>
        </w:rPr>
        <w:t xml:space="preserve"> </w:t>
      </w:r>
      <w:r w:rsidRPr="000437BB">
        <w:rPr>
          <w:rFonts w:cstheme="minorHAnsi"/>
        </w:rPr>
        <w:t>diverse and successful Australia.</w:t>
      </w:r>
    </w:p>
    <w:p w:rsidR="000437BB" w:rsidRDefault="000437BB" w:rsidP="000437BB">
      <w:pPr>
        <w:autoSpaceDE w:val="0"/>
        <w:autoSpaceDN w:val="0"/>
        <w:adjustRightInd w:val="0"/>
        <w:spacing w:after="0" w:line="240" w:lineRule="auto"/>
        <w:rPr>
          <w:rFonts w:cstheme="minorHAnsi"/>
        </w:rPr>
      </w:pPr>
    </w:p>
    <w:p w:rsidR="000437BB" w:rsidRPr="000437BB" w:rsidRDefault="000437BB" w:rsidP="000437BB">
      <w:pPr>
        <w:autoSpaceDE w:val="0"/>
        <w:autoSpaceDN w:val="0"/>
        <w:adjustRightInd w:val="0"/>
        <w:spacing w:after="0" w:line="240" w:lineRule="auto"/>
        <w:rPr>
          <w:rFonts w:cstheme="minorHAnsi"/>
        </w:rPr>
      </w:pPr>
      <w:r>
        <w:rPr>
          <w:rFonts w:cstheme="minorHAnsi"/>
        </w:rPr>
        <w:t xml:space="preserve">We are a Victorian Government </w:t>
      </w:r>
      <w:r w:rsidRPr="000437BB">
        <w:rPr>
          <w:rFonts w:cstheme="minorHAnsi"/>
        </w:rPr>
        <w:t>owned</w:t>
      </w:r>
      <w:r>
        <w:rPr>
          <w:rFonts w:cstheme="minorHAnsi"/>
        </w:rPr>
        <w:t xml:space="preserve"> Training and Further Education </w:t>
      </w:r>
      <w:r w:rsidRPr="000437BB">
        <w:rPr>
          <w:rFonts w:cstheme="minorHAnsi"/>
        </w:rPr>
        <w:t>(TAFE) provider established under the</w:t>
      </w:r>
      <w:r>
        <w:rPr>
          <w:rFonts w:cstheme="minorHAnsi"/>
        </w:rPr>
        <w:t xml:space="preserve"> </w:t>
      </w:r>
      <w:r w:rsidRPr="000437BB">
        <w:rPr>
          <w:rFonts w:cstheme="minorHAnsi"/>
        </w:rPr>
        <w:t>Education and Training Reform Act</w:t>
      </w:r>
      <w:r>
        <w:rPr>
          <w:rFonts w:cstheme="minorHAnsi"/>
        </w:rPr>
        <w:t xml:space="preserve"> </w:t>
      </w:r>
      <w:r w:rsidRPr="000437BB">
        <w:rPr>
          <w:rFonts w:cstheme="minorHAnsi"/>
        </w:rPr>
        <w:t xml:space="preserve">2006. </w:t>
      </w:r>
      <w:r>
        <w:rPr>
          <w:rFonts w:cstheme="minorHAnsi"/>
        </w:rPr>
        <w:t xml:space="preserve">The responsible minister is The </w:t>
      </w:r>
      <w:r w:rsidRPr="000437BB">
        <w:rPr>
          <w:rFonts w:cstheme="minorHAnsi"/>
        </w:rPr>
        <w:t>Hon. Gayle Tierney MP, Minister for</w:t>
      </w:r>
      <w:r>
        <w:rPr>
          <w:rFonts w:cstheme="minorHAnsi"/>
        </w:rPr>
        <w:t xml:space="preserve"> </w:t>
      </w:r>
      <w:r w:rsidRPr="000437BB">
        <w:rPr>
          <w:rFonts w:cstheme="minorHAnsi"/>
        </w:rPr>
        <w:t>Traini</w:t>
      </w:r>
      <w:r>
        <w:rPr>
          <w:rFonts w:cstheme="minorHAnsi"/>
        </w:rPr>
        <w:t xml:space="preserve">ng and Skills, and Minister for </w:t>
      </w:r>
      <w:r w:rsidRPr="000437BB">
        <w:rPr>
          <w:rFonts w:cstheme="minorHAnsi"/>
        </w:rPr>
        <w:t>Higher Education.</w:t>
      </w:r>
    </w:p>
    <w:p w:rsidR="000437BB" w:rsidRDefault="000437BB" w:rsidP="000437BB">
      <w:pPr>
        <w:autoSpaceDE w:val="0"/>
        <w:autoSpaceDN w:val="0"/>
        <w:adjustRightInd w:val="0"/>
        <w:spacing w:after="0" w:line="240" w:lineRule="auto"/>
        <w:rPr>
          <w:rFonts w:cstheme="minorHAnsi"/>
        </w:rPr>
      </w:pPr>
    </w:p>
    <w:p w:rsidR="000437BB" w:rsidRPr="000437BB" w:rsidRDefault="000437BB" w:rsidP="000437BB">
      <w:pPr>
        <w:autoSpaceDE w:val="0"/>
        <w:autoSpaceDN w:val="0"/>
        <w:adjustRightInd w:val="0"/>
        <w:spacing w:after="0" w:line="240" w:lineRule="auto"/>
        <w:rPr>
          <w:rFonts w:cstheme="minorHAnsi"/>
        </w:rPr>
      </w:pPr>
      <w:r w:rsidRPr="000437BB">
        <w:rPr>
          <w:rFonts w:cstheme="minorHAnsi"/>
        </w:rPr>
        <w:t>We p</w:t>
      </w:r>
      <w:r>
        <w:rPr>
          <w:rFonts w:cstheme="minorHAnsi"/>
        </w:rPr>
        <w:t xml:space="preserve">rovide contemporary, accessible </w:t>
      </w:r>
      <w:r w:rsidRPr="000437BB">
        <w:rPr>
          <w:rFonts w:cstheme="minorHAnsi"/>
        </w:rPr>
        <w:t xml:space="preserve">and </w:t>
      </w:r>
      <w:r>
        <w:rPr>
          <w:rFonts w:cstheme="minorHAnsi"/>
        </w:rPr>
        <w:t xml:space="preserve">relevant education and training </w:t>
      </w:r>
      <w:r w:rsidRPr="000437BB">
        <w:rPr>
          <w:rFonts w:cstheme="minorHAnsi"/>
        </w:rPr>
        <w:t>that keeps pace with the needs of</w:t>
      </w:r>
      <w:r>
        <w:rPr>
          <w:rFonts w:cstheme="minorHAnsi"/>
        </w:rPr>
        <w:t xml:space="preserve"> </w:t>
      </w:r>
      <w:r w:rsidRPr="000437BB">
        <w:rPr>
          <w:rFonts w:cstheme="minorHAnsi"/>
        </w:rPr>
        <w:t>students and businesses, while fulfilling</w:t>
      </w:r>
      <w:r>
        <w:rPr>
          <w:rFonts w:cstheme="minorHAnsi"/>
        </w:rPr>
        <w:t xml:space="preserve"> </w:t>
      </w:r>
      <w:r w:rsidRPr="000437BB">
        <w:rPr>
          <w:rFonts w:cstheme="minorHAnsi"/>
        </w:rPr>
        <w:t>the role that a TAFE Institute can</w:t>
      </w:r>
      <w:r>
        <w:rPr>
          <w:rFonts w:cstheme="minorHAnsi"/>
        </w:rPr>
        <w:t xml:space="preserve"> </w:t>
      </w:r>
      <w:r w:rsidRPr="000437BB">
        <w:rPr>
          <w:rFonts w:cstheme="minorHAnsi"/>
        </w:rPr>
        <w:t>and should be. We are committed to</w:t>
      </w:r>
      <w:r>
        <w:rPr>
          <w:rFonts w:cstheme="minorHAnsi"/>
        </w:rPr>
        <w:t xml:space="preserve"> </w:t>
      </w:r>
      <w:r w:rsidRPr="000437BB">
        <w:rPr>
          <w:rFonts w:cstheme="minorHAnsi"/>
        </w:rPr>
        <w:t>supporting and enhancing the culture</w:t>
      </w:r>
      <w:r>
        <w:rPr>
          <w:rFonts w:cstheme="minorHAnsi"/>
        </w:rPr>
        <w:t xml:space="preserve"> </w:t>
      </w:r>
      <w:r w:rsidRPr="000437BB">
        <w:rPr>
          <w:rFonts w:cstheme="minorHAnsi"/>
        </w:rPr>
        <w:t>and diversity of our communities.</w:t>
      </w:r>
    </w:p>
    <w:p w:rsidR="000437BB" w:rsidRDefault="000437BB" w:rsidP="000437BB">
      <w:pPr>
        <w:autoSpaceDE w:val="0"/>
        <w:autoSpaceDN w:val="0"/>
        <w:adjustRightInd w:val="0"/>
        <w:spacing w:after="0" w:line="240" w:lineRule="auto"/>
        <w:rPr>
          <w:rFonts w:cstheme="minorHAnsi"/>
        </w:rPr>
      </w:pPr>
    </w:p>
    <w:p w:rsidR="000437BB" w:rsidRPr="000437BB" w:rsidRDefault="000437BB" w:rsidP="000437BB">
      <w:pPr>
        <w:autoSpaceDE w:val="0"/>
        <w:autoSpaceDN w:val="0"/>
        <w:adjustRightInd w:val="0"/>
        <w:spacing w:after="0" w:line="240" w:lineRule="auto"/>
        <w:rPr>
          <w:rFonts w:cstheme="minorHAnsi"/>
        </w:rPr>
      </w:pPr>
      <w:r w:rsidRPr="000437BB">
        <w:rPr>
          <w:rFonts w:cstheme="minorHAnsi"/>
        </w:rPr>
        <w:t>In 2019 Chisholm enrolled 41,233</w:t>
      </w:r>
      <w:r>
        <w:rPr>
          <w:rFonts w:cstheme="minorHAnsi"/>
        </w:rPr>
        <w:t xml:space="preserve"> </w:t>
      </w:r>
      <w:r w:rsidRPr="000437BB">
        <w:rPr>
          <w:rFonts w:cstheme="minorHAnsi"/>
        </w:rPr>
        <w:t>students a 13 percent increase on</w:t>
      </w:r>
      <w:r>
        <w:rPr>
          <w:rFonts w:cstheme="minorHAnsi"/>
        </w:rPr>
        <w:t xml:space="preserve"> </w:t>
      </w:r>
      <w:r w:rsidRPr="000437BB">
        <w:rPr>
          <w:rFonts w:cstheme="minorHAnsi"/>
        </w:rPr>
        <w:t>the previous year and delivered a</w:t>
      </w:r>
      <w:r>
        <w:rPr>
          <w:rFonts w:cstheme="minorHAnsi"/>
        </w:rPr>
        <w:t xml:space="preserve"> </w:t>
      </w:r>
      <w:r w:rsidRPr="000437BB">
        <w:rPr>
          <w:rFonts w:cstheme="minorHAnsi"/>
        </w:rPr>
        <w:t>total of 384 courses. Fifty-seven per</w:t>
      </w:r>
      <w:r>
        <w:rPr>
          <w:rFonts w:cstheme="minorHAnsi"/>
        </w:rPr>
        <w:t xml:space="preserve"> </w:t>
      </w:r>
      <w:r w:rsidRPr="000437BB">
        <w:rPr>
          <w:rFonts w:cstheme="minorHAnsi"/>
        </w:rPr>
        <w:t>cent of our enrolments were delivered</w:t>
      </w:r>
      <w:r>
        <w:rPr>
          <w:rFonts w:cstheme="minorHAnsi"/>
        </w:rPr>
        <w:t xml:space="preserve"> </w:t>
      </w:r>
      <w:r w:rsidRPr="000437BB">
        <w:rPr>
          <w:rFonts w:cstheme="minorHAnsi"/>
        </w:rPr>
        <w:t>at three of our campuses: Dandenong</w:t>
      </w:r>
      <w:r>
        <w:rPr>
          <w:rFonts w:cstheme="minorHAnsi"/>
        </w:rPr>
        <w:t xml:space="preserve"> </w:t>
      </w:r>
      <w:r w:rsidRPr="000437BB">
        <w:rPr>
          <w:rFonts w:cstheme="minorHAnsi"/>
        </w:rPr>
        <w:t>(25%), Frankston (20%), and Berwick</w:t>
      </w:r>
      <w:r>
        <w:rPr>
          <w:rFonts w:cstheme="minorHAnsi"/>
        </w:rPr>
        <w:t xml:space="preserve"> </w:t>
      </w:r>
      <w:r w:rsidRPr="000437BB">
        <w:rPr>
          <w:rFonts w:cstheme="minorHAnsi"/>
        </w:rPr>
        <w:t>(12%).</w:t>
      </w:r>
      <w:r>
        <w:rPr>
          <w:rFonts w:cstheme="minorHAnsi"/>
        </w:rPr>
        <w:t xml:space="preserve"> While an additional 23 percent </w:t>
      </w:r>
      <w:r w:rsidRPr="000437BB">
        <w:rPr>
          <w:rFonts w:cstheme="minorHAnsi"/>
        </w:rPr>
        <w:t>of enrolments received their training</w:t>
      </w:r>
      <w:r>
        <w:rPr>
          <w:rFonts w:cstheme="minorHAnsi"/>
        </w:rPr>
        <w:t xml:space="preserve"> </w:t>
      </w:r>
      <w:r w:rsidRPr="000437BB">
        <w:rPr>
          <w:rFonts w:cstheme="minorHAnsi"/>
        </w:rPr>
        <w:t>offshore (13%), and in the workplace</w:t>
      </w:r>
      <w:r>
        <w:rPr>
          <w:rFonts w:cstheme="minorHAnsi"/>
        </w:rPr>
        <w:t xml:space="preserve"> </w:t>
      </w:r>
      <w:r w:rsidRPr="000437BB">
        <w:rPr>
          <w:rFonts w:cstheme="minorHAnsi"/>
        </w:rPr>
        <w:t>(10%).</w:t>
      </w:r>
    </w:p>
    <w:p w:rsidR="000437BB" w:rsidRDefault="000437BB" w:rsidP="000437BB">
      <w:pPr>
        <w:autoSpaceDE w:val="0"/>
        <w:autoSpaceDN w:val="0"/>
        <w:adjustRightInd w:val="0"/>
        <w:spacing w:after="0" w:line="240" w:lineRule="auto"/>
        <w:rPr>
          <w:rFonts w:cstheme="minorHAnsi"/>
        </w:rPr>
      </w:pPr>
    </w:p>
    <w:p w:rsidR="000437BB" w:rsidRPr="000437BB" w:rsidRDefault="000437BB" w:rsidP="000437BB">
      <w:pPr>
        <w:autoSpaceDE w:val="0"/>
        <w:autoSpaceDN w:val="0"/>
        <w:adjustRightInd w:val="0"/>
        <w:spacing w:after="0" w:line="240" w:lineRule="auto"/>
        <w:rPr>
          <w:rFonts w:cstheme="minorHAnsi"/>
        </w:rPr>
      </w:pPr>
      <w:r w:rsidRPr="000437BB">
        <w:rPr>
          <w:rFonts w:cstheme="minorHAnsi"/>
        </w:rPr>
        <w:t>We have built a solid foundation</w:t>
      </w:r>
      <w:r>
        <w:rPr>
          <w:rFonts w:cstheme="minorHAnsi"/>
        </w:rPr>
        <w:t xml:space="preserve"> </w:t>
      </w:r>
      <w:r w:rsidRPr="000437BB">
        <w:rPr>
          <w:rFonts w:cstheme="minorHAnsi"/>
        </w:rPr>
        <w:t>and reputation over many years to</w:t>
      </w:r>
      <w:r>
        <w:rPr>
          <w:rFonts w:cstheme="minorHAnsi"/>
        </w:rPr>
        <w:t xml:space="preserve"> </w:t>
      </w:r>
      <w:r w:rsidRPr="000437BB">
        <w:rPr>
          <w:rFonts w:cstheme="minorHAnsi"/>
        </w:rPr>
        <w:t>build on our commitment to creating</w:t>
      </w:r>
      <w:r>
        <w:rPr>
          <w:rFonts w:cstheme="minorHAnsi"/>
        </w:rPr>
        <w:t xml:space="preserve"> </w:t>
      </w:r>
      <w:r w:rsidRPr="000437BB">
        <w:rPr>
          <w:rFonts w:cstheme="minorHAnsi"/>
        </w:rPr>
        <w:t>the organisation that we need to be.</w:t>
      </w:r>
      <w:r>
        <w:rPr>
          <w:rFonts w:cstheme="minorHAnsi"/>
        </w:rPr>
        <w:t xml:space="preserve"> </w:t>
      </w:r>
      <w:r w:rsidRPr="000437BB">
        <w:rPr>
          <w:rFonts w:cstheme="minorHAnsi"/>
        </w:rPr>
        <w:t>Chisholm is best placed to take a</w:t>
      </w:r>
      <w:r>
        <w:rPr>
          <w:rFonts w:cstheme="minorHAnsi"/>
        </w:rPr>
        <w:t xml:space="preserve"> </w:t>
      </w:r>
      <w:r w:rsidRPr="000437BB">
        <w:rPr>
          <w:rFonts w:cstheme="minorHAnsi"/>
        </w:rPr>
        <w:t>leadership role in redefining what an</w:t>
      </w:r>
      <w:r>
        <w:rPr>
          <w:rFonts w:cstheme="minorHAnsi"/>
        </w:rPr>
        <w:t xml:space="preserve"> </w:t>
      </w:r>
      <w:r w:rsidRPr="000437BB">
        <w:rPr>
          <w:rFonts w:cstheme="minorHAnsi"/>
        </w:rPr>
        <w:t>education and training provider could</w:t>
      </w:r>
      <w:r>
        <w:rPr>
          <w:rFonts w:cstheme="minorHAnsi"/>
        </w:rPr>
        <w:t xml:space="preserve"> </w:t>
      </w:r>
      <w:r w:rsidRPr="000437BB">
        <w:rPr>
          <w:rFonts w:cstheme="minorHAnsi"/>
        </w:rPr>
        <w:t>and should be, and we can only do</w:t>
      </w:r>
      <w:r>
        <w:rPr>
          <w:rFonts w:cstheme="minorHAnsi"/>
        </w:rPr>
        <w:t xml:space="preserve"> </w:t>
      </w:r>
      <w:r w:rsidRPr="000437BB">
        <w:rPr>
          <w:rFonts w:cstheme="minorHAnsi"/>
        </w:rPr>
        <w:t>that through the collective effort of our</w:t>
      </w:r>
      <w:r>
        <w:rPr>
          <w:rFonts w:cstheme="minorHAnsi"/>
        </w:rPr>
        <w:t xml:space="preserve"> </w:t>
      </w:r>
      <w:r w:rsidRPr="000437BB">
        <w:rPr>
          <w:rFonts w:cstheme="minorHAnsi"/>
        </w:rPr>
        <w:t>skilled and passionate staff and industry</w:t>
      </w:r>
      <w:r>
        <w:rPr>
          <w:rFonts w:cstheme="minorHAnsi"/>
        </w:rPr>
        <w:t xml:space="preserve"> </w:t>
      </w:r>
      <w:r w:rsidRPr="000437BB">
        <w:rPr>
          <w:rFonts w:cstheme="minorHAnsi"/>
        </w:rPr>
        <w:t>experts to bring this vision to life.</w:t>
      </w:r>
    </w:p>
    <w:p w:rsidR="000437BB" w:rsidRDefault="000437BB" w:rsidP="000437BB">
      <w:pPr>
        <w:autoSpaceDE w:val="0"/>
        <w:autoSpaceDN w:val="0"/>
        <w:adjustRightInd w:val="0"/>
        <w:spacing w:after="0" w:line="240" w:lineRule="auto"/>
        <w:rPr>
          <w:rFonts w:cstheme="minorHAnsi"/>
        </w:rPr>
      </w:pPr>
    </w:p>
    <w:p w:rsidR="000437BB" w:rsidRPr="000437BB" w:rsidRDefault="000437BB" w:rsidP="000437BB">
      <w:pPr>
        <w:autoSpaceDE w:val="0"/>
        <w:autoSpaceDN w:val="0"/>
        <w:adjustRightInd w:val="0"/>
        <w:spacing w:after="0" w:line="240" w:lineRule="auto"/>
        <w:rPr>
          <w:rFonts w:cstheme="minorHAnsi"/>
        </w:rPr>
      </w:pPr>
      <w:r w:rsidRPr="000437BB">
        <w:rPr>
          <w:rFonts w:cstheme="minorHAnsi"/>
        </w:rPr>
        <w:lastRenderedPageBreak/>
        <w:t>We will only achieve this together by</w:t>
      </w:r>
      <w:r>
        <w:rPr>
          <w:rFonts w:cstheme="minorHAnsi"/>
        </w:rPr>
        <w:t xml:space="preserve"> </w:t>
      </w:r>
      <w:r w:rsidRPr="000437BB">
        <w:rPr>
          <w:rFonts w:cstheme="minorHAnsi"/>
        </w:rPr>
        <w:t>living our values every day, by working</w:t>
      </w:r>
      <w:r>
        <w:rPr>
          <w:rFonts w:cstheme="minorHAnsi"/>
        </w:rPr>
        <w:t xml:space="preserve"> </w:t>
      </w:r>
      <w:r w:rsidRPr="000437BB">
        <w:rPr>
          <w:rFonts w:cstheme="minorHAnsi"/>
        </w:rPr>
        <w:t>collaboratively and with integrity, by</w:t>
      </w:r>
      <w:r>
        <w:rPr>
          <w:rFonts w:cstheme="minorHAnsi"/>
        </w:rPr>
        <w:t xml:space="preserve"> </w:t>
      </w:r>
      <w:r w:rsidRPr="000437BB">
        <w:rPr>
          <w:rFonts w:cstheme="minorHAnsi"/>
        </w:rPr>
        <w:t>seizing the opportunities before us</w:t>
      </w:r>
      <w:r>
        <w:rPr>
          <w:rFonts w:cstheme="minorHAnsi"/>
        </w:rPr>
        <w:t xml:space="preserve"> </w:t>
      </w:r>
      <w:r w:rsidRPr="000437BB">
        <w:rPr>
          <w:rFonts w:cstheme="minorHAnsi"/>
        </w:rPr>
        <w:t>and by always striving to achieve the</w:t>
      </w:r>
      <w:r>
        <w:rPr>
          <w:rFonts w:cstheme="minorHAnsi"/>
        </w:rPr>
        <w:t xml:space="preserve"> </w:t>
      </w:r>
      <w:r w:rsidRPr="000437BB">
        <w:rPr>
          <w:rFonts w:cstheme="minorHAnsi"/>
        </w:rPr>
        <w:t>highest standards for ourselves and for</w:t>
      </w:r>
      <w:r>
        <w:rPr>
          <w:rFonts w:cstheme="minorHAnsi"/>
        </w:rPr>
        <w:t xml:space="preserve"> </w:t>
      </w:r>
      <w:r w:rsidRPr="000437BB">
        <w:rPr>
          <w:rFonts w:cstheme="minorHAnsi"/>
        </w:rPr>
        <w:t xml:space="preserve">our students. </w:t>
      </w:r>
    </w:p>
    <w:p w:rsidR="000437BB" w:rsidRDefault="000437BB" w:rsidP="005942B8">
      <w:pPr>
        <w:pStyle w:val="NoSpacing"/>
      </w:pPr>
    </w:p>
    <w:p w:rsidR="000437BB" w:rsidRDefault="0062667A" w:rsidP="005942B8">
      <w:pPr>
        <w:pStyle w:val="NoSpacing"/>
      </w:pPr>
      <w:r>
        <w:t>&lt;page 2</w:t>
      </w:r>
      <w:r w:rsidR="000437BB">
        <w:t>&gt;</w:t>
      </w:r>
    </w:p>
    <w:p w:rsidR="000437BB" w:rsidRDefault="000437BB" w:rsidP="005942B8">
      <w:pPr>
        <w:pStyle w:val="NoSpacing"/>
      </w:pPr>
    </w:p>
    <w:p w:rsidR="005942B8" w:rsidRDefault="005942B8" w:rsidP="005942B8">
      <w:pPr>
        <w:pStyle w:val="Heading2"/>
      </w:pPr>
      <w:r>
        <w:t xml:space="preserve">Board Chair’s message </w:t>
      </w:r>
    </w:p>
    <w:p w:rsidR="000437BB" w:rsidRDefault="000437BB" w:rsidP="005942B8">
      <w:pPr>
        <w:pStyle w:val="NoSpacing"/>
      </w:pPr>
    </w:p>
    <w:p w:rsidR="000437BB" w:rsidRDefault="000437BB" w:rsidP="005942B8">
      <w:pPr>
        <w:pStyle w:val="NoSpacing"/>
      </w:pPr>
      <w:r>
        <w:t>It is with pleasure that I present the Institute’s Annual Report for 2019. This year Chisholm realised the completion of a number of major infrastructure projects, signalling the start of a new era in education, technology and engagement.</w:t>
      </w:r>
    </w:p>
    <w:p w:rsidR="000437BB" w:rsidRDefault="000437BB" w:rsidP="005942B8">
      <w:pPr>
        <w:pStyle w:val="NoSpacing"/>
      </w:pPr>
    </w:p>
    <w:p w:rsidR="00C151D1" w:rsidRPr="00C151D1" w:rsidRDefault="00C151D1" w:rsidP="00C151D1">
      <w:pPr>
        <w:autoSpaceDE w:val="0"/>
        <w:autoSpaceDN w:val="0"/>
        <w:adjustRightInd w:val="0"/>
        <w:spacing w:after="0" w:line="240" w:lineRule="auto"/>
        <w:rPr>
          <w:rFonts w:cstheme="minorHAnsi"/>
        </w:rPr>
      </w:pPr>
      <w:r w:rsidRPr="00C151D1">
        <w:rPr>
          <w:rFonts w:cstheme="minorHAnsi"/>
        </w:rPr>
        <w:t>This year marked the penultimate year</w:t>
      </w:r>
      <w:r>
        <w:rPr>
          <w:rFonts w:cstheme="minorHAnsi"/>
        </w:rPr>
        <w:t xml:space="preserve"> </w:t>
      </w:r>
      <w:r w:rsidRPr="00C151D1">
        <w:rPr>
          <w:rFonts w:cstheme="minorHAnsi"/>
        </w:rPr>
        <w:t>of Chisholm’s 2017-2020 strategic plan.</w:t>
      </w:r>
      <w:r>
        <w:rPr>
          <w:rFonts w:cstheme="minorHAnsi"/>
        </w:rPr>
        <w:t xml:space="preserve"> </w:t>
      </w:r>
      <w:r w:rsidRPr="00C151D1">
        <w:rPr>
          <w:rFonts w:cstheme="minorHAnsi"/>
        </w:rPr>
        <w:t>The Chisholm Board remained focused</w:t>
      </w:r>
      <w:r>
        <w:rPr>
          <w:rFonts w:cstheme="minorHAnsi"/>
        </w:rPr>
        <w:t xml:space="preserve"> </w:t>
      </w:r>
      <w:r w:rsidRPr="00C151D1">
        <w:rPr>
          <w:rFonts w:cstheme="minorHAnsi"/>
        </w:rPr>
        <w:t>on achieving the strategic goals for</w:t>
      </w:r>
      <w:r>
        <w:rPr>
          <w:rFonts w:cstheme="minorHAnsi"/>
        </w:rPr>
        <w:t xml:space="preserve"> </w:t>
      </w:r>
      <w:r w:rsidRPr="00C151D1">
        <w:rPr>
          <w:rFonts w:cstheme="minorHAnsi"/>
        </w:rPr>
        <w:t>Chisholm to be an institute, partner and</w:t>
      </w:r>
      <w:r>
        <w:rPr>
          <w:rFonts w:cstheme="minorHAnsi"/>
        </w:rPr>
        <w:t xml:space="preserve"> </w:t>
      </w:r>
      <w:r w:rsidRPr="00C151D1">
        <w:rPr>
          <w:rFonts w:cstheme="minorHAnsi"/>
        </w:rPr>
        <w:t>workplace of choice.</w:t>
      </w:r>
    </w:p>
    <w:p w:rsidR="00C151D1" w:rsidRPr="00C151D1" w:rsidRDefault="00C151D1" w:rsidP="00C151D1">
      <w:pPr>
        <w:autoSpaceDE w:val="0"/>
        <w:autoSpaceDN w:val="0"/>
        <w:adjustRightInd w:val="0"/>
        <w:spacing w:after="0" w:line="240" w:lineRule="auto"/>
        <w:rPr>
          <w:rFonts w:cstheme="minorHAnsi"/>
        </w:rPr>
      </w:pPr>
    </w:p>
    <w:p w:rsidR="00C151D1" w:rsidRPr="00C151D1" w:rsidRDefault="00C151D1" w:rsidP="00C151D1">
      <w:pPr>
        <w:autoSpaceDE w:val="0"/>
        <w:autoSpaceDN w:val="0"/>
        <w:adjustRightInd w:val="0"/>
        <w:spacing w:after="0" w:line="240" w:lineRule="auto"/>
        <w:rPr>
          <w:rFonts w:cstheme="minorHAnsi"/>
        </w:rPr>
      </w:pPr>
      <w:r w:rsidRPr="00C151D1">
        <w:rPr>
          <w:rFonts w:cstheme="minorHAnsi"/>
        </w:rPr>
        <w:t>I would like to give particular mention</w:t>
      </w:r>
      <w:r>
        <w:rPr>
          <w:rFonts w:cstheme="minorHAnsi"/>
        </w:rPr>
        <w:t xml:space="preserve"> </w:t>
      </w:r>
      <w:r w:rsidRPr="00C151D1">
        <w:rPr>
          <w:rFonts w:cstheme="minorHAnsi"/>
        </w:rPr>
        <w:t>to the Board’s leadership of the major</w:t>
      </w:r>
      <w:r>
        <w:rPr>
          <w:rFonts w:cstheme="minorHAnsi"/>
        </w:rPr>
        <w:t xml:space="preserve"> </w:t>
      </w:r>
      <w:r w:rsidRPr="00C151D1">
        <w:rPr>
          <w:rFonts w:cstheme="minorHAnsi"/>
        </w:rPr>
        <w:t>infrastructure projects including the</w:t>
      </w:r>
      <w:r>
        <w:rPr>
          <w:rFonts w:cstheme="minorHAnsi"/>
        </w:rPr>
        <w:t xml:space="preserve"> </w:t>
      </w:r>
      <w:r w:rsidRPr="00C151D1">
        <w:rPr>
          <w:rFonts w:cstheme="minorHAnsi"/>
        </w:rPr>
        <w:t>Berwick Centre for Health and the</w:t>
      </w:r>
      <w:r>
        <w:rPr>
          <w:rFonts w:cstheme="minorHAnsi"/>
        </w:rPr>
        <w:t xml:space="preserve"> </w:t>
      </w:r>
      <w:r w:rsidRPr="00C151D1">
        <w:rPr>
          <w:rFonts w:cstheme="minorHAnsi"/>
        </w:rPr>
        <w:t>Frankston Learning and Innovation</w:t>
      </w:r>
      <w:r>
        <w:rPr>
          <w:rFonts w:cstheme="minorHAnsi"/>
        </w:rPr>
        <w:t xml:space="preserve"> </w:t>
      </w:r>
      <w:r w:rsidRPr="00C151D1">
        <w:rPr>
          <w:rFonts w:cstheme="minorHAnsi"/>
        </w:rPr>
        <w:t>Precinct at our Frankston campus. The</w:t>
      </w:r>
      <w:r>
        <w:rPr>
          <w:rFonts w:cstheme="minorHAnsi"/>
        </w:rPr>
        <w:t xml:space="preserve"> </w:t>
      </w:r>
      <w:r w:rsidRPr="00C151D1">
        <w:rPr>
          <w:rFonts w:cstheme="minorHAnsi"/>
        </w:rPr>
        <w:t>completion of these projects provided</w:t>
      </w:r>
      <w:r>
        <w:rPr>
          <w:rFonts w:cstheme="minorHAnsi"/>
        </w:rPr>
        <w:t xml:space="preserve"> </w:t>
      </w:r>
      <w:r w:rsidRPr="00C151D1">
        <w:rPr>
          <w:rFonts w:cstheme="minorHAnsi"/>
        </w:rPr>
        <w:t>an immense sense of pride and</w:t>
      </w:r>
      <w:r>
        <w:rPr>
          <w:rFonts w:cstheme="minorHAnsi"/>
        </w:rPr>
        <w:t xml:space="preserve"> </w:t>
      </w:r>
      <w:r w:rsidRPr="00C151D1">
        <w:rPr>
          <w:rFonts w:cstheme="minorHAnsi"/>
        </w:rPr>
        <w:t>satisfaction.</w:t>
      </w:r>
    </w:p>
    <w:p w:rsidR="00C151D1" w:rsidRPr="00C151D1" w:rsidRDefault="00C151D1" w:rsidP="00C151D1">
      <w:pPr>
        <w:autoSpaceDE w:val="0"/>
        <w:autoSpaceDN w:val="0"/>
        <w:adjustRightInd w:val="0"/>
        <w:spacing w:after="0" w:line="240" w:lineRule="auto"/>
        <w:rPr>
          <w:rFonts w:cstheme="minorHAnsi"/>
        </w:rPr>
      </w:pPr>
    </w:p>
    <w:p w:rsidR="00C151D1" w:rsidRPr="00C151D1" w:rsidRDefault="00C151D1" w:rsidP="00C151D1">
      <w:pPr>
        <w:autoSpaceDE w:val="0"/>
        <w:autoSpaceDN w:val="0"/>
        <w:adjustRightInd w:val="0"/>
        <w:spacing w:after="0" w:line="240" w:lineRule="auto"/>
        <w:rPr>
          <w:rFonts w:cstheme="minorHAnsi"/>
        </w:rPr>
      </w:pPr>
      <w:r w:rsidRPr="00C151D1">
        <w:rPr>
          <w:rFonts w:cstheme="minorHAnsi"/>
        </w:rPr>
        <w:t>First envisaged over five years ago,</w:t>
      </w:r>
      <w:r>
        <w:rPr>
          <w:rFonts w:cstheme="minorHAnsi"/>
        </w:rPr>
        <w:t xml:space="preserve"> </w:t>
      </w:r>
      <w:r w:rsidRPr="00C151D1">
        <w:rPr>
          <w:rFonts w:cstheme="minorHAnsi"/>
        </w:rPr>
        <w:t>the first stage of the Frankston campus</w:t>
      </w:r>
      <w:r>
        <w:rPr>
          <w:rFonts w:cstheme="minorHAnsi"/>
        </w:rPr>
        <w:t xml:space="preserve"> </w:t>
      </w:r>
      <w:r w:rsidRPr="00C151D1">
        <w:rPr>
          <w:rFonts w:cstheme="minorHAnsi"/>
        </w:rPr>
        <w:t>redevelopment was completed at a cost</w:t>
      </w:r>
      <w:r>
        <w:rPr>
          <w:rFonts w:cstheme="minorHAnsi"/>
        </w:rPr>
        <w:t xml:space="preserve"> </w:t>
      </w:r>
      <w:r w:rsidRPr="00C151D1">
        <w:rPr>
          <w:rFonts w:cstheme="minorHAnsi"/>
        </w:rPr>
        <w:t>of $85m, which included a significant</w:t>
      </w:r>
      <w:r>
        <w:rPr>
          <w:rFonts w:cstheme="minorHAnsi"/>
        </w:rPr>
        <w:t xml:space="preserve"> </w:t>
      </w:r>
      <w:r w:rsidRPr="00C151D1">
        <w:rPr>
          <w:rFonts w:cstheme="minorHAnsi"/>
        </w:rPr>
        <w:t>contribution from Chisholm.</w:t>
      </w:r>
    </w:p>
    <w:p w:rsidR="00C151D1" w:rsidRPr="00C151D1" w:rsidRDefault="00C151D1" w:rsidP="00C151D1">
      <w:pPr>
        <w:autoSpaceDE w:val="0"/>
        <w:autoSpaceDN w:val="0"/>
        <w:adjustRightInd w:val="0"/>
        <w:spacing w:after="0" w:line="240" w:lineRule="auto"/>
        <w:rPr>
          <w:rFonts w:cstheme="minorHAnsi"/>
        </w:rPr>
      </w:pPr>
    </w:p>
    <w:p w:rsidR="00C151D1" w:rsidRPr="00C151D1" w:rsidRDefault="00C151D1" w:rsidP="00C151D1">
      <w:pPr>
        <w:autoSpaceDE w:val="0"/>
        <w:autoSpaceDN w:val="0"/>
        <w:adjustRightInd w:val="0"/>
        <w:spacing w:after="0" w:line="240" w:lineRule="auto"/>
        <w:rPr>
          <w:rFonts w:cstheme="minorHAnsi"/>
        </w:rPr>
      </w:pPr>
      <w:r w:rsidRPr="00C151D1">
        <w:rPr>
          <w:rFonts w:cstheme="minorHAnsi"/>
        </w:rPr>
        <w:t>The technologically advanced, state-of</w:t>
      </w:r>
      <w:r>
        <w:rPr>
          <w:rFonts w:cstheme="minorHAnsi"/>
        </w:rPr>
        <w:t>-</w:t>
      </w:r>
      <w:r w:rsidRPr="00C151D1">
        <w:rPr>
          <w:rFonts w:cstheme="minorHAnsi"/>
        </w:rPr>
        <w:t>the-art training facilities are testament</w:t>
      </w:r>
      <w:r>
        <w:rPr>
          <w:rFonts w:cstheme="minorHAnsi"/>
        </w:rPr>
        <w:t xml:space="preserve"> </w:t>
      </w:r>
      <w:r w:rsidRPr="00C151D1">
        <w:rPr>
          <w:rFonts w:cstheme="minorHAnsi"/>
        </w:rPr>
        <w:t>to the Victorian Government’s record</w:t>
      </w:r>
      <w:r>
        <w:rPr>
          <w:rFonts w:cstheme="minorHAnsi"/>
        </w:rPr>
        <w:t xml:space="preserve"> </w:t>
      </w:r>
      <w:r w:rsidRPr="00C151D1">
        <w:rPr>
          <w:rFonts w:cstheme="minorHAnsi"/>
        </w:rPr>
        <w:t>investment in TAFE. This new skills and</w:t>
      </w:r>
      <w:r>
        <w:rPr>
          <w:rFonts w:cstheme="minorHAnsi"/>
        </w:rPr>
        <w:t xml:space="preserve"> </w:t>
      </w:r>
      <w:r w:rsidRPr="00C151D1">
        <w:rPr>
          <w:rFonts w:cstheme="minorHAnsi"/>
        </w:rPr>
        <w:t>training precinct will benefit communities</w:t>
      </w:r>
      <w:r>
        <w:rPr>
          <w:rFonts w:cstheme="minorHAnsi"/>
        </w:rPr>
        <w:t xml:space="preserve"> </w:t>
      </w:r>
      <w:r w:rsidRPr="00C151D1">
        <w:rPr>
          <w:rFonts w:cstheme="minorHAnsi"/>
        </w:rPr>
        <w:t>in Frankston and beyond, setting a new</w:t>
      </w:r>
      <w:r>
        <w:rPr>
          <w:rFonts w:cstheme="minorHAnsi"/>
        </w:rPr>
        <w:t xml:space="preserve"> </w:t>
      </w:r>
      <w:r w:rsidRPr="00C151D1">
        <w:rPr>
          <w:rFonts w:cstheme="minorHAnsi"/>
        </w:rPr>
        <w:t>benchmark for the delivery of TAFE</w:t>
      </w:r>
      <w:r>
        <w:rPr>
          <w:rFonts w:cstheme="minorHAnsi"/>
        </w:rPr>
        <w:t xml:space="preserve"> </w:t>
      </w:r>
      <w:r w:rsidRPr="00C151D1">
        <w:rPr>
          <w:rFonts w:cstheme="minorHAnsi"/>
        </w:rPr>
        <w:t>courses in Australia.</w:t>
      </w:r>
    </w:p>
    <w:p w:rsidR="00C151D1" w:rsidRPr="00C151D1" w:rsidRDefault="00C151D1" w:rsidP="00C151D1">
      <w:pPr>
        <w:autoSpaceDE w:val="0"/>
        <w:autoSpaceDN w:val="0"/>
        <w:adjustRightInd w:val="0"/>
        <w:spacing w:after="0" w:line="240" w:lineRule="auto"/>
        <w:rPr>
          <w:rFonts w:cstheme="minorHAnsi"/>
        </w:rPr>
      </w:pPr>
    </w:p>
    <w:p w:rsidR="00C151D1" w:rsidRPr="00C151D1" w:rsidRDefault="00C151D1" w:rsidP="00C151D1">
      <w:pPr>
        <w:autoSpaceDE w:val="0"/>
        <w:autoSpaceDN w:val="0"/>
        <w:adjustRightInd w:val="0"/>
        <w:spacing w:after="0" w:line="240" w:lineRule="auto"/>
        <w:rPr>
          <w:rFonts w:cstheme="minorHAnsi"/>
        </w:rPr>
      </w:pPr>
      <w:r w:rsidRPr="00C151D1">
        <w:rPr>
          <w:rFonts w:cstheme="minorHAnsi"/>
        </w:rPr>
        <w:t>The new $15m Health, Allied Health,</w:t>
      </w:r>
      <w:r>
        <w:rPr>
          <w:rFonts w:cstheme="minorHAnsi"/>
        </w:rPr>
        <w:t xml:space="preserve"> </w:t>
      </w:r>
      <w:r w:rsidRPr="00C151D1">
        <w:rPr>
          <w:rFonts w:cstheme="minorHAnsi"/>
        </w:rPr>
        <w:t>and Community Services building at our</w:t>
      </w:r>
      <w:r>
        <w:rPr>
          <w:rFonts w:cstheme="minorHAnsi"/>
        </w:rPr>
        <w:t xml:space="preserve"> </w:t>
      </w:r>
      <w:r w:rsidRPr="00C151D1">
        <w:rPr>
          <w:rFonts w:cstheme="minorHAnsi"/>
        </w:rPr>
        <w:t>Berwick campus, opened in March of</w:t>
      </w:r>
      <w:r>
        <w:rPr>
          <w:rFonts w:cstheme="minorHAnsi"/>
        </w:rPr>
        <w:t xml:space="preserve"> </w:t>
      </w:r>
      <w:r w:rsidRPr="00C151D1">
        <w:rPr>
          <w:rFonts w:cstheme="minorHAnsi"/>
        </w:rPr>
        <w:t>2019 and supports the growth of health</w:t>
      </w:r>
      <w:r>
        <w:rPr>
          <w:rFonts w:cstheme="minorHAnsi"/>
        </w:rPr>
        <w:t xml:space="preserve"> </w:t>
      </w:r>
      <w:r w:rsidRPr="00C151D1">
        <w:rPr>
          <w:rFonts w:cstheme="minorHAnsi"/>
        </w:rPr>
        <w:t>and community industries particularly</w:t>
      </w:r>
      <w:r>
        <w:rPr>
          <w:rFonts w:cstheme="minorHAnsi"/>
        </w:rPr>
        <w:t xml:space="preserve"> </w:t>
      </w:r>
      <w:r w:rsidRPr="00C151D1">
        <w:rPr>
          <w:rFonts w:cstheme="minorHAnsi"/>
        </w:rPr>
        <w:t>across the South East of Melbourne. The</w:t>
      </w:r>
      <w:r>
        <w:rPr>
          <w:rFonts w:cstheme="minorHAnsi"/>
        </w:rPr>
        <w:t xml:space="preserve"> </w:t>
      </w:r>
      <w:r w:rsidRPr="00C151D1">
        <w:rPr>
          <w:rFonts w:cstheme="minorHAnsi"/>
        </w:rPr>
        <w:t>facility has a total of 30 beds throughout</w:t>
      </w:r>
      <w:r>
        <w:rPr>
          <w:rFonts w:cstheme="minorHAnsi"/>
        </w:rPr>
        <w:t xml:space="preserve"> </w:t>
      </w:r>
      <w:r w:rsidRPr="00C151D1">
        <w:rPr>
          <w:rFonts w:cstheme="minorHAnsi"/>
        </w:rPr>
        <w:t>four model health wards, a simulated</w:t>
      </w:r>
      <w:r>
        <w:rPr>
          <w:rFonts w:cstheme="minorHAnsi"/>
        </w:rPr>
        <w:t xml:space="preserve"> </w:t>
      </w:r>
      <w:r w:rsidRPr="00C151D1">
        <w:rPr>
          <w:rFonts w:cstheme="minorHAnsi"/>
        </w:rPr>
        <w:t>apartment, counselling suites, and two</w:t>
      </w:r>
      <w:r>
        <w:rPr>
          <w:rFonts w:cstheme="minorHAnsi"/>
        </w:rPr>
        <w:t xml:space="preserve"> </w:t>
      </w:r>
      <w:r w:rsidRPr="00C151D1">
        <w:rPr>
          <w:rFonts w:cstheme="minorHAnsi"/>
        </w:rPr>
        <w:t>separate laboratories that connect to</w:t>
      </w:r>
      <w:r>
        <w:rPr>
          <w:rFonts w:cstheme="minorHAnsi"/>
        </w:rPr>
        <w:t xml:space="preserve"> </w:t>
      </w:r>
      <w:r w:rsidRPr="00C151D1">
        <w:rPr>
          <w:rFonts w:cstheme="minorHAnsi"/>
        </w:rPr>
        <w:t>observation rooms, all designed to</w:t>
      </w:r>
      <w:r>
        <w:rPr>
          <w:rFonts w:cstheme="minorHAnsi"/>
        </w:rPr>
        <w:t xml:space="preserve"> </w:t>
      </w:r>
      <w:r w:rsidRPr="00C151D1">
        <w:rPr>
          <w:rFonts w:cstheme="minorHAnsi"/>
        </w:rPr>
        <w:t>replicate the modern workplace.</w:t>
      </w:r>
    </w:p>
    <w:p w:rsidR="00C151D1" w:rsidRPr="00C151D1" w:rsidRDefault="00C151D1" w:rsidP="00C151D1">
      <w:pPr>
        <w:autoSpaceDE w:val="0"/>
        <w:autoSpaceDN w:val="0"/>
        <w:adjustRightInd w:val="0"/>
        <w:spacing w:after="0" w:line="240" w:lineRule="auto"/>
        <w:rPr>
          <w:rFonts w:cstheme="minorHAnsi"/>
        </w:rPr>
      </w:pPr>
    </w:p>
    <w:p w:rsidR="00C151D1" w:rsidRPr="00C151D1" w:rsidRDefault="00C151D1" w:rsidP="00C151D1">
      <w:pPr>
        <w:autoSpaceDE w:val="0"/>
        <w:autoSpaceDN w:val="0"/>
        <w:adjustRightInd w:val="0"/>
        <w:spacing w:after="0" w:line="240" w:lineRule="auto"/>
        <w:rPr>
          <w:rFonts w:cstheme="minorHAnsi"/>
        </w:rPr>
      </w:pPr>
      <w:r w:rsidRPr="00C151D1">
        <w:rPr>
          <w:rFonts w:cstheme="minorHAnsi"/>
        </w:rPr>
        <w:t>Chisholm also welcomed the</w:t>
      </w:r>
      <w:r>
        <w:rPr>
          <w:rFonts w:cstheme="minorHAnsi"/>
        </w:rPr>
        <w:t xml:space="preserve"> </w:t>
      </w:r>
      <w:r w:rsidRPr="00C151D1">
        <w:rPr>
          <w:rFonts w:cstheme="minorHAnsi"/>
        </w:rPr>
        <w:t>announcement of Free TAFE courses</w:t>
      </w:r>
      <w:r>
        <w:rPr>
          <w:rFonts w:cstheme="minorHAnsi"/>
        </w:rPr>
        <w:t xml:space="preserve"> </w:t>
      </w:r>
      <w:r w:rsidRPr="00C151D1">
        <w:rPr>
          <w:rFonts w:cstheme="minorHAnsi"/>
        </w:rPr>
        <w:t>and the removal of a financial barrier</w:t>
      </w:r>
      <w:r>
        <w:rPr>
          <w:rFonts w:cstheme="minorHAnsi"/>
        </w:rPr>
        <w:t xml:space="preserve"> </w:t>
      </w:r>
      <w:r w:rsidRPr="00C151D1">
        <w:rPr>
          <w:rFonts w:cstheme="minorHAnsi"/>
        </w:rPr>
        <w:t>for those courses leading to jobs in</w:t>
      </w:r>
      <w:r>
        <w:rPr>
          <w:rFonts w:cstheme="minorHAnsi"/>
        </w:rPr>
        <w:t xml:space="preserve"> </w:t>
      </w:r>
      <w:r w:rsidRPr="00C151D1">
        <w:rPr>
          <w:rFonts w:cstheme="minorHAnsi"/>
        </w:rPr>
        <w:t>demand. Chisholm proved itself as a</w:t>
      </w:r>
      <w:r>
        <w:rPr>
          <w:rFonts w:cstheme="minorHAnsi"/>
        </w:rPr>
        <w:t xml:space="preserve"> </w:t>
      </w:r>
      <w:r w:rsidRPr="00C151D1">
        <w:rPr>
          <w:rFonts w:cstheme="minorHAnsi"/>
        </w:rPr>
        <w:t>state-wide leader in the delivery of</w:t>
      </w:r>
      <w:r>
        <w:rPr>
          <w:rFonts w:cstheme="minorHAnsi"/>
        </w:rPr>
        <w:t xml:space="preserve"> </w:t>
      </w:r>
      <w:r w:rsidRPr="00C151D1">
        <w:rPr>
          <w:rFonts w:cstheme="minorHAnsi"/>
        </w:rPr>
        <w:t>Free-TAFE courses to support the local</w:t>
      </w:r>
      <w:r>
        <w:rPr>
          <w:rFonts w:cstheme="minorHAnsi"/>
        </w:rPr>
        <w:t xml:space="preserve"> </w:t>
      </w:r>
      <w:r w:rsidRPr="00C151D1">
        <w:rPr>
          <w:rFonts w:cstheme="minorHAnsi"/>
        </w:rPr>
        <w:t>community. The Institute is proud of its</w:t>
      </w:r>
      <w:r>
        <w:rPr>
          <w:rFonts w:cstheme="minorHAnsi"/>
        </w:rPr>
        <w:t xml:space="preserve"> </w:t>
      </w:r>
      <w:r w:rsidRPr="00C151D1">
        <w:rPr>
          <w:rFonts w:cstheme="minorHAnsi"/>
        </w:rPr>
        <w:t>ability to recruit and engage prospective</w:t>
      </w:r>
      <w:r>
        <w:rPr>
          <w:rFonts w:cstheme="minorHAnsi"/>
        </w:rPr>
        <w:t xml:space="preserve"> </w:t>
      </w:r>
      <w:r w:rsidRPr="00C151D1">
        <w:rPr>
          <w:rFonts w:cstheme="minorHAnsi"/>
        </w:rPr>
        <w:t>students, and re-enforces our purpose</w:t>
      </w:r>
      <w:r>
        <w:rPr>
          <w:rFonts w:cstheme="minorHAnsi"/>
        </w:rPr>
        <w:t xml:space="preserve"> </w:t>
      </w:r>
      <w:r w:rsidRPr="00C151D1">
        <w:rPr>
          <w:rFonts w:cstheme="minorHAnsi"/>
        </w:rPr>
        <w:t>to welcome students throughout the</w:t>
      </w:r>
      <w:r>
        <w:rPr>
          <w:rFonts w:cstheme="minorHAnsi"/>
        </w:rPr>
        <w:t xml:space="preserve"> </w:t>
      </w:r>
      <w:r w:rsidRPr="00C151D1">
        <w:rPr>
          <w:rFonts w:cstheme="minorHAnsi"/>
        </w:rPr>
        <w:t>south-east region of Melbourne and</w:t>
      </w:r>
      <w:r>
        <w:rPr>
          <w:rFonts w:cstheme="minorHAnsi"/>
        </w:rPr>
        <w:t xml:space="preserve"> </w:t>
      </w:r>
      <w:r w:rsidRPr="00C151D1">
        <w:rPr>
          <w:rFonts w:cstheme="minorHAnsi"/>
        </w:rPr>
        <w:t>beyond.</w:t>
      </w:r>
    </w:p>
    <w:p w:rsidR="00C151D1" w:rsidRPr="00C151D1" w:rsidRDefault="00C151D1" w:rsidP="00C151D1">
      <w:pPr>
        <w:autoSpaceDE w:val="0"/>
        <w:autoSpaceDN w:val="0"/>
        <w:adjustRightInd w:val="0"/>
        <w:spacing w:after="0" w:line="240" w:lineRule="auto"/>
        <w:rPr>
          <w:rFonts w:cstheme="minorHAnsi"/>
        </w:rPr>
      </w:pPr>
    </w:p>
    <w:p w:rsidR="00C151D1" w:rsidRPr="00C151D1" w:rsidRDefault="00C151D1" w:rsidP="00C151D1">
      <w:pPr>
        <w:autoSpaceDE w:val="0"/>
        <w:autoSpaceDN w:val="0"/>
        <w:adjustRightInd w:val="0"/>
        <w:spacing w:after="0" w:line="240" w:lineRule="auto"/>
        <w:rPr>
          <w:rFonts w:cstheme="minorHAnsi"/>
        </w:rPr>
      </w:pPr>
      <w:r w:rsidRPr="00C151D1">
        <w:rPr>
          <w:rFonts w:cstheme="minorHAnsi"/>
        </w:rPr>
        <w:t>On behalf of the Board, I would like</w:t>
      </w:r>
      <w:r>
        <w:rPr>
          <w:rFonts w:cstheme="minorHAnsi"/>
        </w:rPr>
        <w:t xml:space="preserve"> </w:t>
      </w:r>
      <w:r w:rsidRPr="00C151D1">
        <w:rPr>
          <w:rFonts w:cstheme="minorHAnsi"/>
        </w:rPr>
        <w:t>to acknowledge the dedication of</w:t>
      </w:r>
      <w:r>
        <w:rPr>
          <w:rFonts w:cstheme="minorHAnsi"/>
        </w:rPr>
        <w:t xml:space="preserve"> </w:t>
      </w:r>
      <w:r w:rsidRPr="00C151D1">
        <w:rPr>
          <w:rFonts w:cstheme="minorHAnsi"/>
        </w:rPr>
        <w:t>the Institute’s staff, in particular the</w:t>
      </w:r>
      <w:r>
        <w:rPr>
          <w:rFonts w:cstheme="minorHAnsi"/>
        </w:rPr>
        <w:t xml:space="preserve"> </w:t>
      </w:r>
      <w:r w:rsidRPr="00C151D1">
        <w:rPr>
          <w:rFonts w:cstheme="minorHAnsi"/>
        </w:rPr>
        <w:t>Executive Leadership Team for thei</w:t>
      </w:r>
      <w:r>
        <w:rPr>
          <w:rFonts w:cstheme="minorHAnsi"/>
        </w:rPr>
        <w:t xml:space="preserve">r </w:t>
      </w:r>
      <w:r w:rsidRPr="00C151D1">
        <w:rPr>
          <w:rFonts w:cstheme="minorHAnsi"/>
        </w:rPr>
        <w:t>tireless work as we strengthen our</w:t>
      </w:r>
      <w:r>
        <w:rPr>
          <w:rFonts w:cstheme="minorHAnsi"/>
        </w:rPr>
        <w:t xml:space="preserve"> </w:t>
      </w:r>
      <w:r w:rsidRPr="00C151D1">
        <w:rPr>
          <w:rFonts w:cstheme="minorHAnsi"/>
        </w:rPr>
        <w:t>position across the sector.</w:t>
      </w:r>
    </w:p>
    <w:p w:rsidR="00C151D1" w:rsidRPr="00C151D1" w:rsidRDefault="00C151D1" w:rsidP="00C151D1">
      <w:pPr>
        <w:autoSpaceDE w:val="0"/>
        <w:autoSpaceDN w:val="0"/>
        <w:adjustRightInd w:val="0"/>
        <w:spacing w:after="0" w:line="240" w:lineRule="auto"/>
        <w:rPr>
          <w:rFonts w:cstheme="minorHAnsi"/>
        </w:rPr>
      </w:pPr>
    </w:p>
    <w:p w:rsidR="00C151D1" w:rsidRPr="00C151D1" w:rsidRDefault="00C151D1" w:rsidP="00C151D1">
      <w:pPr>
        <w:autoSpaceDE w:val="0"/>
        <w:autoSpaceDN w:val="0"/>
        <w:adjustRightInd w:val="0"/>
        <w:spacing w:after="0" w:line="240" w:lineRule="auto"/>
        <w:rPr>
          <w:rFonts w:cstheme="minorHAnsi"/>
        </w:rPr>
      </w:pPr>
      <w:r w:rsidRPr="00C151D1">
        <w:rPr>
          <w:rFonts w:cstheme="minorHAnsi"/>
        </w:rPr>
        <w:t>To my fellow Board members, thank</w:t>
      </w:r>
      <w:r>
        <w:rPr>
          <w:rFonts w:cstheme="minorHAnsi"/>
        </w:rPr>
        <w:t xml:space="preserve"> </w:t>
      </w:r>
      <w:r w:rsidRPr="00C151D1">
        <w:rPr>
          <w:rFonts w:cstheme="minorHAnsi"/>
        </w:rPr>
        <w:t>you for your steady guidance, support</w:t>
      </w:r>
      <w:r>
        <w:rPr>
          <w:rFonts w:cstheme="minorHAnsi"/>
        </w:rPr>
        <w:t xml:space="preserve"> </w:t>
      </w:r>
      <w:r w:rsidRPr="00C151D1">
        <w:rPr>
          <w:rFonts w:cstheme="minorHAnsi"/>
        </w:rPr>
        <w:t>and commitment as we worked toward</w:t>
      </w:r>
      <w:r>
        <w:rPr>
          <w:rFonts w:cstheme="minorHAnsi"/>
        </w:rPr>
        <w:t xml:space="preserve">s </w:t>
      </w:r>
      <w:r w:rsidRPr="00C151D1">
        <w:rPr>
          <w:rFonts w:cstheme="minorHAnsi"/>
        </w:rPr>
        <w:t>achieving our goals for 2019, which has</w:t>
      </w:r>
      <w:r>
        <w:rPr>
          <w:rFonts w:cstheme="minorHAnsi"/>
        </w:rPr>
        <w:t xml:space="preserve"> </w:t>
      </w:r>
      <w:r w:rsidRPr="00C151D1">
        <w:rPr>
          <w:rFonts w:cstheme="minorHAnsi"/>
        </w:rPr>
        <w:t>strengthened the position of the Institute</w:t>
      </w:r>
      <w:r>
        <w:rPr>
          <w:rFonts w:cstheme="minorHAnsi"/>
        </w:rPr>
        <w:t xml:space="preserve"> </w:t>
      </w:r>
      <w:r w:rsidRPr="00C151D1">
        <w:rPr>
          <w:rFonts w:cstheme="minorHAnsi"/>
        </w:rPr>
        <w:t>to pursue further opportunities in 2020.</w:t>
      </w:r>
    </w:p>
    <w:p w:rsidR="00C151D1" w:rsidRPr="00C151D1" w:rsidRDefault="00C151D1" w:rsidP="00C151D1">
      <w:pPr>
        <w:autoSpaceDE w:val="0"/>
        <w:autoSpaceDN w:val="0"/>
        <w:adjustRightInd w:val="0"/>
        <w:spacing w:after="0" w:line="240" w:lineRule="auto"/>
        <w:rPr>
          <w:rFonts w:cstheme="minorHAnsi"/>
        </w:rPr>
      </w:pPr>
    </w:p>
    <w:p w:rsidR="000437BB" w:rsidRDefault="00C151D1" w:rsidP="00C151D1">
      <w:pPr>
        <w:autoSpaceDE w:val="0"/>
        <w:autoSpaceDN w:val="0"/>
        <w:adjustRightInd w:val="0"/>
        <w:spacing w:after="0" w:line="240" w:lineRule="auto"/>
      </w:pPr>
      <w:r w:rsidRPr="00C151D1">
        <w:rPr>
          <w:rFonts w:cstheme="minorHAnsi"/>
        </w:rPr>
        <w:t>I look forward to further growth and</w:t>
      </w:r>
      <w:r>
        <w:rPr>
          <w:rFonts w:cstheme="minorHAnsi"/>
        </w:rPr>
        <w:t xml:space="preserve"> </w:t>
      </w:r>
      <w:r w:rsidRPr="00C151D1">
        <w:rPr>
          <w:rFonts w:cstheme="minorHAnsi"/>
        </w:rPr>
        <w:t>consolidation of our achievements in the</w:t>
      </w:r>
      <w:r>
        <w:rPr>
          <w:rFonts w:cstheme="minorHAnsi"/>
        </w:rPr>
        <w:t xml:space="preserve"> </w:t>
      </w:r>
      <w:r w:rsidRPr="00C151D1">
        <w:rPr>
          <w:rFonts w:cstheme="minorHAnsi"/>
        </w:rPr>
        <w:t>year ahead.</w:t>
      </w:r>
    </w:p>
    <w:p w:rsidR="000437BB" w:rsidRDefault="000437BB" w:rsidP="005942B8">
      <w:pPr>
        <w:pStyle w:val="NoSpacing"/>
      </w:pPr>
    </w:p>
    <w:p w:rsidR="00C151D1" w:rsidRDefault="00C151D1" w:rsidP="005942B8">
      <w:pPr>
        <w:pStyle w:val="NoSpacing"/>
      </w:pPr>
      <w:r>
        <w:lastRenderedPageBreak/>
        <w:t>Stephen G Marks</w:t>
      </w:r>
    </w:p>
    <w:p w:rsidR="00C151D1" w:rsidRDefault="00C151D1" w:rsidP="005942B8">
      <w:pPr>
        <w:pStyle w:val="NoSpacing"/>
      </w:pPr>
      <w:r>
        <w:t xml:space="preserve">Date: </w:t>
      </w:r>
      <w:r w:rsidR="004A75EA">
        <w:t xml:space="preserve">26 </w:t>
      </w:r>
      <w:r w:rsidRPr="004A75EA">
        <w:t>February 2020</w:t>
      </w:r>
    </w:p>
    <w:p w:rsidR="00C151D1" w:rsidRDefault="00C151D1" w:rsidP="005942B8">
      <w:pPr>
        <w:pStyle w:val="NoSpacing"/>
      </w:pPr>
    </w:p>
    <w:p w:rsidR="005942B8" w:rsidRDefault="000437BB" w:rsidP="005942B8">
      <w:pPr>
        <w:pStyle w:val="NoSpacing"/>
      </w:pPr>
      <w:r>
        <w:t>&lt;page 3</w:t>
      </w:r>
      <w:r w:rsidR="005942B8">
        <w:t>&gt;</w:t>
      </w:r>
    </w:p>
    <w:p w:rsidR="005942B8" w:rsidRDefault="005942B8" w:rsidP="005942B8">
      <w:pPr>
        <w:pStyle w:val="NoSpacing"/>
      </w:pPr>
    </w:p>
    <w:p w:rsidR="005942B8" w:rsidRDefault="005942B8" w:rsidP="005942B8">
      <w:pPr>
        <w:pStyle w:val="Heading2"/>
      </w:pPr>
      <w:r>
        <w:t xml:space="preserve">CEO’s message </w:t>
      </w:r>
    </w:p>
    <w:p w:rsidR="00C151D1" w:rsidRDefault="00C151D1" w:rsidP="005942B8">
      <w:pPr>
        <w:pStyle w:val="NoSpacing"/>
      </w:pPr>
    </w:p>
    <w:p w:rsidR="00C151D1" w:rsidRDefault="00C151D1" w:rsidP="005942B8">
      <w:pPr>
        <w:pStyle w:val="NoSpacing"/>
      </w:pPr>
      <w:r>
        <w:t>There was much to be proud of in 2019 with the Institute solidifying strong foundations with which to build our education and training provision capabilities into the future.</w:t>
      </w:r>
    </w:p>
    <w:p w:rsidR="00C151D1" w:rsidRDefault="00C151D1" w:rsidP="005942B8">
      <w:pPr>
        <w:pStyle w:val="NoSpacing"/>
      </w:pPr>
    </w:p>
    <w:p w:rsidR="00C151D1" w:rsidRPr="00C151D1" w:rsidRDefault="00C151D1" w:rsidP="00C151D1">
      <w:pPr>
        <w:autoSpaceDE w:val="0"/>
        <w:autoSpaceDN w:val="0"/>
        <w:adjustRightInd w:val="0"/>
        <w:spacing w:after="0" w:line="240" w:lineRule="auto"/>
        <w:rPr>
          <w:rFonts w:cstheme="minorHAnsi"/>
        </w:rPr>
      </w:pPr>
      <w:r w:rsidRPr="00C151D1">
        <w:rPr>
          <w:rFonts w:cstheme="minorHAnsi"/>
        </w:rPr>
        <w:t>For many years, Chisholm has led the</w:t>
      </w:r>
      <w:r w:rsidR="000A32BD">
        <w:rPr>
          <w:rFonts w:cstheme="minorHAnsi"/>
        </w:rPr>
        <w:t xml:space="preserve"> </w:t>
      </w:r>
      <w:r w:rsidRPr="00C151D1">
        <w:rPr>
          <w:rFonts w:cstheme="minorHAnsi"/>
        </w:rPr>
        <w:t>way in providing opportunities and</w:t>
      </w:r>
      <w:r w:rsidR="000A32BD">
        <w:rPr>
          <w:rFonts w:cstheme="minorHAnsi"/>
        </w:rPr>
        <w:t xml:space="preserve"> </w:t>
      </w:r>
      <w:r w:rsidRPr="00C151D1">
        <w:rPr>
          <w:rFonts w:cstheme="minorHAnsi"/>
        </w:rPr>
        <w:t>access to education in Melbourne’s</w:t>
      </w:r>
      <w:r w:rsidR="000A32BD">
        <w:rPr>
          <w:rFonts w:cstheme="minorHAnsi"/>
        </w:rPr>
        <w:t xml:space="preserve"> </w:t>
      </w:r>
      <w:r w:rsidRPr="00C151D1">
        <w:rPr>
          <w:rFonts w:cstheme="minorHAnsi"/>
        </w:rPr>
        <w:t>South-East. We now embark on a new</w:t>
      </w:r>
      <w:r w:rsidR="000A32BD">
        <w:rPr>
          <w:rFonts w:cstheme="minorHAnsi"/>
        </w:rPr>
        <w:t xml:space="preserve"> </w:t>
      </w:r>
      <w:r w:rsidRPr="00C151D1">
        <w:rPr>
          <w:rFonts w:cstheme="minorHAnsi"/>
        </w:rPr>
        <w:t>stage of this journey as we intensify</w:t>
      </w:r>
      <w:r w:rsidR="000A32BD">
        <w:rPr>
          <w:rFonts w:cstheme="minorHAnsi"/>
        </w:rPr>
        <w:t xml:space="preserve"> </w:t>
      </w:r>
      <w:r w:rsidRPr="00C151D1">
        <w:rPr>
          <w:rFonts w:cstheme="minorHAnsi"/>
        </w:rPr>
        <w:t>and advance our capability to deliver</w:t>
      </w:r>
      <w:r w:rsidR="000A32BD">
        <w:rPr>
          <w:rFonts w:cstheme="minorHAnsi"/>
        </w:rPr>
        <w:t xml:space="preserve"> </w:t>
      </w:r>
      <w:r w:rsidRPr="00C151D1">
        <w:rPr>
          <w:rFonts w:cstheme="minorHAnsi"/>
        </w:rPr>
        <w:t>world-class training and education for</w:t>
      </w:r>
      <w:r w:rsidR="000A32BD">
        <w:rPr>
          <w:rFonts w:cstheme="minorHAnsi"/>
        </w:rPr>
        <w:t xml:space="preserve"> </w:t>
      </w:r>
      <w:r w:rsidRPr="00C151D1">
        <w:rPr>
          <w:rFonts w:cstheme="minorHAnsi"/>
        </w:rPr>
        <w:t>students, when focussing current and</w:t>
      </w:r>
      <w:r w:rsidR="000A32BD">
        <w:rPr>
          <w:rFonts w:cstheme="minorHAnsi"/>
        </w:rPr>
        <w:t xml:space="preserve"> </w:t>
      </w:r>
      <w:r w:rsidRPr="00C151D1">
        <w:rPr>
          <w:rFonts w:cstheme="minorHAnsi"/>
        </w:rPr>
        <w:t>future needs of a rapidly changing</w:t>
      </w:r>
      <w:r w:rsidR="000A32BD">
        <w:rPr>
          <w:rFonts w:cstheme="minorHAnsi"/>
        </w:rPr>
        <w:t xml:space="preserve"> </w:t>
      </w:r>
      <w:r w:rsidRPr="00C151D1">
        <w:rPr>
          <w:rFonts w:cstheme="minorHAnsi"/>
        </w:rPr>
        <w:t>economy.</w:t>
      </w:r>
    </w:p>
    <w:p w:rsidR="00C151D1" w:rsidRPr="00C151D1" w:rsidRDefault="00C151D1" w:rsidP="00C151D1">
      <w:pPr>
        <w:autoSpaceDE w:val="0"/>
        <w:autoSpaceDN w:val="0"/>
        <w:adjustRightInd w:val="0"/>
        <w:spacing w:after="0" w:line="240" w:lineRule="auto"/>
        <w:rPr>
          <w:rFonts w:cstheme="minorHAnsi"/>
        </w:rPr>
      </w:pPr>
    </w:p>
    <w:p w:rsidR="00C151D1" w:rsidRPr="00C151D1" w:rsidRDefault="00C151D1" w:rsidP="00C151D1">
      <w:pPr>
        <w:autoSpaceDE w:val="0"/>
        <w:autoSpaceDN w:val="0"/>
        <w:adjustRightInd w:val="0"/>
        <w:spacing w:after="0" w:line="240" w:lineRule="auto"/>
        <w:rPr>
          <w:rFonts w:cstheme="minorHAnsi"/>
        </w:rPr>
      </w:pPr>
      <w:r w:rsidRPr="00C151D1">
        <w:rPr>
          <w:rFonts w:cstheme="minorHAnsi"/>
        </w:rPr>
        <w:t>The commitment to our students has</w:t>
      </w:r>
      <w:r w:rsidR="000A32BD">
        <w:rPr>
          <w:rFonts w:cstheme="minorHAnsi"/>
        </w:rPr>
        <w:t xml:space="preserve"> </w:t>
      </w:r>
      <w:r w:rsidRPr="00C151D1">
        <w:rPr>
          <w:rFonts w:cstheme="minorHAnsi"/>
        </w:rPr>
        <w:t>been highlighted by a new executive</w:t>
      </w:r>
      <w:r w:rsidR="000A32BD">
        <w:rPr>
          <w:rFonts w:cstheme="minorHAnsi"/>
        </w:rPr>
        <w:t xml:space="preserve"> </w:t>
      </w:r>
      <w:r w:rsidRPr="00C151D1">
        <w:rPr>
          <w:rFonts w:cstheme="minorHAnsi"/>
        </w:rPr>
        <w:t>position which was created in 2019</w:t>
      </w:r>
      <w:r w:rsidR="000A32BD">
        <w:rPr>
          <w:rFonts w:cstheme="minorHAnsi"/>
        </w:rPr>
        <w:t xml:space="preserve"> </w:t>
      </w:r>
      <w:r w:rsidRPr="00C151D1">
        <w:rPr>
          <w:rFonts w:cstheme="minorHAnsi"/>
        </w:rPr>
        <w:t>with a focus on student success and</w:t>
      </w:r>
      <w:r w:rsidR="000A32BD">
        <w:rPr>
          <w:rFonts w:cstheme="minorHAnsi"/>
        </w:rPr>
        <w:t xml:space="preserve"> </w:t>
      </w:r>
      <w:r w:rsidRPr="00C151D1">
        <w:rPr>
          <w:rFonts w:cstheme="minorHAnsi"/>
        </w:rPr>
        <w:t>support. This will be underpinned with</w:t>
      </w:r>
      <w:r w:rsidR="000A32BD">
        <w:rPr>
          <w:rFonts w:cstheme="minorHAnsi"/>
        </w:rPr>
        <w:t xml:space="preserve"> </w:t>
      </w:r>
      <w:r w:rsidRPr="00C151D1">
        <w:rPr>
          <w:rFonts w:cstheme="minorHAnsi"/>
        </w:rPr>
        <w:t>a Student Experience plan, which will</w:t>
      </w:r>
      <w:r w:rsidR="000A32BD">
        <w:rPr>
          <w:rFonts w:cstheme="minorHAnsi"/>
        </w:rPr>
        <w:t xml:space="preserve"> </w:t>
      </w:r>
      <w:r w:rsidRPr="00C151D1">
        <w:rPr>
          <w:rFonts w:cstheme="minorHAnsi"/>
        </w:rPr>
        <w:t>put the student at the centre of all that</w:t>
      </w:r>
      <w:r w:rsidR="000A32BD">
        <w:rPr>
          <w:rFonts w:cstheme="minorHAnsi"/>
        </w:rPr>
        <w:t xml:space="preserve"> </w:t>
      </w:r>
      <w:r w:rsidRPr="00C151D1">
        <w:rPr>
          <w:rFonts w:cstheme="minorHAnsi"/>
        </w:rPr>
        <w:t>we do. We have also invested in our</w:t>
      </w:r>
      <w:r w:rsidR="000A32BD">
        <w:rPr>
          <w:rFonts w:cstheme="minorHAnsi"/>
        </w:rPr>
        <w:t xml:space="preserve"> </w:t>
      </w:r>
      <w:r w:rsidRPr="00C151D1">
        <w:rPr>
          <w:rFonts w:cstheme="minorHAnsi"/>
        </w:rPr>
        <w:t>new learning facilities at both Frankston</w:t>
      </w:r>
      <w:r w:rsidR="000A32BD">
        <w:rPr>
          <w:rFonts w:cstheme="minorHAnsi"/>
        </w:rPr>
        <w:t xml:space="preserve"> </w:t>
      </w:r>
      <w:r w:rsidRPr="00C151D1">
        <w:rPr>
          <w:rFonts w:cstheme="minorHAnsi"/>
        </w:rPr>
        <w:t>and Berwick campuses. These facilities</w:t>
      </w:r>
      <w:r w:rsidR="000A32BD">
        <w:rPr>
          <w:rFonts w:cstheme="minorHAnsi"/>
        </w:rPr>
        <w:t xml:space="preserve"> </w:t>
      </w:r>
      <w:r w:rsidRPr="00C151D1">
        <w:rPr>
          <w:rFonts w:cstheme="minorHAnsi"/>
        </w:rPr>
        <w:t>support Chisholm’s commitment</w:t>
      </w:r>
      <w:r w:rsidR="000A32BD">
        <w:rPr>
          <w:rFonts w:cstheme="minorHAnsi"/>
        </w:rPr>
        <w:t xml:space="preserve"> </w:t>
      </w:r>
      <w:r w:rsidRPr="00C151D1">
        <w:rPr>
          <w:rFonts w:cstheme="minorHAnsi"/>
        </w:rPr>
        <w:t>to prepare students for their future</w:t>
      </w:r>
      <w:r w:rsidR="000A32BD">
        <w:rPr>
          <w:rFonts w:cstheme="minorHAnsi"/>
        </w:rPr>
        <w:t xml:space="preserve"> </w:t>
      </w:r>
      <w:r w:rsidRPr="00C151D1">
        <w:rPr>
          <w:rFonts w:cstheme="minorHAnsi"/>
        </w:rPr>
        <w:t>careers, giving our students the skills</w:t>
      </w:r>
      <w:r w:rsidR="000A32BD">
        <w:rPr>
          <w:rFonts w:cstheme="minorHAnsi"/>
        </w:rPr>
        <w:t xml:space="preserve"> </w:t>
      </w:r>
      <w:r w:rsidRPr="00C151D1">
        <w:rPr>
          <w:rFonts w:cstheme="minorHAnsi"/>
        </w:rPr>
        <w:t>they need to hit the ground running</w:t>
      </w:r>
      <w:r w:rsidR="000A32BD">
        <w:rPr>
          <w:rFonts w:cstheme="minorHAnsi"/>
        </w:rPr>
        <w:t xml:space="preserve"> </w:t>
      </w:r>
      <w:r w:rsidRPr="00C151D1">
        <w:rPr>
          <w:rFonts w:cstheme="minorHAnsi"/>
        </w:rPr>
        <w:t>from their first day on the job.</w:t>
      </w:r>
    </w:p>
    <w:p w:rsidR="00C151D1" w:rsidRPr="00C151D1" w:rsidRDefault="00C151D1" w:rsidP="00C151D1">
      <w:pPr>
        <w:autoSpaceDE w:val="0"/>
        <w:autoSpaceDN w:val="0"/>
        <w:adjustRightInd w:val="0"/>
        <w:spacing w:after="0" w:line="240" w:lineRule="auto"/>
        <w:rPr>
          <w:rFonts w:cstheme="minorHAnsi"/>
        </w:rPr>
      </w:pPr>
    </w:p>
    <w:p w:rsidR="00C151D1" w:rsidRPr="00C151D1" w:rsidRDefault="00C151D1" w:rsidP="00C151D1">
      <w:pPr>
        <w:autoSpaceDE w:val="0"/>
        <w:autoSpaceDN w:val="0"/>
        <w:adjustRightInd w:val="0"/>
        <w:spacing w:after="0" w:line="240" w:lineRule="auto"/>
        <w:rPr>
          <w:rFonts w:cstheme="minorHAnsi"/>
        </w:rPr>
      </w:pPr>
      <w:r w:rsidRPr="00C151D1">
        <w:rPr>
          <w:rFonts w:cstheme="minorHAnsi"/>
        </w:rPr>
        <w:t>It was a proud day for our community</w:t>
      </w:r>
      <w:r w:rsidR="000A32BD">
        <w:rPr>
          <w:rFonts w:cstheme="minorHAnsi"/>
        </w:rPr>
        <w:t xml:space="preserve"> </w:t>
      </w:r>
      <w:r w:rsidRPr="00C151D1">
        <w:rPr>
          <w:rFonts w:cstheme="minorHAnsi"/>
        </w:rPr>
        <w:t>as we opened the doors to our new</w:t>
      </w:r>
      <w:r w:rsidR="000A32BD">
        <w:rPr>
          <w:rFonts w:cstheme="minorHAnsi"/>
        </w:rPr>
        <w:t xml:space="preserve"> </w:t>
      </w:r>
      <w:r w:rsidRPr="00C151D1">
        <w:rPr>
          <w:rFonts w:cstheme="minorHAnsi"/>
        </w:rPr>
        <w:t>facilities that will create relevant</w:t>
      </w:r>
      <w:r w:rsidR="000A32BD">
        <w:rPr>
          <w:rFonts w:cstheme="minorHAnsi"/>
        </w:rPr>
        <w:t xml:space="preserve">, </w:t>
      </w:r>
      <w:r w:rsidRPr="00C151D1">
        <w:rPr>
          <w:rFonts w:cstheme="minorHAnsi"/>
        </w:rPr>
        <w:t>responsive, agile and positive</w:t>
      </w:r>
      <w:r w:rsidR="000A32BD">
        <w:rPr>
          <w:rFonts w:cstheme="minorHAnsi"/>
        </w:rPr>
        <w:t xml:space="preserve"> </w:t>
      </w:r>
      <w:r w:rsidRPr="00C151D1">
        <w:rPr>
          <w:rFonts w:cstheme="minorHAnsi"/>
        </w:rPr>
        <w:t>experiences, and lifelong connections</w:t>
      </w:r>
      <w:r w:rsidR="000A32BD">
        <w:rPr>
          <w:rFonts w:cstheme="minorHAnsi"/>
        </w:rPr>
        <w:t xml:space="preserve"> </w:t>
      </w:r>
      <w:r w:rsidRPr="00C151D1">
        <w:rPr>
          <w:rFonts w:cstheme="minorHAnsi"/>
        </w:rPr>
        <w:t>for our students, staff and the</w:t>
      </w:r>
      <w:r w:rsidR="000A32BD">
        <w:rPr>
          <w:rFonts w:cstheme="minorHAnsi"/>
        </w:rPr>
        <w:t xml:space="preserve"> </w:t>
      </w:r>
      <w:r w:rsidRPr="00C151D1">
        <w:rPr>
          <w:rFonts w:cstheme="minorHAnsi"/>
        </w:rPr>
        <w:t>community. Tens of thousands of</w:t>
      </w:r>
      <w:r w:rsidR="000A32BD">
        <w:rPr>
          <w:rFonts w:cstheme="minorHAnsi"/>
        </w:rPr>
        <w:t xml:space="preserve"> </w:t>
      </w:r>
      <w:r w:rsidRPr="00C151D1">
        <w:rPr>
          <w:rFonts w:cstheme="minorHAnsi"/>
        </w:rPr>
        <w:t>health, early childhood, building and</w:t>
      </w:r>
      <w:r w:rsidR="000A32BD">
        <w:rPr>
          <w:rFonts w:cstheme="minorHAnsi"/>
        </w:rPr>
        <w:t xml:space="preserve"> </w:t>
      </w:r>
      <w:r w:rsidRPr="00C151D1">
        <w:rPr>
          <w:rFonts w:cstheme="minorHAnsi"/>
        </w:rPr>
        <w:t>construction students from across</w:t>
      </w:r>
      <w:r w:rsidR="000A32BD">
        <w:rPr>
          <w:rFonts w:cstheme="minorHAnsi"/>
        </w:rPr>
        <w:t xml:space="preserve"> </w:t>
      </w:r>
      <w:r w:rsidRPr="00C151D1">
        <w:rPr>
          <w:rFonts w:cstheme="minorHAnsi"/>
        </w:rPr>
        <w:t>the South East of Melbourne will</w:t>
      </w:r>
      <w:r w:rsidR="000A32BD">
        <w:rPr>
          <w:rFonts w:cstheme="minorHAnsi"/>
        </w:rPr>
        <w:t xml:space="preserve"> </w:t>
      </w:r>
      <w:r w:rsidRPr="00C151D1">
        <w:rPr>
          <w:rFonts w:cstheme="minorHAnsi"/>
        </w:rPr>
        <w:t>walk through these doors in the years</w:t>
      </w:r>
      <w:r w:rsidR="000A32BD">
        <w:rPr>
          <w:rFonts w:cstheme="minorHAnsi"/>
        </w:rPr>
        <w:t xml:space="preserve"> </w:t>
      </w:r>
      <w:r w:rsidRPr="00C151D1">
        <w:rPr>
          <w:rFonts w:cstheme="minorHAnsi"/>
        </w:rPr>
        <w:t>to come.</w:t>
      </w:r>
    </w:p>
    <w:p w:rsidR="00C151D1" w:rsidRPr="00C151D1" w:rsidRDefault="00C151D1" w:rsidP="00C151D1">
      <w:pPr>
        <w:autoSpaceDE w:val="0"/>
        <w:autoSpaceDN w:val="0"/>
        <w:adjustRightInd w:val="0"/>
        <w:spacing w:after="0" w:line="240" w:lineRule="auto"/>
        <w:rPr>
          <w:rFonts w:cstheme="minorHAnsi"/>
        </w:rPr>
      </w:pPr>
    </w:p>
    <w:p w:rsidR="00C151D1" w:rsidRPr="00C151D1" w:rsidRDefault="00C151D1" w:rsidP="00C151D1">
      <w:pPr>
        <w:autoSpaceDE w:val="0"/>
        <w:autoSpaceDN w:val="0"/>
        <w:adjustRightInd w:val="0"/>
        <w:spacing w:after="0" w:line="240" w:lineRule="auto"/>
        <w:rPr>
          <w:rFonts w:cstheme="minorHAnsi"/>
        </w:rPr>
      </w:pPr>
      <w:r w:rsidRPr="00C151D1">
        <w:rPr>
          <w:rFonts w:cstheme="minorHAnsi"/>
        </w:rPr>
        <w:t>The refocussing of our strategic</w:t>
      </w:r>
      <w:r w:rsidR="000A32BD">
        <w:rPr>
          <w:rFonts w:cstheme="minorHAnsi"/>
        </w:rPr>
        <w:t xml:space="preserve"> </w:t>
      </w:r>
      <w:r w:rsidRPr="00C151D1">
        <w:rPr>
          <w:rFonts w:cstheme="minorHAnsi"/>
        </w:rPr>
        <w:t>focus in 2020 will benefit from the</w:t>
      </w:r>
      <w:r w:rsidR="000A32BD">
        <w:rPr>
          <w:rFonts w:cstheme="minorHAnsi"/>
        </w:rPr>
        <w:t xml:space="preserve"> </w:t>
      </w:r>
      <w:r w:rsidRPr="00C151D1">
        <w:rPr>
          <w:rFonts w:cstheme="minorHAnsi"/>
        </w:rPr>
        <w:t>development of our key strategic</w:t>
      </w:r>
      <w:r w:rsidR="000A32BD">
        <w:rPr>
          <w:rFonts w:cstheme="minorHAnsi"/>
        </w:rPr>
        <w:t xml:space="preserve"> </w:t>
      </w:r>
      <w:r w:rsidRPr="00C151D1">
        <w:rPr>
          <w:rFonts w:cstheme="minorHAnsi"/>
        </w:rPr>
        <w:t>pillars in the form of five activation</w:t>
      </w:r>
      <w:r w:rsidR="000A32BD">
        <w:rPr>
          <w:rFonts w:cstheme="minorHAnsi"/>
        </w:rPr>
        <w:t xml:space="preserve"> </w:t>
      </w:r>
      <w:r w:rsidRPr="00C151D1">
        <w:rPr>
          <w:rFonts w:cstheme="minorHAnsi"/>
        </w:rPr>
        <w:t>plans, which have been either been</w:t>
      </w:r>
      <w:r w:rsidR="000A32BD">
        <w:rPr>
          <w:rFonts w:cstheme="minorHAnsi"/>
        </w:rPr>
        <w:t xml:space="preserve"> </w:t>
      </w:r>
      <w:r w:rsidRPr="00C151D1">
        <w:rPr>
          <w:rFonts w:cstheme="minorHAnsi"/>
        </w:rPr>
        <w:t>introduced or developed throughout</w:t>
      </w:r>
      <w:r w:rsidR="000A32BD">
        <w:rPr>
          <w:rFonts w:cstheme="minorHAnsi"/>
        </w:rPr>
        <w:t xml:space="preserve"> </w:t>
      </w:r>
      <w:r w:rsidRPr="00C151D1">
        <w:rPr>
          <w:rFonts w:cstheme="minorHAnsi"/>
        </w:rPr>
        <w:t>2019. Our People Plan is a result of</w:t>
      </w:r>
      <w:r w:rsidR="000A32BD">
        <w:rPr>
          <w:rFonts w:cstheme="minorHAnsi"/>
        </w:rPr>
        <w:t xml:space="preserve"> </w:t>
      </w:r>
      <w:r w:rsidRPr="00C151D1">
        <w:rPr>
          <w:rFonts w:cstheme="minorHAnsi"/>
        </w:rPr>
        <w:t>interviews and workshops conducted</w:t>
      </w:r>
      <w:r w:rsidR="000A32BD">
        <w:rPr>
          <w:rFonts w:cstheme="minorHAnsi"/>
        </w:rPr>
        <w:t xml:space="preserve"> </w:t>
      </w:r>
      <w:r w:rsidRPr="00C151D1">
        <w:rPr>
          <w:rFonts w:cstheme="minorHAnsi"/>
        </w:rPr>
        <w:t>with many staff over a six-month period.</w:t>
      </w:r>
    </w:p>
    <w:p w:rsidR="00C151D1" w:rsidRPr="00C151D1" w:rsidRDefault="00C151D1" w:rsidP="00C151D1">
      <w:pPr>
        <w:autoSpaceDE w:val="0"/>
        <w:autoSpaceDN w:val="0"/>
        <w:adjustRightInd w:val="0"/>
        <w:spacing w:after="0" w:line="240" w:lineRule="auto"/>
        <w:rPr>
          <w:rFonts w:cstheme="minorHAnsi"/>
        </w:rPr>
      </w:pPr>
      <w:r w:rsidRPr="00C151D1">
        <w:rPr>
          <w:rFonts w:cstheme="minorHAnsi"/>
        </w:rPr>
        <w:t>The result is a comprehensive plan</w:t>
      </w:r>
      <w:r w:rsidR="000A32BD">
        <w:rPr>
          <w:rFonts w:cstheme="minorHAnsi"/>
        </w:rPr>
        <w:t xml:space="preserve"> </w:t>
      </w:r>
      <w:r w:rsidRPr="00C151D1">
        <w:rPr>
          <w:rFonts w:cstheme="minorHAnsi"/>
        </w:rPr>
        <w:t>for the development, engagement</w:t>
      </w:r>
      <w:r w:rsidR="000A32BD">
        <w:rPr>
          <w:rFonts w:cstheme="minorHAnsi"/>
        </w:rPr>
        <w:t xml:space="preserve"> </w:t>
      </w:r>
      <w:r w:rsidRPr="00C151D1">
        <w:rPr>
          <w:rFonts w:cstheme="minorHAnsi"/>
        </w:rPr>
        <w:t>and well-being of our staff into the</w:t>
      </w:r>
      <w:r w:rsidR="000A32BD">
        <w:rPr>
          <w:rFonts w:cstheme="minorHAnsi"/>
        </w:rPr>
        <w:t xml:space="preserve"> </w:t>
      </w:r>
      <w:r w:rsidRPr="00C151D1">
        <w:rPr>
          <w:rFonts w:cstheme="minorHAnsi"/>
        </w:rPr>
        <w:t>future. It focusses on the importance</w:t>
      </w:r>
      <w:r w:rsidR="000A32BD">
        <w:rPr>
          <w:rFonts w:cstheme="minorHAnsi"/>
        </w:rPr>
        <w:t xml:space="preserve"> </w:t>
      </w:r>
      <w:r w:rsidRPr="00C151D1">
        <w:rPr>
          <w:rFonts w:cstheme="minorHAnsi"/>
        </w:rPr>
        <w:t>of customer-first, service-delivery,</w:t>
      </w:r>
      <w:r w:rsidR="000A32BD">
        <w:rPr>
          <w:rFonts w:cstheme="minorHAnsi"/>
        </w:rPr>
        <w:t xml:space="preserve"> </w:t>
      </w:r>
      <w:r w:rsidRPr="00C151D1">
        <w:rPr>
          <w:rFonts w:cstheme="minorHAnsi"/>
        </w:rPr>
        <w:t>professional excellence, and</w:t>
      </w:r>
      <w:r w:rsidR="000A32BD">
        <w:rPr>
          <w:rFonts w:cstheme="minorHAnsi"/>
        </w:rPr>
        <w:t xml:space="preserve"> </w:t>
      </w:r>
      <w:r w:rsidRPr="00C151D1">
        <w:rPr>
          <w:rFonts w:cstheme="minorHAnsi"/>
        </w:rPr>
        <w:t>a supportive culture. We have</w:t>
      </w:r>
      <w:r w:rsidR="000A32BD">
        <w:rPr>
          <w:rFonts w:cstheme="minorHAnsi"/>
        </w:rPr>
        <w:t xml:space="preserve"> </w:t>
      </w:r>
      <w:r w:rsidRPr="00C151D1">
        <w:rPr>
          <w:rFonts w:cstheme="minorHAnsi"/>
        </w:rPr>
        <w:t>also provided greater security</w:t>
      </w:r>
      <w:r w:rsidR="000A32BD">
        <w:rPr>
          <w:rFonts w:cstheme="minorHAnsi"/>
        </w:rPr>
        <w:t xml:space="preserve"> </w:t>
      </w:r>
      <w:r w:rsidRPr="00C151D1">
        <w:rPr>
          <w:rFonts w:cstheme="minorHAnsi"/>
        </w:rPr>
        <w:t>of employment by reducing the</w:t>
      </w:r>
      <w:r w:rsidR="000A32BD">
        <w:rPr>
          <w:rFonts w:cstheme="minorHAnsi"/>
        </w:rPr>
        <w:t xml:space="preserve"> </w:t>
      </w:r>
      <w:r w:rsidRPr="00C151D1">
        <w:rPr>
          <w:rFonts w:cstheme="minorHAnsi"/>
        </w:rPr>
        <w:t>casualization of our teaching staff.</w:t>
      </w:r>
    </w:p>
    <w:p w:rsidR="00C151D1" w:rsidRPr="00C151D1" w:rsidRDefault="00C151D1" w:rsidP="00C151D1">
      <w:pPr>
        <w:autoSpaceDE w:val="0"/>
        <w:autoSpaceDN w:val="0"/>
        <w:adjustRightInd w:val="0"/>
        <w:spacing w:after="0" w:line="240" w:lineRule="auto"/>
        <w:rPr>
          <w:rFonts w:cstheme="minorHAnsi"/>
        </w:rPr>
      </w:pPr>
    </w:p>
    <w:p w:rsidR="00C151D1" w:rsidRPr="00C151D1" w:rsidRDefault="00C151D1" w:rsidP="00C151D1">
      <w:pPr>
        <w:autoSpaceDE w:val="0"/>
        <w:autoSpaceDN w:val="0"/>
        <w:adjustRightInd w:val="0"/>
        <w:spacing w:after="0" w:line="240" w:lineRule="auto"/>
        <w:rPr>
          <w:rFonts w:cstheme="minorHAnsi"/>
        </w:rPr>
      </w:pPr>
      <w:r w:rsidRPr="00C151D1">
        <w:rPr>
          <w:rFonts w:cstheme="minorHAnsi"/>
        </w:rPr>
        <w:t>Our Education Plan was also</w:t>
      </w:r>
      <w:r w:rsidR="000A32BD">
        <w:rPr>
          <w:rFonts w:cstheme="minorHAnsi"/>
        </w:rPr>
        <w:t xml:space="preserve"> </w:t>
      </w:r>
      <w:r w:rsidRPr="00C151D1">
        <w:rPr>
          <w:rFonts w:cstheme="minorHAnsi"/>
        </w:rPr>
        <w:t>implemented throughout the past year,</w:t>
      </w:r>
      <w:r w:rsidR="000A32BD">
        <w:rPr>
          <w:rFonts w:cstheme="minorHAnsi"/>
        </w:rPr>
        <w:t xml:space="preserve"> </w:t>
      </w:r>
      <w:r w:rsidRPr="00C151D1">
        <w:rPr>
          <w:rFonts w:cstheme="minorHAnsi"/>
        </w:rPr>
        <w:t>with a focus on technology-enabled</w:t>
      </w:r>
      <w:r w:rsidR="000A32BD">
        <w:rPr>
          <w:rFonts w:cstheme="minorHAnsi"/>
        </w:rPr>
        <w:t xml:space="preserve"> </w:t>
      </w:r>
      <w:r w:rsidRPr="00C151D1">
        <w:rPr>
          <w:rFonts w:cstheme="minorHAnsi"/>
        </w:rPr>
        <w:t>learning and education delivery. It is</w:t>
      </w:r>
      <w:r w:rsidR="000A32BD">
        <w:rPr>
          <w:rFonts w:cstheme="minorHAnsi"/>
        </w:rPr>
        <w:t xml:space="preserve"> </w:t>
      </w:r>
      <w:r w:rsidRPr="00C151D1">
        <w:rPr>
          <w:rFonts w:cstheme="minorHAnsi"/>
        </w:rPr>
        <w:t>pro-active in its approach to ensure</w:t>
      </w:r>
      <w:r w:rsidR="000A32BD">
        <w:rPr>
          <w:rFonts w:cstheme="minorHAnsi"/>
        </w:rPr>
        <w:t xml:space="preserve"> </w:t>
      </w:r>
      <w:r w:rsidRPr="00C151D1">
        <w:rPr>
          <w:rFonts w:cstheme="minorHAnsi"/>
        </w:rPr>
        <w:t>an engaged, relevant, and positive</w:t>
      </w:r>
      <w:r w:rsidR="000A32BD">
        <w:rPr>
          <w:rFonts w:cstheme="minorHAnsi"/>
        </w:rPr>
        <w:t xml:space="preserve"> </w:t>
      </w:r>
      <w:r w:rsidRPr="00C151D1">
        <w:rPr>
          <w:rFonts w:cstheme="minorHAnsi"/>
        </w:rPr>
        <w:t>experience for students, and staff, and</w:t>
      </w:r>
      <w:r w:rsidR="000A32BD">
        <w:rPr>
          <w:rFonts w:cstheme="minorHAnsi"/>
        </w:rPr>
        <w:t xml:space="preserve"> </w:t>
      </w:r>
      <w:r w:rsidRPr="00C151D1">
        <w:rPr>
          <w:rFonts w:cstheme="minorHAnsi"/>
        </w:rPr>
        <w:t>one that will result in higher retention</w:t>
      </w:r>
      <w:r w:rsidR="000A32BD">
        <w:rPr>
          <w:rFonts w:cstheme="minorHAnsi"/>
        </w:rPr>
        <w:t xml:space="preserve"> </w:t>
      </w:r>
      <w:r w:rsidRPr="00C151D1">
        <w:rPr>
          <w:rFonts w:cstheme="minorHAnsi"/>
        </w:rPr>
        <w:t>rates, positive outcomes, and flexibility</w:t>
      </w:r>
      <w:r w:rsidR="000A32BD">
        <w:rPr>
          <w:rFonts w:cstheme="minorHAnsi"/>
        </w:rPr>
        <w:t xml:space="preserve"> </w:t>
      </w:r>
      <w:r w:rsidRPr="00C151D1">
        <w:rPr>
          <w:rFonts w:cstheme="minorHAnsi"/>
        </w:rPr>
        <w:t>in delivery. Together with improved</w:t>
      </w:r>
      <w:r w:rsidR="000A32BD">
        <w:rPr>
          <w:rFonts w:cstheme="minorHAnsi"/>
        </w:rPr>
        <w:t xml:space="preserve"> </w:t>
      </w:r>
      <w:r w:rsidRPr="00C151D1">
        <w:rPr>
          <w:rFonts w:cstheme="minorHAnsi"/>
        </w:rPr>
        <w:t>technology foundations, the education</w:t>
      </w:r>
      <w:r w:rsidR="000A32BD">
        <w:rPr>
          <w:rFonts w:cstheme="minorHAnsi"/>
        </w:rPr>
        <w:t xml:space="preserve"> </w:t>
      </w:r>
      <w:r w:rsidRPr="00C151D1">
        <w:rPr>
          <w:rFonts w:cstheme="minorHAnsi"/>
        </w:rPr>
        <w:t>plan has also introduced new study</w:t>
      </w:r>
      <w:r w:rsidR="000A32BD">
        <w:rPr>
          <w:rFonts w:cstheme="minorHAnsi"/>
        </w:rPr>
        <w:t xml:space="preserve"> </w:t>
      </w:r>
      <w:r w:rsidRPr="00C151D1">
        <w:rPr>
          <w:rFonts w:cstheme="minorHAnsi"/>
        </w:rPr>
        <w:t>environments, which encourage</w:t>
      </w:r>
      <w:r w:rsidR="000A32BD">
        <w:rPr>
          <w:rFonts w:cstheme="minorHAnsi"/>
        </w:rPr>
        <w:t xml:space="preserve"> </w:t>
      </w:r>
      <w:r w:rsidRPr="00C151D1">
        <w:rPr>
          <w:rFonts w:cstheme="minorHAnsi"/>
        </w:rPr>
        <w:t>collaboration and interaction.</w:t>
      </w:r>
    </w:p>
    <w:p w:rsidR="00C151D1" w:rsidRPr="00C151D1" w:rsidRDefault="00C151D1" w:rsidP="00C151D1">
      <w:pPr>
        <w:autoSpaceDE w:val="0"/>
        <w:autoSpaceDN w:val="0"/>
        <w:adjustRightInd w:val="0"/>
        <w:spacing w:after="0" w:line="240" w:lineRule="auto"/>
        <w:rPr>
          <w:rFonts w:cstheme="minorHAnsi"/>
        </w:rPr>
      </w:pPr>
    </w:p>
    <w:p w:rsidR="00C151D1" w:rsidRPr="00C151D1" w:rsidRDefault="00C151D1" w:rsidP="00C151D1">
      <w:pPr>
        <w:autoSpaceDE w:val="0"/>
        <w:autoSpaceDN w:val="0"/>
        <w:adjustRightInd w:val="0"/>
        <w:spacing w:after="0" w:line="240" w:lineRule="auto"/>
        <w:rPr>
          <w:rFonts w:cstheme="minorHAnsi"/>
        </w:rPr>
      </w:pPr>
      <w:r w:rsidRPr="00C151D1">
        <w:rPr>
          <w:rFonts w:cstheme="minorHAnsi"/>
        </w:rPr>
        <w:t>Our Chisholm Story also came to life</w:t>
      </w:r>
      <w:r w:rsidR="000A32BD">
        <w:rPr>
          <w:rFonts w:cstheme="minorHAnsi"/>
        </w:rPr>
        <w:t xml:space="preserve"> </w:t>
      </w:r>
      <w:r w:rsidRPr="00C151D1">
        <w:rPr>
          <w:rFonts w:cstheme="minorHAnsi"/>
        </w:rPr>
        <w:t>this past year as we delivered on a</w:t>
      </w:r>
      <w:r w:rsidR="000A32BD">
        <w:rPr>
          <w:rFonts w:cstheme="minorHAnsi"/>
        </w:rPr>
        <w:t xml:space="preserve"> </w:t>
      </w:r>
      <w:r w:rsidRPr="00C151D1">
        <w:rPr>
          <w:rFonts w:cstheme="minorHAnsi"/>
        </w:rPr>
        <w:t>narrative that explains our history and</w:t>
      </w:r>
      <w:r w:rsidR="000A32BD">
        <w:rPr>
          <w:rFonts w:cstheme="minorHAnsi"/>
        </w:rPr>
        <w:t xml:space="preserve"> </w:t>
      </w:r>
      <w:r w:rsidRPr="00C151D1">
        <w:rPr>
          <w:rFonts w:cstheme="minorHAnsi"/>
        </w:rPr>
        <w:t>foundations, connectedness with the</w:t>
      </w:r>
      <w:r w:rsidR="000A32BD">
        <w:rPr>
          <w:rFonts w:cstheme="minorHAnsi"/>
        </w:rPr>
        <w:t xml:space="preserve"> </w:t>
      </w:r>
      <w:r w:rsidRPr="00C151D1">
        <w:rPr>
          <w:rFonts w:cstheme="minorHAnsi"/>
        </w:rPr>
        <w:t>southeast region of Melbourne and</w:t>
      </w:r>
      <w:r w:rsidR="000A32BD">
        <w:rPr>
          <w:rFonts w:cstheme="minorHAnsi"/>
        </w:rPr>
        <w:t xml:space="preserve"> </w:t>
      </w:r>
      <w:r w:rsidRPr="00C151D1">
        <w:rPr>
          <w:rFonts w:cstheme="minorHAnsi"/>
        </w:rPr>
        <w:t>Victoria, and our purpose for our future.</w:t>
      </w:r>
    </w:p>
    <w:p w:rsidR="00C151D1" w:rsidRPr="00C151D1" w:rsidRDefault="00C151D1" w:rsidP="00C151D1">
      <w:pPr>
        <w:autoSpaceDE w:val="0"/>
        <w:autoSpaceDN w:val="0"/>
        <w:adjustRightInd w:val="0"/>
        <w:spacing w:after="0" w:line="240" w:lineRule="auto"/>
        <w:rPr>
          <w:rFonts w:cstheme="minorHAnsi"/>
        </w:rPr>
      </w:pPr>
    </w:p>
    <w:p w:rsidR="00C151D1" w:rsidRPr="00C151D1" w:rsidRDefault="00C151D1" w:rsidP="00C151D1">
      <w:pPr>
        <w:autoSpaceDE w:val="0"/>
        <w:autoSpaceDN w:val="0"/>
        <w:adjustRightInd w:val="0"/>
        <w:spacing w:after="0" w:line="240" w:lineRule="auto"/>
        <w:rPr>
          <w:rFonts w:cstheme="minorHAnsi"/>
        </w:rPr>
      </w:pPr>
      <w:r w:rsidRPr="00C151D1">
        <w:rPr>
          <w:rFonts w:cstheme="minorHAnsi"/>
        </w:rPr>
        <w:t>Our Information Technology Services</w:t>
      </w:r>
      <w:r w:rsidR="000A32BD">
        <w:rPr>
          <w:rFonts w:cstheme="minorHAnsi"/>
        </w:rPr>
        <w:t xml:space="preserve"> </w:t>
      </w:r>
      <w:r w:rsidRPr="00C151D1">
        <w:rPr>
          <w:rFonts w:cstheme="minorHAnsi"/>
        </w:rPr>
        <w:t>Plan has a focus on students and</w:t>
      </w:r>
      <w:r w:rsidR="000A32BD">
        <w:rPr>
          <w:rFonts w:cstheme="minorHAnsi"/>
        </w:rPr>
        <w:t xml:space="preserve"> </w:t>
      </w:r>
      <w:r w:rsidRPr="00C151D1">
        <w:rPr>
          <w:rFonts w:cstheme="minorHAnsi"/>
        </w:rPr>
        <w:t>staff and is our roadmap to increased</w:t>
      </w:r>
      <w:r w:rsidR="000A32BD">
        <w:rPr>
          <w:rFonts w:cstheme="minorHAnsi"/>
        </w:rPr>
        <w:t xml:space="preserve"> </w:t>
      </w:r>
      <w:r w:rsidRPr="00C151D1">
        <w:rPr>
          <w:rFonts w:cstheme="minorHAnsi"/>
        </w:rPr>
        <w:t>technological capability both in</w:t>
      </w:r>
      <w:r w:rsidR="000A32BD">
        <w:rPr>
          <w:rFonts w:cstheme="minorHAnsi"/>
        </w:rPr>
        <w:t xml:space="preserve"> </w:t>
      </w:r>
      <w:r w:rsidRPr="00C151D1">
        <w:rPr>
          <w:rFonts w:cstheme="minorHAnsi"/>
        </w:rPr>
        <w:t>the classroom and workplace. The</w:t>
      </w:r>
      <w:r w:rsidR="000A32BD">
        <w:rPr>
          <w:rFonts w:cstheme="minorHAnsi"/>
        </w:rPr>
        <w:t xml:space="preserve"> </w:t>
      </w:r>
      <w:r w:rsidRPr="00C151D1">
        <w:rPr>
          <w:rFonts w:cstheme="minorHAnsi"/>
        </w:rPr>
        <w:t>activities embedded within the plan</w:t>
      </w:r>
      <w:r w:rsidR="000A32BD">
        <w:rPr>
          <w:rFonts w:cstheme="minorHAnsi"/>
        </w:rPr>
        <w:t xml:space="preserve"> </w:t>
      </w:r>
      <w:r w:rsidRPr="00C151D1">
        <w:rPr>
          <w:rFonts w:cstheme="minorHAnsi"/>
        </w:rPr>
        <w:t>will lift our potential for collaboration</w:t>
      </w:r>
      <w:r w:rsidR="000A32BD">
        <w:rPr>
          <w:rFonts w:cstheme="minorHAnsi"/>
        </w:rPr>
        <w:t xml:space="preserve"> a</w:t>
      </w:r>
      <w:r w:rsidRPr="00C151D1">
        <w:rPr>
          <w:rFonts w:cstheme="minorHAnsi"/>
        </w:rPr>
        <w:t>cross campuses and with industry. We</w:t>
      </w:r>
      <w:r w:rsidR="000A32BD">
        <w:rPr>
          <w:rFonts w:cstheme="minorHAnsi"/>
        </w:rPr>
        <w:t xml:space="preserve"> </w:t>
      </w:r>
      <w:r w:rsidRPr="00C151D1">
        <w:rPr>
          <w:rFonts w:cstheme="minorHAnsi"/>
        </w:rPr>
        <w:t xml:space="preserve">have </w:t>
      </w:r>
      <w:r w:rsidRPr="00C151D1">
        <w:rPr>
          <w:rFonts w:cstheme="minorHAnsi"/>
        </w:rPr>
        <w:lastRenderedPageBreak/>
        <w:t>enhanced our course delivery with</w:t>
      </w:r>
      <w:r w:rsidR="000A32BD">
        <w:rPr>
          <w:rFonts w:cstheme="minorHAnsi"/>
        </w:rPr>
        <w:t xml:space="preserve"> </w:t>
      </w:r>
      <w:r w:rsidRPr="00C151D1">
        <w:rPr>
          <w:rFonts w:cstheme="minorHAnsi"/>
        </w:rPr>
        <w:t>digital technologies at our Frankston</w:t>
      </w:r>
      <w:r w:rsidR="000A32BD">
        <w:rPr>
          <w:rFonts w:cstheme="minorHAnsi"/>
        </w:rPr>
        <w:t xml:space="preserve"> </w:t>
      </w:r>
      <w:r w:rsidRPr="00C151D1">
        <w:rPr>
          <w:rFonts w:cstheme="minorHAnsi"/>
        </w:rPr>
        <w:t>and Berwick campuses and we are well</w:t>
      </w:r>
      <w:r w:rsidR="000A32BD">
        <w:rPr>
          <w:rFonts w:cstheme="minorHAnsi"/>
        </w:rPr>
        <w:t xml:space="preserve"> </w:t>
      </w:r>
      <w:r w:rsidRPr="00C151D1">
        <w:rPr>
          <w:rFonts w:cstheme="minorHAnsi"/>
        </w:rPr>
        <w:t>positioned to extend the roll-out.</w:t>
      </w:r>
    </w:p>
    <w:p w:rsidR="00C151D1" w:rsidRPr="00C151D1" w:rsidRDefault="00C151D1" w:rsidP="00C151D1">
      <w:pPr>
        <w:autoSpaceDE w:val="0"/>
        <w:autoSpaceDN w:val="0"/>
        <w:adjustRightInd w:val="0"/>
        <w:spacing w:after="0" w:line="240" w:lineRule="auto"/>
        <w:rPr>
          <w:rFonts w:cstheme="minorHAnsi"/>
        </w:rPr>
      </w:pPr>
    </w:p>
    <w:p w:rsidR="00C151D1" w:rsidRPr="00C151D1" w:rsidRDefault="00C151D1" w:rsidP="00C151D1">
      <w:pPr>
        <w:autoSpaceDE w:val="0"/>
        <w:autoSpaceDN w:val="0"/>
        <w:adjustRightInd w:val="0"/>
        <w:spacing w:after="0" w:line="240" w:lineRule="auto"/>
        <w:rPr>
          <w:rFonts w:cstheme="minorHAnsi"/>
        </w:rPr>
      </w:pPr>
      <w:r w:rsidRPr="00C151D1">
        <w:rPr>
          <w:rFonts w:cstheme="minorHAnsi"/>
        </w:rPr>
        <w:t>In 2020 we will be busy planning the</w:t>
      </w:r>
      <w:r w:rsidR="000A32BD">
        <w:rPr>
          <w:rFonts w:cstheme="minorHAnsi"/>
        </w:rPr>
        <w:t xml:space="preserve"> </w:t>
      </w:r>
      <w:r w:rsidRPr="00C151D1">
        <w:rPr>
          <w:rFonts w:cstheme="minorHAnsi"/>
        </w:rPr>
        <w:t>next chapter in Chisholm’s history,</w:t>
      </w:r>
      <w:r w:rsidR="000A32BD">
        <w:rPr>
          <w:rFonts w:cstheme="minorHAnsi"/>
        </w:rPr>
        <w:t xml:space="preserve"> </w:t>
      </w:r>
      <w:r w:rsidRPr="00C151D1">
        <w:rPr>
          <w:rFonts w:cstheme="minorHAnsi"/>
        </w:rPr>
        <w:t>when developing the new Strategic</w:t>
      </w:r>
      <w:r w:rsidR="000A32BD">
        <w:rPr>
          <w:rFonts w:cstheme="minorHAnsi"/>
        </w:rPr>
        <w:t xml:space="preserve"> </w:t>
      </w:r>
      <w:r w:rsidRPr="00C151D1">
        <w:rPr>
          <w:rFonts w:cstheme="minorHAnsi"/>
        </w:rPr>
        <w:t>Plan. This brings great opportunity</w:t>
      </w:r>
      <w:r w:rsidR="000A32BD">
        <w:rPr>
          <w:rFonts w:cstheme="minorHAnsi"/>
        </w:rPr>
        <w:t xml:space="preserve"> </w:t>
      </w:r>
      <w:r w:rsidRPr="00C151D1">
        <w:rPr>
          <w:rFonts w:cstheme="minorHAnsi"/>
        </w:rPr>
        <w:t>to look towards new horizons, and</w:t>
      </w:r>
      <w:r w:rsidR="000A32BD">
        <w:rPr>
          <w:rFonts w:cstheme="minorHAnsi"/>
        </w:rPr>
        <w:t xml:space="preserve"> </w:t>
      </w:r>
      <w:r w:rsidRPr="00C151D1">
        <w:rPr>
          <w:rFonts w:cstheme="minorHAnsi"/>
        </w:rPr>
        <w:t>strengthen our values of opportunity,</w:t>
      </w:r>
      <w:r w:rsidR="000A32BD">
        <w:rPr>
          <w:rFonts w:cstheme="minorHAnsi"/>
        </w:rPr>
        <w:t xml:space="preserve"> </w:t>
      </w:r>
      <w:r w:rsidRPr="00C151D1">
        <w:rPr>
          <w:rFonts w:cstheme="minorHAnsi"/>
        </w:rPr>
        <w:t>integrity, collaboration and</w:t>
      </w:r>
      <w:r w:rsidR="000A32BD">
        <w:rPr>
          <w:rFonts w:cstheme="minorHAnsi"/>
        </w:rPr>
        <w:t xml:space="preserve"> </w:t>
      </w:r>
      <w:r w:rsidRPr="00C151D1">
        <w:rPr>
          <w:rFonts w:cstheme="minorHAnsi"/>
        </w:rPr>
        <w:t>achievement, with a focus on reliable</w:t>
      </w:r>
      <w:r w:rsidR="000A32BD">
        <w:rPr>
          <w:rFonts w:cstheme="minorHAnsi"/>
        </w:rPr>
        <w:t xml:space="preserve"> </w:t>
      </w:r>
      <w:r w:rsidRPr="00C151D1">
        <w:rPr>
          <w:rFonts w:cstheme="minorHAnsi"/>
        </w:rPr>
        <w:t>quality programs. We will also focus on</w:t>
      </w:r>
      <w:r w:rsidR="000A32BD">
        <w:rPr>
          <w:rFonts w:cstheme="minorHAnsi"/>
        </w:rPr>
        <w:t xml:space="preserve"> </w:t>
      </w:r>
      <w:r w:rsidRPr="00C151D1">
        <w:rPr>
          <w:rFonts w:cstheme="minorHAnsi"/>
        </w:rPr>
        <w:t>an excellent Student Experience that is</w:t>
      </w:r>
      <w:r w:rsidR="000A32BD">
        <w:rPr>
          <w:rFonts w:cstheme="minorHAnsi"/>
        </w:rPr>
        <w:t xml:space="preserve"> </w:t>
      </w:r>
      <w:r w:rsidRPr="00C151D1">
        <w:rPr>
          <w:rFonts w:cstheme="minorHAnsi"/>
        </w:rPr>
        <w:t>relevant and responsive to the needs of</w:t>
      </w:r>
      <w:r w:rsidR="000A32BD">
        <w:rPr>
          <w:rFonts w:cstheme="minorHAnsi"/>
        </w:rPr>
        <w:t xml:space="preserve"> </w:t>
      </w:r>
      <w:r w:rsidRPr="00C151D1">
        <w:rPr>
          <w:rFonts w:cstheme="minorHAnsi"/>
        </w:rPr>
        <w:t>our community and industry.</w:t>
      </w:r>
    </w:p>
    <w:p w:rsidR="00C151D1" w:rsidRPr="00C151D1" w:rsidRDefault="00C151D1" w:rsidP="00C151D1">
      <w:pPr>
        <w:autoSpaceDE w:val="0"/>
        <w:autoSpaceDN w:val="0"/>
        <w:adjustRightInd w:val="0"/>
        <w:spacing w:after="0" w:line="240" w:lineRule="auto"/>
        <w:rPr>
          <w:rFonts w:cstheme="minorHAnsi"/>
        </w:rPr>
      </w:pPr>
    </w:p>
    <w:p w:rsidR="00C151D1" w:rsidRDefault="00C151D1" w:rsidP="000A32BD">
      <w:pPr>
        <w:autoSpaceDE w:val="0"/>
        <w:autoSpaceDN w:val="0"/>
        <w:adjustRightInd w:val="0"/>
        <w:spacing w:after="0" w:line="240" w:lineRule="auto"/>
      </w:pPr>
      <w:r w:rsidRPr="00C151D1">
        <w:rPr>
          <w:rFonts w:cstheme="minorHAnsi"/>
        </w:rPr>
        <w:t>I would like to thank Stephen Marks</w:t>
      </w:r>
      <w:r w:rsidR="000A32BD">
        <w:rPr>
          <w:rFonts w:cstheme="minorHAnsi"/>
        </w:rPr>
        <w:t xml:space="preserve"> </w:t>
      </w:r>
      <w:r w:rsidRPr="00C151D1">
        <w:rPr>
          <w:rFonts w:cstheme="minorHAnsi"/>
        </w:rPr>
        <w:t>and the Board members for their</w:t>
      </w:r>
      <w:r w:rsidR="000A32BD">
        <w:rPr>
          <w:rFonts w:cstheme="minorHAnsi"/>
        </w:rPr>
        <w:t xml:space="preserve"> </w:t>
      </w:r>
      <w:r w:rsidRPr="00C151D1">
        <w:rPr>
          <w:rFonts w:cstheme="minorHAnsi"/>
        </w:rPr>
        <w:t>strong support and guidance</w:t>
      </w:r>
      <w:r w:rsidR="000A32BD">
        <w:rPr>
          <w:rFonts w:cstheme="minorHAnsi"/>
        </w:rPr>
        <w:t xml:space="preserve"> </w:t>
      </w:r>
      <w:r w:rsidRPr="00C151D1">
        <w:rPr>
          <w:rFonts w:cstheme="minorHAnsi"/>
        </w:rPr>
        <w:t>throughout the year. It is with great</w:t>
      </w:r>
      <w:r w:rsidR="000A32BD">
        <w:rPr>
          <w:rFonts w:cstheme="minorHAnsi"/>
        </w:rPr>
        <w:t xml:space="preserve"> </w:t>
      </w:r>
      <w:r w:rsidRPr="00C151D1">
        <w:rPr>
          <w:rFonts w:cstheme="minorHAnsi"/>
        </w:rPr>
        <w:t>pride that I acknowledge the passion,</w:t>
      </w:r>
      <w:r w:rsidR="000A32BD">
        <w:rPr>
          <w:rFonts w:cstheme="minorHAnsi"/>
        </w:rPr>
        <w:t xml:space="preserve"> </w:t>
      </w:r>
      <w:r w:rsidRPr="00C151D1">
        <w:rPr>
          <w:rFonts w:cstheme="minorHAnsi"/>
        </w:rPr>
        <w:t>commitment and tireless effort</w:t>
      </w:r>
      <w:r w:rsidR="000A32BD">
        <w:rPr>
          <w:rFonts w:cstheme="minorHAnsi"/>
        </w:rPr>
        <w:t xml:space="preserve"> </w:t>
      </w:r>
      <w:r w:rsidRPr="00C151D1">
        <w:rPr>
          <w:rFonts w:cstheme="minorHAnsi"/>
        </w:rPr>
        <w:t>throughout 2019 of the Executive team</w:t>
      </w:r>
      <w:r w:rsidR="000A32BD">
        <w:rPr>
          <w:rFonts w:cstheme="minorHAnsi"/>
        </w:rPr>
        <w:t xml:space="preserve"> </w:t>
      </w:r>
      <w:r w:rsidRPr="00C151D1">
        <w:rPr>
          <w:rFonts w:cstheme="minorHAnsi"/>
        </w:rPr>
        <w:t>and wider Chisholm community, to</w:t>
      </w:r>
      <w:r w:rsidR="000A32BD">
        <w:rPr>
          <w:rFonts w:cstheme="minorHAnsi"/>
        </w:rPr>
        <w:t xml:space="preserve"> </w:t>
      </w:r>
      <w:r w:rsidRPr="00C151D1">
        <w:rPr>
          <w:rFonts w:cstheme="minorHAnsi"/>
        </w:rPr>
        <w:t>ensure Chisholm Institute remains a</w:t>
      </w:r>
      <w:r w:rsidR="000A32BD">
        <w:rPr>
          <w:rFonts w:cstheme="minorHAnsi"/>
        </w:rPr>
        <w:t xml:space="preserve"> </w:t>
      </w:r>
      <w:r w:rsidRPr="00C151D1">
        <w:rPr>
          <w:rFonts w:cstheme="minorHAnsi"/>
        </w:rPr>
        <w:t>great, high performing and progressive</w:t>
      </w:r>
      <w:r w:rsidR="000A32BD">
        <w:rPr>
          <w:rFonts w:cstheme="minorHAnsi"/>
        </w:rPr>
        <w:t xml:space="preserve"> </w:t>
      </w:r>
      <w:r w:rsidRPr="00C151D1">
        <w:rPr>
          <w:rFonts w:cstheme="minorHAnsi"/>
        </w:rPr>
        <w:t>education and training organisation.</w:t>
      </w:r>
    </w:p>
    <w:p w:rsidR="000A32BD" w:rsidRDefault="000A32BD" w:rsidP="005942B8">
      <w:pPr>
        <w:pStyle w:val="NoSpacing"/>
      </w:pPr>
    </w:p>
    <w:p w:rsidR="000A32BD" w:rsidRDefault="000A32BD" w:rsidP="005942B8">
      <w:pPr>
        <w:pStyle w:val="NoSpacing"/>
      </w:pPr>
      <w:r>
        <w:t>Stephen Varty</w:t>
      </w:r>
    </w:p>
    <w:p w:rsidR="000A32BD" w:rsidRDefault="000A32BD" w:rsidP="005942B8">
      <w:pPr>
        <w:pStyle w:val="NoSpacing"/>
      </w:pPr>
      <w:r>
        <w:t xml:space="preserve">Date: </w:t>
      </w:r>
      <w:r w:rsidR="004A75EA">
        <w:t xml:space="preserve">26 </w:t>
      </w:r>
      <w:r w:rsidRPr="004A75EA">
        <w:t>February 2020</w:t>
      </w:r>
    </w:p>
    <w:p w:rsidR="000A32BD" w:rsidRDefault="000A32BD" w:rsidP="005942B8">
      <w:pPr>
        <w:pStyle w:val="NoSpacing"/>
      </w:pPr>
    </w:p>
    <w:p w:rsidR="005942B8" w:rsidRDefault="000437BB" w:rsidP="005942B8">
      <w:pPr>
        <w:pStyle w:val="NoSpacing"/>
      </w:pPr>
      <w:r>
        <w:t>&lt;page 4</w:t>
      </w:r>
      <w:r w:rsidR="005942B8">
        <w:t>&gt;</w:t>
      </w:r>
    </w:p>
    <w:p w:rsidR="005942B8" w:rsidRDefault="005942B8" w:rsidP="005942B8">
      <w:pPr>
        <w:pStyle w:val="NoSpacing"/>
      </w:pPr>
    </w:p>
    <w:p w:rsidR="005942B8" w:rsidRDefault="005942B8" w:rsidP="001368BC">
      <w:pPr>
        <w:pStyle w:val="Heading2"/>
      </w:pPr>
      <w:r>
        <w:t xml:space="preserve">Awards and Achievements </w:t>
      </w:r>
    </w:p>
    <w:p w:rsidR="0038251B" w:rsidRDefault="0038251B" w:rsidP="005942B8">
      <w:pPr>
        <w:pStyle w:val="NoSpacing"/>
      </w:pPr>
    </w:p>
    <w:p w:rsidR="001368BC" w:rsidRDefault="001368BC" w:rsidP="001368BC">
      <w:pPr>
        <w:pStyle w:val="Heading3"/>
      </w:pPr>
      <w:r>
        <w:t>Education Awards recognise excellence</w:t>
      </w:r>
    </w:p>
    <w:p w:rsidR="001368BC" w:rsidRDefault="001368BC" w:rsidP="001368BC">
      <w:pPr>
        <w:autoSpaceDE w:val="0"/>
        <w:autoSpaceDN w:val="0"/>
        <w:adjustRightInd w:val="0"/>
        <w:spacing w:after="0" w:line="240" w:lineRule="auto"/>
        <w:rPr>
          <w:rFonts w:cstheme="minorHAnsi"/>
        </w:rPr>
      </w:pPr>
    </w:p>
    <w:p w:rsidR="001368BC" w:rsidRPr="001368BC" w:rsidRDefault="001368BC" w:rsidP="001368BC">
      <w:pPr>
        <w:autoSpaceDE w:val="0"/>
        <w:autoSpaceDN w:val="0"/>
        <w:adjustRightInd w:val="0"/>
        <w:spacing w:after="0" w:line="240" w:lineRule="auto"/>
        <w:rPr>
          <w:rFonts w:cstheme="minorHAnsi"/>
        </w:rPr>
      </w:pPr>
      <w:r w:rsidRPr="001368BC">
        <w:rPr>
          <w:rFonts w:cstheme="minorHAnsi"/>
        </w:rPr>
        <w:t>More than 220 guests including</w:t>
      </w:r>
      <w:r>
        <w:rPr>
          <w:rFonts w:cstheme="minorHAnsi"/>
        </w:rPr>
        <w:t xml:space="preserve"> </w:t>
      </w:r>
      <w:r w:rsidRPr="001368BC">
        <w:rPr>
          <w:rFonts w:cstheme="minorHAnsi"/>
        </w:rPr>
        <w:t>government representatives, local</w:t>
      </w:r>
      <w:r>
        <w:rPr>
          <w:rFonts w:cstheme="minorHAnsi"/>
        </w:rPr>
        <w:t xml:space="preserve"> </w:t>
      </w:r>
      <w:r w:rsidRPr="001368BC">
        <w:rPr>
          <w:rFonts w:cstheme="minorHAnsi"/>
        </w:rPr>
        <w:t>council, industry, schools, students,</w:t>
      </w:r>
      <w:r>
        <w:rPr>
          <w:rFonts w:cstheme="minorHAnsi"/>
        </w:rPr>
        <w:t xml:space="preserve"> </w:t>
      </w:r>
      <w:r w:rsidRPr="001368BC">
        <w:rPr>
          <w:rFonts w:cstheme="minorHAnsi"/>
        </w:rPr>
        <w:t>families, and staff attended the</w:t>
      </w:r>
      <w:r>
        <w:rPr>
          <w:rFonts w:cstheme="minorHAnsi"/>
        </w:rPr>
        <w:t xml:space="preserve"> </w:t>
      </w:r>
      <w:r w:rsidRPr="001368BC">
        <w:rPr>
          <w:rFonts w:cstheme="minorHAnsi"/>
        </w:rPr>
        <w:t>annual Chisholm Education Awards</w:t>
      </w:r>
      <w:r>
        <w:rPr>
          <w:rFonts w:cstheme="minorHAnsi"/>
        </w:rPr>
        <w:t xml:space="preserve"> </w:t>
      </w:r>
      <w:r w:rsidRPr="001368BC">
        <w:rPr>
          <w:rFonts w:cstheme="minorHAnsi"/>
        </w:rPr>
        <w:t>Gala Dinner. 31 students were</w:t>
      </w:r>
      <w:r>
        <w:rPr>
          <w:rFonts w:cstheme="minorHAnsi"/>
        </w:rPr>
        <w:t xml:space="preserve"> </w:t>
      </w:r>
      <w:r w:rsidRPr="001368BC">
        <w:rPr>
          <w:rFonts w:cstheme="minorHAnsi"/>
        </w:rPr>
        <w:t>recognised as finalists and winners</w:t>
      </w:r>
      <w:r>
        <w:rPr>
          <w:rFonts w:cstheme="minorHAnsi"/>
        </w:rPr>
        <w:t xml:space="preserve"> </w:t>
      </w:r>
      <w:r w:rsidRPr="001368BC">
        <w:rPr>
          <w:rFonts w:cstheme="minorHAnsi"/>
        </w:rPr>
        <w:t>announced in six categories. The</w:t>
      </w:r>
      <w:r>
        <w:rPr>
          <w:rFonts w:cstheme="minorHAnsi"/>
        </w:rPr>
        <w:t xml:space="preserve"> </w:t>
      </w:r>
      <w:r w:rsidRPr="001368BC">
        <w:rPr>
          <w:rFonts w:cstheme="minorHAnsi"/>
        </w:rPr>
        <w:t>winner of the Chisholm Teacher/</w:t>
      </w:r>
      <w:r>
        <w:rPr>
          <w:rFonts w:cstheme="minorHAnsi"/>
        </w:rPr>
        <w:t xml:space="preserve"> </w:t>
      </w:r>
      <w:r w:rsidRPr="001368BC">
        <w:rPr>
          <w:rFonts w:cstheme="minorHAnsi"/>
        </w:rPr>
        <w:t>Trainer of the Year was Karen Clarke</w:t>
      </w:r>
      <w:r>
        <w:rPr>
          <w:rFonts w:cstheme="minorHAnsi"/>
        </w:rPr>
        <w:t xml:space="preserve"> </w:t>
      </w:r>
      <w:r w:rsidRPr="001368BC">
        <w:rPr>
          <w:rFonts w:cstheme="minorHAnsi"/>
        </w:rPr>
        <w:t>(Health, Regional Education).</w:t>
      </w:r>
    </w:p>
    <w:p w:rsidR="001368BC" w:rsidRPr="001368BC" w:rsidRDefault="001368BC" w:rsidP="001368BC">
      <w:pPr>
        <w:autoSpaceDE w:val="0"/>
        <w:autoSpaceDN w:val="0"/>
        <w:adjustRightInd w:val="0"/>
        <w:spacing w:after="0" w:line="240" w:lineRule="auto"/>
        <w:rPr>
          <w:rFonts w:cstheme="minorHAnsi"/>
        </w:rPr>
      </w:pPr>
      <w:r w:rsidRPr="001368BC">
        <w:rPr>
          <w:rFonts w:cstheme="minorHAnsi"/>
        </w:rPr>
        <w:t>Industry was also recognised on</w:t>
      </w:r>
      <w:r>
        <w:rPr>
          <w:rFonts w:cstheme="minorHAnsi"/>
        </w:rPr>
        <w:t xml:space="preserve"> </w:t>
      </w:r>
      <w:r w:rsidRPr="001368BC">
        <w:rPr>
          <w:rFonts w:cstheme="minorHAnsi"/>
        </w:rPr>
        <w:t>the night with four partnerships</w:t>
      </w:r>
      <w:r>
        <w:rPr>
          <w:rFonts w:cstheme="minorHAnsi"/>
        </w:rPr>
        <w:t xml:space="preserve"> </w:t>
      </w:r>
      <w:r w:rsidRPr="001368BC">
        <w:rPr>
          <w:rFonts w:cstheme="minorHAnsi"/>
        </w:rPr>
        <w:t>awarded for excellence, support</w:t>
      </w:r>
      <w:r>
        <w:rPr>
          <w:rFonts w:cstheme="minorHAnsi"/>
        </w:rPr>
        <w:t xml:space="preserve"> </w:t>
      </w:r>
      <w:r w:rsidRPr="001368BC">
        <w:rPr>
          <w:rFonts w:cstheme="minorHAnsi"/>
        </w:rPr>
        <w:t>and collaboration: Apprenticeship</w:t>
      </w:r>
      <w:r>
        <w:rPr>
          <w:rFonts w:cstheme="minorHAnsi"/>
        </w:rPr>
        <w:t xml:space="preserve"> </w:t>
      </w:r>
      <w:r w:rsidRPr="001368BC">
        <w:rPr>
          <w:rFonts w:cstheme="minorHAnsi"/>
        </w:rPr>
        <w:t>Traineeship Employment Partners</w:t>
      </w:r>
      <w:r>
        <w:rPr>
          <w:rFonts w:cstheme="minorHAnsi"/>
        </w:rPr>
        <w:t xml:space="preserve"> </w:t>
      </w:r>
      <w:r w:rsidRPr="001368BC">
        <w:rPr>
          <w:rFonts w:cstheme="minorHAnsi"/>
        </w:rPr>
        <w:t>(ATEP), BlueScope Steel, Australian</w:t>
      </w:r>
      <w:r>
        <w:rPr>
          <w:rFonts w:cstheme="minorHAnsi"/>
        </w:rPr>
        <w:t xml:space="preserve"> </w:t>
      </w:r>
      <w:r w:rsidRPr="001368BC">
        <w:rPr>
          <w:rFonts w:cstheme="minorHAnsi"/>
        </w:rPr>
        <w:t>Paper, and Serco.</w:t>
      </w:r>
    </w:p>
    <w:p w:rsidR="001368BC" w:rsidRDefault="001368BC" w:rsidP="005942B8">
      <w:pPr>
        <w:pStyle w:val="NoSpacing"/>
      </w:pPr>
    </w:p>
    <w:p w:rsidR="001368BC" w:rsidRDefault="001368BC" w:rsidP="00B15233">
      <w:pPr>
        <w:pStyle w:val="Heading3"/>
      </w:pPr>
      <w:r>
        <w:t xml:space="preserve">Chasing our National Calling </w:t>
      </w:r>
    </w:p>
    <w:p w:rsidR="001368BC" w:rsidRDefault="001368BC" w:rsidP="001368BC">
      <w:pPr>
        <w:autoSpaceDE w:val="0"/>
        <w:autoSpaceDN w:val="0"/>
        <w:adjustRightInd w:val="0"/>
        <w:spacing w:after="0" w:line="240" w:lineRule="auto"/>
        <w:rPr>
          <w:rFonts w:ascii="ProximaNovaA-Light" w:hAnsi="ProximaNovaA-Light" w:cs="ProximaNovaA-Light"/>
          <w:sz w:val="18"/>
          <w:szCs w:val="18"/>
        </w:rPr>
      </w:pPr>
    </w:p>
    <w:p w:rsidR="001368BC" w:rsidRPr="00B15233" w:rsidRDefault="001368BC" w:rsidP="00B15233">
      <w:pPr>
        <w:autoSpaceDE w:val="0"/>
        <w:autoSpaceDN w:val="0"/>
        <w:adjustRightInd w:val="0"/>
        <w:spacing w:after="0" w:line="240" w:lineRule="auto"/>
        <w:rPr>
          <w:rFonts w:cstheme="minorHAnsi"/>
        </w:rPr>
      </w:pPr>
      <w:r w:rsidRPr="00B15233">
        <w:rPr>
          <w:rFonts w:cstheme="minorHAnsi"/>
        </w:rPr>
        <w:t>Chisholm’s Marketing Team reached</w:t>
      </w:r>
      <w:r w:rsidR="00B15233">
        <w:rPr>
          <w:rFonts w:cstheme="minorHAnsi"/>
        </w:rPr>
        <w:t xml:space="preserve"> </w:t>
      </w:r>
      <w:r w:rsidRPr="00B15233">
        <w:rPr>
          <w:rFonts w:cstheme="minorHAnsi"/>
        </w:rPr>
        <w:t>the National Finals of the Australian</w:t>
      </w:r>
      <w:r w:rsidR="00B15233">
        <w:rPr>
          <w:rFonts w:cstheme="minorHAnsi"/>
        </w:rPr>
        <w:t xml:space="preserve"> </w:t>
      </w:r>
      <w:r w:rsidRPr="00B15233">
        <w:rPr>
          <w:rFonts w:cstheme="minorHAnsi"/>
        </w:rPr>
        <w:t>Marketing Institute Awards for Marketing</w:t>
      </w:r>
      <w:r w:rsidR="00B15233">
        <w:rPr>
          <w:rFonts w:cstheme="minorHAnsi"/>
        </w:rPr>
        <w:t xml:space="preserve"> </w:t>
      </w:r>
      <w:r w:rsidRPr="00B15233">
        <w:rPr>
          <w:rFonts w:cstheme="minorHAnsi"/>
        </w:rPr>
        <w:t>Excellence. Chisholm’s Chase Your</w:t>
      </w:r>
      <w:r w:rsidR="00B15233">
        <w:rPr>
          <w:rFonts w:cstheme="minorHAnsi"/>
        </w:rPr>
        <w:t xml:space="preserve"> </w:t>
      </w:r>
      <w:r w:rsidRPr="00B15233">
        <w:rPr>
          <w:rFonts w:cstheme="minorHAnsi"/>
        </w:rPr>
        <w:t>Calling campaign was shortlisted in the</w:t>
      </w:r>
      <w:r w:rsidR="00B15233">
        <w:rPr>
          <w:rFonts w:cstheme="minorHAnsi"/>
        </w:rPr>
        <w:t xml:space="preserve"> </w:t>
      </w:r>
      <w:r w:rsidRPr="00B15233">
        <w:rPr>
          <w:rFonts w:cstheme="minorHAnsi"/>
        </w:rPr>
        <w:t>Customer Acquisition Marketing category.</w:t>
      </w:r>
    </w:p>
    <w:p w:rsidR="001368BC" w:rsidRDefault="001368BC" w:rsidP="005942B8">
      <w:pPr>
        <w:pStyle w:val="NoSpacing"/>
      </w:pPr>
    </w:p>
    <w:p w:rsidR="001368BC" w:rsidRDefault="001368BC" w:rsidP="00B15233">
      <w:pPr>
        <w:pStyle w:val="Heading3"/>
      </w:pPr>
      <w:r>
        <w:t>Dandenong Chamber of Commerce Awards</w:t>
      </w:r>
    </w:p>
    <w:p w:rsidR="001368BC" w:rsidRDefault="001368BC" w:rsidP="005942B8">
      <w:pPr>
        <w:pStyle w:val="NoSpacing"/>
      </w:pPr>
    </w:p>
    <w:p w:rsidR="001368BC" w:rsidRPr="00B15233" w:rsidRDefault="001368BC" w:rsidP="00B15233">
      <w:pPr>
        <w:autoSpaceDE w:val="0"/>
        <w:autoSpaceDN w:val="0"/>
        <w:adjustRightInd w:val="0"/>
        <w:spacing w:after="0" w:line="240" w:lineRule="auto"/>
        <w:rPr>
          <w:rFonts w:cstheme="minorHAnsi"/>
        </w:rPr>
      </w:pPr>
      <w:r w:rsidRPr="00B15233">
        <w:rPr>
          <w:rFonts w:cstheme="minorHAnsi"/>
        </w:rPr>
        <w:t>For Zoe Atterbury, the completion of</w:t>
      </w:r>
      <w:r w:rsidR="00B15233">
        <w:rPr>
          <w:rFonts w:cstheme="minorHAnsi"/>
        </w:rPr>
        <w:t xml:space="preserve"> </w:t>
      </w:r>
      <w:r w:rsidRPr="00B15233">
        <w:rPr>
          <w:rFonts w:cstheme="minorHAnsi"/>
          <w:bCs/>
        </w:rPr>
        <w:t>Certificate IV in Disability Services</w:t>
      </w:r>
      <w:r w:rsidR="00B15233">
        <w:rPr>
          <w:rFonts w:cstheme="minorHAnsi"/>
          <w:bCs/>
        </w:rPr>
        <w:t xml:space="preserve"> </w:t>
      </w:r>
      <w:r w:rsidRPr="00B15233">
        <w:rPr>
          <w:rFonts w:cstheme="minorHAnsi"/>
        </w:rPr>
        <w:t>(CHC43115) was the next milestone</w:t>
      </w:r>
      <w:r w:rsidR="00B15233">
        <w:rPr>
          <w:rFonts w:cstheme="minorHAnsi"/>
        </w:rPr>
        <w:t xml:space="preserve"> </w:t>
      </w:r>
      <w:r w:rsidRPr="00B15233">
        <w:rPr>
          <w:rFonts w:cstheme="minorHAnsi"/>
        </w:rPr>
        <w:t>in a personal journey to help others.</w:t>
      </w:r>
      <w:r w:rsidR="00B15233">
        <w:rPr>
          <w:rFonts w:cstheme="minorHAnsi"/>
        </w:rPr>
        <w:t xml:space="preserve"> </w:t>
      </w:r>
      <w:r w:rsidRPr="00B15233">
        <w:rPr>
          <w:rFonts w:cstheme="minorHAnsi"/>
        </w:rPr>
        <w:t>Zoe was recognised with the 2019</w:t>
      </w:r>
      <w:r w:rsidR="00B15233">
        <w:rPr>
          <w:rFonts w:cstheme="minorHAnsi"/>
        </w:rPr>
        <w:t xml:space="preserve"> </w:t>
      </w:r>
      <w:r w:rsidRPr="00B15233">
        <w:rPr>
          <w:rFonts w:cstheme="minorHAnsi"/>
        </w:rPr>
        <w:t>Dandenong Chamber of Commerce</w:t>
      </w:r>
      <w:r w:rsidR="00B15233">
        <w:rPr>
          <w:rFonts w:cstheme="minorHAnsi"/>
        </w:rPr>
        <w:t xml:space="preserve"> </w:t>
      </w:r>
      <w:r w:rsidRPr="00B15233">
        <w:rPr>
          <w:rFonts w:cstheme="minorHAnsi"/>
        </w:rPr>
        <w:t>Award for her dedication and</w:t>
      </w:r>
      <w:r w:rsidR="00B15233">
        <w:rPr>
          <w:rFonts w:cstheme="minorHAnsi"/>
        </w:rPr>
        <w:t xml:space="preserve"> </w:t>
      </w:r>
      <w:r w:rsidRPr="00B15233">
        <w:rPr>
          <w:rFonts w:cstheme="minorHAnsi"/>
        </w:rPr>
        <w:t>commitment to her studies and the</w:t>
      </w:r>
      <w:r w:rsidR="00B15233">
        <w:rPr>
          <w:rFonts w:cstheme="minorHAnsi"/>
        </w:rPr>
        <w:t xml:space="preserve"> </w:t>
      </w:r>
      <w:r w:rsidRPr="00B15233">
        <w:rPr>
          <w:rFonts w:cstheme="minorHAnsi"/>
        </w:rPr>
        <w:t>disability sector, and professionalism</w:t>
      </w:r>
      <w:r w:rsidR="00B15233">
        <w:rPr>
          <w:rFonts w:cstheme="minorHAnsi"/>
        </w:rPr>
        <w:t xml:space="preserve"> </w:t>
      </w:r>
      <w:r w:rsidRPr="00B15233">
        <w:rPr>
          <w:rFonts w:cstheme="minorHAnsi"/>
        </w:rPr>
        <w:t>in her work placement.</w:t>
      </w:r>
    </w:p>
    <w:p w:rsidR="001368BC" w:rsidRDefault="001368BC" w:rsidP="005942B8">
      <w:pPr>
        <w:pStyle w:val="NoSpacing"/>
      </w:pPr>
    </w:p>
    <w:p w:rsidR="001368BC" w:rsidRDefault="001368BC" w:rsidP="00B15233">
      <w:pPr>
        <w:pStyle w:val="Heading3"/>
      </w:pPr>
      <w:r>
        <w:t>Peninsula VCAL Awards</w:t>
      </w:r>
    </w:p>
    <w:p w:rsidR="001368BC" w:rsidRDefault="001368BC" w:rsidP="005942B8">
      <w:pPr>
        <w:pStyle w:val="NoSpacing"/>
      </w:pPr>
    </w:p>
    <w:p w:rsidR="001368BC" w:rsidRPr="00B15233" w:rsidRDefault="00B15233" w:rsidP="00B15233">
      <w:pPr>
        <w:autoSpaceDE w:val="0"/>
        <w:autoSpaceDN w:val="0"/>
        <w:adjustRightInd w:val="0"/>
        <w:spacing w:after="0" w:line="240" w:lineRule="auto"/>
        <w:rPr>
          <w:rFonts w:cstheme="minorHAnsi"/>
        </w:rPr>
      </w:pPr>
      <w:r w:rsidRPr="00B15233">
        <w:rPr>
          <w:rFonts w:cstheme="minorHAnsi"/>
        </w:rPr>
        <w:t>Chisholm sponsored the FMPLLEN</w:t>
      </w:r>
      <w:r>
        <w:rPr>
          <w:rFonts w:cstheme="minorHAnsi"/>
        </w:rPr>
        <w:t xml:space="preserve"> </w:t>
      </w:r>
      <w:r w:rsidRPr="00B15233">
        <w:rPr>
          <w:rFonts w:cstheme="minorHAnsi"/>
        </w:rPr>
        <w:t>VCAL Awards, which hosted 240</w:t>
      </w:r>
      <w:r>
        <w:rPr>
          <w:rFonts w:cstheme="minorHAnsi"/>
        </w:rPr>
        <w:t xml:space="preserve"> </w:t>
      </w:r>
      <w:r w:rsidRPr="00B15233">
        <w:rPr>
          <w:rFonts w:cstheme="minorHAnsi"/>
        </w:rPr>
        <w:t>attendees including 52 students,</w:t>
      </w:r>
      <w:r>
        <w:rPr>
          <w:rFonts w:cstheme="minorHAnsi"/>
        </w:rPr>
        <w:t xml:space="preserve"> </w:t>
      </w:r>
      <w:r w:rsidRPr="00B15233">
        <w:rPr>
          <w:rFonts w:cstheme="minorHAnsi"/>
        </w:rPr>
        <w:t>school principals, VCAL Coordinators,</w:t>
      </w:r>
      <w:r>
        <w:rPr>
          <w:rFonts w:cstheme="minorHAnsi"/>
        </w:rPr>
        <w:t xml:space="preserve"> </w:t>
      </w:r>
      <w:r w:rsidRPr="00B15233">
        <w:rPr>
          <w:rFonts w:cstheme="minorHAnsi"/>
        </w:rPr>
        <w:t>Federal and Local Government</w:t>
      </w:r>
      <w:r>
        <w:rPr>
          <w:rFonts w:cstheme="minorHAnsi"/>
        </w:rPr>
        <w:t xml:space="preserve"> </w:t>
      </w:r>
      <w:r w:rsidRPr="00B15233">
        <w:rPr>
          <w:rFonts w:cstheme="minorHAnsi"/>
        </w:rPr>
        <w:t>representatives, and Industry special</w:t>
      </w:r>
      <w:r>
        <w:rPr>
          <w:rFonts w:cstheme="minorHAnsi"/>
        </w:rPr>
        <w:t xml:space="preserve"> </w:t>
      </w:r>
      <w:r w:rsidRPr="00B15233">
        <w:rPr>
          <w:rFonts w:cstheme="minorHAnsi"/>
        </w:rPr>
        <w:t>guests. The regional awards, provide</w:t>
      </w:r>
      <w:r>
        <w:rPr>
          <w:rFonts w:cstheme="minorHAnsi"/>
        </w:rPr>
        <w:t xml:space="preserve"> </w:t>
      </w:r>
      <w:r w:rsidRPr="00B15233">
        <w:rPr>
          <w:rFonts w:cstheme="minorHAnsi"/>
        </w:rPr>
        <w:t>encouragement, and recognise</w:t>
      </w:r>
      <w:r>
        <w:rPr>
          <w:rFonts w:cstheme="minorHAnsi"/>
        </w:rPr>
        <w:t xml:space="preserve"> </w:t>
      </w:r>
      <w:r w:rsidRPr="00B15233">
        <w:rPr>
          <w:rFonts w:cstheme="minorHAnsi"/>
        </w:rPr>
        <w:t>excellence of local VCAL students</w:t>
      </w:r>
      <w:r>
        <w:rPr>
          <w:rFonts w:cstheme="minorHAnsi"/>
        </w:rPr>
        <w:t xml:space="preserve"> </w:t>
      </w:r>
      <w:r w:rsidRPr="00B15233">
        <w:rPr>
          <w:rFonts w:cstheme="minorHAnsi"/>
        </w:rPr>
        <w:t>throughout the south east.</w:t>
      </w:r>
    </w:p>
    <w:p w:rsidR="00B15233" w:rsidRDefault="00B15233" w:rsidP="005942B8">
      <w:pPr>
        <w:pStyle w:val="NoSpacing"/>
      </w:pPr>
    </w:p>
    <w:p w:rsidR="001368BC" w:rsidRDefault="001368BC" w:rsidP="005942B8">
      <w:pPr>
        <w:pStyle w:val="NoSpacing"/>
      </w:pPr>
      <w:r>
        <w:t>&lt;page 5&gt;</w:t>
      </w:r>
    </w:p>
    <w:p w:rsidR="00B15233" w:rsidRDefault="00B15233" w:rsidP="005942B8">
      <w:pPr>
        <w:pStyle w:val="NoSpacing"/>
      </w:pPr>
    </w:p>
    <w:p w:rsidR="00B15233" w:rsidRDefault="00B15233" w:rsidP="00B15233">
      <w:pPr>
        <w:pStyle w:val="Heading3"/>
      </w:pPr>
      <w:r>
        <w:t>National Trainee Award recognises excellence</w:t>
      </w:r>
    </w:p>
    <w:p w:rsidR="00B15233" w:rsidRDefault="00B15233" w:rsidP="00B15233">
      <w:pPr>
        <w:autoSpaceDE w:val="0"/>
        <w:autoSpaceDN w:val="0"/>
        <w:adjustRightInd w:val="0"/>
        <w:spacing w:after="0" w:line="240" w:lineRule="auto"/>
        <w:rPr>
          <w:rFonts w:ascii="ProximaNovaA-Light" w:hAnsi="ProximaNovaA-Light" w:cs="ProximaNovaA-Light"/>
          <w:color w:val="000000"/>
          <w:sz w:val="18"/>
          <w:szCs w:val="18"/>
        </w:rPr>
      </w:pPr>
    </w:p>
    <w:p w:rsidR="00B15233" w:rsidRPr="00B15233" w:rsidRDefault="00B15233" w:rsidP="00B15233">
      <w:pPr>
        <w:autoSpaceDE w:val="0"/>
        <w:autoSpaceDN w:val="0"/>
        <w:adjustRightInd w:val="0"/>
        <w:spacing w:after="0" w:line="240" w:lineRule="auto"/>
        <w:rPr>
          <w:rFonts w:cstheme="minorHAnsi"/>
        </w:rPr>
      </w:pPr>
      <w:r w:rsidRPr="00B15233">
        <w:rPr>
          <w:rFonts w:cstheme="minorHAnsi"/>
        </w:rPr>
        <w:t>Former Chisholm student, Emily Brown,</w:t>
      </w:r>
      <w:r>
        <w:rPr>
          <w:rFonts w:cstheme="minorHAnsi"/>
        </w:rPr>
        <w:t xml:space="preserve"> </w:t>
      </w:r>
      <w:r w:rsidRPr="00B15233">
        <w:rPr>
          <w:rFonts w:cstheme="minorHAnsi"/>
        </w:rPr>
        <w:t>was awarded Trainee of the Year at the</w:t>
      </w:r>
      <w:r>
        <w:rPr>
          <w:rFonts w:cstheme="minorHAnsi"/>
        </w:rPr>
        <w:t xml:space="preserve"> </w:t>
      </w:r>
      <w:r w:rsidRPr="00B15233">
        <w:rPr>
          <w:rFonts w:cstheme="minorHAnsi"/>
        </w:rPr>
        <w:t>annual NECA Education and Careers</w:t>
      </w:r>
      <w:r>
        <w:rPr>
          <w:rFonts w:cstheme="minorHAnsi"/>
        </w:rPr>
        <w:t xml:space="preserve"> </w:t>
      </w:r>
      <w:r w:rsidRPr="00B15233">
        <w:rPr>
          <w:rFonts w:cstheme="minorHAnsi"/>
        </w:rPr>
        <w:t>Awards. Emily completed her Certificate</w:t>
      </w:r>
      <w:r>
        <w:rPr>
          <w:rFonts w:cstheme="minorHAnsi"/>
        </w:rPr>
        <w:t xml:space="preserve"> </w:t>
      </w:r>
      <w:r w:rsidRPr="00B15233">
        <w:rPr>
          <w:rFonts w:cstheme="minorHAnsi"/>
        </w:rPr>
        <w:t>IV in Business, and Diploma in Business.</w:t>
      </w:r>
    </w:p>
    <w:p w:rsidR="00B15233" w:rsidRDefault="00B15233" w:rsidP="005942B8">
      <w:pPr>
        <w:pStyle w:val="NoSpacing"/>
      </w:pPr>
    </w:p>
    <w:p w:rsidR="00B15233" w:rsidRDefault="00B15233" w:rsidP="00B15233">
      <w:pPr>
        <w:pStyle w:val="Heading3"/>
      </w:pPr>
      <w:r>
        <w:t>Melbourne International Flower and Garden Show</w:t>
      </w:r>
    </w:p>
    <w:p w:rsidR="00B15233" w:rsidRDefault="00B15233" w:rsidP="005942B8">
      <w:pPr>
        <w:pStyle w:val="NoSpacing"/>
      </w:pPr>
    </w:p>
    <w:p w:rsidR="00B15233" w:rsidRPr="00B15233" w:rsidRDefault="00B15233" w:rsidP="00B15233">
      <w:pPr>
        <w:autoSpaceDE w:val="0"/>
        <w:autoSpaceDN w:val="0"/>
        <w:adjustRightInd w:val="0"/>
        <w:spacing w:after="0" w:line="240" w:lineRule="auto"/>
        <w:rPr>
          <w:rFonts w:cstheme="minorHAnsi"/>
        </w:rPr>
      </w:pPr>
      <w:r w:rsidRPr="00B15233">
        <w:rPr>
          <w:rFonts w:cstheme="minorHAnsi"/>
        </w:rPr>
        <w:t>At the Melbourne International Flower</w:t>
      </w:r>
      <w:r>
        <w:rPr>
          <w:rFonts w:cstheme="minorHAnsi"/>
        </w:rPr>
        <w:t xml:space="preserve"> </w:t>
      </w:r>
      <w:r w:rsidRPr="00B15233">
        <w:rPr>
          <w:rFonts w:cstheme="minorHAnsi"/>
        </w:rPr>
        <w:t>and Garden Show, two Chisholm gardens</w:t>
      </w:r>
      <w:r>
        <w:rPr>
          <w:rFonts w:cstheme="minorHAnsi"/>
        </w:rPr>
        <w:t xml:space="preserve"> </w:t>
      </w:r>
      <w:r w:rsidRPr="00B15233">
        <w:rPr>
          <w:rFonts w:cstheme="minorHAnsi"/>
        </w:rPr>
        <w:t>were designed, planned and delivered by</w:t>
      </w:r>
      <w:r>
        <w:rPr>
          <w:rFonts w:cstheme="minorHAnsi"/>
        </w:rPr>
        <w:t xml:space="preserve"> </w:t>
      </w:r>
      <w:r w:rsidRPr="00B15233">
        <w:rPr>
          <w:rFonts w:cstheme="minorHAnsi"/>
        </w:rPr>
        <w:t>the third-year Landscaping Apprentices</w:t>
      </w:r>
      <w:r>
        <w:rPr>
          <w:rFonts w:cstheme="minorHAnsi"/>
        </w:rPr>
        <w:t xml:space="preserve"> </w:t>
      </w:r>
      <w:r w:rsidRPr="00B15233">
        <w:rPr>
          <w:rFonts w:cstheme="minorHAnsi"/>
        </w:rPr>
        <w:t>and third-year Parks and Gardens</w:t>
      </w:r>
      <w:r>
        <w:rPr>
          <w:rFonts w:cstheme="minorHAnsi"/>
        </w:rPr>
        <w:t xml:space="preserve"> </w:t>
      </w:r>
      <w:r w:rsidRPr="00B15233">
        <w:rPr>
          <w:rFonts w:cstheme="minorHAnsi"/>
        </w:rPr>
        <w:t>Apprentices, and both gardens received</w:t>
      </w:r>
      <w:r>
        <w:rPr>
          <w:rFonts w:cstheme="minorHAnsi"/>
        </w:rPr>
        <w:t xml:space="preserve"> </w:t>
      </w:r>
      <w:r w:rsidRPr="00B15233">
        <w:rPr>
          <w:rFonts w:cstheme="minorHAnsi"/>
        </w:rPr>
        <w:t>category recognition from the judges.</w:t>
      </w:r>
    </w:p>
    <w:p w:rsidR="00B15233" w:rsidRDefault="00B15233" w:rsidP="005942B8">
      <w:pPr>
        <w:pStyle w:val="NoSpacing"/>
      </w:pPr>
    </w:p>
    <w:p w:rsidR="00B15233" w:rsidRPr="00B15233" w:rsidRDefault="00B15233" w:rsidP="00B15233">
      <w:pPr>
        <w:pStyle w:val="Heading3"/>
      </w:pPr>
      <w:r w:rsidRPr="00B15233">
        <w:t>Building on success</w:t>
      </w:r>
    </w:p>
    <w:p w:rsidR="001368BC" w:rsidRDefault="001368BC" w:rsidP="005942B8">
      <w:pPr>
        <w:pStyle w:val="NoSpacing"/>
      </w:pPr>
    </w:p>
    <w:p w:rsidR="00B15233" w:rsidRDefault="00B15233" w:rsidP="00B15233">
      <w:pPr>
        <w:autoSpaceDE w:val="0"/>
        <w:autoSpaceDN w:val="0"/>
        <w:adjustRightInd w:val="0"/>
        <w:spacing w:after="0" w:line="240" w:lineRule="auto"/>
        <w:rPr>
          <w:rFonts w:cstheme="minorHAnsi"/>
        </w:rPr>
      </w:pPr>
      <w:r w:rsidRPr="00B15233">
        <w:rPr>
          <w:rFonts w:cstheme="minorHAnsi"/>
        </w:rPr>
        <w:t>Master Builder’s Association of</w:t>
      </w:r>
      <w:r>
        <w:rPr>
          <w:rFonts w:cstheme="minorHAnsi"/>
        </w:rPr>
        <w:t xml:space="preserve"> </w:t>
      </w:r>
      <w:r w:rsidRPr="00B15233">
        <w:rPr>
          <w:rFonts w:cstheme="minorHAnsi"/>
        </w:rPr>
        <w:t>Victoria State Apprentice of the Year</w:t>
      </w:r>
      <w:r>
        <w:rPr>
          <w:rFonts w:cstheme="minorHAnsi"/>
        </w:rPr>
        <w:t xml:space="preserve"> </w:t>
      </w:r>
      <w:r w:rsidRPr="00B15233">
        <w:rPr>
          <w:rFonts w:cstheme="minorHAnsi"/>
        </w:rPr>
        <w:t>awards were held at Marvel Stadium,</w:t>
      </w:r>
      <w:r>
        <w:rPr>
          <w:rFonts w:cstheme="minorHAnsi"/>
        </w:rPr>
        <w:t xml:space="preserve"> </w:t>
      </w:r>
      <w:r w:rsidRPr="00B15233">
        <w:rPr>
          <w:rFonts w:cstheme="minorHAnsi"/>
        </w:rPr>
        <w:t>Docklands, and Chisholm’s Building</w:t>
      </w:r>
      <w:r>
        <w:rPr>
          <w:rFonts w:cstheme="minorHAnsi"/>
        </w:rPr>
        <w:t xml:space="preserve"> </w:t>
      </w:r>
      <w:r w:rsidRPr="00B15233">
        <w:rPr>
          <w:rFonts w:cstheme="minorHAnsi"/>
        </w:rPr>
        <w:t>and Construction team received 14</w:t>
      </w:r>
      <w:r>
        <w:rPr>
          <w:rFonts w:cstheme="minorHAnsi"/>
        </w:rPr>
        <w:t xml:space="preserve"> </w:t>
      </w:r>
      <w:r w:rsidRPr="00B15233">
        <w:rPr>
          <w:rFonts w:cstheme="minorHAnsi"/>
        </w:rPr>
        <w:t>nominations for Certificate of Merit.</w:t>
      </w:r>
      <w:r>
        <w:rPr>
          <w:rFonts w:cstheme="minorHAnsi"/>
        </w:rPr>
        <w:t xml:space="preserve"> </w:t>
      </w:r>
      <w:r w:rsidRPr="00B15233">
        <w:rPr>
          <w:rFonts w:cstheme="minorHAnsi"/>
        </w:rPr>
        <w:t>Within the Apprentice of the Year</w:t>
      </w:r>
      <w:r>
        <w:rPr>
          <w:rFonts w:cstheme="minorHAnsi"/>
        </w:rPr>
        <w:t xml:space="preserve"> </w:t>
      </w:r>
      <w:r w:rsidRPr="00B15233">
        <w:rPr>
          <w:rFonts w:cstheme="minorHAnsi"/>
        </w:rPr>
        <w:t>categories, four Chisholm students</w:t>
      </w:r>
      <w:r>
        <w:rPr>
          <w:rFonts w:cstheme="minorHAnsi"/>
        </w:rPr>
        <w:t xml:space="preserve"> </w:t>
      </w:r>
      <w:r w:rsidRPr="00B15233">
        <w:rPr>
          <w:rFonts w:cstheme="minorHAnsi"/>
        </w:rPr>
        <w:t>were nominated, with Chisholm student</w:t>
      </w:r>
      <w:r>
        <w:rPr>
          <w:rFonts w:cstheme="minorHAnsi"/>
        </w:rPr>
        <w:t xml:space="preserve"> </w:t>
      </w:r>
      <w:r w:rsidRPr="00B15233">
        <w:rPr>
          <w:rFonts w:cstheme="minorHAnsi"/>
        </w:rPr>
        <w:t>Taylah-Anne Kane claiming the State</w:t>
      </w:r>
      <w:r>
        <w:rPr>
          <w:rFonts w:cstheme="minorHAnsi"/>
        </w:rPr>
        <w:t xml:space="preserve"> </w:t>
      </w:r>
      <w:r w:rsidRPr="00B15233">
        <w:rPr>
          <w:rFonts w:cstheme="minorHAnsi"/>
        </w:rPr>
        <w:t>Joinery Apprentice of Year category.</w:t>
      </w:r>
    </w:p>
    <w:p w:rsidR="00B15233" w:rsidRDefault="00B15233" w:rsidP="00B15233">
      <w:pPr>
        <w:autoSpaceDE w:val="0"/>
        <w:autoSpaceDN w:val="0"/>
        <w:adjustRightInd w:val="0"/>
        <w:spacing w:after="0" w:line="240" w:lineRule="auto"/>
        <w:rPr>
          <w:rFonts w:cstheme="minorHAnsi"/>
        </w:rPr>
      </w:pPr>
    </w:p>
    <w:p w:rsidR="00B15233" w:rsidRDefault="00B15233" w:rsidP="00B15233">
      <w:pPr>
        <w:pStyle w:val="Heading3"/>
      </w:pPr>
      <w:r>
        <w:t>HBIA Awards and Championships</w:t>
      </w:r>
    </w:p>
    <w:p w:rsidR="00B15233" w:rsidRPr="00B15233" w:rsidRDefault="00B15233" w:rsidP="00B15233">
      <w:pPr>
        <w:autoSpaceDE w:val="0"/>
        <w:autoSpaceDN w:val="0"/>
        <w:adjustRightInd w:val="0"/>
        <w:spacing w:after="0" w:line="240" w:lineRule="auto"/>
        <w:rPr>
          <w:rFonts w:cstheme="minorHAnsi"/>
        </w:rPr>
      </w:pPr>
    </w:p>
    <w:p w:rsidR="00B15233" w:rsidRPr="00B15233" w:rsidRDefault="00B15233" w:rsidP="00B15233">
      <w:pPr>
        <w:autoSpaceDE w:val="0"/>
        <w:autoSpaceDN w:val="0"/>
        <w:adjustRightInd w:val="0"/>
        <w:spacing w:after="0" w:line="240" w:lineRule="auto"/>
        <w:rPr>
          <w:rFonts w:cstheme="minorHAnsi"/>
        </w:rPr>
      </w:pPr>
      <w:r w:rsidRPr="00B15233">
        <w:rPr>
          <w:rFonts w:cstheme="minorHAnsi"/>
        </w:rPr>
        <w:t>The HBIA Championships</w:t>
      </w:r>
      <w:r>
        <w:rPr>
          <w:rFonts w:cstheme="minorHAnsi"/>
        </w:rPr>
        <w:t xml:space="preserve"> </w:t>
      </w:r>
      <w:r w:rsidRPr="00B15233">
        <w:rPr>
          <w:rFonts w:cstheme="minorHAnsi"/>
        </w:rPr>
        <w:t>recognised two Chisholm</w:t>
      </w:r>
      <w:r>
        <w:rPr>
          <w:rFonts w:cstheme="minorHAnsi"/>
        </w:rPr>
        <w:t xml:space="preserve"> </w:t>
      </w:r>
      <w:r w:rsidRPr="00B15233">
        <w:rPr>
          <w:rFonts w:cstheme="minorHAnsi"/>
        </w:rPr>
        <w:t>apprentices and a graduate</w:t>
      </w:r>
      <w:r>
        <w:rPr>
          <w:rFonts w:cstheme="minorHAnsi"/>
        </w:rPr>
        <w:t xml:space="preserve"> </w:t>
      </w:r>
      <w:r w:rsidRPr="00B15233">
        <w:rPr>
          <w:rFonts w:cstheme="minorHAnsi"/>
        </w:rPr>
        <w:t>with three first places at the</w:t>
      </w:r>
      <w:r>
        <w:rPr>
          <w:rFonts w:cstheme="minorHAnsi"/>
        </w:rPr>
        <w:t xml:space="preserve"> </w:t>
      </w:r>
      <w:r w:rsidRPr="00B15233">
        <w:rPr>
          <w:rFonts w:cstheme="minorHAnsi"/>
        </w:rPr>
        <w:t>annual industry event, held in</w:t>
      </w:r>
      <w:r>
        <w:rPr>
          <w:rFonts w:cstheme="minorHAnsi"/>
        </w:rPr>
        <w:t xml:space="preserve"> </w:t>
      </w:r>
      <w:r w:rsidRPr="00B15233">
        <w:rPr>
          <w:rFonts w:cstheme="minorHAnsi"/>
        </w:rPr>
        <w:t>Sydney. The success at the</w:t>
      </w:r>
      <w:r>
        <w:rPr>
          <w:rFonts w:cstheme="minorHAnsi"/>
        </w:rPr>
        <w:t xml:space="preserve"> </w:t>
      </w:r>
      <w:r w:rsidRPr="00B15233">
        <w:rPr>
          <w:rFonts w:cstheme="minorHAnsi"/>
        </w:rPr>
        <w:t>Championships was followed in</w:t>
      </w:r>
      <w:r>
        <w:rPr>
          <w:rFonts w:cstheme="minorHAnsi"/>
        </w:rPr>
        <w:t xml:space="preserve"> </w:t>
      </w:r>
      <w:r w:rsidRPr="00B15233">
        <w:rPr>
          <w:rFonts w:cstheme="minorHAnsi"/>
        </w:rPr>
        <w:t>November with 10 HBIA awards</w:t>
      </w:r>
      <w:r>
        <w:rPr>
          <w:rFonts w:cstheme="minorHAnsi"/>
        </w:rPr>
        <w:t xml:space="preserve"> </w:t>
      </w:r>
      <w:r w:rsidRPr="00B15233">
        <w:rPr>
          <w:rFonts w:cstheme="minorHAnsi"/>
        </w:rPr>
        <w:t>at the gala event. Hair, Beauty</w:t>
      </w:r>
      <w:r>
        <w:rPr>
          <w:rFonts w:cstheme="minorHAnsi"/>
        </w:rPr>
        <w:t xml:space="preserve"> </w:t>
      </w:r>
      <w:r w:rsidRPr="00B15233">
        <w:rPr>
          <w:rFonts w:cstheme="minorHAnsi"/>
        </w:rPr>
        <w:t>and Wellness educator Lucia</w:t>
      </w:r>
      <w:r>
        <w:rPr>
          <w:rFonts w:cstheme="minorHAnsi"/>
        </w:rPr>
        <w:t xml:space="preserve"> </w:t>
      </w:r>
      <w:r w:rsidRPr="00B15233">
        <w:rPr>
          <w:rFonts w:cstheme="minorHAnsi"/>
        </w:rPr>
        <w:t>Poretti was awarded Educator</w:t>
      </w:r>
      <w:r>
        <w:rPr>
          <w:rFonts w:cstheme="minorHAnsi"/>
        </w:rPr>
        <w:t xml:space="preserve"> </w:t>
      </w:r>
      <w:r w:rsidRPr="00B15233">
        <w:rPr>
          <w:rFonts w:cstheme="minorHAnsi"/>
        </w:rPr>
        <w:t>of the Year, while nine students</w:t>
      </w:r>
      <w:r>
        <w:rPr>
          <w:rFonts w:cstheme="minorHAnsi"/>
        </w:rPr>
        <w:t xml:space="preserve"> </w:t>
      </w:r>
      <w:r w:rsidRPr="00B15233">
        <w:rPr>
          <w:rFonts w:cstheme="minorHAnsi"/>
        </w:rPr>
        <w:t>were recognised for their</w:t>
      </w:r>
      <w:r>
        <w:rPr>
          <w:rFonts w:cstheme="minorHAnsi"/>
        </w:rPr>
        <w:t xml:space="preserve"> </w:t>
      </w:r>
      <w:r w:rsidRPr="00B15233">
        <w:rPr>
          <w:rFonts w:cstheme="minorHAnsi"/>
        </w:rPr>
        <w:t>outstanding work.</w:t>
      </w:r>
    </w:p>
    <w:p w:rsidR="00B15233" w:rsidRDefault="00B15233" w:rsidP="00B15233">
      <w:pPr>
        <w:autoSpaceDE w:val="0"/>
        <w:autoSpaceDN w:val="0"/>
        <w:adjustRightInd w:val="0"/>
        <w:spacing w:after="0" w:line="240" w:lineRule="auto"/>
        <w:rPr>
          <w:rFonts w:cstheme="minorHAnsi"/>
        </w:rPr>
      </w:pPr>
    </w:p>
    <w:p w:rsidR="00B15233" w:rsidRDefault="00B15233" w:rsidP="00B15233">
      <w:pPr>
        <w:autoSpaceDE w:val="0"/>
        <w:autoSpaceDN w:val="0"/>
        <w:adjustRightInd w:val="0"/>
        <w:spacing w:after="0" w:line="240" w:lineRule="auto"/>
        <w:rPr>
          <w:rFonts w:cstheme="minorHAnsi"/>
        </w:rPr>
      </w:pPr>
      <w:r>
        <w:rPr>
          <w:rFonts w:cstheme="minorHAnsi"/>
        </w:rPr>
        <w:t>&lt;page 6&gt;</w:t>
      </w:r>
    </w:p>
    <w:p w:rsidR="00B15233" w:rsidRDefault="00B15233" w:rsidP="00B15233">
      <w:pPr>
        <w:autoSpaceDE w:val="0"/>
        <w:autoSpaceDN w:val="0"/>
        <w:adjustRightInd w:val="0"/>
        <w:spacing w:after="0" w:line="240" w:lineRule="auto"/>
        <w:rPr>
          <w:rFonts w:cstheme="minorHAnsi"/>
        </w:rPr>
      </w:pPr>
    </w:p>
    <w:p w:rsidR="00B15233" w:rsidRDefault="007D1DE4" w:rsidP="007D1DE4">
      <w:pPr>
        <w:pStyle w:val="Heading2"/>
      </w:pPr>
      <w:r>
        <w:t xml:space="preserve">Awards and Achievements </w:t>
      </w:r>
    </w:p>
    <w:p w:rsidR="00B15233" w:rsidRDefault="00B15233" w:rsidP="00B15233">
      <w:pPr>
        <w:autoSpaceDE w:val="0"/>
        <w:autoSpaceDN w:val="0"/>
        <w:adjustRightInd w:val="0"/>
        <w:spacing w:after="0" w:line="240" w:lineRule="auto"/>
        <w:rPr>
          <w:rFonts w:cstheme="minorHAnsi"/>
        </w:rPr>
      </w:pPr>
    </w:p>
    <w:p w:rsidR="00B15233" w:rsidRDefault="007D1DE4" w:rsidP="00CE1C97">
      <w:pPr>
        <w:pStyle w:val="Heading3"/>
      </w:pPr>
      <w:r>
        <w:t>Worldskills in success</w:t>
      </w:r>
    </w:p>
    <w:p w:rsidR="00CE1C97" w:rsidRDefault="00CE1C97" w:rsidP="00CE1C97">
      <w:pPr>
        <w:autoSpaceDE w:val="0"/>
        <w:autoSpaceDN w:val="0"/>
        <w:adjustRightInd w:val="0"/>
        <w:spacing w:after="0" w:line="240" w:lineRule="auto"/>
        <w:rPr>
          <w:rFonts w:cstheme="minorHAnsi"/>
        </w:rPr>
      </w:pPr>
    </w:p>
    <w:p w:rsidR="00CE1C97" w:rsidRPr="00CE1C97" w:rsidRDefault="00CE1C97" w:rsidP="00CE1C97">
      <w:pPr>
        <w:autoSpaceDE w:val="0"/>
        <w:autoSpaceDN w:val="0"/>
        <w:adjustRightInd w:val="0"/>
        <w:spacing w:after="0" w:line="240" w:lineRule="auto"/>
        <w:rPr>
          <w:rFonts w:cstheme="minorHAnsi"/>
        </w:rPr>
      </w:pPr>
      <w:r w:rsidRPr="00CE1C97">
        <w:rPr>
          <w:rFonts w:cstheme="minorHAnsi"/>
        </w:rPr>
        <w:t>Chisholm students achieved great success at the</w:t>
      </w:r>
      <w:r>
        <w:rPr>
          <w:rFonts w:cstheme="minorHAnsi"/>
        </w:rPr>
        <w:t xml:space="preserve"> </w:t>
      </w:r>
      <w:r w:rsidRPr="00CE1C97">
        <w:rPr>
          <w:rFonts w:cstheme="minorHAnsi"/>
        </w:rPr>
        <w:t>WorldSkills East Region that included two gold, a silver</w:t>
      </w:r>
      <w:r>
        <w:rPr>
          <w:rFonts w:cstheme="minorHAnsi"/>
        </w:rPr>
        <w:t xml:space="preserve"> </w:t>
      </w:r>
      <w:r w:rsidRPr="00CE1C97">
        <w:rPr>
          <w:rFonts w:cstheme="minorHAnsi"/>
        </w:rPr>
        <w:t>and two bronze medals. Gold was awarded in Plumbing,</w:t>
      </w:r>
      <w:r>
        <w:rPr>
          <w:rFonts w:cstheme="minorHAnsi"/>
        </w:rPr>
        <w:t xml:space="preserve"> </w:t>
      </w:r>
      <w:r w:rsidRPr="00CE1C97">
        <w:rPr>
          <w:rFonts w:cstheme="minorHAnsi"/>
        </w:rPr>
        <w:t>Silver in VETDSS Carpentry, and both Bronze medals were</w:t>
      </w:r>
      <w:r>
        <w:rPr>
          <w:rFonts w:cstheme="minorHAnsi"/>
        </w:rPr>
        <w:t xml:space="preserve"> </w:t>
      </w:r>
      <w:r w:rsidRPr="00CE1C97">
        <w:rPr>
          <w:rFonts w:cstheme="minorHAnsi"/>
        </w:rPr>
        <w:t>achieved in Carpentry. Three students are eligible for the</w:t>
      </w:r>
      <w:r>
        <w:rPr>
          <w:rFonts w:cstheme="minorHAnsi"/>
        </w:rPr>
        <w:t xml:space="preserve"> </w:t>
      </w:r>
      <w:r w:rsidRPr="00CE1C97">
        <w:rPr>
          <w:rFonts w:cstheme="minorHAnsi"/>
        </w:rPr>
        <w:t>national competition in Western Australia in 2020.</w:t>
      </w:r>
    </w:p>
    <w:p w:rsidR="00CE1C97" w:rsidRDefault="00CE1C97" w:rsidP="00B15233">
      <w:pPr>
        <w:autoSpaceDE w:val="0"/>
        <w:autoSpaceDN w:val="0"/>
        <w:adjustRightInd w:val="0"/>
        <w:spacing w:after="0" w:line="240" w:lineRule="auto"/>
        <w:rPr>
          <w:rFonts w:cstheme="minorHAnsi"/>
        </w:rPr>
      </w:pPr>
    </w:p>
    <w:p w:rsidR="007D1DE4" w:rsidRDefault="007D1DE4" w:rsidP="00CE1C97">
      <w:pPr>
        <w:pStyle w:val="Heading3"/>
      </w:pPr>
      <w:r>
        <w:t>Our International (World) Skills</w:t>
      </w:r>
    </w:p>
    <w:p w:rsidR="007D1DE4" w:rsidRDefault="007D1DE4" w:rsidP="00B15233">
      <w:pPr>
        <w:autoSpaceDE w:val="0"/>
        <w:autoSpaceDN w:val="0"/>
        <w:adjustRightInd w:val="0"/>
        <w:spacing w:after="0" w:line="240" w:lineRule="auto"/>
        <w:rPr>
          <w:rFonts w:cstheme="minorHAnsi"/>
        </w:rPr>
      </w:pPr>
    </w:p>
    <w:p w:rsidR="00CE1C97" w:rsidRPr="00CE1C97" w:rsidRDefault="00CE1C97" w:rsidP="00CE1C97">
      <w:pPr>
        <w:autoSpaceDE w:val="0"/>
        <w:autoSpaceDN w:val="0"/>
        <w:adjustRightInd w:val="0"/>
        <w:spacing w:after="0" w:line="240" w:lineRule="auto"/>
        <w:rPr>
          <w:rFonts w:cstheme="minorHAnsi"/>
        </w:rPr>
      </w:pPr>
      <w:r w:rsidRPr="00CE1C97">
        <w:rPr>
          <w:rFonts w:cstheme="minorHAnsi"/>
        </w:rPr>
        <w:t>Do Thi Hoai Thuong from Vung Tau</w:t>
      </w:r>
      <w:r>
        <w:rPr>
          <w:rFonts w:cstheme="minorHAnsi"/>
        </w:rPr>
        <w:t xml:space="preserve"> </w:t>
      </w:r>
      <w:r w:rsidRPr="00CE1C97">
        <w:rPr>
          <w:rFonts w:cstheme="minorHAnsi"/>
        </w:rPr>
        <w:t>Tourism College excelled in the</w:t>
      </w:r>
      <w:r>
        <w:rPr>
          <w:rFonts w:cstheme="minorHAnsi"/>
        </w:rPr>
        <w:t xml:space="preserve"> </w:t>
      </w:r>
      <w:r w:rsidRPr="00CE1C97">
        <w:rPr>
          <w:rFonts w:cstheme="minorHAnsi"/>
        </w:rPr>
        <w:t>Australian Skills Week organised by</w:t>
      </w:r>
      <w:r>
        <w:rPr>
          <w:rFonts w:cstheme="minorHAnsi"/>
        </w:rPr>
        <w:t xml:space="preserve"> </w:t>
      </w:r>
      <w:r w:rsidRPr="00CE1C97">
        <w:rPr>
          <w:rFonts w:cstheme="minorHAnsi"/>
        </w:rPr>
        <w:t>the Australian Embassy in Vietnam. Ms</w:t>
      </w:r>
      <w:r>
        <w:rPr>
          <w:rFonts w:cstheme="minorHAnsi"/>
        </w:rPr>
        <w:t xml:space="preserve"> </w:t>
      </w:r>
      <w:r w:rsidRPr="00CE1C97">
        <w:rPr>
          <w:rFonts w:cstheme="minorHAnsi"/>
        </w:rPr>
        <w:t>Thuong is studying Chisholm’s Advanced</w:t>
      </w:r>
      <w:r>
        <w:rPr>
          <w:rFonts w:cstheme="minorHAnsi"/>
        </w:rPr>
        <w:t xml:space="preserve"> </w:t>
      </w:r>
      <w:r w:rsidRPr="00CE1C97">
        <w:rPr>
          <w:rFonts w:cstheme="minorHAnsi"/>
        </w:rPr>
        <w:t>Diploma of Hospitality Management.</w:t>
      </w:r>
    </w:p>
    <w:p w:rsidR="00CE1C97" w:rsidRDefault="00CE1C97" w:rsidP="00B15233">
      <w:pPr>
        <w:autoSpaceDE w:val="0"/>
        <w:autoSpaceDN w:val="0"/>
        <w:adjustRightInd w:val="0"/>
        <w:spacing w:after="0" w:line="240" w:lineRule="auto"/>
        <w:rPr>
          <w:rFonts w:cstheme="minorHAnsi"/>
        </w:rPr>
      </w:pPr>
    </w:p>
    <w:p w:rsidR="007D1DE4" w:rsidRDefault="007D1DE4" w:rsidP="00CE1C97">
      <w:pPr>
        <w:pStyle w:val="Heading3"/>
      </w:pPr>
      <w:r>
        <w:lastRenderedPageBreak/>
        <w:t>World Skills delegate</w:t>
      </w:r>
    </w:p>
    <w:p w:rsidR="00CE1C97" w:rsidRDefault="00CE1C97" w:rsidP="00B15233">
      <w:pPr>
        <w:autoSpaceDE w:val="0"/>
        <w:autoSpaceDN w:val="0"/>
        <w:adjustRightInd w:val="0"/>
        <w:spacing w:after="0" w:line="240" w:lineRule="auto"/>
        <w:rPr>
          <w:rFonts w:cstheme="minorHAnsi"/>
        </w:rPr>
      </w:pPr>
    </w:p>
    <w:p w:rsidR="00CE1C97" w:rsidRPr="00CE1C97" w:rsidRDefault="00CE1C97" w:rsidP="00CE1C97">
      <w:pPr>
        <w:autoSpaceDE w:val="0"/>
        <w:autoSpaceDN w:val="0"/>
        <w:adjustRightInd w:val="0"/>
        <w:spacing w:after="0" w:line="240" w:lineRule="auto"/>
        <w:rPr>
          <w:rFonts w:cstheme="minorHAnsi"/>
        </w:rPr>
      </w:pPr>
      <w:r w:rsidRPr="00CE1C97">
        <w:rPr>
          <w:rFonts w:cstheme="minorHAnsi"/>
        </w:rPr>
        <w:t>Senior Educator and Manager, Adam</w:t>
      </w:r>
      <w:r>
        <w:rPr>
          <w:rFonts w:cstheme="minorHAnsi"/>
        </w:rPr>
        <w:t xml:space="preserve"> </w:t>
      </w:r>
      <w:r w:rsidRPr="00CE1C97">
        <w:rPr>
          <w:rFonts w:cstheme="minorHAnsi"/>
        </w:rPr>
        <w:t>Laxton was selected as one of two</w:t>
      </w:r>
      <w:r>
        <w:rPr>
          <w:rFonts w:cstheme="minorHAnsi"/>
        </w:rPr>
        <w:t xml:space="preserve"> </w:t>
      </w:r>
      <w:r w:rsidRPr="00CE1C97">
        <w:rPr>
          <w:rFonts w:cstheme="minorHAnsi"/>
        </w:rPr>
        <w:t>WorldSkills competitor mentors/</w:t>
      </w:r>
      <w:r>
        <w:rPr>
          <w:rFonts w:cstheme="minorHAnsi"/>
        </w:rPr>
        <w:t xml:space="preserve"> </w:t>
      </w:r>
      <w:r w:rsidRPr="00CE1C97">
        <w:rPr>
          <w:rFonts w:cstheme="minorHAnsi"/>
        </w:rPr>
        <w:t>trainers from Victoria, to attend the 2019</w:t>
      </w:r>
      <w:r>
        <w:rPr>
          <w:rFonts w:cstheme="minorHAnsi"/>
        </w:rPr>
        <w:t xml:space="preserve"> </w:t>
      </w:r>
      <w:r w:rsidRPr="00CE1C97">
        <w:rPr>
          <w:rFonts w:cstheme="minorHAnsi"/>
        </w:rPr>
        <w:t>WorldSkills Competition in Kazan, Russia</w:t>
      </w:r>
      <w:r>
        <w:rPr>
          <w:rFonts w:cstheme="minorHAnsi"/>
        </w:rPr>
        <w:t xml:space="preserve"> </w:t>
      </w:r>
      <w:r w:rsidRPr="00CE1C97">
        <w:rPr>
          <w:rFonts w:cstheme="minorHAnsi"/>
        </w:rPr>
        <w:t>in August. The experience gained through</w:t>
      </w:r>
      <w:r>
        <w:rPr>
          <w:rFonts w:cstheme="minorHAnsi"/>
        </w:rPr>
        <w:t xml:space="preserve"> </w:t>
      </w:r>
      <w:r w:rsidRPr="00CE1C97">
        <w:rPr>
          <w:rFonts w:cstheme="minorHAnsi"/>
        </w:rPr>
        <w:t>the opportunity will assist in the training</w:t>
      </w:r>
      <w:r>
        <w:rPr>
          <w:rFonts w:cstheme="minorHAnsi"/>
        </w:rPr>
        <w:t xml:space="preserve"> </w:t>
      </w:r>
      <w:r w:rsidRPr="00CE1C97">
        <w:rPr>
          <w:rFonts w:cstheme="minorHAnsi"/>
        </w:rPr>
        <w:t>and mentorship of Victorian competitors it</w:t>
      </w:r>
      <w:r>
        <w:rPr>
          <w:rFonts w:cstheme="minorHAnsi"/>
        </w:rPr>
        <w:t xml:space="preserve"> </w:t>
      </w:r>
      <w:r w:rsidRPr="00CE1C97">
        <w:rPr>
          <w:rFonts w:cstheme="minorHAnsi"/>
        </w:rPr>
        <w:t>achieve parity of WorldSkills knowledge</w:t>
      </w:r>
      <w:r>
        <w:rPr>
          <w:rFonts w:cstheme="minorHAnsi"/>
        </w:rPr>
        <w:t xml:space="preserve"> </w:t>
      </w:r>
      <w:r w:rsidRPr="00CE1C97">
        <w:rPr>
          <w:rFonts w:cstheme="minorHAnsi"/>
        </w:rPr>
        <w:t>at the highest level of the competitions.</w:t>
      </w:r>
      <w:r>
        <w:rPr>
          <w:rFonts w:cstheme="minorHAnsi"/>
        </w:rPr>
        <w:t xml:space="preserve"> </w:t>
      </w:r>
      <w:r w:rsidRPr="00CE1C97">
        <w:rPr>
          <w:rFonts w:cstheme="minorHAnsi"/>
        </w:rPr>
        <w:t>This builds on the foundation for Victoria’s</w:t>
      </w:r>
      <w:r>
        <w:rPr>
          <w:rFonts w:cstheme="minorHAnsi"/>
        </w:rPr>
        <w:t xml:space="preserve"> </w:t>
      </w:r>
      <w:r w:rsidRPr="00CE1C97">
        <w:rPr>
          <w:rFonts w:cstheme="minorHAnsi"/>
        </w:rPr>
        <w:t>rise to the top within the WorldSkills</w:t>
      </w:r>
      <w:r>
        <w:rPr>
          <w:rFonts w:cstheme="minorHAnsi"/>
        </w:rPr>
        <w:t xml:space="preserve"> </w:t>
      </w:r>
      <w:r w:rsidRPr="00CE1C97">
        <w:rPr>
          <w:rFonts w:cstheme="minorHAnsi"/>
        </w:rPr>
        <w:t>Australia community.</w:t>
      </w:r>
    </w:p>
    <w:p w:rsidR="007D1DE4" w:rsidRDefault="007D1DE4" w:rsidP="00B15233">
      <w:pPr>
        <w:autoSpaceDE w:val="0"/>
        <w:autoSpaceDN w:val="0"/>
        <w:adjustRightInd w:val="0"/>
        <w:spacing w:after="0" w:line="240" w:lineRule="auto"/>
        <w:rPr>
          <w:rFonts w:cstheme="minorHAnsi"/>
        </w:rPr>
      </w:pPr>
    </w:p>
    <w:p w:rsidR="007D1DE4" w:rsidRDefault="007D1DE4" w:rsidP="00CE1C97">
      <w:pPr>
        <w:pStyle w:val="Heading3"/>
      </w:pPr>
      <w:r>
        <w:t>Graduations</w:t>
      </w:r>
    </w:p>
    <w:p w:rsidR="00CE1C97" w:rsidRDefault="00CE1C97" w:rsidP="00B15233">
      <w:pPr>
        <w:autoSpaceDE w:val="0"/>
        <w:autoSpaceDN w:val="0"/>
        <w:adjustRightInd w:val="0"/>
        <w:spacing w:after="0" w:line="240" w:lineRule="auto"/>
        <w:rPr>
          <w:rFonts w:cstheme="minorHAnsi"/>
        </w:rPr>
      </w:pPr>
    </w:p>
    <w:p w:rsidR="00CE1C97" w:rsidRPr="00CE1C97" w:rsidRDefault="00CE1C97" w:rsidP="00CE1C97">
      <w:pPr>
        <w:autoSpaceDE w:val="0"/>
        <w:autoSpaceDN w:val="0"/>
        <w:adjustRightInd w:val="0"/>
        <w:spacing w:after="0" w:line="240" w:lineRule="auto"/>
        <w:rPr>
          <w:rFonts w:cstheme="minorHAnsi"/>
        </w:rPr>
      </w:pPr>
      <w:r w:rsidRPr="00CE1C97">
        <w:rPr>
          <w:rFonts w:cstheme="minorHAnsi"/>
        </w:rPr>
        <w:t>More than 400 graduates celebrated</w:t>
      </w:r>
      <w:r>
        <w:rPr>
          <w:rFonts w:cstheme="minorHAnsi"/>
        </w:rPr>
        <w:t xml:space="preserve"> </w:t>
      </w:r>
      <w:r w:rsidRPr="00CE1C97">
        <w:rPr>
          <w:rFonts w:cstheme="minorHAnsi"/>
        </w:rPr>
        <w:t>their success and achievement at one</w:t>
      </w:r>
      <w:r>
        <w:rPr>
          <w:rFonts w:cstheme="minorHAnsi"/>
        </w:rPr>
        <w:t xml:space="preserve"> </w:t>
      </w:r>
      <w:r w:rsidRPr="00CE1C97">
        <w:rPr>
          <w:rFonts w:cstheme="minorHAnsi"/>
        </w:rPr>
        <w:t>of our two graduation ceremonies</w:t>
      </w:r>
      <w:r>
        <w:rPr>
          <w:rFonts w:cstheme="minorHAnsi"/>
        </w:rPr>
        <w:t xml:space="preserve"> </w:t>
      </w:r>
      <w:r w:rsidRPr="00CE1C97">
        <w:rPr>
          <w:rFonts w:cstheme="minorHAnsi"/>
        </w:rPr>
        <w:t>held in 2019. The 1200 family, friends</w:t>
      </w:r>
      <w:r>
        <w:rPr>
          <w:rFonts w:cstheme="minorHAnsi"/>
        </w:rPr>
        <w:t xml:space="preserve"> </w:t>
      </w:r>
      <w:r w:rsidRPr="00CE1C97">
        <w:rPr>
          <w:rFonts w:cstheme="minorHAnsi"/>
        </w:rPr>
        <w:t>and dignitaries who supported the</w:t>
      </w:r>
      <w:r>
        <w:rPr>
          <w:rFonts w:cstheme="minorHAnsi"/>
        </w:rPr>
        <w:t xml:space="preserve"> </w:t>
      </w:r>
      <w:r w:rsidRPr="00CE1C97">
        <w:rPr>
          <w:rFonts w:cstheme="minorHAnsi"/>
        </w:rPr>
        <w:t>graduands at each of the ceremonies</w:t>
      </w:r>
      <w:r>
        <w:rPr>
          <w:rFonts w:cstheme="minorHAnsi"/>
        </w:rPr>
        <w:t xml:space="preserve"> </w:t>
      </w:r>
      <w:r w:rsidRPr="00CE1C97">
        <w:rPr>
          <w:rFonts w:cstheme="minorHAnsi"/>
        </w:rPr>
        <w:t>enjoyed an evening of formalities at</w:t>
      </w:r>
      <w:r>
        <w:rPr>
          <w:rFonts w:cstheme="minorHAnsi"/>
        </w:rPr>
        <w:t xml:space="preserve"> </w:t>
      </w:r>
      <w:r w:rsidRPr="00CE1C97">
        <w:rPr>
          <w:rFonts w:cstheme="minorHAnsi"/>
        </w:rPr>
        <w:t>either Bunjil Place or the Frankston</w:t>
      </w:r>
      <w:r>
        <w:rPr>
          <w:rFonts w:cstheme="minorHAnsi"/>
        </w:rPr>
        <w:t xml:space="preserve"> </w:t>
      </w:r>
      <w:r w:rsidRPr="00CE1C97">
        <w:rPr>
          <w:rFonts w:cstheme="minorHAnsi"/>
        </w:rPr>
        <w:t>Arts Centre. The locations have proven</w:t>
      </w:r>
      <w:r>
        <w:rPr>
          <w:rFonts w:cstheme="minorHAnsi"/>
        </w:rPr>
        <w:t xml:space="preserve"> </w:t>
      </w:r>
      <w:r w:rsidRPr="00CE1C97">
        <w:rPr>
          <w:rFonts w:cstheme="minorHAnsi"/>
        </w:rPr>
        <w:t>to be highly successful as Chisholm</w:t>
      </w:r>
      <w:r>
        <w:rPr>
          <w:rFonts w:cstheme="minorHAnsi"/>
        </w:rPr>
        <w:t xml:space="preserve"> </w:t>
      </w:r>
      <w:r w:rsidRPr="00CE1C97">
        <w:rPr>
          <w:rFonts w:cstheme="minorHAnsi"/>
        </w:rPr>
        <w:t>maintains the South East connection</w:t>
      </w:r>
      <w:r>
        <w:rPr>
          <w:rFonts w:cstheme="minorHAnsi"/>
        </w:rPr>
        <w:t xml:space="preserve"> </w:t>
      </w:r>
      <w:r w:rsidRPr="00CE1C97">
        <w:rPr>
          <w:rFonts w:cstheme="minorHAnsi"/>
        </w:rPr>
        <w:t>from enrolment to alumni.</w:t>
      </w:r>
    </w:p>
    <w:p w:rsidR="007D1DE4" w:rsidRDefault="007D1DE4" w:rsidP="00B15233">
      <w:pPr>
        <w:autoSpaceDE w:val="0"/>
        <w:autoSpaceDN w:val="0"/>
        <w:adjustRightInd w:val="0"/>
        <w:spacing w:after="0" w:line="240" w:lineRule="auto"/>
        <w:rPr>
          <w:rFonts w:cstheme="minorHAnsi"/>
        </w:rPr>
      </w:pPr>
    </w:p>
    <w:p w:rsidR="007D1DE4" w:rsidRDefault="007D1DE4" w:rsidP="00CE1C97">
      <w:pPr>
        <w:pStyle w:val="Heading3"/>
      </w:pPr>
      <w:r>
        <w:t>Career Practitioners</w:t>
      </w:r>
    </w:p>
    <w:p w:rsidR="007D1DE4" w:rsidRDefault="007D1DE4" w:rsidP="00B15233">
      <w:pPr>
        <w:autoSpaceDE w:val="0"/>
        <w:autoSpaceDN w:val="0"/>
        <w:adjustRightInd w:val="0"/>
        <w:spacing w:after="0" w:line="240" w:lineRule="auto"/>
        <w:rPr>
          <w:rFonts w:cstheme="minorHAnsi"/>
        </w:rPr>
      </w:pPr>
    </w:p>
    <w:p w:rsidR="00CE1C97" w:rsidRPr="00CE1C97" w:rsidRDefault="00CE1C97" w:rsidP="00CE1C97">
      <w:pPr>
        <w:autoSpaceDE w:val="0"/>
        <w:autoSpaceDN w:val="0"/>
        <w:adjustRightInd w:val="0"/>
        <w:spacing w:after="0" w:line="240" w:lineRule="auto"/>
        <w:rPr>
          <w:rFonts w:cstheme="minorHAnsi"/>
        </w:rPr>
      </w:pPr>
      <w:r w:rsidRPr="00CE1C97">
        <w:rPr>
          <w:rFonts w:cstheme="minorHAnsi"/>
        </w:rPr>
        <w:t>In 2018 the Victorian Government</w:t>
      </w:r>
      <w:r>
        <w:rPr>
          <w:rFonts w:cstheme="minorHAnsi"/>
        </w:rPr>
        <w:t xml:space="preserve"> </w:t>
      </w:r>
      <w:r w:rsidRPr="00CE1C97">
        <w:rPr>
          <w:rFonts w:cstheme="minorHAnsi"/>
        </w:rPr>
        <w:t>launched the Parliamentary Inquiry</w:t>
      </w:r>
      <w:r>
        <w:rPr>
          <w:rFonts w:cstheme="minorHAnsi"/>
        </w:rPr>
        <w:t xml:space="preserve"> </w:t>
      </w:r>
      <w:r w:rsidRPr="00CE1C97">
        <w:rPr>
          <w:rFonts w:cstheme="minorHAnsi"/>
        </w:rPr>
        <w:t>into Career Advice Activities in</w:t>
      </w:r>
      <w:r>
        <w:rPr>
          <w:rFonts w:cstheme="minorHAnsi"/>
        </w:rPr>
        <w:t xml:space="preserve"> </w:t>
      </w:r>
      <w:r w:rsidRPr="00CE1C97">
        <w:rPr>
          <w:rFonts w:cstheme="minorHAnsi"/>
        </w:rPr>
        <w:t>Victorian Schools. One of the findings</w:t>
      </w:r>
      <w:r>
        <w:rPr>
          <w:rFonts w:cstheme="minorHAnsi"/>
        </w:rPr>
        <w:t xml:space="preserve"> </w:t>
      </w:r>
      <w:r w:rsidRPr="00CE1C97">
        <w:rPr>
          <w:rFonts w:cstheme="minorHAnsi"/>
        </w:rPr>
        <w:t>was that both schools and industry</w:t>
      </w:r>
      <w:r>
        <w:rPr>
          <w:rFonts w:cstheme="minorHAnsi"/>
        </w:rPr>
        <w:t xml:space="preserve"> </w:t>
      </w:r>
      <w:r w:rsidRPr="00CE1C97">
        <w:rPr>
          <w:rFonts w:cstheme="minorHAnsi"/>
        </w:rPr>
        <w:t>would welcome the opportunity to</w:t>
      </w:r>
      <w:r>
        <w:rPr>
          <w:rFonts w:cstheme="minorHAnsi"/>
        </w:rPr>
        <w:t xml:space="preserve"> </w:t>
      </w:r>
      <w:r w:rsidRPr="00CE1C97">
        <w:rPr>
          <w:rFonts w:cstheme="minorHAnsi"/>
        </w:rPr>
        <w:t>meet and share knowledge around</w:t>
      </w:r>
      <w:r>
        <w:rPr>
          <w:rFonts w:cstheme="minorHAnsi"/>
        </w:rPr>
        <w:t xml:space="preserve"> </w:t>
      </w:r>
      <w:r w:rsidRPr="00CE1C97">
        <w:rPr>
          <w:rFonts w:cstheme="minorHAnsi"/>
        </w:rPr>
        <w:t>occupational trends, industry needs</w:t>
      </w:r>
      <w:r>
        <w:rPr>
          <w:rFonts w:cstheme="minorHAnsi"/>
        </w:rPr>
        <w:t xml:space="preserve"> </w:t>
      </w:r>
      <w:r w:rsidRPr="00CE1C97">
        <w:rPr>
          <w:rFonts w:cstheme="minorHAnsi"/>
        </w:rPr>
        <w:t>and pathways to employment for senior</w:t>
      </w:r>
      <w:r>
        <w:rPr>
          <w:rFonts w:cstheme="minorHAnsi"/>
        </w:rPr>
        <w:t xml:space="preserve"> </w:t>
      </w:r>
      <w:r w:rsidRPr="00CE1C97">
        <w:rPr>
          <w:rFonts w:cstheme="minorHAnsi"/>
        </w:rPr>
        <w:t>secondary students. To support this,</w:t>
      </w:r>
      <w:r>
        <w:rPr>
          <w:rFonts w:cstheme="minorHAnsi"/>
        </w:rPr>
        <w:t xml:space="preserve"> </w:t>
      </w:r>
      <w:r w:rsidRPr="00CE1C97">
        <w:rPr>
          <w:rFonts w:cstheme="minorHAnsi"/>
        </w:rPr>
        <w:t>Chisholm Institute organised a series of</w:t>
      </w:r>
      <w:r>
        <w:rPr>
          <w:rFonts w:cstheme="minorHAnsi"/>
        </w:rPr>
        <w:t xml:space="preserve"> </w:t>
      </w:r>
      <w:r w:rsidRPr="00CE1C97">
        <w:rPr>
          <w:rFonts w:cstheme="minorHAnsi"/>
        </w:rPr>
        <w:t>industry information nights for Career</w:t>
      </w:r>
      <w:r>
        <w:rPr>
          <w:rFonts w:cstheme="minorHAnsi"/>
        </w:rPr>
        <w:t xml:space="preserve"> </w:t>
      </w:r>
      <w:r w:rsidRPr="00CE1C97">
        <w:rPr>
          <w:rFonts w:cstheme="minorHAnsi"/>
        </w:rPr>
        <w:t>Practitioners. The two events reached</w:t>
      </w:r>
      <w:r>
        <w:rPr>
          <w:rFonts w:cstheme="minorHAnsi"/>
        </w:rPr>
        <w:t xml:space="preserve"> </w:t>
      </w:r>
      <w:r w:rsidRPr="00CE1C97">
        <w:rPr>
          <w:rFonts w:cstheme="minorHAnsi"/>
        </w:rPr>
        <w:t>23 schools in the south east region with</w:t>
      </w:r>
      <w:r>
        <w:rPr>
          <w:rFonts w:cstheme="minorHAnsi"/>
        </w:rPr>
        <w:t xml:space="preserve"> </w:t>
      </w:r>
      <w:r w:rsidRPr="00CE1C97">
        <w:rPr>
          <w:rFonts w:cstheme="minorHAnsi"/>
        </w:rPr>
        <w:t>more than 50 registrations.</w:t>
      </w:r>
    </w:p>
    <w:p w:rsidR="00CE1C97" w:rsidRDefault="00CE1C97" w:rsidP="00B15233">
      <w:pPr>
        <w:autoSpaceDE w:val="0"/>
        <w:autoSpaceDN w:val="0"/>
        <w:adjustRightInd w:val="0"/>
        <w:spacing w:after="0" w:line="240" w:lineRule="auto"/>
        <w:rPr>
          <w:rFonts w:cstheme="minorHAnsi"/>
        </w:rPr>
      </w:pPr>
    </w:p>
    <w:p w:rsidR="007D1DE4" w:rsidRDefault="007D1DE4" w:rsidP="00CE1C97">
      <w:pPr>
        <w:pStyle w:val="Heading3"/>
      </w:pPr>
      <w:r>
        <w:t>TAFE</w:t>
      </w:r>
      <w:r w:rsidR="00CE1C97">
        <w:t xml:space="preserve"> Teacher Recruitment Campaign – Jay Polandaya</w:t>
      </w:r>
    </w:p>
    <w:p w:rsidR="00CE1C97" w:rsidRDefault="00CE1C97" w:rsidP="00B15233">
      <w:pPr>
        <w:autoSpaceDE w:val="0"/>
        <w:autoSpaceDN w:val="0"/>
        <w:adjustRightInd w:val="0"/>
        <w:spacing w:after="0" w:line="240" w:lineRule="auto"/>
        <w:rPr>
          <w:rFonts w:cstheme="minorHAnsi"/>
        </w:rPr>
      </w:pPr>
    </w:p>
    <w:p w:rsidR="00CE1C97" w:rsidRPr="00CE1C97" w:rsidRDefault="00CE1C97" w:rsidP="00CE1C97">
      <w:pPr>
        <w:autoSpaceDE w:val="0"/>
        <w:autoSpaceDN w:val="0"/>
        <w:adjustRightInd w:val="0"/>
        <w:spacing w:after="0" w:line="240" w:lineRule="auto"/>
        <w:rPr>
          <w:rFonts w:cstheme="minorHAnsi"/>
        </w:rPr>
      </w:pPr>
      <w:r w:rsidRPr="00CE1C97">
        <w:rPr>
          <w:rFonts w:cstheme="minorHAnsi"/>
        </w:rPr>
        <w:t>Jay Polandaya joined the state-wide</w:t>
      </w:r>
      <w:r>
        <w:rPr>
          <w:rFonts w:cstheme="minorHAnsi"/>
        </w:rPr>
        <w:t xml:space="preserve"> </w:t>
      </w:r>
      <w:r w:rsidRPr="00CE1C97">
        <w:rPr>
          <w:rFonts w:cstheme="minorHAnsi"/>
        </w:rPr>
        <w:t>TAFE teacher campaign promoting</w:t>
      </w:r>
      <w:r>
        <w:rPr>
          <w:rFonts w:cstheme="minorHAnsi"/>
        </w:rPr>
        <w:t xml:space="preserve"> </w:t>
      </w:r>
      <w:r w:rsidRPr="00CE1C97">
        <w:rPr>
          <w:rFonts w:cstheme="minorHAnsi"/>
        </w:rPr>
        <w:t>talented educators. Jay was selected</w:t>
      </w:r>
      <w:r>
        <w:rPr>
          <w:rFonts w:cstheme="minorHAnsi"/>
        </w:rPr>
        <w:t xml:space="preserve"> </w:t>
      </w:r>
      <w:r w:rsidRPr="00CE1C97">
        <w:rPr>
          <w:rFonts w:cstheme="minorHAnsi"/>
        </w:rPr>
        <w:t>by DET, as one of only seven Victorian</w:t>
      </w:r>
      <w:r>
        <w:rPr>
          <w:rFonts w:cstheme="minorHAnsi"/>
        </w:rPr>
        <w:t xml:space="preserve"> </w:t>
      </w:r>
      <w:r w:rsidRPr="00CE1C97">
        <w:rPr>
          <w:rFonts w:cstheme="minorHAnsi"/>
        </w:rPr>
        <w:t>TAFE teachers as part of their upcoming</w:t>
      </w:r>
      <w:r>
        <w:rPr>
          <w:rFonts w:cstheme="minorHAnsi"/>
        </w:rPr>
        <w:t xml:space="preserve"> </w:t>
      </w:r>
      <w:r w:rsidRPr="00CE1C97">
        <w:rPr>
          <w:rFonts w:cstheme="minorHAnsi"/>
        </w:rPr>
        <w:t>campaign. Jay joined Chisholm as</w:t>
      </w:r>
      <w:r>
        <w:rPr>
          <w:rFonts w:cstheme="minorHAnsi"/>
        </w:rPr>
        <w:t xml:space="preserve"> </w:t>
      </w:r>
      <w:r w:rsidRPr="00CE1C97">
        <w:rPr>
          <w:rFonts w:cstheme="minorHAnsi"/>
        </w:rPr>
        <w:t>a sessional teacher five years ago,</w:t>
      </w:r>
      <w:r>
        <w:rPr>
          <w:rFonts w:cstheme="minorHAnsi"/>
        </w:rPr>
        <w:t xml:space="preserve"> </w:t>
      </w:r>
      <w:r w:rsidRPr="00CE1C97">
        <w:rPr>
          <w:rFonts w:cstheme="minorHAnsi"/>
        </w:rPr>
        <w:t>with the last two as a permanent staff</w:t>
      </w:r>
      <w:r>
        <w:rPr>
          <w:rFonts w:cstheme="minorHAnsi"/>
        </w:rPr>
        <w:t xml:space="preserve"> </w:t>
      </w:r>
      <w:r w:rsidRPr="00CE1C97">
        <w:rPr>
          <w:rFonts w:cstheme="minorHAnsi"/>
        </w:rPr>
        <w:t>member. Over the last five years, Jay</w:t>
      </w:r>
      <w:r>
        <w:rPr>
          <w:rFonts w:cstheme="minorHAnsi"/>
        </w:rPr>
        <w:t xml:space="preserve"> </w:t>
      </w:r>
      <w:r w:rsidRPr="00CE1C97">
        <w:rPr>
          <w:rFonts w:cstheme="minorHAnsi"/>
        </w:rPr>
        <w:t>has upgraded his Cert IV in Training</w:t>
      </w:r>
      <w:r>
        <w:rPr>
          <w:rFonts w:cstheme="minorHAnsi"/>
        </w:rPr>
        <w:t xml:space="preserve"> </w:t>
      </w:r>
      <w:r w:rsidRPr="00CE1C97">
        <w:rPr>
          <w:rFonts w:cstheme="minorHAnsi"/>
        </w:rPr>
        <w:t>and Assessment, to add to a Diploma</w:t>
      </w:r>
      <w:r>
        <w:rPr>
          <w:rFonts w:cstheme="minorHAnsi"/>
        </w:rPr>
        <w:t xml:space="preserve"> </w:t>
      </w:r>
      <w:r w:rsidRPr="00CE1C97">
        <w:rPr>
          <w:rFonts w:cstheme="minorHAnsi"/>
        </w:rPr>
        <w:t>of Vocational Education, Diploma of</w:t>
      </w:r>
      <w:r>
        <w:rPr>
          <w:rFonts w:cstheme="minorHAnsi"/>
        </w:rPr>
        <w:t xml:space="preserve"> </w:t>
      </w:r>
      <w:r w:rsidRPr="00CE1C97">
        <w:rPr>
          <w:rFonts w:cstheme="minorHAnsi"/>
        </w:rPr>
        <w:t>Training, Design, and Development,</w:t>
      </w:r>
      <w:r>
        <w:rPr>
          <w:rFonts w:cstheme="minorHAnsi"/>
        </w:rPr>
        <w:t xml:space="preserve"> </w:t>
      </w:r>
      <w:r w:rsidRPr="00CE1C97">
        <w:rPr>
          <w:rFonts w:cstheme="minorHAnsi"/>
        </w:rPr>
        <w:t>and finally a Graduate Certificate</w:t>
      </w:r>
      <w:r>
        <w:rPr>
          <w:rFonts w:cstheme="minorHAnsi"/>
        </w:rPr>
        <w:t xml:space="preserve"> </w:t>
      </w:r>
      <w:r w:rsidRPr="00CE1C97">
        <w:rPr>
          <w:rFonts w:cstheme="minorHAnsi"/>
        </w:rPr>
        <w:t>of Teaching and Learning in Higher</w:t>
      </w:r>
      <w:r>
        <w:rPr>
          <w:rFonts w:cstheme="minorHAnsi"/>
        </w:rPr>
        <w:t xml:space="preserve"> </w:t>
      </w:r>
      <w:r w:rsidRPr="00CE1C97">
        <w:rPr>
          <w:rFonts w:cstheme="minorHAnsi"/>
        </w:rPr>
        <w:t>Education. Advertising will ran across</w:t>
      </w:r>
      <w:r>
        <w:rPr>
          <w:rFonts w:cstheme="minorHAnsi"/>
        </w:rPr>
        <w:t xml:space="preserve"> </w:t>
      </w:r>
      <w:r w:rsidRPr="00CE1C97">
        <w:rPr>
          <w:rFonts w:cstheme="minorHAnsi"/>
        </w:rPr>
        <w:t>a variety of channels including radio,</w:t>
      </w:r>
      <w:r>
        <w:rPr>
          <w:rFonts w:cstheme="minorHAnsi"/>
        </w:rPr>
        <w:t xml:space="preserve"> </w:t>
      </w:r>
      <w:r w:rsidRPr="00CE1C97">
        <w:rPr>
          <w:rFonts w:cstheme="minorHAnsi"/>
        </w:rPr>
        <w:t>print, digital, social media and outdoor,</w:t>
      </w:r>
      <w:r>
        <w:rPr>
          <w:rFonts w:cstheme="minorHAnsi"/>
        </w:rPr>
        <w:t xml:space="preserve"> </w:t>
      </w:r>
      <w:r w:rsidRPr="00CE1C97">
        <w:rPr>
          <w:rFonts w:cstheme="minorHAnsi"/>
        </w:rPr>
        <w:t>including billboards and bus shelters.</w:t>
      </w:r>
      <w:r>
        <w:rPr>
          <w:rFonts w:cstheme="minorHAnsi"/>
        </w:rPr>
        <w:t xml:space="preserve"> </w:t>
      </w:r>
      <w:r w:rsidRPr="00CE1C97">
        <w:rPr>
          <w:rFonts w:cstheme="minorHAnsi"/>
        </w:rPr>
        <w:t>The campaign aimed to increase</w:t>
      </w:r>
      <w:r>
        <w:rPr>
          <w:rFonts w:cstheme="minorHAnsi"/>
        </w:rPr>
        <w:t xml:space="preserve"> </w:t>
      </w:r>
      <w:r w:rsidRPr="00CE1C97">
        <w:rPr>
          <w:rFonts w:cstheme="minorHAnsi"/>
        </w:rPr>
        <w:t>awareness of job availability across the</w:t>
      </w:r>
      <w:r>
        <w:rPr>
          <w:rFonts w:cstheme="minorHAnsi"/>
        </w:rPr>
        <w:t xml:space="preserve"> </w:t>
      </w:r>
      <w:r w:rsidRPr="00CE1C97">
        <w:rPr>
          <w:rFonts w:cstheme="minorHAnsi"/>
        </w:rPr>
        <w:t>TAFE Victoria network and drive traffic</w:t>
      </w:r>
      <w:r>
        <w:rPr>
          <w:rFonts w:cstheme="minorHAnsi"/>
        </w:rPr>
        <w:t xml:space="preserve"> </w:t>
      </w:r>
      <w:r w:rsidRPr="00CE1C97">
        <w:rPr>
          <w:rFonts w:cstheme="minorHAnsi"/>
        </w:rPr>
        <w:t>to the jobs board (jobs.tafe.vic.gov.au).</w:t>
      </w:r>
      <w:r>
        <w:rPr>
          <w:rFonts w:cstheme="minorHAnsi"/>
        </w:rPr>
        <w:t xml:space="preserve"> </w:t>
      </w:r>
      <w:r w:rsidRPr="00CE1C97">
        <w:rPr>
          <w:rFonts w:cstheme="minorHAnsi"/>
        </w:rPr>
        <w:t>The government has been keen to reach</w:t>
      </w:r>
      <w:r>
        <w:rPr>
          <w:rFonts w:cstheme="minorHAnsi"/>
        </w:rPr>
        <w:t xml:space="preserve"> </w:t>
      </w:r>
      <w:r w:rsidRPr="00CE1C97">
        <w:rPr>
          <w:rFonts w:cstheme="minorHAnsi"/>
        </w:rPr>
        <w:t>as many skilled people as possible</w:t>
      </w:r>
      <w:r>
        <w:rPr>
          <w:rFonts w:cstheme="minorHAnsi"/>
        </w:rPr>
        <w:t xml:space="preserve"> </w:t>
      </w:r>
      <w:r w:rsidRPr="00CE1C97">
        <w:rPr>
          <w:rFonts w:cstheme="minorHAnsi"/>
        </w:rPr>
        <w:t>who may be interested in becoming</w:t>
      </w:r>
      <w:r>
        <w:rPr>
          <w:rFonts w:cstheme="minorHAnsi"/>
        </w:rPr>
        <w:t xml:space="preserve"> </w:t>
      </w:r>
      <w:r w:rsidRPr="00CE1C97">
        <w:rPr>
          <w:rFonts w:cstheme="minorHAnsi"/>
        </w:rPr>
        <w:t>TAFE teachers.</w:t>
      </w:r>
    </w:p>
    <w:p w:rsidR="007D1DE4" w:rsidRDefault="007D1DE4" w:rsidP="00B15233">
      <w:pPr>
        <w:autoSpaceDE w:val="0"/>
        <w:autoSpaceDN w:val="0"/>
        <w:adjustRightInd w:val="0"/>
        <w:spacing w:after="0" w:line="240" w:lineRule="auto"/>
        <w:rPr>
          <w:rFonts w:cstheme="minorHAnsi"/>
        </w:rPr>
      </w:pPr>
    </w:p>
    <w:p w:rsidR="007D1DE4" w:rsidRDefault="00CE1C97" w:rsidP="00B15233">
      <w:pPr>
        <w:autoSpaceDE w:val="0"/>
        <w:autoSpaceDN w:val="0"/>
        <w:adjustRightInd w:val="0"/>
        <w:spacing w:after="0" w:line="240" w:lineRule="auto"/>
        <w:rPr>
          <w:rFonts w:cstheme="minorHAnsi"/>
        </w:rPr>
      </w:pPr>
      <w:r>
        <w:rPr>
          <w:rFonts w:cstheme="minorHAnsi"/>
        </w:rPr>
        <w:t>&lt;page 7&gt;</w:t>
      </w:r>
    </w:p>
    <w:p w:rsidR="007D1DE4" w:rsidRDefault="007D1DE4" w:rsidP="00B15233">
      <w:pPr>
        <w:autoSpaceDE w:val="0"/>
        <w:autoSpaceDN w:val="0"/>
        <w:adjustRightInd w:val="0"/>
        <w:spacing w:after="0" w:line="240" w:lineRule="auto"/>
        <w:rPr>
          <w:rFonts w:cstheme="minorHAnsi"/>
        </w:rPr>
      </w:pPr>
    </w:p>
    <w:p w:rsidR="00CE1C97" w:rsidRDefault="00CE1C97" w:rsidP="00CE1C97">
      <w:pPr>
        <w:pStyle w:val="Heading2"/>
      </w:pPr>
      <w:r>
        <w:t xml:space="preserve">Working with Industry </w:t>
      </w:r>
    </w:p>
    <w:p w:rsidR="00CE1C97" w:rsidRDefault="00CE1C97" w:rsidP="00B15233">
      <w:pPr>
        <w:autoSpaceDE w:val="0"/>
        <w:autoSpaceDN w:val="0"/>
        <w:adjustRightInd w:val="0"/>
        <w:spacing w:after="0" w:line="240" w:lineRule="auto"/>
        <w:rPr>
          <w:rFonts w:cstheme="minorHAnsi"/>
        </w:rPr>
      </w:pPr>
    </w:p>
    <w:p w:rsidR="00CE1C97" w:rsidRDefault="00343D43" w:rsidP="00CE1C97">
      <w:pPr>
        <w:pStyle w:val="NoSpacing"/>
      </w:pPr>
      <w:r>
        <w:t>Chisholm Institute has a range of partnerships and linkages, with industry, that support the delivery of relevant training aligned with current and emerging skill requirements to support workforce needs.</w:t>
      </w:r>
    </w:p>
    <w:p w:rsidR="00343D43" w:rsidRDefault="00343D43" w:rsidP="00CE1C97">
      <w:pPr>
        <w:pStyle w:val="NoSpacing"/>
      </w:pPr>
    </w:p>
    <w:p w:rsidR="00343D43" w:rsidRDefault="00343D43" w:rsidP="00CE1C97">
      <w:pPr>
        <w:pStyle w:val="NoSpacing"/>
      </w:pPr>
      <w:r>
        <w:t>A commitment to enduring relationships and long-term collaborative arrangements were demonstrated by agreements reached with four key sectors: automotive, aged care, disability and defence.</w:t>
      </w:r>
    </w:p>
    <w:p w:rsidR="00CE1C97" w:rsidRDefault="00CE1C97" w:rsidP="00B15233">
      <w:pPr>
        <w:autoSpaceDE w:val="0"/>
        <w:autoSpaceDN w:val="0"/>
        <w:adjustRightInd w:val="0"/>
        <w:spacing w:after="0" w:line="240" w:lineRule="auto"/>
        <w:rPr>
          <w:rFonts w:cstheme="minorHAnsi"/>
        </w:rPr>
      </w:pPr>
    </w:p>
    <w:p w:rsidR="00CE1C97" w:rsidRDefault="00CE1C97" w:rsidP="00CE1C97">
      <w:pPr>
        <w:pStyle w:val="Heading3"/>
      </w:pPr>
      <w:r>
        <w:t xml:space="preserve">Automotive </w:t>
      </w:r>
    </w:p>
    <w:p w:rsidR="00CE1C97" w:rsidRDefault="00CE1C97" w:rsidP="00B15233">
      <w:pPr>
        <w:autoSpaceDE w:val="0"/>
        <w:autoSpaceDN w:val="0"/>
        <w:adjustRightInd w:val="0"/>
        <w:spacing w:after="0" w:line="240" w:lineRule="auto"/>
        <w:rPr>
          <w:rFonts w:cstheme="minorHAnsi"/>
        </w:rPr>
      </w:pPr>
    </w:p>
    <w:p w:rsidR="00CE1C97" w:rsidRDefault="00CE1C97" w:rsidP="00CE1C97">
      <w:pPr>
        <w:pStyle w:val="Heading4"/>
      </w:pPr>
      <w:r>
        <w:t xml:space="preserve">Victorian Automotive Chamber of Commerce (VACC) </w:t>
      </w:r>
    </w:p>
    <w:p w:rsidR="00CE1C97" w:rsidRDefault="00CE1C97" w:rsidP="00B15233">
      <w:pPr>
        <w:autoSpaceDE w:val="0"/>
        <w:autoSpaceDN w:val="0"/>
        <w:adjustRightInd w:val="0"/>
        <w:spacing w:after="0" w:line="240" w:lineRule="auto"/>
        <w:rPr>
          <w:rFonts w:cstheme="minorHAnsi"/>
        </w:rPr>
      </w:pPr>
    </w:p>
    <w:p w:rsidR="00CE1C97" w:rsidRDefault="00CE1C97" w:rsidP="00CE1C97">
      <w:pPr>
        <w:autoSpaceDE w:val="0"/>
        <w:autoSpaceDN w:val="0"/>
        <w:adjustRightInd w:val="0"/>
        <w:spacing w:after="0" w:line="240" w:lineRule="auto"/>
        <w:rPr>
          <w:rFonts w:cstheme="minorHAnsi"/>
          <w:color w:val="000000"/>
        </w:rPr>
      </w:pPr>
      <w:r w:rsidRPr="00CE1C97">
        <w:rPr>
          <w:rFonts w:cstheme="minorHAnsi"/>
          <w:color w:val="000000"/>
        </w:rPr>
        <w:t>The selection of Chisholm to become the VACC’s preferred</w:t>
      </w:r>
      <w:r>
        <w:rPr>
          <w:rFonts w:cstheme="minorHAnsi"/>
          <w:color w:val="000000"/>
        </w:rPr>
        <w:t xml:space="preserve"> </w:t>
      </w:r>
      <w:r w:rsidRPr="00CE1C97">
        <w:rPr>
          <w:rFonts w:cstheme="minorHAnsi"/>
          <w:color w:val="000000"/>
        </w:rPr>
        <w:t>Registered Training Organisation takes effect in 2020. Thi</w:t>
      </w:r>
      <w:r>
        <w:rPr>
          <w:rFonts w:cstheme="minorHAnsi"/>
          <w:color w:val="000000"/>
        </w:rPr>
        <w:t xml:space="preserve">s </w:t>
      </w:r>
      <w:r w:rsidRPr="00CE1C97">
        <w:rPr>
          <w:rFonts w:cstheme="minorHAnsi"/>
          <w:color w:val="000000"/>
        </w:rPr>
        <w:t>relationship will support apprenticeship training for their</w:t>
      </w:r>
      <w:r>
        <w:rPr>
          <w:rFonts w:cstheme="minorHAnsi"/>
          <w:color w:val="000000"/>
        </w:rPr>
        <w:t xml:space="preserve"> </w:t>
      </w:r>
      <w:r w:rsidRPr="00CE1C97">
        <w:rPr>
          <w:rFonts w:cstheme="minorHAnsi"/>
          <w:color w:val="000000"/>
        </w:rPr>
        <w:t>Group Training Apprentices and, in time, to their broader</w:t>
      </w:r>
      <w:r>
        <w:rPr>
          <w:rFonts w:cstheme="minorHAnsi"/>
          <w:color w:val="000000"/>
        </w:rPr>
        <w:t xml:space="preserve"> </w:t>
      </w:r>
      <w:r w:rsidRPr="00CE1C97">
        <w:rPr>
          <w:rFonts w:cstheme="minorHAnsi"/>
          <w:color w:val="000000"/>
        </w:rPr>
        <w:t>membership base.</w:t>
      </w:r>
      <w:r>
        <w:rPr>
          <w:rFonts w:cstheme="minorHAnsi"/>
          <w:color w:val="000000"/>
        </w:rPr>
        <w:t xml:space="preserve"> </w:t>
      </w:r>
    </w:p>
    <w:p w:rsidR="00CE1C97" w:rsidRPr="00CE1C97" w:rsidRDefault="00CE1C97" w:rsidP="00CE1C97">
      <w:pPr>
        <w:autoSpaceDE w:val="0"/>
        <w:autoSpaceDN w:val="0"/>
        <w:adjustRightInd w:val="0"/>
        <w:spacing w:after="0" w:line="240" w:lineRule="auto"/>
        <w:rPr>
          <w:rFonts w:cstheme="minorHAnsi"/>
          <w:color w:val="000000"/>
        </w:rPr>
      </w:pPr>
      <w:r w:rsidRPr="00CE1C97">
        <w:rPr>
          <w:rFonts w:cstheme="minorHAnsi"/>
          <w:color w:val="000000"/>
        </w:rPr>
        <w:t>Approximately 100 VACC Mechanical Apprentices will</w:t>
      </w:r>
      <w:r>
        <w:rPr>
          <w:rFonts w:cstheme="minorHAnsi"/>
          <w:color w:val="000000"/>
        </w:rPr>
        <w:t xml:space="preserve"> </w:t>
      </w:r>
      <w:r w:rsidRPr="00CE1C97">
        <w:rPr>
          <w:rFonts w:cstheme="minorHAnsi"/>
          <w:color w:val="000000"/>
        </w:rPr>
        <w:t>begin training in 2020, under an auspice arrangement, with</w:t>
      </w:r>
      <w:r>
        <w:rPr>
          <w:rFonts w:cstheme="minorHAnsi"/>
          <w:color w:val="000000"/>
        </w:rPr>
        <w:t xml:space="preserve"> </w:t>
      </w:r>
      <w:r w:rsidRPr="00CE1C97">
        <w:rPr>
          <w:rFonts w:cstheme="minorHAnsi"/>
          <w:color w:val="000000"/>
        </w:rPr>
        <w:t>a model of first-year training delivered in the workplace.</w:t>
      </w:r>
    </w:p>
    <w:p w:rsidR="00CE1C97" w:rsidRPr="00CE1C97" w:rsidRDefault="00CE1C97" w:rsidP="00CE1C97">
      <w:pPr>
        <w:autoSpaceDE w:val="0"/>
        <w:autoSpaceDN w:val="0"/>
        <w:adjustRightInd w:val="0"/>
        <w:spacing w:after="0" w:line="240" w:lineRule="auto"/>
        <w:rPr>
          <w:rFonts w:cstheme="minorHAnsi"/>
        </w:rPr>
      </w:pPr>
      <w:r w:rsidRPr="00CE1C97">
        <w:rPr>
          <w:rFonts w:cstheme="minorHAnsi"/>
          <w:color w:val="000000"/>
        </w:rPr>
        <w:t>VACC and Chisholm intend to build a long-term</w:t>
      </w:r>
      <w:r>
        <w:rPr>
          <w:rFonts w:cstheme="minorHAnsi"/>
          <w:color w:val="000000"/>
        </w:rPr>
        <w:t xml:space="preserve"> </w:t>
      </w:r>
      <w:r w:rsidRPr="00CE1C97">
        <w:rPr>
          <w:rFonts w:cstheme="minorHAnsi"/>
          <w:color w:val="000000"/>
        </w:rPr>
        <w:t>collaborative relationship to support Apprenticeship</w:t>
      </w:r>
      <w:r>
        <w:rPr>
          <w:rFonts w:cstheme="minorHAnsi"/>
          <w:color w:val="000000"/>
        </w:rPr>
        <w:t xml:space="preserve"> </w:t>
      </w:r>
      <w:r w:rsidRPr="00CE1C97">
        <w:rPr>
          <w:rFonts w:cstheme="minorHAnsi"/>
          <w:color w:val="000000"/>
        </w:rPr>
        <w:t>training and to explore ancillary training in Heavy Vehicle,</w:t>
      </w:r>
      <w:r>
        <w:rPr>
          <w:rFonts w:cstheme="minorHAnsi"/>
          <w:color w:val="000000"/>
        </w:rPr>
        <w:t xml:space="preserve"> </w:t>
      </w:r>
      <w:r w:rsidRPr="00CE1C97">
        <w:rPr>
          <w:rFonts w:cstheme="minorHAnsi"/>
          <w:color w:val="000000"/>
        </w:rPr>
        <w:t>Air Conditioning and a multitude of Automotive Short</w:t>
      </w:r>
      <w:r>
        <w:rPr>
          <w:rFonts w:cstheme="minorHAnsi"/>
          <w:color w:val="000000"/>
        </w:rPr>
        <w:t xml:space="preserve"> </w:t>
      </w:r>
      <w:r w:rsidRPr="00CE1C97">
        <w:rPr>
          <w:rFonts w:cstheme="minorHAnsi"/>
          <w:color w:val="000000"/>
        </w:rPr>
        <w:t>Course skill-sets. It promises to be an incredibly fruitful</w:t>
      </w:r>
      <w:r>
        <w:rPr>
          <w:rFonts w:cstheme="minorHAnsi"/>
          <w:color w:val="000000"/>
        </w:rPr>
        <w:t xml:space="preserve"> </w:t>
      </w:r>
      <w:r w:rsidRPr="00CE1C97">
        <w:rPr>
          <w:rFonts w:cstheme="minorHAnsi"/>
          <w:color w:val="000000"/>
        </w:rPr>
        <w:t>partnership for Chisholm, positioning Chisholm as an</w:t>
      </w:r>
      <w:r>
        <w:rPr>
          <w:rFonts w:cstheme="minorHAnsi"/>
          <w:color w:val="000000"/>
        </w:rPr>
        <w:t xml:space="preserve"> automotive </w:t>
      </w:r>
      <w:r w:rsidRPr="00CE1C97">
        <w:rPr>
          <w:rFonts w:cstheme="minorHAnsi"/>
          <w:color w:val="000000"/>
        </w:rPr>
        <w:t>industry leader.</w:t>
      </w:r>
    </w:p>
    <w:p w:rsidR="00CE1C97" w:rsidRDefault="00CE1C97" w:rsidP="00B15233">
      <w:pPr>
        <w:autoSpaceDE w:val="0"/>
        <w:autoSpaceDN w:val="0"/>
        <w:adjustRightInd w:val="0"/>
        <w:spacing w:after="0" w:line="240" w:lineRule="auto"/>
        <w:rPr>
          <w:rFonts w:cstheme="minorHAnsi"/>
        </w:rPr>
      </w:pPr>
    </w:p>
    <w:p w:rsidR="00343D43" w:rsidRDefault="00343D43" w:rsidP="00343D43">
      <w:pPr>
        <w:pStyle w:val="Heading3"/>
      </w:pPr>
      <w:r>
        <w:t>Toyota Material Handling Australia</w:t>
      </w:r>
    </w:p>
    <w:p w:rsidR="00343D43" w:rsidRDefault="00343D43" w:rsidP="00B15233">
      <w:pPr>
        <w:autoSpaceDE w:val="0"/>
        <w:autoSpaceDN w:val="0"/>
        <w:adjustRightInd w:val="0"/>
        <w:spacing w:after="0" w:line="240" w:lineRule="auto"/>
        <w:rPr>
          <w:rFonts w:cstheme="minorHAnsi"/>
        </w:rPr>
      </w:pPr>
    </w:p>
    <w:p w:rsidR="00343D43" w:rsidRPr="00343D43" w:rsidRDefault="00343D43" w:rsidP="00343D43">
      <w:pPr>
        <w:autoSpaceDE w:val="0"/>
        <w:autoSpaceDN w:val="0"/>
        <w:adjustRightInd w:val="0"/>
        <w:spacing w:after="0" w:line="240" w:lineRule="auto"/>
        <w:rPr>
          <w:rFonts w:cstheme="minorHAnsi"/>
        </w:rPr>
      </w:pPr>
      <w:r w:rsidRPr="00343D43">
        <w:rPr>
          <w:rFonts w:cstheme="minorHAnsi"/>
        </w:rPr>
        <w:t>During 2019 Chisholm commenced</w:t>
      </w:r>
      <w:r>
        <w:rPr>
          <w:rFonts w:cstheme="minorHAnsi"/>
        </w:rPr>
        <w:t xml:space="preserve"> </w:t>
      </w:r>
      <w:r w:rsidRPr="00343D43">
        <w:rPr>
          <w:rFonts w:cstheme="minorHAnsi"/>
        </w:rPr>
        <w:t>an industry partnership with Toyota</w:t>
      </w:r>
      <w:r>
        <w:rPr>
          <w:rFonts w:cstheme="minorHAnsi"/>
        </w:rPr>
        <w:t xml:space="preserve"> </w:t>
      </w:r>
      <w:r w:rsidRPr="00343D43">
        <w:rPr>
          <w:rFonts w:cstheme="minorHAnsi"/>
        </w:rPr>
        <w:t>Material Handling Australia (TMHA).</w:t>
      </w:r>
    </w:p>
    <w:p w:rsidR="00343D43" w:rsidRPr="00343D43" w:rsidRDefault="00343D43" w:rsidP="00343D43">
      <w:pPr>
        <w:autoSpaceDE w:val="0"/>
        <w:autoSpaceDN w:val="0"/>
        <w:adjustRightInd w:val="0"/>
        <w:spacing w:after="0" w:line="240" w:lineRule="auto"/>
        <w:rPr>
          <w:rFonts w:cstheme="minorHAnsi"/>
        </w:rPr>
      </w:pPr>
      <w:r w:rsidRPr="00343D43">
        <w:rPr>
          <w:rFonts w:cstheme="minorHAnsi"/>
        </w:rPr>
        <w:t>The collaboration initially aims to work</w:t>
      </w:r>
      <w:r>
        <w:rPr>
          <w:rFonts w:cstheme="minorHAnsi"/>
        </w:rPr>
        <w:t xml:space="preserve"> </w:t>
      </w:r>
      <w:r w:rsidRPr="00343D43">
        <w:rPr>
          <w:rFonts w:cstheme="minorHAnsi"/>
        </w:rPr>
        <w:t>with TMHA nationally to develop a</w:t>
      </w:r>
      <w:r>
        <w:rPr>
          <w:rFonts w:cstheme="minorHAnsi"/>
        </w:rPr>
        <w:t xml:space="preserve"> </w:t>
      </w:r>
      <w:r w:rsidRPr="00343D43">
        <w:rPr>
          <w:rFonts w:cstheme="minorHAnsi"/>
        </w:rPr>
        <w:t>customised assessment tool for technical</w:t>
      </w:r>
      <w:r>
        <w:rPr>
          <w:rFonts w:cstheme="minorHAnsi"/>
        </w:rPr>
        <w:t xml:space="preserve"> </w:t>
      </w:r>
      <w:r w:rsidRPr="00343D43">
        <w:rPr>
          <w:rFonts w:cstheme="minorHAnsi"/>
        </w:rPr>
        <w:t>industry and company-specific skills</w:t>
      </w:r>
      <w:r>
        <w:rPr>
          <w:rFonts w:cstheme="minorHAnsi"/>
        </w:rPr>
        <w:t xml:space="preserve"> </w:t>
      </w:r>
      <w:r w:rsidRPr="00343D43">
        <w:rPr>
          <w:rFonts w:cstheme="minorHAnsi"/>
        </w:rPr>
        <w:t>and knowledge gaps with a potential</w:t>
      </w:r>
      <w:r>
        <w:rPr>
          <w:rFonts w:cstheme="minorHAnsi"/>
        </w:rPr>
        <w:t xml:space="preserve"> </w:t>
      </w:r>
      <w:r w:rsidRPr="00343D43">
        <w:rPr>
          <w:rFonts w:cstheme="minorHAnsi"/>
        </w:rPr>
        <w:t>to develop learning and development</w:t>
      </w:r>
      <w:r>
        <w:rPr>
          <w:rFonts w:cstheme="minorHAnsi"/>
        </w:rPr>
        <w:t xml:space="preserve"> </w:t>
      </w:r>
      <w:r w:rsidRPr="00343D43">
        <w:rPr>
          <w:rFonts w:cstheme="minorHAnsi"/>
        </w:rPr>
        <w:t>programs. There is the potential to</w:t>
      </w:r>
      <w:r>
        <w:rPr>
          <w:rFonts w:cstheme="minorHAnsi"/>
        </w:rPr>
        <w:t xml:space="preserve"> </w:t>
      </w:r>
      <w:r w:rsidRPr="00343D43">
        <w:rPr>
          <w:rFonts w:cstheme="minorHAnsi"/>
        </w:rPr>
        <w:t>partner with TMHA further on a national</w:t>
      </w:r>
      <w:r>
        <w:rPr>
          <w:rFonts w:cstheme="minorHAnsi"/>
        </w:rPr>
        <w:t xml:space="preserve"> </w:t>
      </w:r>
      <w:r w:rsidRPr="00343D43">
        <w:rPr>
          <w:rFonts w:cstheme="minorHAnsi"/>
        </w:rPr>
        <w:t>apprenticeship program in 2020 and</w:t>
      </w:r>
      <w:r>
        <w:rPr>
          <w:rFonts w:cstheme="minorHAnsi"/>
        </w:rPr>
        <w:t xml:space="preserve"> </w:t>
      </w:r>
      <w:r w:rsidRPr="00343D43">
        <w:rPr>
          <w:rFonts w:cstheme="minorHAnsi"/>
        </w:rPr>
        <w:t>beyond. The partnership presents an</w:t>
      </w:r>
      <w:r>
        <w:rPr>
          <w:rFonts w:cstheme="minorHAnsi"/>
        </w:rPr>
        <w:t xml:space="preserve"> </w:t>
      </w:r>
      <w:r w:rsidRPr="00343D43">
        <w:rPr>
          <w:rFonts w:cstheme="minorHAnsi"/>
        </w:rPr>
        <w:t>excellent opportunity for Chisholm to</w:t>
      </w:r>
      <w:r>
        <w:rPr>
          <w:rFonts w:cstheme="minorHAnsi"/>
        </w:rPr>
        <w:t xml:space="preserve"> </w:t>
      </w:r>
      <w:r w:rsidRPr="00343D43">
        <w:rPr>
          <w:rFonts w:cstheme="minorHAnsi"/>
        </w:rPr>
        <w:t>deepen integration with industry that will</w:t>
      </w:r>
      <w:r>
        <w:rPr>
          <w:rFonts w:cstheme="minorHAnsi"/>
        </w:rPr>
        <w:t xml:space="preserve"> </w:t>
      </w:r>
      <w:r w:rsidRPr="00343D43">
        <w:rPr>
          <w:rFonts w:cstheme="minorHAnsi"/>
        </w:rPr>
        <w:t>drive new standards in training outcomes</w:t>
      </w:r>
      <w:r>
        <w:rPr>
          <w:rFonts w:cstheme="minorHAnsi"/>
        </w:rPr>
        <w:t xml:space="preserve"> </w:t>
      </w:r>
      <w:r w:rsidRPr="00343D43">
        <w:rPr>
          <w:rFonts w:cstheme="minorHAnsi"/>
        </w:rPr>
        <w:t>across the VET sector.</w:t>
      </w:r>
    </w:p>
    <w:p w:rsidR="00343D43" w:rsidRDefault="00343D43" w:rsidP="00B15233">
      <w:pPr>
        <w:autoSpaceDE w:val="0"/>
        <w:autoSpaceDN w:val="0"/>
        <w:adjustRightInd w:val="0"/>
        <w:spacing w:after="0" w:line="240" w:lineRule="auto"/>
        <w:rPr>
          <w:rFonts w:cstheme="minorHAnsi"/>
        </w:rPr>
      </w:pPr>
    </w:p>
    <w:p w:rsidR="00343D43" w:rsidRDefault="00343D43" w:rsidP="00343D43">
      <w:pPr>
        <w:pStyle w:val="Heading3"/>
      </w:pPr>
      <w:r>
        <w:t>Aged Care</w:t>
      </w:r>
    </w:p>
    <w:p w:rsidR="00343D43" w:rsidRDefault="00343D43" w:rsidP="00B15233">
      <w:pPr>
        <w:autoSpaceDE w:val="0"/>
        <w:autoSpaceDN w:val="0"/>
        <w:adjustRightInd w:val="0"/>
        <w:spacing w:after="0" w:line="240" w:lineRule="auto"/>
        <w:rPr>
          <w:rFonts w:cstheme="minorHAnsi"/>
        </w:rPr>
      </w:pPr>
    </w:p>
    <w:p w:rsidR="00343D43" w:rsidRDefault="00343D43" w:rsidP="00343D43">
      <w:pPr>
        <w:pStyle w:val="Heading4"/>
      </w:pPr>
      <w:r>
        <w:t xml:space="preserve">Opal Aged Care </w:t>
      </w:r>
    </w:p>
    <w:p w:rsidR="00343D43" w:rsidRDefault="00343D43" w:rsidP="00B15233">
      <w:pPr>
        <w:autoSpaceDE w:val="0"/>
        <w:autoSpaceDN w:val="0"/>
        <w:adjustRightInd w:val="0"/>
        <w:spacing w:after="0" w:line="240" w:lineRule="auto"/>
        <w:rPr>
          <w:rFonts w:cstheme="minorHAnsi"/>
        </w:rPr>
      </w:pPr>
    </w:p>
    <w:p w:rsidR="00343D43" w:rsidRPr="00343D43" w:rsidRDefault="00343D43" w:rsidP="00343D43">
      <w:pPr>
        <w:autoSpaceDE w:val="0"/>
        <w:autoSpaceDN w:val="0"/>
        <w:adjustRightInd w:val="0"/>
        <w:spacing w:after="0" w:line="240" w:lineRule="auto"/>
        <w:rPr>
          <w:rFonts w:cstheme="minorHAnsi"/>
        </w:rPr>
      </w:pPr>
      <w:r w:rsidRPr="00343D43">
        <w:rPr>
          <w:rFonts w:cstheme="minorHAnsi"/>
        </w:rPr>
        <w:t>Opal Aged Care owns and operates 38</w:t>
      </w:r>
      <w:r>
        <w:rPr>
          <w:rFonts w:cstheme="minorHAnsi"/>
        </w:rPr>
        <w:t xml:space="preserve"> </w:t>
      </w:r>
      <w:r w:rsidRPr="00343D43">
        <w:rPr>
          <w:rFonts w:cstheme="minorHAnsi"/>
        </w:rPr>
        <w:t>residential aged care facilities, providing</w:t>
      </w:r>
      <w:r>
        <w:rPr>
          <w:rFonts w:cstheme="minorHAnsi"/>
        </w:rPr>
        <w:t xml:space="preserve"> </w:t>
      </w:r>
      <w:r w:rsidRPr="00343D43">
        <w:rPr>
          <w:rFonts w:cstheme="minorHAnsi"/>
        </w:rPr>
        <w:t>care services for residents in Australia,</w:t>
      </w:r>
      <w:r>
        <w:rPr>
          <w:rFonts w:cstheme="minorHAnsi"/>
        </w:rPr>
        <w:t xml:space="preserve"> </w:t>
      </w:r>
      <w:r w:rsidRPr="00343D43">
        <w:rPr>
          <w:rFonts w:cstheme="minorHAnsi"/>
        </w:rPr>
        <w:t>and commenced a formal agreement</w:t>
      </w:r>
      <w:r>
        <w:rPr>
          <w:rFonts w:cstheme="minorHAnsi"/>
        </w:rPr>
        <w:t xml:space="preserve"> </w:t>
      </w:r>
      <w:r w:rsidRPr="00343D43">
        <w:rPr>
          <w:rFonts w:cstheme="minorHAnsi"/>
        </w:rPr>
        <w:t>with Chisholm Institute in 2019.</w:t>
      </w:r>
    </w:p>
    <w:p w:rsidR="00343D43" w:rsidRPr="00343D43" w:rsidRDefault="00343D43" w:rsidP="00343D43">
      <w:pPr>
        <w:autoSpaceDE w:val="0"/>
        <w:autoSpaceDN w:val="0"/>
        <w:adjustRightInd w:val="0"/>
        <w:spacing w:after="0" w:line="240" w:lineRule="auto"/>
        <w:rPr>
          <w:rFonts w:cstheme="minorHAnsi"/>
        </w:rPr>
      </w:pPr>
      <w:r w:rsidRPr="00343D43">
        <w:rPr>
          <w:rFonts w:cstheme="minorHAnsi"/>
        </w:rPr>
        <w:t>The services agreement outlines</w:t>
      </w:r>
      <w:r>
        <w:rPr>
          <w:rFonts w:cstheme="minorHAnsi"/>
        </w:rPr>
        <w:t xml:space="preserve"> </w:t>
      </w:r>
      <w:r w:rsidRPr="00343D43">
        <w:rPr>
          <w:rFonts w:cstheme="minorHAnsi"/>
        </w:rPr>
        <w:t>Chisholm as their preferred provider</w:t>
      </w:r>
      <w:r>
        <w:rPr>
          <w:rFonts w:cstheme="minorHAnsi"/>
        </w:rPr>
        <w:t xml:space="preserve"> </w:t>
      </w:r>
      <w:r w:rsidRPr="00343D43">
        <w:rPr>
          <w:rFonts w:cstheme="minorHAnsi"/>
        </w:rPr>
        <w:t>for all accredited and non-accredited</w:t>
      </w:r>
      <w:r>
        <w:rPr>
          <w:rFonts w:cstheme="minorHAnsi"/>
        </w:rPr>
        <w:t xml:space="preserve"> </w:t>
      </w:r>
      <w:r w:rsidRPr="00343D43">
        <w:rPr>
          <w:rFonts w:cstheme="minorHAnsi"/>
        </w:rPr>
        <w:t>training, state-wide, to upskill existing</w:t>
      </w:r>
      <w:r>
        <w:rPr>
          <w:rFonts w:cstheme="minorHAnsi"/>
        </w:rPr>
        <w:t xml:space="preserve"> </w:t>
      </w:r>
      <w:r w:rsidRPr="00343D43">
        <w:rPr>
          <w:rFonts w:cstheme="minorHAnsi"/>
        </w:rPr>
        <w:t>staff through skill-sets including</w:t>
      </w:r>
      <w:r>
        <w:rPr>
          <w:rFonts w:cstheme="minorHAnsi"/>
        </w:rPr>
        <w:t xml:space="preserve"> </w:t>
      </w:r>
      <w:r w:rsidRPr="00343D43">
        <w:rPr>
          <w:rFonts w:cstheme="minorHAnsi"/>
        </w:rPr>
        <w:t>commercial cookery, health and ageing</w:t>
      </w:r>
      <w:r>
        <w:rPr>
          <w:rFonts w:cstheme="minorHAnsi"/>
        </w:rPr>
        <w:t xml:space="preserve"> </w:t>
      </w:r>
      <w:r w:rsidRPr="00343D43">
        <w:rPr>
          <w:rFonts w:cstheme="minorHAnsi"/>
        </w:rPr>
        <w:t>support programs.</w:t>
      </w:r>
    </w:p>
    <w:p w:rsidR="00B15233" w:rsidRDefault="00B15233" w:rsidP="005942B8">
      <w:pPr>
        <w:pStyle w:val="NoSpacing"/>
      </w:pPr>
    </w:p>
    <w:p w:rsidR="00343D43" w:rsidRDefault="00343D43" w:rsidP="005942B8">
      <w:pPr>
        <w:pStyle w:val="NoSpacing"/>
      </w:pPr>
      <w:r>
        <w:t>&lt;page 8&gt;</w:t>
      </w:r>
    </w:p>
    <w:p w:rsidR="00343D43" w:rsidRDefault="00343D43" w:rsidP="005942B8">
      <w:pPr>
        <w:pStyle w:val="NoSpacing"/>
      </w:pPr>
    </w:p>
    <w:p w:rsidR="00343D43" w:rsidRDefault="00343D43" w:rsidP="005942B8">
      <w:pPr>
        <w:pStyle w:val="NoSpacing"/>
      </w:pPr>
    </w:p>
    <w:p w:rsidR="00343D43" w:rsidRDefault="00343D43" w:rsidP="00B47726">
      <w:pPr>
        <w:pStyle w:val="Heading2"/>
      </w:pPr>
      <w:r>
        <w:t xml:space="preserve">Working with the Australian Defence Force </w:t>
      </w:r>
    </w:p>
    <w:p w:rsidR="00343D43" w:rsidRDefault="00343D43" w:rsidP="005942B8">
      <w:pPr>
        <w:pStyle w:val="NoSpacing"/>
      </w:pPr>
    </w:p>
    <w:p w:rsidR="00343D43" w:rsidRDefault="00343D43" w:rsidP="005942B8">
      <w:pPr>
        <w:pStyle w:val="NoSpacing"/>
      </w:pPr>
      <w:r>
        <w:t>Our strong relationship with Defence, including Navy and Army, was consolidated in 2019. The following projects and activities contributed to a deeper engagement with Defence, and further diversification of our revenue base.</w:t>
      </w:r>
    </w:p>
    <w:p w:rsidR="00343D43" w:rsidRDefault="00343D43" w:rsidP="005942B8">
      <w:pPr>
        <w:pStyle w:val="NoSpacing"/>
      </w:pPr>
    </w:p>
    <w:p w:rsidR="00343D43" w:rsidRDefault="00343D43" w:rsidP="00B47726">
      <w:pPr>
        <w:pStyle w:val="Heading3"/>
      </w:pPr>
      <w:r>
        <w:t>Naval Ship Building College and Australian Industry Group</w:t>
      </w:r>
    </w:p>
    <w:p w:rsidR="00343D43" w:rsidRDefault="00343D43" w:rsidP="005942B8">
      <w:pPr>
        <w:pStyle w:val="NoSpacing"/>
      </w:pPr>
    </w:p>
    <w:p w:rsidR="00B47726" w:rsidRPr="00B47726" w:rsidRDefault="00B47726" w:rsidP="00B47726">
      <w:pPr>
        <w:autoSpaceDE w:val="0"/>
        <w:autoSpaceDN w:val="0"/>
        <w:adjustRightInd w:val="0"/>
        <w:spacing w:after="0" w:line="240" w:lineRule="auto"/>
        <w:rPr>
          <w:rFonts w:cstheme="minorHAnsi"/>
        </w:rPr>
      </w:pPr>
      <w:r w:rsidRPr="00B47726">
        <w:rPr>
          <w:rFonts w:cstheme="minorHAnsi"/>
        </w:rPr>
        <w:lastRenderedPageBreak/>
        <w:t>The Naval Shipbuilding College is an</w:t>
      </w:r>
      <w:r>
        <w:rPr>
          <w:rFonts w:cstheme="minorHAnsi"/>
        </w:rPr>
        <w:t xml:space="preserve"> </w:t>
      </w:r>
      <w:r w:rsidRPr="00B47726">
        <w:rPr>
          <w:rFonts w:cstheme="minorHAnsi"/>
        </w:rPr>
        <w:t>Australian Government initiative that</w:t>
      </w:r>
      <w:r>
        <w:rPr>
          <w:rFonts w:cstheme="minorHAnsi"/>
        </w:rPr>
        <w:t xml:space="preserve"> </w:t>
      </w:r>
      <w:r w:rsidRPr="00B47726">
        <w:rPr>
          <w:rFonts w:cstheme="minorHAnsi"/>
        </w:rPr>
        <w:t>is supporting major naval shipbuilding</w:t>
      </w:r>
      <w:r>
        <w:rPr>
          <w:rFonts w:cstheme="minorHAnsi"/>
        </w:rPr>
        <w:t xml:space="preserve"> </w:t>
      </w:r>
      <w:r w:rsidRPr="00B47726">
        <w:rPr>
          <w:rFonts w:cstheme="minorHAnsi"/>
        </w:rPr>
        <w:t>projects, including the Attack Class</w:t>
      </w:r>
      <w:r>
        <w:rPr>
          <w:rFonts w:cstheme="minorHAnsi"/>
        </w:rPr>
        <w:t xml:space="preserve"> </w:t>
      </w:r>
      <w:r w:rsidRPr="00B47726">
        <w:rPr>
          <w:rFonts w:cstheme="minorHAnsi"/>
        </w:rPr>
        <w:t>Submarines, Hunter Class Frigates and</w:t>
      </w:r>
      <w:r>
        <w:rPr>
          <w:rFonts w:cstheme="minorHAnsi"/>
        </w:rPr>
        <w:t xml:space="preserve"> </w:t>
      </w:r>
      <w:r w:rsidRPr="00B47726">
        <w:rPr>
          <w:rFonts w:cstheme="minorHAnsi"/>
        </w:rPr>
        <w:t>Arafura Class Offshore Patrol Vessels.</w:t>
      </w:r>
    </w:p>
    <w:p w:rsidR="00B47726" w:rsidRDefault="00B47726" w:rsidP="00B47726">
      <w:pPr>
        <w:autoSpaceDE w:val="0"/>
        <w:autoSpaceDN w:val="0"/>
        <w:adjustRightInd w:val="0"/>
        <w:spacing w:after="0" w:line="240" w:lineRule="auto"/>
        <w:rPr>
          <w:rFonts w:cstheme="minorHAnsi"/>
        </w:rPr>
      </w:pPr>
    </w:p>
    <w:p w:rsidR="00B47726" w:rsidRPr="00B47726" w:rsidRDefault="00B47726" w:rsidP="00B47726">
      <w:pPr>
        <w:autoSpaceDE w:val="0"/>
        <w:autoSpaceDN w:val="0"/>
        <w:adjustRightInd w:val="0"/>
        <w:spacing w:after="0" w:line="240" w:lineRule="auto"/>
        <w:rPr>
          <w:rFonts w:cstheme="minorHAnsi"/>
        </w:rPr>
      </w:pPr>
      <w:r w:rsidRPr="00B47726">
        <w:rPr>
          <w:rFonts w:cstheme="minorHAnsi"/>
        </w:rPr>
        <w:t>It has partnered with government at</w:t>
      </w:r>
      <w:r>
        <w:rPr>
          <w:rFonts w:cstheme="minorHAnsi"/>
        </w:rPr>
        <w:t xml:space="preserve"> </w:t>
      </w:r>
      <w:r w:rsidRPr="00B47726">
        <w:rPr>
          <w:rFonts w:cstheme="minorHAnsi"/>
        </w:rPr>
        <w:t>federal, state and territory levels, major</w:t>
      </w:r>
      <w:r>
        <w:rPr>
          <w:rFonts w:cstheme="minorHAnsi"/>
        </w:rPr>
        <w:t xml:space="preserve"> </w:t>
      </w:r>
      <w:r w:rsidRPr="00B47726">
        <w:rPr>
          <w:rFonts w:cstheme="minorHAnsi"/>
        </w:rPr>
        <w:t>naval shipbuilding prime contractors,</w:t>
      </w:r>
      <w:r>
        <w:rPr>
          <w:rFonts w:cstheme="minorHAnsi"/>
        </w:rPr>
        <w:t xml:space="preserve"> </w:t>
      </w:r>
      <w:r w:rsidRPr="00B47726">
        <w:rPr>
          <w:rFonts w:cstheme="minorHAnsi"/>
        </w:rPr>
        <w:t>small-to-medium enterprises and</w:t>
      </w:r>
      <w:r>
        <w:rPr>
          <w:rFonts w:cstheme="minorHAnsi"/>
        </w:rPr>
        <w:t xml:space="preserve"> </w:t>
      </w:r>
      <w:r w:rsidRPr="00B47726">
        <w:rPr>
          <w:rFonts w:cstheme="minorHAnsi"/>
        </w:rPr>
        <w:t>Australia’s leading education and</w:t>
      </w:r>
      <w:r>
        <w:rPr>
          <w:rFonts w:cstheme="minorHAnsi"/>
        </w:rPr>
        <w:t xml:space="preserve"> </w:t>
      </w:r>
      <w:r w:rsidRPr="00B47726">
        <w:rPr>
          <w:rFonts w:cstheme="minorHAnsi"/>
        </w:rPr>
        <w:t>training providers to ensure that</w:t>
      </w:r>
      <w:r>
        <w:rPr>
          <w:rFonts w:cstheme="minorHAnsi"/>
        </w:rPr>
        <w:t xml:space="preserve"> </w:t>
      </w:r>
      <w:r w:rsidRPr="00B47726">
        <w:rPr>
          <w:rFonts w:cstheme="minorHAnsi"/>
        </w:rPr>
        <w:t>the naval shipbuilding workforce is</w:t>
      </w:r>
      <w:r>
        <w:rPr>
          <w:rFonts w:cstheme="minorHAnsi"/>
        </w:rPr>
        <w:t xml:space="preserve"> </w:t>
      </w:r>
      <w:r w:rsidRPr="00B47726">
        <w:rPr>
          <w:rFonts w:cstheme="minorHAnsi"/>
        </w:rPr>
        <w:t>established at the required time, with</w:t>
      </w:r>
      <w:r>
        <w:rPr>
          <w:rFonts w:cstheme="minorHAnsi"/>
        </w:rPr>
        <w:t xml:space="preserve"> </w:t>
      </w:r>
      <w:r w:rsidRPr="00B47726">
        <w:rPr>
          <w:rFonts w:cstheme="minorHAnsi"/>
        </w:rPr>
        <w:t>the required numbers and with the</w:t>
      </w:r>
      <w:r>
        <w:rPr>
          <w:rFonts w:cstheme="minorHAnsi"/>
        </w:rPr>
        <w:t xml:space="preserve"> </w:t>
      </w:r>
      <w:r w:rsidRPr="00B47726">
        <w:rPr>
          <w:rFonts w:cstheme="minorHAnsi"/>
        </w:rPr>
        <w:t>required skills for the Naval Shipbuilding</w:t>
      </w:r>
      <w:r>
        <w:rPr>
          <w:rFonts w:cstheme="minorHAnsi"/>
        </w:rPr>
        <w:t xml:space="preserve"> </w:t>
      </w:r>
      <w:r w:rsidRPr="00B47726">
        <w:rPr>
          <w:rFonts w:cstheme="minorHAnsi"/>
        </w:rPr>
        <w:t>Plan to be a success.</w:t>
      </w:r>
    </w:p>
    <w:p w:rsidR="00B47726" w:rsidRDefault="00B47726" w:rsidP="00B47726">
      <w:pPr>
        <w:autoSpaceDE w:val="0"/>
        <w:autoSpaceDN w:val="0"/>
        <w:adjustRightInd w:val="0"/>
        <w:spacing w:after="0" w:line="240" w:lineRule="auto"/>
        <w:rPr>
          <w:rFonts w:cstheme="minorHAnsi"/>
        </w:rPr>
      </w:pPr>
    </w:p>
    <w:p w:rsidR="00B47726" w:rsidRPr="00B47726" w:rsidRDefault="00B47726" w:rsidP="00B47726">
      <w:pPr>
        <w:autoSpaceDE w:val="0"/>
        <w:autoSpaceDN w:val="0"/>
        <w:adjustRightInd w:val="0"/>
        <w:spacing w:after="0" w:line="240" w:lineRule="auto"/>
        <w:rPr>
          <w:rFonts w:cstheme="minorHAnsi"/>
        </w:rPr>
      </w:pPr>
      <w:r w:rsidRPr="00B47726">
        <w:rPr>
          <w:rFonts w:cstheme="minorHAnsi"/>
        </w:rPr>
        <w:t>It continues to establish industry</w:t>
      </w:r>
      <w:r>
        <w:rPr>
          <w:rFonts w:cstheme="minorHAnsi"/>
        </w:rPr>
        <w:t xml:space="preserve"> </w:t>
      </w:r>
      <w:r w:rsidRPr="00B47726">
        <w:rPr>
          <w:rFonts w:cstheme="minorHAnsi"/>
        </w:rPr>
        <w:t>workforce requirements, build capacity</w:t>
      </w:r>
      <w:r>
        <w:rPr>
          <w:rFonts w:cstheme="minorHAnsi"/>
        </w:rPr>
        <w:t xml:space="preserve"> </w:t>
      </w:r>
      <w:r w:rsidRPr="00B47726">
        <w:rPr>
          <w:rFonts w:cstheme="minorHAnsi"/>
        </w:rPr>
        <w:t>and increase annual attendance a</w:t>
      </w:r>
      <w:r>
        <w:rPr>
          <w:rFonts w:cstheme="minorHAnsi"/>
        </w:rPr>
        <w:t xml:space="preserve">t </w:t>
      </w:r>
      <w:r w:rsidRPr="00B47726">
        <w:rPr>
          <w:rFonts w:cstheme="minorHAnsi"/>
        </w:rPr>
        <w:t>Australia’s leading education and</w:t>
      </w:r>
      <w:r>
        <w:rPr>
          <w:rFonts w:cstheme="minorHAnsi"/>
        </w:rPr>
        <w:t xml:space="preserve"> </w:t>
      </w:r>
      <w:r w:rsidRPr="00B47726">
        <w:rPr>
          <w:rFonts w:cstheme="minorHAnsi"/>
        </w:rPr>
        <w:t>training providers.</w:t>
      </w:r>
    </w:p>
    <w:p w:rsidR="00B47726" w:rsidRDefault="00B47726" w:rsidP="00B47726">
      <w:pPr>
        <w:autoSpaceDE w:val="0"/>
        <w:autoSpaceDN w:val="0"/>
        <w:adjustRightInd w:val="0"/>
        <w:spacing w:after="0" w:line="240" w:lineRule="auto"/>
        <w:rPr>
          <w:rFonts w:cstheme="minorHAnsi"/>
        </w:rPr>
      </w:pPr>
    </w:p>
    <w:p w:rsidR="00343D43" w:rsidRPr="00B47726" w:rsidRDefault="00B47726" w:rsidP="00B47726">
      <w:pPr>
        <w:autoSpaceDE w:val="0"/>
        <w:autoSpaceDN w:val="0"/>
        <w:adjustRightInd w:val="0"/>
        <w:spacing w:after="0" w:line="240" w:lineRule="auto"/>
        <w:rPr>
          <w:rFonts w:cstheme="minorHAnsi"/>
        </w:rPr>
      </w:pPr>
      <w:r w:rsidRPr="00B47726">
        <w:rPr>
          <w:rFonts w:cstheme="minorHAnsi"/>
        </w:rPr>
        <w:t>Chisholm has been selected as a</w:t>
      </w:r>
      <w:r>
        <w:rPr>
          <w:rFonts w:cstheme="minorHAnsi"/>
        </w:rPr>
        <w:t xml:space="preserve"> </w:t>
      </w:r>
      <w:r w:rsidRPr="00B47726">
        <w:rPr>
          <w:rFonts w:cstheme="minorHAnsi"/>
        </w:rPr>
        <w:t>preferred training provider, because of</w:t>
      </w:r>
      <w:r>
        <w:rPr>
          <w:rFonts w:cstheme="minorHAnsi"/>
        </w:rPr>
        <w:t xml:space="preserve"> </w:t>
      </w:r>
      <w:r w:rsidRPr="00B47726">
        <w:rPr>
          <w:rFonts w:cstheme="minorHAnsi"/>
        </w:rPr>
        <w:t>its tailored training solutions that will</w:t>
      </w:r>
      <w:r>
        <w:rPr>
          <w:rFonts w:cstheme="minorHAnsi"/>
        </w:rPr>
        <w:t xml:space="preserve"> </w:t>
      </w:r>
      <w:r w:rsidRPr="00B47726">
        <w:rPr>
          <w:rFonts w:cstheme="minorHAnsi"/>
        </w:rPr>
        <w:t>help the future workforce develop th</w:t>
      </w:r>
      <w:r>
        <w:rPr>
          <w:rFonts w:cstheme="minorHAnsi"/>
        </w:rPr>
        <w:t xml:space="preserve">e </w:t>
      </w:r>
      <w:r w:rsidRPr="00B47726">
        <w:rPr>
          <w:rFonts w:cstheme="minorHAnsi"/>
        </w:rPr>
        <w:t>skills required to secure exciting jobs</w:t>
      </w:r>
      <w:r>
        <w:rPr>
          <w:rFonts w:cstheme="minorHAnsi"/>
        </w:rPr>
        <w:t xml:space="preserve"> </w:t>
      </w:r>
      <w:r w:rsidRPr="00B47726">
        <w:rPr>
          <w:rFonts w:cstheme="minorHAnsi"/>
        </w:rPr>
        <w:t>ranging from electricians, carpenters,</w:t>
      </w:r>
      <w:r>
        <w:rPr>
          <w:rFonts w:cstheme="minorHAnsi"/>
        </w:rPr>
        <w:t xml:space="preserve"> </w:t>
      </w:r>
      <w:r w:rsidRPr="00B47726">
        <w:rPr>
          <w:rFonts w:cstheme="minorHAnsi"/>
        </w:rPr>
        <w:t>welders, boilermakers and steelworkers,</w:t>
      </w:r>
      <w:r>
        <w:rPr>
          <w:rFonts w:cstheme="minorHAnsi"/>
        </w:rPr>
        <w:t xml:space="preserve"> </w:t>
      </w:r>
      <w:r w:rsidRPr="00B47726">
        <w:rPr>
          <w:rFonts w:cstheme="minorHAnsi"/>
        </w:rPr>
        <w:t>to advanced manufacturing,</w:t>
      </w:r>
      <w:r>
        <w:rPr>
          <w:rFonts w:cstheme="minorHAnsi"/>
        </w:rPr>
        <w:t xml:space="preserve"> </w:t>
      </w:r>
      <w:r w:rsidRPr="00B47726">
        <w:rPr>
          <w:rFonts w:cstheme="minorHAnsi"/>
        </w:rPr>
        <w:t>complex integration and professional</w:t>
      </w:r>
      <w:r>
        <w:rPr>
          <w:rFonts w:cstheme="minorHAnsi"/>
        </w:rPr>
        <w:t xml:space="preserve"> </w:t>
      </w:r>
      <w:r w:rsidRPr="00B47726">
        <w:rPr>
          <w:rFonts w:cstheme="minorHAnsi"/>
        </w:rPr>
        <w:t>management personnel.</w:t>
      </w:r>
      <w:r>
        <w:rPr>
          <w:rFonts w:cstheme="minorHAnsi"/>
        </w:rPr>
        <w:t xml:space="preserve"> </w:t>
      </w:r>
      <w:r w:rsidRPr="00B47726">
        <w:rPr>
          <w:rFonts w:cstheme="minorHAnsi"/>
        </w:rPr>
        <w:t>These cutting-edge naval programs</w:t>
      </w:r>
      <w:r>
        <w:rPr>
          <w:rFonts w:cstheme="minorHAnsi"/>
        </w:rPr>
        <w:t xml:space="preserve"> </w:t>
      </w:r>
      <w:r w:rsidRPr="00B47726">
        <w:rPr>
          <w:rFonts w:cstheme="minorHAnsi"/>
        </w:rPr>
        <w:t>will offer exciting careers over the next</w:t>
      </w:r>
      <w:r>
        <w:rPr>
          <w:rFonts w:cstheme="minorHAnsi"/>
        </w:rPr>
        <w:t xml:space="preserve"> </w:t>
      </w:r>
      <w:r w:rsidRPr="00B47726">
        <w:rPr>
          <w:rFonts w:cstheme="minorHAnsi"/>
        </w:rPr>
        <w:t>50 years.</w:t>
      </w:r>
    </w:p>
    <w:p w:rsidR="00B47726" w:rsidRDefault="00B47726" w:rsidP="00B47726">
      <w:pPr>
        <w:pStyle w:val="NoSpacing"/>
      </w:pPr>
    </w:p>
    <w:p w:rsidR="00343D43" w:rsidRDefault="00343D43" w:rsidP="00B47726">
      <w:pPr>
        <w:pStyle w:val="Heading3"/>
      </w:pPr>
      <w:r>
        <w:t>Army Technical Trade Training for the Army</w:t>
      </w:r>
    </w:p>
    <w:p w:rsidR="00343D43" w:rsidRDefault="00343D43" w:rsidP="005942B8">
      <w:pPr>
        <w:pStyle w:val="NoSpacing"/>
      </w:pPr>
    </w:p>
    <w:p w:rsidR="00B47726" w:rsidRPr="00B47726" w:rsidRDefault="00B47726" w:rsidP="00B47726">
      <w:pPr>
        <w:autoSpaceDE w:val="0"/>
        <w:autoSpaceDN w:val="0"/>
        <w:adjustRightInd w:val="0"/>
        <w:spacing w:after="0" w:line="240" w:lineRule="auto"/>
        <w:rPr>
          <w:rFonts w:cstheme="minorHAnsi"/>
        </w:rPr>
      </w:pPr>
      <w:r w:rsidRPr="00B47726">
        <w:rPr>
          <w:rFonts w:cstheme="minorHAnsi"/>
        </w:rPr>
        <w:t>The ongoing collaboration continued</w:t>
      </w:r>
      <w:r>
        <w:rPr>
          <w:rFonts w:cstheme="minorHAnsi"/>
        </w:rPr>
        <w:t xml:space="preserve"> </w:t>
      </w:r>
      <w:r w:rsidRPr="00B47726">
        <w:rPr>
          <w:rFonts w:cstheme="minorHAnsi"/>
        </w:rPr>
        <w:t>with Wodonga Institute of TAFE and</w:t>
      </w:r>
      <w:r>
        <w:rPr>
          <w:rFonts w:cstheme="minorHAnsi"/>
        </w:rPr>
        <w:t xml:space="preserve"> </w:t>
      </w:r>
      <w:r w:rsidRPr="00B47726">
        <w:rPr>
          <w:rFonts w:cstheme="minorHAnsi"/>
        </w:rPr>
        <w:t>Box Hill Institute of TAFE, to deliver</w:t>
      </w:r>
      <w:r>
        <w:rPr>
          <w:rFonts w:cstheme="minorHAnsi"/>
        </w:rPr>
        <w:t xml:space="preserve"> </w:t>
      </w:r>
      <w:r w:rsidRPr="00B47726">
        <w:rPr>
          <w:rFonts w:cstheme="minorHAnsi"/>
        </w:rPr>
        <w:t>outcomes for the Army School of</w:t>
      </w:r>
      <w:r>
        <w:rPr>
          <w:rFonts w:cstheme="minorHAnsi"/>
        </w:rPr>
        <w:t xml:space="preserve"> </w:t>
      </w:r>
      <w:r w:rsidRPr="00B47726">
        <w:rPr>
          <w:rFonts w:cstheme="minorHAnsi"/>
        </w:rPr>
        <w:t>Electrical and Mechanical Engineering</w:t>
      </w:r>
      <w:r>
        <w:rPr>
          <w:rFonts w:cstheme="minorHAnsi"/>
        </w:rPr>
        <w:t xml:space="preserve"> </w:t>
      </w:r>
      <w:r w:rsidRPr="00B47726">
        <w:rPr>
          <w:rFonts w:cstheme="minorHAnsi"/>
        </w:rPr>
        <w:t>(ASEME) for the Technical Trade Training</w:t>
      </w:r>
      <w:r>
        <w:rPr>
          <w:rFonts w:cstheme="minorHAnsi"/>
        </w:rPr>
        <w:t xml:space="preserve"> </w:t>
      </w:r>
      <w:r w:rsidRPr="00B47726">
        <w:rPr>
          <w:rFonts w:cstheme="minorHAnsi"/>
        </w:rPr>
        <w:t>Contract. In 2019, Chisholm met the</w:t>
      </w:r>
      <w:r>
        <w:rPr>
          <w:rFonts w:cstheme="minorHAnsi"/>
        </w:rPr>
        <w:t xml:space="preserve"> </w:t>
      </w:r>
      <w:r w:rsidRPr="00B47726">
        <w:rPr>
          <w:rFonts w:cstheme="minorHAnsi"/>
        </w:rPr>
        <w:t>following requirements:</w:t>
      </w:r>
    </w:p>
    <w:p w:rsidR="00B47726" w:rsidRPr="00B47726" w:rsidRDefault="00B47726" w:rsidP="00925530">
      <w:pPr>
        <w:pStyle w:val="ListParagraph"/>
        <w:numPr>
          <w:ilvl w:val="0"/>
          <w:numId w:val="13"/>
        </w:numPr>
        <w:autoSpaceDE w:val="0"/>
        <w:autoSpaceDN w:val="0"/>
        <w:adjustRightInd w:val="0"/>
        <w:spacing w:after="0" w:line="240" w:lineRule="auto"/>
        <w:rPr>
          <w:rFonts w:cstheme="minorHAnsi"/>
        </w:rPr>
      </w:pPr>
      <w:r w:rsidRPr="00B47726">
        <w:rPr>
          <w:rFonts w:cstheme="minorHAnsi"/>
        </w:rPr>
        <w:t>Ongoing leadership and delivery of</w:t>
      </w:r>
      <w:r>
        <w:rPr>
          <w:rFonts w:cstheme="minorHAnsi"/>
        </w:rPr>
        <w:t xml:space="preserve"> </w:t>
      </w:r>
      <w:r w:rsidRPr="00B47726">
        <w:rPr>
          <w:rFonts w:cstheme="minorHAnsi"/>
        </w:rPr>
        <w:t>technical trade-based training in the following qualifications:</w:t>
      </w:r>
    </w:p>
    <w:p w:rsidR="00B47726" w:rsidRPr="00B47726" w:rsidRDefault="00B47726" w:rsidP="00925530">
      <w:pPr>
        <w:pStyle w:val="ListParagraph"/>
        <w:numPr>
          <w:ilvl w:val="0"/>
          <w:numId w:val="12"/>
        </w:numPr>
        <w:autoSpaceDE w:val="0"/>
        <w:autoSpaceDN w:val="0"/>
        <w:adjustRightInd w:val="0"/>
        <w:spacing w:after="0" w:line="240" w:lineRule="auto"/>
        <w:rPr>
          <w:rFonts w:cstheme="minorHAnsi"/>
        </w:rPr>
      </w:pPr>
      <w:r w:rsidRPr="00B47726">
        <w:rPr>
          <w:rFonts w:cstheme="minorHAnsi"/>
        </w:rPr>
        <w:t>Army Technical and Trades</w:t>
      </w:r>
      <w:r>
        <w:rPr>
          <w:rFonts w:cstheme="minorHAnsi"/>
        </w:rPr>
        <w:t xml:space="preserve"> </w:t>
      </w:r>
      <w:r w:rsidRPr="00B47726">
        <w:rPr>
          <w:rFonts w:cstheme="minorHAnsi"/>
        </w:rPr>
        <w:t>– Plumber (ATTP)_Certificate III in Plumbing (CPC32413)</w:t>
      </w:r>
    </w:p>
    <w:p w:rsidR="00B47726" w:rsidRPr="00B47726" w:rsidRDefault="00B47726" w:rsidP="00925530">
      <w:pPr>
        <w:pStyle w:val="ListParagraph"/>
        <w:numPr>
          <w:ilvl w:val="0"/>
          <w:numId w:val="12"/>
        </w:numPr>
        <w:autoSpaceDE w:val="0"/>
        <w:autoSpaceDN w:val="0"/>
        <w:adjustRightInd w:val="0"/>
        <w:spacing w:after="0" w:line="240" w:lineRule="auto"/>
        <w:rPr>
          <w:rFonts w:cstheme="minorHAnsi"/>
        </w:rPr>
      </w:pPr>
      <w:r w:rsidRPr="00B47726">
        <w:rPr>
          <w:rFonts w:cstheme="minorHAnsi"/>
        </w:rPr>
        <w:t>Army Technical and Trades –</w:t>
      </w:r>
      <w:r>
        <w:rPr>
          <w:rFonts w:cstheme="minorHAnsi"/>
        </w:rPr>
        <w:t xml:space="preserve"> </w:t>
      </w:r>
      <w:r w:rsidRPr="00B47726">
        <w:rPr>
          <w:rFonts w:cstheme="minorHAnsi"/>
        </w:rPr>
        <w:t>Vehicle Mechanic (ATTVM) and RAAF Ground Support Equipment Fi</w:t>
      </w:r>
      <w:r w:rsidR="00FC4D32">
        <w:rPr>
          <w:rFonts w:cstheme="minorHAnsi"/>
        </w:rPr>
        <w:t xml:space="preserve">tter </w:t>
      </w:r>
      <w:r w:rsidR="00FC4D32" w:rsidRPr="00B47726">
        <w:rPr>
          <w:rFonts w:cstheme="minorHAnsi"/>
        </w:rPr>
        <w:t>–</w:t>
      </w:r>
      <w:r w:rsidR="00FC4D32">
        <w:rPr>
          <w:rFonts w:cstheme="minorHAnsi"/>
        </w:rPr>
        <w:t xml:space="preserve"> </w:t>
      </w:r>
      <w:r w:rsidRPr="00B47726">
        <w:rPr>
          <w:rFonts w:cstheme="minorHAnsi"/>
        </w:rPr>
        <w:t>Certificate III in Heavy Commercial Vehicle Mechanical Technology and Certificate II in Automotive Mechanical – Air Conditioning.</w:t>
      </w:r>
    </w:p>
    <w:p w:rsidR="00B47726" w:rsidRPr="00B47726" w:rsidRDefault="00B47726" w:rsidP="00925530">
      <w:pPr>
        <w:pStyle w:val="ListParagraph"/>
        <w:numPr>
          <w:ilvl w:val="0"/>
          <w:numId w:val="14"/>
        </w:numPr>
        <w:autoSpaceDE w:val="0"/>
        <w:autoSpaceDN w:val="0"/>
        <w:adjustRightInd w:val="0"/>
        <w:spacing w:after="0" w:line="240" w:lineRule="auto"/>
        <w:rPr>
          <w:rFonts w:cstheme="minorHAnsi"/>
        </w:rPr>
      </w:pPr>
      <w:r w:rsidRPr="00B47726">
        <w:rPr>
          <w:rFonts w:cstheme="minorHAnsi"/>
        </w:rPr>
        <w:t>Design, development and</w:t>
      </w:r>
      <w:r>
        <w:rPr>
          <w:rFonts w:cstheme="minorHAnsi"/>
        </w:rPr>
        <w:t xml:space="preserve"> </w:t>
      </w:r>
      <w:r w:rsidRPr="00B47726">
        <w:rPr>
          <w:rFonts w:cstheme="minorHAnsi"/>
        </w:rPr>
        <w:t>implementation of bespoke Recognition of Prior Learning (RPL) kits for designated trades – Mechanical and Plumbing. More than 110 students participated in the program.</w:t>
      </w:r>
    </w:p>
    <w:p w:rsidR="00B47726" w:rsidRPr="00B47726" w:rsidRDefault="00B47726" w:rsidP="00925530">
      <w:pPr>
        <w:pStyle w:val="ListParagraph"/>
        <w:numPr>
          <w:ilvl w:val="0"/>
          <w:numId w:val="15"/>
        </w:numPr>
        <w:autoSpaceDE w:val="0"/>
        <w:autoSpaceDN w:val="0"/>
        <w:adjustRightInd w:val="0"/>
        <w:spacing w:after="0" w:line="240" w:lineRule="auto"/>
        <w:rPr>
          <w:rFonts w:cstheme="minorHAnsi"/>
        </w:rPr>
      </w:pPr>
      <w:r w:rsidRPr="00B47726">
        <w:rPr>
          <w:rFonts w:cstheme="minorHAnsi"/>
        </w:rPr>
        <w:t>Development and implementation</w:t>
      </w:r>
      <w:r>
        <w:rPr>
          <w:rFonts w:cstheme="minorHAnsi"/>
        </w:rPr>
        <w:t xml:space="preserve"> </w:t>
      </w:r>
      <w:r w:rsidRPr="00B47726">
        <w:rPr>
          <w:rFonts w:cstheme="minorHAnsi"/>
        </w:rPr>
        <w:t>of new units of competency for the Vehicle Mechanic training package.</w:t>
      </w:r>
    </w:p>
    <w:p w:rsidR="00343D43" w:rsidRDefault="00343D43" w:rsidP="005942B8">
      <w:pPr>
        <w:pStyle w:val="NoSpacing"/>
      </w:pPr>
    </w:p>
    <w:p w:rsidR="00343D43" w:rsidRDefault="00343D43" w:rsidP="00B47726">
      <w:pPr>
        <w:pStyle w:val="Heading3"/>
      </w:pPr>
      <w:r>
        <w:t xml:space="preserve">Technical Training Support Services Contract </w:t>
      </w:r>
    </w:p>
    <w:p w:rsidR="00343D43" w:rsidRDefault="00343D43" w:rsidP="005942B8">
      <w:pPr>
        <w:pStyle w:val="NoSpacing"/>
      </w:pPr>
    </w:p>
    <w:p w:rsidR="00B47726" w:rsidRPr="00B47726" w:rsidRDefault="00B47726" w:rsidP="00B47726">
      <w:pPr>
        <w:autoSpaceDE w:val="0"/>
        <w:autoSpaceDN w:val="0"/>
        <w:adjustRightInd w:val="0"/>
        <w:spacing w:after="0" w:line="240" w:lineRule="auto"/>
        <w:rPr>
          <w:rFonts w:cstheme="minorHAnsi"/>
        </w:rPr>
      </w:pPr>
      <w:r w:rsidRPr="00B47726">
        <w:rPr>
          <w:rFonts w:cstheme="minorHAnsi"/>
        </w:rPr>
        <w:t>Ongoing collaboration continued with</w:t>
      </w:r>
      <w:r>
        <w:rPr>
          <w:rFonts w:cstheme="minorHAnsi"/>
        </w:rPr>
        <w:t xml:space="preserve"> </w:t>
      </w:r>
      <w:r w:rsidRPr="00B47726">
        <w:rPr>
          <w:rFonts w:cstheme="minorHAnsi"/>
        </w:rPr>
        <w:t>the prime Contract Manager SMA and</w:t>
      </w:r>
      <w:r>
        <w:rPr>
          <w:rFonts w:cstheme="minorHAnsi"/>
        </w:rPr>
        <w:t xml:space="preserve"> </w:t>
      </w:r>
      <w:r w:rsidRPr="00B47726">
        <w:rPr>
          <w:rFonts w:cstheme="minorHAnsi"/>
        </w:rPr>
        <w:t>the customer the Royal Australian Navy,</w:t>
      </w:r>
      <w:r>
        <w:rPr>
          <w:rFonts w:cstheme="minorHAnsi"/>
        </w:rPr>
        <w:t xml:space="preserve"> </w:t>
      </w:r>
      <w:r w:rsidRPr="00B47726">
        <w:rPr>
          <w:rFonts w:cstheme="minorHAnsi"/>
        </w:rPr>
        <w:t>to deliver outcomes for TTSS.</w:t>
      </w:r>
      <w:r>
        <w:rPr>
          <w:rFonts w:cstheme="minorHAnsi"/>
        </w:rPr>
        <w:t xml:space="preserve"> </w:t>
      </w:r>
      <w:r w:rsidRPr="00B47726">
        <w:rPr>
          <w:rFonts w:cstheme="minorHAnsi"/>
        </w:rPr>
        <w:t>In 2019 Chisholm commenced 18 course</w:t>
      </w:r>
      <w:r>
        <w:rPr>
          <w:rFonts w:cstheme="minorHAnsi"/>
        </w:rPr>
        <w:t xml:space="preserve"> </w:t>
      </w:r>
      <w:r w:rsidRPr="00B47726">
        <w:rPr>
          <w:rFonts w:cstheme="minorHAnsi"/>
        </w:rPr>
        <w:t>groups, with over 280 Navy students</w:t>
      </w:r>
      <w:r>
        <w:rPr>
          <w:rFonts w:cstheme="minorHAnsi"/>
        </w:rPr>
        <w:t xml:space="preserve"> </w:t>
      </w:r>
      <w:r w:rsidRPr="00B47726">
        <w:rPr>
          <w:rFonts w:cstheme="minorHAnsi"/>
        </w:rPr>
        <w:t>participating, who undertook either a</w:t>
      </w:r>
      <w:r>
        <w:rPr>
          <w:rFonts w:cstheme="minorHAnsi"/>
        </w:rPr>
        <w:t xml:space="preserve"> </w:t>
      </w:r>
      <w:r w:rsidRPr="00B47726">
        <w:rPr>
          <w:rFonts w:cstheme="minorHAnsi"/>
        </w:rPr>
        <w:t>full qualification or a skill set, within the</w:t>
      </w:r>
      <w:r>
        <w:rPr>
          <w:rFonts w:cstheme="minorHAnsi"/>
        </w:rPr>
        <w:t xml:space="preserve"> </w:t>
      </w:r>
      <w:r w:rsidRPr="00B47726">
        <w:rPr>
          <w:rFonts w:cstheme="minorHAnsi"/>
        </w:rPr>
        <w:t>following 3 vocational streams:</w:t>
      </w:r>
    </w:p>
    <w:p w:rsidR="00B47726" w:rsidRDefault="00B47726" w:rsidP="00925530">
      <w:pPr>
        <w:pStyle w:val="ListParagraph"/>
        <w:numPr>
          <w:ilvl w:val="0"/>
          <w:numId w:val="11"/>
        </w:numPr>
        <w:autoSpaceDE w:val="0"/>
        <w:autoSpaceDN w:val="0"/>
        <w:adjustRightInd w:val="0"/>
        <w:spacing w:after="0" w:line="240" w:lineRule="auto"/>
        <w:rPr>
          <w:rFonts w:cstheme="minorHAnsi"/>
        </w:rPr>
      </w:pPr>
      <w:r w:rsidRPr="00B47726">
        <w:rPr>
          <w:rFonts w:cstheme="minorHAnsi"/>
        </w:rPr>
        <w:t>Electrical Fitter/Electrical Maintainer – UEE Training Package</w:t>
      </w:r>
    </w:p>
    <w:p w:rsidR="00B47726" w:rsidRDefault="00B47726" w:rsidP="00925530">
      <w:pPr>
        <w:pStyle w:val="ListParagraph"/>
        <w:numPr>
          <w:ilvl w:val="0"/>
          <w:numId w:val="11"/>
        </w:numPr>
        <w:autoSpaceDE w:val="0"/>
        <w:autoSpaceDN w:val="0"/>
        <w:adjustRightInd w:val="0"/>
        <w:spacing w:after="0" w:line="240" w:lineRule="auto"/>
        <w:rPr>
          <w:rFonts w:cstheme="minorHAnsi"/>
        </w:rPr>
      </w:pPr>
      <w:r w:rsidRPr="00B47726">
        <w:rPr>
          <w:rFonts w:cstheme="minorHAnsi"/>
        </w:rPr>
        <w:t>Diesel Fitter/ Propulsion Maintainer – MEM Training Package</w:t>
      </w:r>
    </w:p>
    <w:p w:rsidR="00B47726" w:rsidRPr="00B47726" w:rsidRDefault="00B47726" w:rsidP="00925530">
      <w:pPr>
        <w:pStyle w:val="ListParagraph"/>
        <w:numPr>
          <w:ilvl w:val="0"/>
          <w:numId w:val="11"/>
        </w:numPr>
        <w:autoSpaceDE w:val="0"/>
        <w:autoSpaceDN w:val="0"/>
        <w:adjustRightInd w:val="0"/>
        <w:spacing w:after="0" w:line="240" w:lineRule="auto"/>
        <w:rPr>
          <w:rFonts w:cstheme="minorHAnsi"/>
        </w:rPr>
      </w:pPr>
      <w:r w:rsidRPr="00B47726">
        <w:rPr>
          <w:rFonts w:cstheme="minorHAnsi"/>
        </w:rPr>
        <w:t>Fabrication/ Hull Maintainer – MEM Training Package</w:t>
      </w:r>
    </w:p>
    <w:p w:rsidR="00B47726" w:rsidRDefault="00B47726" w:rsidP="00B47726">
      <w:pPr>
        <w:autoSpaceDE w:val="0"/>
        <w:autoSpaceDN w:val="0"/>
        <w:adjustRightInd w:val="0"/>
        <w:spacing w:after="0" w:line="240" w:lineRule="auto"/>
        <w:rPr>
          <w:rFonts w:cstheme="minorHAnsi"/>
        </w:rPr>
      </w:pPr>
    </w:p>
    <w:p w:rsidR="00343D43" w:rsidRPr="00B47726" w:rsidRDefault="00B47726" w:rsidP="00B47726">
      <w:pPr>
        <w:autoSpaceDE w:val="0"/>
        <w:autoSpaceDN w:val="0"/>
        <w:adjustRightInd w:val="0"/>
        <w:spacing w:after="0" w:line="240" w:lineRule="auto"/>
        <w:rPr>
          <w:rFonts w:cstheme="minorHAnsi"/>
        </w:rPr>
      </w:pPr>
      <w:r w:rsidRPr="00B47726">
        <w:rPr>
          <w:rFonts w:cstheme="minorHAnsi"/>
        </w:rPr>
        <w:t>Throughout 2019, there was significant</w:t>
      </w:r>
      <w:r>
        <w:rPr>
          <w:rFonts w:cstheme="minorHAnsi"/>
        </w:rPr>
        <w:t xml:space="preserve"> </w:t>
      </w:r>
      <w:r w:rsidRPr="00B47726">
        <w:rPr>
          <w:rFonts w:cstheme="minorHAnsi"/>
        </w:rPr>
        <w:t>requirement to surge in support to</w:t>
      </w:r>
      <w:r>
        <w:rPr>
          <w:rFonts w:cstheme="minorHAnsi"/>
        </w:rPr>
        <w:t xml:space="preserve"> </w:t>
      </w:r>
      <w:r w:rsidRPr="00B47726">
        <w:rPr>
          <w:rFonts w:cstheme="minorHAnsi"/>
        </w:rPr>
        <w:t>meet the Navy’s needs, with Chisholm</w:t>
      </w:r>
      <w:r>
        <w:rPr>
          <w:rFonts w:cstheme="minorHAnsi"/>
        </w:rPr>
        <w:t xml:space="preserve"> </w:t>
      </w:r>
      <w:r w:rsidRPr="00B47726">
        <w:rPr>
          <w:rFonts w:cstheme="minorHAnsi"/>
        </w:rPr>
        <w:t>offering dedicated project and account</w:t>
      </w:r>
      <w:r>
        <w:rPr>
          <w:rFonts w:cstheme="minorHAnsi"/>
        </w:rPr>
        <w:t xml:space="preserve"> </w:t>
      </w:r>
      <w:r w:rsidRPr="00B47726">
        <w:rPr>
          <w:rFonts w:cstheme="minorHAnsi"/>
        </w:rPr>
        <w:t>management to ensure delivery was in</w:t>
      </w:r>
      <w:r>
        <w:rPr>
          <w:rFonts w:cstheme="minorHAnsi"/>
        </w:rPr>
        <w:t xml:space="preserve"> </w:t>
      </w:r>
      <w:r w:rsidRPr="00B47726">
        <w:rPr>
          <w:rFonts w:cstheme="minorHAnsi"/>
        </w:rPr>
        <w:t>tempo with Navy requirements.</w:t>
      </w:r>
    </w:p>
    <w:p w:rsidR="00B47726" w:rsidRDefault="00B47726" w:rsidP="005942B8">
      <w:pPr>
        <w:pStyle w:val="NoSpacing"/>
      </w:pPr>
    </w:p>
    <w:p w:rsidR="00343D43" w:rsidRDefault="00343D43" w:rsidP="00B47726">
      <w:pPr>
        <w:pStyle w:val="Heading3"/>
      </w:pPr>
      <w:r>
        <w:lastRenderedPageBreak/>
        <w:t xml:space="preserve">Certificate IV – Alcohol and Other Drugs Program Advisors Course </w:t>
      </w:r>
    </w:p>
    <w:p w:rsidR="00343D43" w:rsidRDefault="00343D43" w:rsidP="005942B8">
      <w:pPr>
        <w:pStyle w:val="NoSpacing"/>
      </w:pPr>
    </w:p>
    <w:p w:rsidR="00343D43" w:rsidRPr="00B47726" w:rsidRDefault="00B47726" w:rsidP="00B47726">
      <w:pPr>
        <w:autoSpaceDE w:val="0"/>
        <w:autoSpaceDN w:val="0"/>
        <w:adjustRightInd w:val="0"/>
        <w:spacing w:after="0" w:line="240" w:lineRule="auto"/>
        <w:rPr>
          <w:rFonts w:cstheme="minorHAnsi"/>
        </w:rPr>
      </w:pPr>
      <w:r w:rsidRPr="00B47726">
        <w:rPr>
          <w:rFonts w:cstheme="minorHAnsi"/>
        </w:rPr>
        <w:t>Chisholm responded to, and was</w:t>
      </w:r>
      <w:r>
        <w:rPr>
          <w:rFonts w:cstheme="minorHAnsi"/>
        </w:rPr>
        <w:t xml:space="preserve"> </w:t>
      </w:r>
      <w:r w:rsidRPr="00B47726">
        <w:rPr>
          <w:rFonts w:cstheme="minorHAnsi"/>
        </w:rPr>
        <w:t>successful in, an approach to market</w:t>
      </w:r>
      <w:r>
        <w:rPr>
          <w:rFonts w:cstheme="minorHAnsi"/>
        </w:rPr>
        <w:t xml:space="preserve"> </w:t>
      </w:r>
      <w:r w:rsidRPr="00B47726">
        <w:rPr>
          <w:rFonts w:cstheme="minorHAnsi"/>
        </w:rPr>
        <w:t>for the delivery of the Certificate IV -</w:t>
      </w:r>
      <w:r>
        <w:rPr>
          <w:rFonts w:cstheme="minorHAnsi"/>
        </w:rPr>
        <w:t xml:space="preserve"> </w:t>
      </w:r>
      <w:r w:rsidRPr="00B47726">
        <w:rPr>
          <w:rFonts w:cstheme="minorHAnsi"/>
        </w:rPr>
        <w:t>Alcohol and Other Drugs program. The</w:t>
      </w:r>
      <w:r>
        <w:rPr>
          <w:rFonts w:cstheme="minorHAnsi"/>
        </w:rPr>
        <w:t xml:space="preserve"> </w:t>
      </w:r>
      <w:r w:rsidRPr="00B47726">
        <w:rPr>
          <w:rFonts w:cstheme="minorHAnsi"/>
        </w:rPr>
        <w:t>scope of this contract will be to deliver</w:t>
      </w:r>
      <w:r>
        <w:rPr>
          <w:rFonts w:cstheme="minorHAnsi"/>
        </w:rPr>
        <w:t xml:space="preserve"> </w:t>
      </w:r>
      <w:r w:rsidRPr="00B47726">
        <w:rPr>
          <w:rFonts w:cstheme="minorHAnsi"/>
        </w:rPr>
        <w:t>on base and through a blended learning</w:t>
      </w:r>
      <w:r>
        <w:rPr>
          <w:rFonts w:cstheme="minorHAnsi"/>
        </w:rPr>
        <w:t xml:space="preserve"> </w:t>
      </w:r>
      <w:r w:rsidRPr="00B47726">
        <w:rPr>
          <w:rFonts w:cstheme="minorHAnsi"/>
        </w:rPr>
        <w:t>regime at a minimum four courses per</w:t>
      </w:r>
      <w:r>
        <w:rPr>
          <w:rFonts w:cstheme="minorHAnsi"/>
        </w:rPr>
        <w:t xml:space="preserve"> </w:t>
      </w:r>
      <w:r w:rsidRPr="00B47726">
        <w:rPr>
          <w:rFonts w:cstheme="minorHAnsi"/>
        </w:rPr>
        <w:t>year, for a contract period of five years.</w:t>
      </w:r>
    </w:p>
    <w:p w:rsidR="00B47726" w:rsidRDefault="00B47726" w:rsidP="00B47726">
      <w:pPr>
        <w:pStyle w:val="NoSpacing"/>
      </w:pPr>
    </w:p>
    <w:p w:rsidR="00343D43" w:rsidRDefault="00343D43" w:rsidP="005942B8">
      <w:pPr>
        <w:pStyle w:val="NoSpacing"/>
      </w:pPr>
      <w:r>
        <w:t>&lt;page 9&gt;</w:t>
      </w:r>
    </w:p>
    <w:p w:rsidR="00343D43" w:rsidRDefault="00343D43" w:rsidP="005942B8">
      <w:pPr>
        <w:pStyle w:val="NoSpacing"/>
      </w:pPr>
    </w:p>
    <w:p w:rsidR="00343D43" w:rsidRDefault="00402ED8" w:rsidP="00402ED8">
      <w:pPr>
        <w:pStyle w:val="Heading2"/>
      </w:pPr>
      <w:r>
        <w:t xml:space="preserve">Local Communities </w:t>
      </w:r>
    </w:p>
    <w:p w:rsidR="00402ED8" w:rsidRDefault="00402ED8" w:rsidP="005942B8">
      <w:pPr>
        <w:pStyle w:val="NoSpacing"/>
      </w:pPr>
    </w:p>
    <w:p w:rsidR="00402ED8" w:rsidRDefault="00402ED8" w:rsidP="00402ED8">
      <w:pPr>
        <w:pStyle w:val="Heading3"/>
      </w:pPr>
      <w:r>
        <w:t xml:space="preserve">Tech Games Fest </w:t>
      </w:r>
    </w:p>
    <w:p w:rsidR="00402ED8" w:rsidRDefault="00402ED8" w:rsidP="005942B8">
      <w:pPr>
        <w:pStyle w:val="NoSpacing"/>
      </w:pPr>
    </w:p>
    <w:p w:rsidR="00402ED8" w:rsidRPr="004C5628" w:rsidRDefault="00402ED8" w:rsidP="00402ED8">
      <w:pPr>
        <w:autoSpaceDE w:val="0"/>
        <w:autoSpaceDN w:val="0"/>
        <w:adjustRightInd w:val="0"/>
        <w:spacing w:after="0" w:line="240" w:lineRule="auto"/>
        <w:rPr>
          <w:rFonts w:cstheme="minorHAnsi"/>
        </w:rPr>
      </w:pPr>
      <w:r w:rsidRPr="004C5628">
        <w:rPr>
          <w:rFonts w:cstheme="minorHAnsi"/>
        </w:rPr>
        <w:t>Tech Games Fest (TGF) attracts</w:t>
      </w:r>
      <w:r w:rsidR="004C5628">
        <w:rPr>
          <w:rFonts w:cstheme="minorHAnsi"/>
        </w:rPr>
        <w:t xml:space="preserve"> </w:t>
      </w:r>
      <w:r w:rsidRPr="004C5628">
        <w:rPr>
          <w:rFonts w:cstheme="minorHAnsi"/>
        </w:rPr>
        <w:t>secondary school students, their</w:t>
      </w:r>
      <w:r w:rsidR="004C5628">
        <w:rPr>
          <w:rFonts w:cstheme="minorHAnsi"/>
        </w:rPr>
        <w:t xml:space="preserve"> </w:t>
      </w:r>
      <w:r w:rsidRPr="004C5628">
        <w:rPr>
          <w:rFonts w:cstheme="minorHAnsi"/>
        </w:rPr>
        <w:t>parents and the general public</w:t>
      </w:r>
      <w:r w:rsidR="004C5628">
        <w:rPr>
          <w:rFonts w:cstheme="minorHAnsi"/>
        </w:rPr>
        <w:t xml:space="preserve"> </w:t>
      </w:r>
      <w:r w:rsidRPr="004C5628">
        <w:rPr>
          <w:rFonts w:cstheme="minorHAnsi"/>
        </w:rPr>
        <w:t>who are interested in gaming and</w:t>
      </w:r>
      <w:r w:rsidR="004C5628">
        <w:rPr>
          <w:rFonts w:cstheme="minorHAnsi"/>
        </w:rPr>
        <w:t xml:space="preserve"> </w:t>
      </w:r>
      <w:r w:rsidRPr="004C5628">
        <w:rPr>
          <w:rFonts w:cstheme="minorHAnsi"/>
        </w:rPr>
        <w:t>technology to learn and network</w:t>
      </w:r>
      <w:r w:rsidR="004C5628">
        <w:rPr>
          <w:rFonts w:cstheme="minorHAnsi"/>
        </w:rPr>
        <w:t xml:space="preserve"> </w:t>
      </w:r>
      <w:r w:rsidRPr="004C5628">
        <w:rPr>
          <w:rFonts w:cstheme="minorHAnsi"/>
        </w:rPr>
        <w:t>with other like-minded people and</w:t>
      </w:r>
      <w:r w:rsidR="004C5628">
        <w:rPr>
          <w:rFonts w:cstheme="minorHAnsi"/>
        </w:rPr>
        <w:t xml:space="preserve"> </w:t>
      </w:r>
      <w:r w:rsidRPr="004C5628">
        <w:rPr>
          <w:rFonts w:cstheme="minorHAnsi"/>
        </w:rPr>
        <w:t>industry representatives. More than</w:t>
      </w:r>
      <w:r w:rsidR="004C5628">
        <w:rPr>
          <w:rFonts w:cstheme="minorHAnsi"/>
        </w:rPr>
        <w:t xml:space="preserve"> </w:t>
      </w:r>
      <w:r w:rsidRPr="004C5628">
        <w:rPr>
          <w:rFonts w:cstheme="minorHAnsi"/>
        </w:rPr>
        <w:t>1200 people attended the event</w:t>
      </w:r>
      <w:r w:rsidR="004C5628">
        <w:rPr>
          <w:rFonts w:cstheme="minorHAnsi"/>
        </w:rPr>
        <w:t xml:space="preserve"> </w:t>
      </w:r>
      <w:r w:rsidRPr="004C5628">
        <w:rPr>
          <w:rFonts w:cstheme="minorHAnsi"/>
        </w:rPr>
        <w:t>in 2019.</w:t>
      </w:r>
    </w:p>
    <w:p w:rsidR="00402ED8" w:rsidRPr="004C5628" w:rsidRDefault="00402ED8" w:rsidP="004C5628">
      <w:pPr>
        <w:autoSpaceDE w:val="0"/>
        <w:autoSpaceDN w:val="0"/>
        <w:adjustRightInd w:val="0"/>
        <w:spacing w:after="0" w:line="240" w:lineRule="auto"/>
        <w:rPr>
          <w:rFonts w:cstheme="minorHAnsi"/>
        </w:rPr>
      </w:pPr>
      <w:r w:rsidRPr="004C5628">
        <w:rPr>
          <w:rFonts w:cstheme="minorHAnsi"/>
        </w:rPr>
        <w:t>Beyond, a follow-up to the Tech</w:t>
      </w:r>
      <w:r w:rsidR="004C5628">
        <w:rPr>
          <w:rFonts w:cstheme="minorHAnsi"/>
        </w:rPr>
        <w:t xml:space="preserve"> </w:t>
      </w:r>
      <w:r w:rsidRPr="004C5628">
        <w:rPr>
          <w:rFonts w:cstheme="minorHAnsi"/>
        </w:rPr>
        <w:t>Games Fest also provided more</w:t>
      </w:r>
      <w:r w:rsidR="004C5628">
        <w:rPr>
          <w:rFonts w:cstheme="minorHAnsi"/>
        </w:rPr>
        <w:t xml:space="preserve"> </w:t>
      </w:r>
      <w:r w:rsidRPr="004C5628">
        <w:rPr>
          <w:rFonts w:cstheme="minorHAnsi"/>
        </w:rPr>
        <w:t>than 100 students with the</w:t>
      </w:r>
      <w:r w:rsidR="004C5628">
        <w:rPr>
          <w:rFonts w:cstheme="minorHAnsi"/>
        </w:rPr>
        <w:t xml:space="preserve"> </w:t>
      </w:r>
      <w:r w:rsidRPr="004C5628">
        <w:rPr>
          <w:rFonts w:cstheme="minorHAnsi"/>
        </w:rPr>
        <w:t>opportunity to participate in future</w:t>
      </w:r>
      <w:r w:rsidR="004C5628">
        <w:rPr>
          <w:rFonts w:cstheme="minorHAnsi"/>
        </w:rPr>
        <w:t xml:space="preserve"> </w:t>
      </w:r>
      <w:r w:rsidRPr="004C5628">
        <w:rPr>
          <w:rFonts w:cstheme="minorHAnsi"/>
        </w:rPr>
        <w:t>focused</w:t>
      </w:r>
      <w:r w:rsidR="004C5628">
        <w:rPr>
          <w:rFonts w:cstheme="minorHAnsi"/>
        </w:rPr>
        <w:t xml:space="preserve"> </w:t>
      </w:r>
      <w:r w:rsidRPr="004C5628">
        <w:rPr>
          <w:rFonts w:cstheme="minorHAnsi"/>
        </w:rPr>
        <w:t>gaming activities.</w:t>
      </w:r>
    </w:p>
    <w:p w:rsidR="00402ED8" w:rsidRDefault="00402ED8" w:rsidP="00402ED8">
      <w:pPr>
        <w:pStyle w:val="NoSpacing"/>
        <w:rPr>
          <w:rFonts w:ascii="ProximaNovaA-Light" w:hAnsi="ProximaNovaA-Light" w:cs="ProximaNovaA-Light"/>
          <w:sz w:val="18"/>
          <w:szCs w:val="18"/>
        </w:rPr>
      </w:pPr>
    </w:p>
    <w:p w:rsidR="00402ED8" w:rsidRDefault="004C5628" w:rsidP="004C5628">
      <w:pPr>
        <w:pStyle w:val="Heading3"/>
      </w:pPr>
      <w:r>
        <w:t>National Disability Services (NDS)</w:t>
      </w:r>
    </w:p>
    <w:p w:rsidR="004C5628" w:rsidRDefault="004C5628" w:rsidP="00402ED8">
      <w:pPr>
        <w:pStyle w:val="NoSpacing"/>
      </w:pPr>
    </w:p>
    <w:p w:rsidR="004C5628" w:rsidRPr="004C5628" w:rsidRDefault="004C5628" w:rsidP="004C5628">
      <w:pPr>
        <w:autoSpaceDE w:val="0"/>
        <w:autoSpaceDN w:val="0"/>
        <w:adjustRightInd w:val="0"/>
        <w:spacing w:after="0" w:line="240" w:lineRule="auto"/>
        <w:rPr>
          <w:rFonts w:cstheme="minorHAnsi"/>
        </w:rPr>
      </w:pPr>
      <w:r w:rsidRPr="004C5628">
        <w:rPr>
          <w:rFonts w:cstheme="minorHAnsi"/>
        </w:rPr>
        <w:t>The sector is growing at an extraordinary</w:t>
      </w:r>
      <w:r>
        <w:rPr>
          <w:rFonts w:cstheme="minorHAnsi"/>
        </w:rPr>
        <w:t xml:space="preserve"> </w:t>
      </w:r>
      <w:r w:rsidRPr="004C5628">
        <w:rPr>
          <w:rFonts w:cstheme="minorHAnsi"/>
        </w:rPr>
        <w:t>rate and it’s expected that by 2020,</w:t>
      </w:r>
      <w:r>
        <w:rPr>
          <w:rFonts w:cstheme="minorHAnsi"/>
        </w:rPr>
        <w:t xml:space="preserve"> </w:t>
      </w:r>
      <w:r w:rsidRPr="004C5628">
        <w:rPr>
          <w:rFonts w:cstheme="minorHAnsi"/>
        </w:rPr>
        <w:t>more than 18,000 new full-time disability</w:t>
      </w:r>
      <w:r>
        <w:rPr>
          <w:rFonts w:cstheme="minorHAnsi"/>
        </w:rPr>
        <w:t xml:space="preserve"> </w:t>
      </w:r>
      <w:r w:rsidRPr="004C5628">
        <w:rPr>
          <w:rFonts w:cstheme="minorHAnsi"/>
        </w:rPr>
        <w:t>workers will be required in Victoria.</w:t>
      </w:r>
    </w:p>
    <w:p w:rsidR="004C5628" w:rsidRPr="004C5628" w:rsidRDefault="004C5628" w:rsidP="004C5628">
      <w:pPr>
        <w:autoSpaceDE w:val="0"/>
        <w:autoSpaceDN w:val="0"/>
        <w:adjustRightInd w:val="0"/>
        <w:spacing w:after="0" w:line="240" w:lineRule="auto"/>
        <w:rPr>
          <w:rFonts w:cstheme="minorHAnsi"/>
        </w:rPr>
      </w:pPr>
      <w:r w:rsidRPr="004C5628">
        <w:rPr>
          <w:rFonts w:cstheme="minorHAnsi"/>
        </w:rPr>
        <w:t>In conjunction with National Disability</w:t>
      </w:r>
      <w:r>
        <w:rPr>
          <w:rFonts w:cstheme="minorHAnsi"/>
        </w:rPr>
        <w:t xml:space="preserve"> </w:t>
      </w:r>
      <w:r w:rsidRPr="004C5628">
        <w:rPr>
          <w:rFonts w:cstheme="minorHAnsi"/>
        </w:rPr>
        <w:t>Services (NDS) and the Department of</w:t>
      </w:r>
      <w:r>
        <w:rPr>
          <w:rFonts w:cstheme="minorHAnsi"/>
        </w:rPr>
        <w:t xml:space="preserve"> </w:t>
      </w:r>
      <w:r w:rsidRPr="004C5628">
        <w:rPr>
          <w:rFonts w:cstheme="minorHAnsi"/>
        </w:rPr>
        <w:t>Health, Chisholm hosted the National</w:t>
      </w:r>
      <w:r>
        <w:rPr>
          <w:rFonts w:cstheme="minorHAnsi"/>
        </w:rPr>
        <w:t xml:space="preserve"> </w:t>
      </w:r>
      <w:r w:rsidRPr="004C5628">
        <w:rPr>
          <w:rFonts w:cstheme="minorHAnsi"/>
        </w:rPr>
        <w:t>Disability Services Jobs Fair. Over</w:t>
      </w:r>
      <w:r>
        <w:rPr>
          <w:rFonts w:cstheme="minorHAnsi"/>
        </w:rPr>
        <w:t xml:space="preserve"> </w:t>
      </w:r>
      <w:r w:rsidRPr="004C5628">
        <w:rPr>
          <w:rFonts w:cstheme="minorHAnsi"/>
        </w:rPr>
        <w:t>55 exhibitors and almost 500 visitors</w:t>
      </w:r>
      <w:r>
        <w:rPr>
          <w:rFonts w:cstheme="minorHAnsi"/>
        </w:rPr>
        <w:t xml:space="preserve"> </w:t>
      </w:r>
      <w:r w:rsidRPr="004C5628">
        <w:rPr>
          <w:rFonts w:cstheme="minorHAnsi"/>
        </w:rPr>
        <w:t>attended. It was the largest of the NDS</w:t>
      </w:r>
      <w:r>
        <w:rPr>
          <w:rFonts w:cstheme="minorHAnsi"/>
        </w:rPr>
        <w:t xml:space="preserve"> </w:t>
      </w:r>
      <w:r w:rsidRPr="004C5628">
        <w:rPr>
          <w:rFonts w:cstheme="minorHAnsi"/>
        </w:rPr>
        <w:t>Job Fairs held in Victoria. Exhibitions</w:t>
      </w:r>
      <w:r>
        <w:rPr>
          <w:rFonts w:cstheme="minorHAnsi"/>
        </w:rPr>
        <w:t xml:space="preserve"> </w:t>
      </w:r>
      <w:r w:rsidRPr="004C5628">
        <w:rPr>
          <w:rFonts w:cstheme="minorHAnsi"/>
        </w:rPr>
        <w:t>included interactive sessions on First</w:t>
      </w:r>
      <w:r>
        <w:rPr>
          <w:rFonts w:cstheme="minorHAnsi"/>
        </w:rPr>
        <w:t xml:space="preserve"> </w:t>
      </w:r>
      <w:r w:rsidRPr="004C5628">
        <w:rPr>
          <w:rFonts w:cstheme="minorHAnsi"/>
        </w:rPr>
        <w:t>Aid in the disability sector, working in</w:t>
      </w:r>
      <w:r>
        <w:rPr>
          <w:rFonts w:cstheme="minorHAnsi"/>
        </w:rPr>
        <w:t xml:space="preserve"> </w:t>
      </w:r>
      <w:r w:rsidRPr="004C5628">
        <w:rPr>
          <w:rFonts w:cstheme="minorHAnsi"/>
        </w:rPr>
        <w:t>the simulated disability apartment,</w:t>
      </w:r>
      <w:r>
        <w:rPr>
          <w:rFonts w:cstheme="minorHAnsi"/>
        </w:rPr>
        <w:t xml:space="preserve"> </w:t>
      </w:r>
      <w:r w:rsidRPr="004C5628">
        <w:rPr>
          <w:rFonts w:cstheme="minorHAnsi"/>
        </w:rPr>
        <w:t>experiencing the nursing lab, and</w:t>
      </w:r>
      <w:r>
        <w:rPr>
          <w:rFonts w:cstheme="minorHAnsi"/>
        </w:rPr>
        <w:t xml:space="preserve"> </w:t>
      </w:r>
      <w:r w:rsidRPr="004C5628">
        <w:rPr>
          <w:rFonts w:cstheme="minorHAnsi"/>
        </w:rPr>
        <w:t>learning about the services that are</w:t>
      </w:r>
      <w:r>
        <w:rPr>
          <w:rFonts w:cstheme="minorHAnsi"/>
        </w:rPr>
        <w:t xml:space="preserve"> </w:t>
      </w:r>
      <w:r w:rsidRPr="004C5628">
        <w:rPr>
          <w:rFonts w:cstheme="minorHAnsi"/>
        </w:rPr>
        <w:t>available in the community.</w:t>
      </w:r>
    </w:p>
    <w:p w:rsidR="004C5628" w:rsidRPr="004C5628" w:rsidRDefault="004C5628" w:rsidP="004C5628">
      <w:pPr>
        <w:autoSpaceDE w:val="0"/>
        <w:autoSpaceDN w:val="0"/>
        <w:adjustRightInd w:val="0"/>
        <w:spacing w:after="0" w:line="240" w:lineRule="auto"/>
        <w:rPr>
          <w:rFonts w:cstheme="minorHAnsi"/>
        </w:rPr>
      </w:pPr>
      <w:r w:rsidRPr="004C5628">
        <w:rPr>
          <w:rFonts w:cstheme="minorHAnsi"/>
        </w:rPr>
        <w:t>The jobs fair was a way of connecting job</w:t>
      </w:r>
      <w:r>
        <w:rPr>
          <w:rFonts w:cstheme="minorHAnsi"/>
        </w:rPr>
        <w:t xml:space="preserve"> </w:t>
      </w:r>
      <w:r w:rsidRPr="004C5628">
        <w:rPr>
          <w:rFonts w:cstheme="minorHAnsi"/>
        </w:rPr>
        <w:t>seekers with employers and it enabled</w:t>
      </w:r>
      <w:r>
        <w:rPr>
          <w:rFonts w:cstheme="minorHAnsi"/>
        </w:rPr>
        <w:t xml:space="preserve"> </w:t>
      </w:r>
      <w:r w:rsidRPr="004C5628">
        <w:rPr>
          <w:rFonts w:cstheme="minorHAnsi"/>
        </w:rPr>
        <w:t>Chisholm to find out where there are gaps</w:t>
      </w:r>
      <w:r>
        <w:rPr>
          <w:rFonts w:cstheme="minorHAnsi"/>
        </w:rPr>
        <w:t xml:space="preserve"> </w:t>
      </w:r>
      <w:r w:rsidRPr="004C5628">
        <w:rPr>
          <w:rFonts w:cstheme="minorHAnsi"/>
        </w:rPr>
        <w:t>in the skills base and potentially fill those</w:t>
      </w:r>
      <w:r>
        <w:rPr>
          <w:rFonts w:cstheme="minorHAnsi"/>
        </w:rPr>
        <w:t xml:space="preserve"> </w:t>
      </w:r>
      <w:r w:rsidRPr="004C5628">
        <w:rPr>
          <w:rFonts w:cstheme="minorHAnsi"/>
        </w:rPr>
        <w:t>through course offerings.</w:t>
      </w:r>
    </w:p>
    <w:p w:rsidR="004C5628" w:rsidRDefault="004C5628" w:rsidP="00402ED8">
      <w:pPr>
        <w:pStyle w:val="NoSpacing"/>
      </w:pPr>
    </w:p>
    <w:p w:rsidR="004C5628" w:rsidRDefault="004C5628" w:rsidP="004C5628">
      <w:pPr>
        <w:pStyle w:val="Heading3"/>
      </w:pPr>
      <w:r>
        <w:t xml:space="preserve">Trading Hope </w:t>
      </w:r>
    </w:p>
    <w:p w:rsidR="004C5628" w:rsidRDefault="004C5628" w:rsidP="00402ED8">
      <w:pPr>
        <w:pStyle w:val="NoSpacing"/>
      </w:pPr>
    </w:p>
    <w:p w:rsidR="004C5628" w:rsidRPr="004C5628" w:rsidRDefault="004C5628" w:rsidP="004C5628">
      <w:pPr>
        <w:autoSpaceDE w:val="0"/>
        <w:autoSpaceDN w:val="0"/>
        <w:adjustRightInd w:val="0"/>
        <w:spacing w:after="0" w:line="240" w:lineRule="auto"/>
        <w:rPr>
          <w:rFonts w:cstheme="minorHAnsi"/>
        </w:rPr>
      </w:pPr>
      <w:r w:rsidRPr="004C5628">
        <w:rPr>
          <w:rFonts w:cstheme="minorHAnsi"/>
        </w:rPr>
        <w:t>Throughout 2019, Chisholm partnered with Hope Assistance Local Tradies (HALT) to deliver mental health talks and breakfasts to tradies at the Frankston, Dandenong and Rosebud campuses.</w:t>
      </w:r>
    </w:p>
    <w:p w:rsidR="004C5628" w:rsidRPr="004C5628" w:rsidRDefault="004C5628" w:rsidP="004C5628">
      <w:pPr>
        <w:autoSpaceDE w:val="0"/>
        <w:autoSpaceDN w:val="0"/>
        <w:adjustRightInd w:val="0"/>
        <w:spacing w:after="0" w:line="240" w:lineRule="auto"/>
        <w:rPr>
          <w:rFonts w:cstheme="minorHAnsi"/>
        </w:rPr>
      </w:pPr>
      <w:r w:rsidRPr="004C5628">
        <w:rPr>
          <w:rFonts w:cstheme="minorHAnsi"/>
        </w:rPr>
        <w:t xml:space="preserve">Chisholm hosted the first HALT Save Your Bacon free breakfast that was the gateway to conversation about mental health for apprentices, staff and the community, and the services they can access to help themselves and their peers through difficult times. Chisholm’s personal counsellors and local GP’s were invited by SEMPHN in a show of whole-of-community support. </w:t>
      </w:r>
    </w:p>
    <w:p w:rsidR="004C5628" w:rsidRPr="004C5628" w:rsidRDefault="004C5628" w:rsidP="004C5628">
      <w:pPr>
        <w:autoSpaceDE w:val="0"/>
        <w:autoSpaceDN w:val="0"/>
        <w:adjustRightInd w:val="0"/>
        <w:spacing w:after="0" w:line="240" w:lineRule="auto"/>
        <w:rPr>
          <w:rFonts w:cstheme="minorHAnsi"/>
        </w:rPr>
      </w:pPr>
      <w:r w:rsidRPr="004C5628">
        <w:rPr>
          <w:rFonts w:cstheme="minorHAnsi"/>
        </w:rPr>
        <w:t>HALT is a $1 million government commitment over 4 years for suicide prevention specifically aimed at tradies in the Mornington Peninsula region. The program was an important service for our students to have access to, as the trade and apprentice suicide rates in the region are well above the Victorian averages.</w:t>
      </w:r>
    </w:p>
    <w:p w:rsidR="004C5628" w:rsidRDefault="004C5628" w:rsidP="00402ED8">
      <w:pPr>
        <w:pStyle w:val="NoSpacing"/>
      </w:pPr>
    </w:p>
    <w:p w:rsidR="004C5628" w:rsidRDefault="004C5628" w:rsidP="004C5628">
      <w:pPr>
        <w:pStyle w:val="Heading3"/>
      </w:pPr>
      <w:r>
        <w:t xml:space="preserve">Community Open Day </w:t>
      </w:r>
    </w:p>
    <w:p w:rsidR="00402ED8" w:rsidRDefault="00402ED8" w:rsidP="005942B8">
      <w:pPr>
        <w:pStyle w:val="NoSpacing"/>
      </w:pPr>
    </w:p>
    <w:p w:rsidR="004C5628" w:rsidRDefault="004C5628" w:rsidP="004C5628">
      <w:pPr>
        <w:autoSpaceDE w:val="0"/>
        <w:autoSpaceDN w:val="0"/>
        <w:adjustRightInd w:val="0"/>
        <w:spacing w:after="0" w:line="240" w:lineRule="auto"/>
        <w:rPr>
          <w:rFonts w:cstheme="minorHAnsi"/>
        </w:rPr>
      </w:pPr>
      <w:r w:rsidRPr="004C5628">
        <w:rPr>
          <w:rFonts w:cstheme="minorHAnsi"/>
        </w:rPr>
        <w:t>In 2019, the launch of the Frankston</w:t>
      </w:r>
      <w:r>
        <w:rPr>
          <w:rFonts w:cstheme="minorHAnsi"/>
        </w:rPr>
        <w:t xml:space="preserve"> </w:t>
      </w:r>
      <w:r w:rsidRPr="004C5628">
        <w:rPr>
          <w:rFonts w:cstheme="minorHAnsi"/>
        </w:rPr>
        <w:t>Learning and Innovation Precinct</w:t>
      </w:r>
      <w:r>
        <w:rPr>
          <w:rFonts w:cstheme="minorHAnsi"/>
        </w:rPr>
        <w:t xml:space="preserve"> </w:t>
      </w:r>
      <w:r w:rsidRPr="004C5628">
        <w:rPr>
          <w:rFonts w:cstheme="minorHAnsi"/>
        </w:rPr>
        <w:t>was an opportunity for the Institute to</w:t>
      </w:r>
      <w:r>
        <w:rPr>
          <w:rFonts w:cstheme="minorHAnsi"/>
        </w:rPr>
        <w:t xml:space="preserve"> </w:t>
      </w:r>
      <w:r w:rsidRPr="004C5628">
        <w:rPr>
          <w:rFonts w:cstheme="minorHAnsi"/>
        </w:rPr>
        <w:t>reconnect with the local community and</w:t>
      </w:r>
      <w:r>
        <w:rPr>
          <w:rFonts w:cstheme="minorHAnsi"/>
        </w:rPr>
        <w:t xml:space="preserve"> </w:t>
      </w:r>
      <w:r w:rsidRPr="004C5628">
        <w:rPr>
          <w:rFonts w:cstheme="minorHAnsi"/>
        </w:rPr>
        <w:t>to showcase the extraordinary facilities</w:t>
      </w:r>
      <w:r>
        <w:rPr>
          <w:rFonts w:cstheme="minorHAnsi"/>
        </w:rPr>
        <w:t xml:space="preserve"> </w:t>
      </w:r>
      <w:r w:rsidRPr="004C5628">
        <w:rPr>
          <w:rFonts w:cstheme="minorHAnsi"/>
        </w:rPr>
        <w:t>that were finalised and able to be</w:t>
      </w:r>
      <w:r>
        <w:rPr>
          <w:rFonts w:cstheme="minorHAnsi"/>
        </w:rPr>
        <w:t xml:space="preserve"> </w:t>
      </w:r>
      <w:r w:rsidRPr="004C5628">
        <w:rPr>
          <w:rFonts w:cstheme="minorHAnsi"/>
        </w:rPr>
        <w:t>opened to the public.</w:t>
      </w:r>
    </w:p>
    <w:p w:rsidR="004C5628" w:rsidRPr="004C5628" w:rsidRDefault="004C5628" w:rsidP="004C5628">
      <w:pPr>
        <w:autoSpaceDE w:val="0"/>
        <w:autoSpaceDN w:val="0"/>
        <w:adjustRightInd w:val="0"/>
        <w:spacing w:after="0" w:line="240" w:lineRule="auto"/>
        <w:rPr>
          <w:rFonts w:cstheme="minorHAnsi"/>
        </w:rPr>
      </w:pPr>
      <w:r w:rsidRPr="004C5628">
        <w:rPr>
          <w:rFonts w:cstheme="minorHAnsi"/>
        </w:rPr>
        <w:lastRenderedPageBreak/>
        <w:t>The Precinct Community Open Day</w:t>
      </w:r>
      <w:r>
        <w:rPr>
          <w:rFonts w:cstheme="minorHAnsi"/>
        </w:rPr>
        <w:t xml:space="preserve"> </w:t>
      </w:r>
      <w:r w:rsidRPr="004C5628">
        <w:rPr>
          <w:rFonts w:cstheme="minorHAnsi"/>
        </w:rPr>
        <w:t>was held 19 October, when the newly</w:t>
      </w:r>
      <w:r>
        <w:rPr>
          <w:rFonts w:cstheme="minorHAnsi"/>
        </w:rPr>
        <w:t xml:space="preserve"> </w:t>
      </w:r>
      <w:r w:rsidRPr="004C5628">
        <w:rPr>
          <w:rFonts w:cstheme="minorHAnsi"/>
        </w:rPr>
        <w:t>opened</w:t>
      </w:r>
      <w:r>
        <w:rPr>
          <w:rFonts w:cstheme="minorHAnsi"/>
        </w:rPr>
        <w:t xml:space="preserve"> </w:t>
      </w:r>
      <w:r w:rsidRPr="004C5628">
        <w:rPr>
          <w:rFonts w:cstheme="minorHAnsi"/>
        </w:rPr>
        <w:t>$85m Frankston Learning and</w:t>
      </w:r>
      <w:r>
        <w:rPr>
          <w:rFonts w:cstheme="minorHAnsi"/>
        </w:rPr>
        <w:t xml:space="preserve"> </w:t>
      </w:r>
      <w:r w:rsidRPr="004C5628">
        <w:rPr>
          <w:rFonts w:cstheme="minorHAnsi"/>
        </w:rPr>
        <w:t>Innovation Precinct was the focus of</w:t>
      </w:r>
      <w:r>
        <w:rPr>
          <w:rFonts w:cstheme="minorHAnsi"/>
        </w:rPr>
        <w:t xml:space="preserve"> </w:t>
      </w:r>
      <w:r w:rsidRPr="004C5628">
        <w:rPr>
          <w:rFonts w:cstheme="minorHAnsi"/>
        </w:rPr>
        <w:t>building tours, demonstrations, hair and</w:t>
      </w:r>
      <w:r>
        <w:rPr>
          <w:rFonts w:cstheme="minorHAnsi"/>
        </w:rPr>
        <w:t xml:space="preserve"> </w:t>
      </w:r>
      <w:r w:rsidRPr="004C5628">
        <w:rPr>
          <w:rFonts w:cstheme="minorHAnsi"/>
        </w:rPr>
        <w:t>beauty make-overs and many family</w:t>
      </w:r>
      <w:r>
        <w:rPr>
          <w:rFonts w:cstheme="minorHAnsi"/>
        </w:rPr>
        <w:t xml:space="preserve"> </w:t>
      </w:r>
      <w:r w:rsidRPr="004C5628">
        <w:rPr>
          <w:rFonts w:cstheme="minorHAnsi"/>
        </w:rPr>
        <w:t>oriented</w:t>
      </w:r>
      <w:r>
        <w:rPr>
          <w:rFonts w:cstheme="minorHAnsi"/>
        </w:rPr>
        <w:t xml:space="preserve"> </w:t>
      </w:r>
      <w:r w:rsidRPr="004C5628">
        <w:rPr>
          <w:rFonts w:cstheme="minorHAnsi"/>
        </w:rPr>
        <w:t>activities. The day was also an</w:t>
      </w:r>
      <w:r>
        <w:rPr>
          <w:rFonts w:cstheme="minorHAnsi"/>
        </w:rPr>
        <w:t xml:space="preserve"> </w:t>
      </w:r>
      <w:r w:rsidRPr="004C5628">
        <w:rPr>
          <w:rFonts w:cstheme="minorHAnsi"/>
        </w:rPr>
        <w:t>opportunity for the community to talk</w:t>
      </w:r>
      <w:r>
        <w:rPr>
          <w:rFonts w:cstheme="minorHAnsi"/>
        </w:rPr>
        <w:t xml:space="preserve"> </w:t>
      </w:r>
      <w:r w:rsidRPr="004C5628">
        <w:rPr>
          <w:rFonts w:cstheme="minorHAnsi"/>
        </w:rPr>
        <w:t>about engagement with the facilities</w:t>
      </w:r>
      <w:r>
        <w:rPr>
          <w:rFonts w:cstheme="minorHAnsi"/>
        </w:rPr>
        <w:t xml:space="preserve"> </w:t>
      </w:r>
      <w:r w:rsidRPr="004C5628">
        <w:rPr>
          <w:rFonts w:cstheme="minorHAnsi"/>
        </w:rPr>
        <w:t>and to plan for the future integration of</w:t>
      </w:r>
      <w:r>
        <w:rPr>
          <w:rFonts w:cstheme="minorHAnsi"/>
        </w:rPr>
        <w:t xml:space="preserve"> </w:t>
      </w:r>
      <w:r w:rsidRPr="004C5628">
        <w:rPr>
          <w:rFonts w:cstheme="minorHAnsi"/>
        </w:rPr>
        <w:t>local exhibitions and industry displays.</w:t>
      </w:r>
    </w:p>
    <w:p w:rsidR="00343D43" w:rsidRPr="004C5628" w:rsidRDefault="004C5628" w:rsidP="004C5628">
      <w:pPr>
        <w:autoSpaceDE w:val="0"/>
        <w:autoSpaceDN w:val="0"/>
        <w:adjustRightInd w:val="0"/>
        <w:spacing w:after="0" w:line="240" w:lineRule="auto"/>
        <w:rPr>
          <w:rFonts w:cstheme="minorHAnsi"/>
        </w:rPr>
      </w:pPr>
      <w:r w:rsidRPr="004C5628">
        <w:rPr>
          <w:rFonts w:cstheme="minorHAnsi"/>
        </w:rPr>
        <w:t>The Community Open Day provided</w:t>
      </w:r>
      <w:r>
        <w:rPr>
          <w:rFonts w:cstheme="minorHAnsi"/>
        </w:rPr>
        <w:t xml:space="preserve"> </w:t>
      </w:r>
      <w:r w:rsidRPr="004C5628">
        <w:rPr>
          <w:rFonts w:cstheme="minorHAnsi"/>
        </w:rPr>
        <w:t>the opportunity to showcase Chisholm’s</w:t>
      </w:r>
      <w:r>
        <w:rPr>
          <w:rFonts w:cstheme="minorHAnsi"/>
        </w:rPr>
        <w:t xml:space="preserve"> </w:t>
      </w:r>
      <w:r w:rsidRPr="004C5628">
        <w:rPr>
          <w:rFonts w:cstheme="minorHAnsi"/>
        </w:rPr>
        <w:t>significant role in the re-imagining</w:t>
      </w:r>
      <w:r>
        <w:rPr>
          <w:rFonts w:cstheme="minorHAnsi"/>
        </w:rPr>
        <w:t xml:space="preserve"> </w:t>
      </w:r>
      <w:r w:rsidRPr="004C5628">
        <w:rPr>
          <w:rFonts w:cstheme="minorHAnsi"/>
        </w:rPr>
        <w:t>of Frankston’s health and education</w:t>
      </w:r>
      <w:r>
        <w:rPr>
          <w:rFonts w:cstheme="minorHAnsi"/>
        </w:rPr>
        <w:t xml:space="preserve"> </w:t>
      </w:r>
      <w:r w:rsidRPr="004C5628">
        <w:rPr>
          <w:rFonts w:cstheme="minorHAnsi"/>
        </w:rPr>
        <w:t>precincts. The new on-campus</w:t>
      </w:r>
      <w:r>
        <w:rPr>
          <w:rFonts w:cstheme="minorHAnsi"/>
        </w:rPr>
        <w:t xml:space="preserve"> </w:t>
      </w:r>
      <w:r w:rsidRPr="004C5628">
        <w:rPr>
          <w:rFonts w:cstheme="minorHAnsi"/>
        </w:rPr>
        <w:t>development is home to an entire level</w:t>
      </w:r>
      <w:r>
        <w:rPr>
          <w:rFonts w:cstheme="minorHAnsi"/>
        </w:rPr>
        <w:t xml:space="preserve"> </w:t>
      </w:r>
      <w:r w:rsidRPr="004C5628">
        <w:rPr>
          <w:rFonts w:cstheme="minorHAnsi"/>
        </w:rPr>
        <w:t>of hospital and allied health care training</w:t>
      </w:r>
      <w:r>
        <w:rPr>
          <w:rFonts w:cstheme="minorHAnsi"/>
        </w:rPr>
        <w:t xml:space="preserve"> </w:t>
      </w:r>
      <w:r w:rsidRPr="004C5628">
        <w:rPr>
          <w:rFonts w:cstheme="minorHAnsi"/>
        </w:rPr>
        <w:t>through a range of course deliveries, and</w:t>
      </w:r>
      <w:r>
        <w:rPr>
          <w:rFonts w:cstheme="minorHAnsi"/>
        </w:rPr>
        <w:t xml:space="preserve"> </w:t>
      </w:r>
      <w:r w:rsidRPr="004C5628">
        <w:rPr>
          <w:rFonts w:cstheme="minorHAnsi"/>
        </w:rPr>
        <w:t>is also equipped with 12 model-health</w:t>
      </w:r>
      <w:r>
        <w:rPr>
          <w:rFonts w:cstheme="minorHAnsi"/>
        </w:rPr>
        <w:t xml:space="preserve"> </w:t>
      </w:r>
      <w:r w:rsidRPr="004C5628">
        <w:rPr>
          <w:rFonts w:cstheme="minorHAnsi"/>
        </w:rPr>
        <w:t>wards, dental and pathology laboratories</w:t>
      </w:r>
      <w:r>
        <w:rPr>
          <w:rFonts w:cstheme="minorHAnsi"/>
        </w:rPr>
        <w:t xml:space="preserve"> </w:t>
      </w:r>
      <w:r w:rsidRPr="004C5628">
        <w:rPr>
          <w:rFonts w:cstheme="minorHAnsi"/>
        </w:rPr>
        <w:t>and an allied health services apartment</w:t>
      </w:r>
      <w:r>
        <w:rPr>
          <w:rFonts w:cstheme="minorHAnsi"/>
        </w:rPr>
        <w:t xml:space="preserve"> </w:t>
      </w:r>
      <w:r w:rsidRPr="004C5628">
        <w:rPr>
          <w:rFonts w:cstheme="minorHAnsi"/>
        </w:rPr>
        <w:t>that provides student training in disability,</w:t>
      </w:r>
      <w:r>
        <w:rPr>
          <w:rFonts w:cstheme="minorHAnsi"/>
        </w:rPr>
        <w:t xml:space="preserve"> </w:t>
      </w:r>
      <w:r w:rsidRPr="004C5628">
        <w:rPr>
          <w:rFonts w:cstheme="minorHAnsi"/>
        </w:rPr>
        <w:t>mental health, and aged-care support.</w:t>
      </w:r>
    </w:p>
    <w:p w:rsidR="004C5628" w:rsidRDefault="004C5628" w:rsidP="005942B8">
      <w:pPr>
        <w:pStyle w:val="NoSpacing"/>
      </w:pPr>
    </w:p>
    <w:p w:rsidR="004C5628" w:rsidRDefault="004C5628" w:rsidP="005942B8">
      <w:pPr>
        <w:pStyle w:val="NoSpacing"/>
      </w:pPr>
      <w:r>
        <w:t>&lt;page 10&gt;</w:t>
      </w:r>
    </w:p>
    <w:p w:rsidR="004C5628" w:rsidRDefault="004C5628" w:rsidP="005942B8">
      <w:pPr>
        <w:pStyle w:val="NoSpacing"/>
      </w:pPr>
    </w:p>
    <w:p w:rsidR="00D30890" w:rsidRDefault="00D30890" w:rsidP="00D30890">
      <w:pPr>
        <w:pStyle w:val="Heading2"/>
      </w:pPr>
      <w:r>
        <w:t xml:space="preserve">Free TAFE </w:t>
      </w:r>
    </w:p>
    <w:p w:rsidR="00D30890" w:rsidRDefault="00D30890" w:rsidP="005942B8">
      <w:pPr>
        <w:pStyle w:val="NoSpacing"/>
      </w:pPr>
    </w:p>
    <w:p w:rsidR="00D30890" w:rsidRDefault="00D30890" w:rsidP="005942B8">
      <w:pPr>
        <w:pStyle w:val="NoSpacing"/>
      </w:pPr>
      <w:r>
        <w:t>In late 2018, Chisholm began its marketing campaign to attract and encourage students from through the southeast catchment to take up the State Government’s opportunity to study one of a range of courses under Free TAFE initiative.</w:t>
      </w:r>
    </w:p>
    <w:p w:rsidR="00D30890" w:rsidRDefault="00D30890" w:rsidP="005942B8">
      <w:pPr>
        <w:pStyle w:val="NoSpacing"/>
      </w:pPr>
    </w:p>
    <w:p w:rsidR="00D30890" w:rsidRPr="00D30890" w:rsidRDefault="00D30890" w:rsidP="00D30890">
      <w:pPr>
        <w:autoSpaceDE w:val="0"/>
        <w:autoSpaceDN w:val="0"/>
        <w:adjustRightInd w:val="0"/>
        <w:spacing w:after="0" w:line="240" w:lineRule="auto"/>
        <w:rPr>
          <w:rFonts w:cstheme="minorHAnsi"/>
        </w:rPr>
      </w:pPr>
      <w:r w:rsidRPr="00D30890">
        <w:rPr>
          <w:rFonts w:cstheme="minorHAnsi"/>
        </w:rPr>
        <w:t>The marketing campaign, combined</w:t>
      </w:r>
      <w:r w:rsidR="00D032A4">
        <w:rPr>
          <w:rFonts w:cstheme="minorHAnsi"/>
        </w:rPr>
        <w:t xml:space="preserve"> </w:t>
      </w:r>
      <w:r w:rsidRPr="00D30890">
        <w:rPr>
          <w:rFonts w:cstheme="minorHAnsi"/>
        </w:rPr>
        <w:t>with the heightened public awareness of</w:t>
      </w:r>
      <w:r w:rsidR="00D032A4">
        <w:rPr>
          <w:rFonts w:cstheme="minorHAnsi"/>
        </w:rPr>
        <w:t xml:space="preserve"> </w:t>
      </w:r>
      <w:r w:rsidRPr="00D30890">
        <w:rPr>
          <w:rFonts w:cstheme="minorHAnsi"/>
        </w:rPr>
        <w:t>the initiative saw enquiries for Chisholm</w:t>
      </w:r>
      <w:r w:rsidR="00D032A4">
        <w:rPr>
          <w:rFonts w:cstheme="minorHAnsi"/>
        </w:rPr>
        <w:t xml:space="preserve"> </w:t>
      </w:r>
      <w:r w:rsidRPr="00D30890">
        <w:rPr>
          <w:rFonts w:cstheme="minorHAnsi"/>
        </w:rPr>
        <w:t>courses increase in a matter of weeks.</w:t>
      </w:r>
      <w:r w:rsidR="00D032A4">
        <w:rPr>
          <w:rFonts w:cstheme="minorHAnsi"/>
        </w:rPr>
        <w:t xml:space="preserve"> </w:t>
      </w:r>
      <w:r w:rsidRPr="00D30890">
        <w:rPr>
          <w:rFonts w:cstheme="minorHAnsi"/>
        </w:rPr>
        <w:t>This increase in enquiries was converted</w:t>
      </w:r>
      <w:r w:rsidR="00D032A4">
        <w:rPr>
          <w:rFonts w:cstheme="minorHAnsi"/>
        </w:rPr>
        <w:t xml:space="preserve"> </w:t>
      </w:r>
      <w:r w:rsidRPr="00D30890">
        <w:rPr>
          <w:rFonts w:cstheme="minorHAnsi"/>
        </w:rPr>
        <w:t>to enrolments and the student number</w:t>
      </w:r>
      <w:r w:rsidR="00D032A4">
        <w:rPr>
          <w:rFonts w:cstheme="minorHAnsi"/>
        </w:rPr>
        <w:t xml:space="preserve"> </w:t>
      </w:r>
      <w:r w:rsidRPr="00D30890">
        <w:rPr>
          <w:rFonts w:cstheme="minorHAnsi"/>
        </w:rPr>
        <w:t>increase was maintained throughout.</w:t>
      </w:r>
    </w:p>
    <w:p w:rsidR="00D30890" w:rsidRDefault="00D30890" w:rsidP="00D30890">
      <w:pPr>
        <w:autoSpaceDE w:val="0"/>
        <w:autoSpaceDN w:val="0"/>
        <w:adjustRightInd w:val="0"/>
        <w:spacing w:after="0" w:line="240" w:lineRule="auto"/>
        <w:rPr>
          <w:rFonts w:cstheme="minorHAnsi"/>
        </w:rPr>
      </w:pPr>
    </w:p>
    <w:p w:rsidR="00D30890" w:rsidRPr="00D30890" w:rsidRDefault="00D30890" w:rsidP="00D30890">
      <w:pPr>
        <w:autoSpaceDE w:val="0"/>
        <w:autoSpaceDN w:val="0"/>
        <w:adjustRightInd w:val="0"/>
        <w:spacing w:after="0" w:line="240" w:lineRule="auto"/>
        <w:rPr>
          <w:rFonts w:cstheme="minorHAnsi"/>
        </w:rPr>
      </w:pPr>
      <w:r w:rsidRPr="00D30890">
        <w:rPr>
          <w:rFonts w:cstheme="minorHAnsi"/>
        </w:rPr>
        <w:t>Free TAFE was almost half of the</w:t>
      </w:r>
      <w:r w:rsidR="00D032A4">
        <w:rPr>
          <w:rFonts w:cstheme="minorHAnsi"/>
        </w:rPr>
        <w:t xml:space="preserve"> </w:t>
      </w:r>
      <w:r w:rsidRPr="00D30890">
        <w:rPr>
          <w:rFonts w:cstheme="minorHAnsi"/>
        </w:rPr>
        <w:t>government-funded delivery in 2019</w:t>
      </w:r>
      <w:r w:rsidR="00D032A4">
        <w:rPr>
          <w:rFonts w:cstheme="minorHAnsi"/>
        </w:rPr>
        <w:t xml:space="preserve"> </w:t>
      </w:r>
      <w:r w:rsidRPr="00D30890">
        <w:rPr>
          <w:rFonts w:cstheme="minorHAnsi"/>
        </w:rPr>
        <w:t>and landed 260% higher than 2018,</w:t>
      </w:r>
      <w:r w:rsidR="00D032A4">
        <w:rPr>
          <w:rFonts w:cstheme="minorHAnsi"/>
        </w:rPr>
        <w:t xml:space="preserve"> </w:t>
      </w:r>
      <w:r w:rsidRPr="00D30890">
        <w:rPr>
          <w:rFonts w:cstheme="minorHAnsi"/>
        </w:rPr>
        <w:t>up by 4,841 enrolments. The top five</w:t>
      </w:r>
      <w:r w:rsidR="00D032A4">
        <w:rPr>
          <w:rFonts w:cstheme="minorHAnsi"/>
        </w:rPr>
        <w:t xml:space="preserve"> </w:t>
      </w:r>
      <w:r w:rsidRPr="00D30890">
        <w:rPr>
          <w:rFonts w:cstheme="minorHAnsi"/>
        </w:rPr>
        <w:t>Free TAFE priority courses made up</w:t>
      </w:r>
      <w:r w:rsidR="00D032A4">
        <w:rPr>
          <w:rFonts w:cstheme="minorHAnsi"/>
        </w:rPr>
        <w:t xml:space="preserve"> </w:t>
      </w:r>
      <w:r w:rsidRPr="00D30890">
        <w:rPr>
          <w:rFonts w:cstheme="minorHAnsi"/>
        </w:rPr>
        <w:t>41% of enrolments; Certificate IV in</w:t>
      </w:r>
      <w:r w:rsidR="00D032A4">
        <w:rPr>
          <w:rFonts w:cstheme="minorHAnsi"/>
        </w:rPr>
        <w:t xml:space="preserve"> </w:t>
      </w:r>
      <w:r w:rsidRPr="00D30890">
        <w:rPr>
          <w:rFonts w:cstheme="minorHAnsi"/>
        </w:rPr>
        <w:t>Accounting and Bookkeeping at 19%</w:t>
      </w:r>
      <w:r w:rsidR="00D032A4">
        <w:rPr>
          <w:rFonts w:cstheme="minorHAnsi"/>
        </w:rPr>
        <w:t xml:space="preserve"> </w:t>
      </w:r>
      <w:r w:rsidRPr="00D30890">
        <w:rPr>
          <w:rFonts w:cstheme="minorHAnsi"/>
        </w:rPr>
        <w:t>(1,307 enrolments), Certificate IV in</w:t>
      </w:r>
      <w:r w:rsidR="00D032A4">
        <w:rPr>
          <w:rFonts w:cstheme="minorHAnsi"/>
        </w:rPr>
        <w:t xml:space="preserve"> </w:t>
      </w:r>
      <w:r w:rsidRPr="00D30890">
        <w:rPr>
          <w:rFonts w:cstheme="minorHAnsi"/>
        </w:rPr>
        <w:t>Education Support at 7% (481 enrolments</w:t>
      </w:r>
      <w:r w:rsidR="00FC4D32">
        <w:rPr>
          <w:rFonts w:cstheme="minorHAnsi"/>
        </w:rPr>
        <w:t>)</w:t>
      </w:r>
      <w:r w:rsidR="00D032A4">
        <w:rPr>
          <w:rFonts w:cstheme="minorHAnsi"/>
        </w:rPr>
        <w:t xml:space="preserve">, </w:t>
      </w:r>
      <w:r w:rsidRPr="00D30890">
        <w:rPr>
          <w:rFonts w:cstheme="minorHAnsi"/>
        </w:rPr>
        <w:t>Certificate II in Electrotechnology (Career</w:t>
      </w:r>
      <w:r w:rsidR="00FC4D32">
        <w:rPr>
          <w:rFonts w:cstheme="minorHAnsi"/>
        </w:rPr>
        <w:t xml:space="preserve"> </w:t>
      </w:r>
      <w:r w:rsidRPr="00D30890">
        <w:rPr>
          <w:rFonts w:cstheme="minorHAnsi"/>
        </w:rPr>
        <w:t>Start) at 5% (377 enrolments), Certificate</w:t>
      </w:r>
      <w:r w:rsidR="00FC4D32">
        <w:rPr>
          <w:rFonts w:cstheme="minorHAnsi"/>
        </w:rPr>
        <w:t xml:space="preserve"> </w:t>
      </w:r>
      <w:r w:rsidRPr="00D30890">
        <w:rPr>
          <w:rFonts w:cstheme="minorHAnsi"/>
        </w:rPr>
        <w:t>III in Individual Support at 5% (373</w:t>
      </w:r>
      <w:r w:rsidR="00FC4D32">
        <w:rPr>
          <w:rFonts w:cstheme="minorHAnsi"/>
        </w:rPr>
        <w:t xml:space="preserve"> </w:t>
      </w:r>
      <w:r w:rsidRPr="00D30890">
        <w:rPr>
          <w:rFonts w:cstheme="minorHAnsi"/>
        </w:rPr>
        <w:t>enrolments) and Certificate IV in Building</w:t>
      </w:r>
      <w:r w:rsidR="00FC4D32">
        <w:rPr>
          <w:rFonts w:cstheme="minorHAnsi"/>
        </w:rPr>
        <w:t xml:space="preserve"> </w:t>
      </w:r>
      <w:r w:rsidRPr="00D30890">
        <w:rPr>
          <w:rFonts w:cstheme="minorHAnsi"/>
        </w:rPr>
        <w:t>and Construction at 5% (356 Enrolments).</w:t>
      </w:r>
    </w:p>
    <w:p w:rsidR="00D30890" w:rsidRDefault="00D30890" w:rsidP="00D30890">
      <w:pPr>
        <w:autoSpaceDE w:val="0"/>
        <w:autoSpaceDN w:val="0"/>
        <w:adjustRightInd w:val="0"/>
        <w:spacing w:after="0" w:line="240" w:lineRule="auto"/>
        <w:rPr>
          <w:rFonts w:cstheme="minorHAnsi"/>
        </w:rPr>
      </w:pPr>
    </w:p>
    <w:p w:rsidR="00D30890" w:rsidRPr="00D30890" w:rsidRDefault="00D30890" w:rsidP="00D30890">
      <w:pPr>
        <w:autoSpaceDE w:val="0"/>
        <w:autoSpaceDN w:val="0"/>
        <w:adjustRightInd w:val="0"/>
        <w:spacing w:after="0" w:line="240" w:lineRule="auto"/>
        <w:rPr>
          <w:rFonts w:cstheme="minorHAnsi"/>
        </w:rPr>
      </w:pPr>
      <w:r w:rsidRPr="00D30890">
        <w:rPr>
          <w:rFonts w:cstheme="minorHAnsi"/>
        </w:rPr>
        <w:t>The increase in student numbers was</w:t>
      </w:r>
      <w:r w:rsidR="00FC4D32">
        <w:rPr>
          <w:rFonts w:cstheme="minorHAnsi"/>
        </w:rPr>
        <w:t xml:space="preserve"> </w:t>
      </w:r>
      <w:r w:rsidRPr="00D30890">
        <w:rPr>
          <w:rFonts w:cstheme="minorHAnsi"/>
        </w:rPr>
        <w:t>also realised at Chisholm’s regional</w:t>
      </w:r>
      <w:r w:rsidR="00FC4D32">
        <w:rPr>
          <w:rFonts w:cstheme="minorHAnsi"/>
        </w:rPr>
        <w:t xml:space="preserve"> </w:t>
      </w:r>
      <w:r w:rsidRPr="00D30890">
        <w:rPr>
          <w:rFonts w:cstheme="minorHAnsi"/>
        </w:rPr>
        <w:t>campuses, and a visit to the Bass Coast</w:t>
      </w:r>
      <w:r w:rsidR="00FC4D32">
        <w:rPr>
          <w:rFonts w:cstheme="minorHAnsi"/>
        </w:rPr>
        <w:t xml:space="preserve"> </w:t>
      </w:r>
      <w:r w:rsidRPr="00D30890">
        <w:rPr>
          <w:rFonts w:cstheme="minorHAnsi"/>
        </w:rPr>
        <w:t>campus by the Minister for Training</w:t>
      </w:r>
      <w:r w:rsidR="00FC4D32">
        <w:rPr>
          <w:rFonts w:cstheme="minorHAnsi"/>
        </w:rPr>
        <w:t xml:space="preserve"> </w:t>
      </w:r>
      <w:r w:rsidRPr="00D30890">
        <w:rPr>
          <w:rFonts w:cstheme="minorHAnsi"/>
        </w:rPr>
        <w:t>and Skills, and Higher Education,</w:t>
      </w:r>
      <w:r w:rsidR="00FC4D32">
        <w:rPr>
          <w:rFonts w:cstheme="minorHAnsi"/>
        </w:rPr>
        <w:t xml:space="preserve"> </w:t>
      </w:r>
      <w:r w:rsidRPr="00D30890">
        <w:rPr>
          <w:rFonts w:cstheme="minorHAnsi"/>
        </w:rPr>
        <w:t>the Honourable Gayle Tierney was</w:t>
      </w:r>
      <w:r w:rsidR="00FC4D32">
        <w:rPr>
          <w:rFonts w:cstheme="minorHAnsi"/>
        </w:rPr>
        <w:t xml:space="preserve"> </w:t>
      </w:r>
      <w:r w:rsidRPr="00D30890">
        <w:rPr>
          <w:rFonts w:cstheme="minorHAnsi"/>
        </w:rPr>
        <w:t>recognition of this.</w:t>
      </w:r>
    </w:p>
    <w:p w:rsidR="00D30890" w:rsidRDefault="00D30890" w:rsidP="00D30890">
      <w:pPr>
        <w:autoSpaceDE w:val="0"/>
        <w:autoSpaceDN w:val="0"/>
        <w:adjustRightInd w:val="0"/>
        <w:spacing w:after="0" w:line="240" w:lineRule="auto"/>
        <w:rPr>
          <w:rFonts w:cstheme="minorHAnsi"/>
        </w:rPr>
      </w:pPr>
    </w:p>
    <w:p w:rsidR="00D30890" w:rsidRPr="00D30890" w:rsidRDefault="00D30890" w:rsidP="00D30890">
      <w:pPr>
        <w:autoSpaceDE w:val="0"/>
        <w:autoSpaceDN w:val="0"/>
        <w:adjustRightInd w:val="0"/>
        <w:spacing w:after="0" w:line="240" w:lineRule="auto"/>
        <w:rPr>
          <w:rFonts w:cstheme="minorHAnsi"/>
        </w:rPr>
      </w:pPr>
      <w:r w:rsidRPr="00D30890">
        <w:rPr>
          <w:rFonts w:cstheme="minorHAnsi"/>
        </w:rPr>
        <w:t>Of the students who enrolled in</w:t>
      </w:r>
      <w:r w:rsidR="00FC4D32">
        <w:rPr>
          <w:rFonts w:cstheme="minorHAnsi"/>
        </w:rPr>
        <w:t xml:space="preserve"> </w:t>
      </w:r>
      <w:r w:rsidRPr="00D30890">
        <w:rPr>
          <w:rFonts w:cstheme="minorHAnsi"/>
        </w:rPr>
        <w:t>courses at Bass Coast in the first half</w:t>
      </w:r>
      <w:r w:rsidR="00FC4D32">
        <w:rPr>
          <w:rFonts w:cstheme="minorHAnsi"/>
        </w:rPr>
        <w:t xml:space="preserve"> </w:t>
      </w:r>
      <w:r w:rsidRPr="00D30890">
        <w:rPr>
          <w:rFonts w:cstheme="minorHAnsi"/>
        </w:rPr>
        <w:t>of 2019, more than half had selected</w:t>
      </w:r>
      <w:r w:rsidR="00FC4D32">
        <w:rPr>
          <w:rFonts w:cstheme="minorHAnsi"/>
        </w:rPr>
        <w:t xml:space="preserve"> </w:t>
      </w:r>
      <w:r w:rsidRPr="00D30890">
        <w:rPr>
          <w:rFonts w:cstheme="minorHAnsi"/>
        </w:rPr>
        <w:t>a course from the Free TAFE list. The</w:t>
      </w:r>
      <w:r w:rsidR="00FC4D32">
        <w:rPr>
          <w:rFonts w:cstheme="minorHAnsi"/>
        </w:rPr>
        <w:t xml:space="preserve"> </w:t>
      </w:r>
      <w:r w:rsidRPr="00D30890">
        <w:rPr>
          <w:rFonts w:cstheme="minorHAnsi"/>
        </w:rPr>
        <w:t>most popular Free TAFE course at the</w:t>
      </w:r>
      <w:r w:rsidR="00FC4D32">
        <w:rPr>
          <w:rFonts w:cstheme="minorHAnsi"/>
        </w:rPr>
        <w:t xml:space="preserve"> </w:t>
      </w:r>
      <w:r w:rsidRPr="00D30890">
        <w:rPr>
          <w:rFonts w:cstheme="minorHAnsi"/>
        </w:rPr>
        <w:t>regional campus was the Certificate III in</w:t>
      </w:r>
      <w:r w:rsidR="00FC4D32">
        <w:rPr>
          <w:rFonts w:cstheme="minorHAnsi"/>
        </w:rPr>
        <w:t xml:space="preserve"> </w:t>
      </w:r>
      <w:r w:rsidRPr="00D30890">
        <w:rPr>
          <w:rFonts w:cstheme="minorHAnsi"/>
        </w:rPr>
        <w:t>Individual Support, while the Certificate</w:t>
      </w:r>
      <w:r w:rsidR="00FC4D32">
        <w:rPr>
          <w:rFonts w:cstheme="minorHAnsi"/>
        </w:rPr>
        <w:t xml:space="preserve"> </w:t>
      </w:r>
      <w:r w:rsidRPr="00D30890">
        <w:rPr>
          <w:rFonts w:cstheme="minorHAnsi"/>
        </w:rPr>
        <w:t>IV in Bookkeeping and Accounting also</w:t>
      </w:r>
      <w:r w:rsidR="00FC4D32">
        <w:rPr>
          <w:rFonts w:cstheme="minorHAnsi"/>
        </w:rPr>
        <w:t xml:space="preserve"> </w:t>
      </w:r>
      <w:r w:rsidRPr="00D30890">
        <w:rPr>
          <w:rFonts w:cstheme="minorHAnsi"/>
        </w:rPr>
        <w:t>attracted interest.</w:t>
      </w:r>
    </w:p>
    <w:p w:rsidR="00D30890" w:rsidRDefault="00D30890" w:rsidP="00D30890">
      <w:pPr>
        <w:autoSpaceDE w:val="0"/>
        <w:autoSpaceDN w:val="0"/>
        <w:adjustRightInd w:val="0"/>
        <w:spacing w:after="0" w:line="240" w:lineRule="auto"/>
        <w:rPr>
          <w:rFonts w:cstheme="minorHAnsi"/>
        </w:rPr>
      </w:pPr>
    </w:p>
    <w:p w:rsidR="00D30890" w:rsidRDefault="00D30890" w:rsidP="00D30890">
      <w:pPr>
        <w:autoSpaceDE w:val="0"/>
        <w:autoSpaceDN w:val="0"/>
        <w:adjustRightInd w:val="0"/>
        <w:spacing w:after="0" w:line="240" w:lineRule="auto"/>
      </w:pPr>
      <w:r w:rsidRPr="00D30890">
        <w:rPr>
          <w:rFonts w:cstheme="minorHAnsi"/>
        </w:rPr>
        <w:t>Chisholm commenced preparation for</w:t>
      </w:r>
      <w:r>
        <w:rPr>
          <w:rFonts w:cstheme="minorHAnsi"/>
        </w:rPr>
        <w:t xml:space="preserve"> </w:t>
      </w:r>
      <w:r w:rsidRPr="00D30890">
        <w:rPr>
          <w:rFonts w:cstheme="minorHAnsi"/>
        </w:rPr>
        <w:t>the introduction of the additional Free</w:t>
      </w:r>
      <w:r>
        <w:rPr>
          <w:rFonts w:cstheme="minorHAnsi"/>
        </w:rPr>
        <w:t xml:space="preserve"> </w:t>
      </w:r>
      <w:r w:rsidRPr="00D30890">
        <w:rPr>
          <w:rFonts w:cstheme="minorHAnsi"/>
        </w:rPr>
        <w:t>TAFE courses Certificate III and Diploma</w:t>
      </w:r>
      <w:r>
        <w:rPr>
          <w:rFonts w:cstheme="minorHAnsi"/>
        </w:rPr>
        <w:t xml:space="preserve"> </w:t>
      </w:r>
      <w:r w:rsidRPr="00D30890">
        <w:rPr>
          <w:rFonts w:cstheme="minorHAnsi"/>
        </w:rPr>
        <w:t>of Early Childhood Education and</w:t>
      </w:r>
      <w:r>
        <w:rPr>
          <w:rFonts w:cstheme="minorHAnsi"/>
        </w:rPr>
        <w:t xml:space="preserve"> </w:t>
      </w:r>
      <w:r w:rsidRPr="00D30890">
        <w:rPr>
          <w:rFonts w:cstheme="minorHAnsi"/>
        </w:rPr>
        <w:t>Care towards the end of the 2019 year.</w:t>
      </w:r>
      <w:r>
        <w:rPr>
          <w:rFonts w:cstheme="minorHAnsi"/>
        </w:rPr>
        <w:t xml:space="preserve"> </w:t>
      </w:r>
      <w:r w:rsidRPr="00D30890">
        <w:rPr>
          <w:rFonts w:cstheme="minorHAnsi"/>
        </w:rPr>
        <w:t>Chisholm Institute’s Early Childhood</w:t>
      </w:r>
      <w:r>
        <w:rPr>
          <w:rFonts w:cstheme="minorHAnsi"/>
        </w:rPr>
        <w:t xml:space="preserve"> </w:t>
      </w:r>
      <w:r w:rsidRPr="00D30890">
        <w:rPr>
          <w:rFonts w:cstheme="minorHAnsi"/>
        </w:rPr>
        <w:t>Education Certificate III will begin on 24</w:t>
      </w:r>
      <w:r>
        <w:rPr>
          <w:rFonts w:cstheme="minorHAnsi"/>
        </w:rPr>
        <w:t xml:space="preserve"> </w:t>
      </w:r>
      <w:r w:rsidRPr="00D30890">
        <w:rPr>
          <w:rFonts w:cstheme="minorHAnsi"/>
        </w:rPr>
        <w:t>February 2020, and the Diploma on 25</w:t>
      </w:r>
      <w:r>
        <w:rPr>
          <w:rFonts w:cstheme="minorHAnsi"/>
        </w:rPr>
        <w:t xml:space="preserve"> </w:t>
      </w:r>
      <w:r w:rsidRPr="00D30890">
        <w:rPr>
          <w:rFonts w:cstheme="minorHAnsi"/>
        </w:rPr>
        <w:t>February, 2020.</w:t>
      </w:r>
    </w:p>
    <w:p w:rsidR="00D30890" w:rsidRDefault="00D30890" w:rsidP="005942B8">
      <w:pPr>
        <w:pStyle w:val="NoSpacing"/>
      </w:pPr>
    </w:p>
    <w:p w:rsidR="00D032A4" w:rsidRDefault="00D032A4" w:rsidP="006B2929">
      <w:pPr>
        <w:pStyle w:val="Heading3"/>
      </w:pPr>
      <w:r>
        <w:t xml:space="preserve">Case Study </w:t>
      </w:r>
    </w:p>
    <w:p w:rsidR="00D032A4" w:rsidRDefault="00D032A4" w:rsidP="005942B8">
      <w:pPr>
        <w:pStyle w:val="NoSpacing"/>
      </w:pPr>
    </w:p>
    <w:p w:rsidR="00D032A4" w:rsidRPr="00D032A4" w:rsidRDefault="00D032A4" w:rsidP="00D032A4">
      <w:pPr>
        <w:autoSpaceDE w:val="0"/>
        <w:autoSpaceDN w:val="0"/>
        <w:adjustRightInd w:val="0"/>
        <w:spacing w:after="0" w:line="240" w:lineRule="auto"/>
        <w:rPr>
          <w:rFonts w:cstheme="minorHAnsi"/>
        </w:rPr>
      </w:pPr>
      <w:r w:rsidRPr="00D032A4">
        <w:rPr>
          <w:rFonts w:cstheme="minorHAnsi"/>
        </w:rPr>
        <w:t>A mother of two, Emma</w:t>
      </w:r>
      <w:r>
        <w:rPr>
          <w:rFonts w:cstheme="minorHAnsi"/>
        </w:rPr>
        <w:t xml:space="preserve"> </w:t>
      </w:r>
      <w:r w:rsidRPr="00D032A4">
        <w:rPr>
          <w:rFonts w:cstheme="minorHAnsi"/>
        </w:rPr>
        <w:t>Whitmore decided that her</w:t>
      </w:r>
      <w:r>
        <w:rPr>
          <w:rFonts w:cstheme="minorHAnsi"/>
        </w:rPr>
        <w:t xml:space="preserve"> </w:t>
      </w:r>
      <w:r w:rsidRPr="00D032A4">
        <w:rPr>
          <w:rFonts w:cstheme="minorHAnsi"/>
        </w:rPr>
        <w:t>return to work would also signal</w:t>
      </w:r>
      <w:r>
        <w:rPr>
          <w:rFonts w:cstheme="minorHAnsi"/>
        </w:rPr>
        <w:t xml:space="preserve"> </w:t>
      </w:r>
      <w:r w:rsidRPr="00D032A4">
        <w:rPr>
          <w:rFonts w:cstheme="minorHAnsi"/>
        </w:rPr>
        <w:t>a new career. The opportunity</w:t>
      </w:r>
      <w:r>
        <w:rPr>
          <w:rFonts w:cstheme="minorHAnsi"/>
        </w:rPr>
        <w:t xml:space="preserve"> </w:t>
      </w:r>
      <w:r w:rsidRPr="00D032A4">
        <w:rPr>
          <w:rFonts w:cstheme="minorHAnsi"/>
        </w:rPr>
        <w:t>created by Free TAFE meant</w:t>
      </w:r>
      <w:r>
        <w:rPr>
          <w:rFonts w:cstheme="minorHAnsi"/>
        </w:rPr>
        <w:t xml:space="preserve"> </w:t>
      </w:r>
      <w:r w:rsidRPr="00D032A4">
        <w:rPr>
          <w:rFonts w:cstheme="minorHAnsi"/>
        </w:rPr>
        <w:t>that 34 year old Emma could</w:t>
      </w:r>
      <w:r>
        <w:rPr>
          <w:rFonts w:cstheme="minorHAnsi"/>
        </w:rPr>
        <w:t xml:space="preserve"> </w:t>
      </w:r>
      <w:r w:rsidRPr="00D032A4">
        <w:rPr>
          <w:rFonts w:cstheme="minorHAnsi"/>
        </w:rPr>
        <w:t>pursue her ambition to work</w:t>
      </w:r>
      <w:r>
        <w:rPr>
          <w:rFonts w:cstheme="minorHAnsi"/>
        </w:rPr>
        <w:t xml:space="preserve"> </w:t>
      </w:r>
      <w:r w:rsidRPr="00D032A4">
        <w:rPr>
          <w:rFonts w:cstheme="minorHAnsi"/>
        </w:rPr>
        <w:t>in dentistry. Emma completed</w:t>
      </w:r>
      <w:r>
        <w:rPr>
          <w:rFonts w:cstheme="minorHAnsi"/>
        </w:rPr>
        <w:t xml:space="preserve"> </w:t>
      </w:r>
      <w:r w:rsidRPr="00D032A4">
        <w:rPr>
          <w:rFonts w:cstheme="minorHAnsi"/>
        </w:rPr>
        <w:t>her Certificate III in Dental</w:t>
      </w:r>
      <w:r>
        <w:rPr>
          <w:rFonts w:cstheme="minorHAnsi"/>
        </w:rPr>
        <w:t xml:space="preserve"> </w:t>
      </w:r>
      <w:r w:rsidRPr="00D032A4">
        <w:rPr>
          <w:rFonts w:cstheme="minorHAnsi"/>
        </w:rPr>
        <w:t>Assisting, which included a work</w:t>
      </w:r>
      <w:r>
        <w:rPr>
          <w:rFonts w:cstheme="minorHAnsi"/>
        </w:rPr>
        <w:t xml:space="preserve"> </w:t>
      </w:r>
      <w:r w:rsidRPr="00D032A4">
        <w:rPr>
          <w:rFonts w:cstheme="minorHAnsi"/>
        </w:rPr>
        <w:lastRenderedPageBreak/>
        <w:t>placement at a dental surgery.</w:t>
      </w:r>
      <w:r>
        <w:rPr>
          <w:rFonts w:cstheme="minorHAnsi"/>
        </w:rPr>
        <w:t xml:space="preserve"> </w:t>
      </w:r>
      <w:r w:rsidRPr="00D032A4">
        <w:rPr>
          <w:rFonts w:cstheme="minorHAnsi"/>
        </w:rPr>
        <w:t>Within weeks of finalising her</w:t>
      </w:r>
      <w:r>
        <w:rPr>
          <w:rFonts w:cstheme="minorHAnsi"/>
        </w:rPr>
        <w:t xml:space="preserve"> </w:t>
      </w:r>
      <w:r w:rsidRPr="00D032A4">
        <w:rPr>
          <w:rFonts w:cstheme="minorHAnsi"/>
        </w:rPr>
        <w:t>course, the surgery contacted</w:t>
      </w:r>
      <w:r>
        <w:rPr>
          <w:rFonts w:cstheme="minorHAnsi"/>
        </w:rPr>
        <w:t xml:space="preserve"> </w:t>
      </w:r>
      <w:r w:rsidRPr="00D032A4">
        <w:rPr>
          <w:rFonts w:cstheme="minorHAnsi"/>
        </w:rPr>
        <w:t>Emma to offer her a position and</w:t>
      </w:r>
      <w:r>
        <w:rPr>
          <w:rFonts w:cstheme="minorHAnsi"/>
        </w:rPr>
        <w:t xml:space="preserve"> </w:t>
      </w:r>
      <w:r w:rsidRPr="00D032A4">
        <w:rPr>
          <w:rFonts w:cstheme="minorHAnsi"/>
        </w:rPr>
        <w:t>the start of a new career.</w:t>
      </w:r>
    </w:p>
    <w:p w:rsidR="00D032A4" w:rsidRPr="00D032A4" w:rsidRDefault="00D032A4" w:rsidP="005942B8">
      <w:pPr>
        <w:pStyle w:val="NoSpacing"/>
        <w:rPr>
          <w:rFonts w:cstheme="minorHAnsi"/>
        </w:rPr>
      </w:pPr>
    </w:p>
    <w:p w:rsidR="00D032A4" w:rsidRPr="00D032A4" w:rsidRDefault="00D032A4" w:rsidP="005942B8">
      <w:pPr>
        <w:pStyle w:val="NoSpacing"/>
        <w:rPr>
          <w:rFonts w:cstheme="minorHAnsi"/>
        </w:rPr>
      </w:pPr>
    </w:p>
    <w:p w:rsidR="00D032A4" w:rsidRPr="00D032A4" w:rsidRDefault="00D032A4" w:rsidP="00D032A4">
      <w:pPr>
        <w:autoSpaceDE w:val="0"/>
        <w:autoSpaceDN w:val="0"/>
        <w:adjustRightInd w:val="0"/>
        <w:spacing w:after="0" w:line="240" w:lineRule="auto"/>
        <w:rPr>
          <w:rFonts w:cstheme="minorHAnsi"/>
        </w:rPr>
      </w:pPr>
      <w:r w:rsidRPr="00D032A4">
        <w:rPr>
          <w:rFonts w:cstheme="minorHAnsi"/>
        </w:rPr>
        <w:t>Chisholm was named as one of</w:t>
      </w:r>
      <w:r>
        <w:rPr>
          <w:rFonts w:cstheme="minorHAnsi"/>
        </w:rPr>
        <w:t xml:space="preserve"> </w:t>
      </w:r>
      <w:r w:rsidRPr="00D032A4">
        <w:rPr>
          <w:rFonts w:cstheme="minorHAnsi"/>
        </w:rPr>
        <w:t>two Victorian training providers to</w:t>
      </w:r>
      <w:r>
        <w:rPr>
          <w:rFonts w:cstheme="minorHAnsi"/>
        </w:rPr>
        <w:t xml:space="preserve"> </w:t>
      </w:r>
      <w:r w:rsidRPr="00D032A4">
        <w:rPr>
          <w:rFonts w:cstheme="minorHAnsi"/>
        </w:rPr>
        <w:t>pilot a project to provide additional</w:t>
      </w:r>
      <w:r>
        <w:rPr>
          <w:rFonts w:cstheme="minorHAnsi"/>
        </w:rPr>
        <w:t xml:space="preserve"> </w:t>
      </w:r>
      <w:r w:rsidRPr="00D032A4">
        <w:rPr>
          <w:rFonts w:cstheme="minorHAnsi"/>
        </w:rPr>
        <w:t>support to students who selected to</w:t>
      </w:r>
      <w:r>
        <w:rPr>
          <w:rFonts w:cstheme="minorHAnsi"/>
        </w:rPr>
        <w:t xml:space="preserve"> </w:t>
      </w:r>
      <w:r w:rsidRPr="00D032A4">
        <w:rPr>
          <w:rFonts w:cstheme="minorHAnsi"/>
        </w:rPr>
        <w:t>study a course listed under the State</w:t>
      </w:r>
      <w:r>
        <w:rPr>
          <w:rFonts w:cstheme="minorHAnsi"/>
        </w:rPr>
        <w:t xml:space="preserve"> </w:t>
      </w:r>
      <w:r w:rsidRPr="00D032A4">
        <w:rPr>
          <w:rFonts w:cstheme="minorHAnsi"/>
        </w:rPr>
        <w:t>Government’s Free TAFE initiative.</w:t>
      </w:r>
    </w:p>
    <w:p w:rsidR="00D032A4" w:rsidRDefault="00D032A4" w:rsidP="00D032A4">
      <w:pPr>
        <w:autoSpaceDE w:val="0"/>
        <w:autoSpaceDN w:val="0"/>
        <w:adjustRightInd w:val="0"/>
        <w:spacing w:after="0" w:line="240" w:lineRule="auto"/>
        <w:rPr>
          <w:rFonts w:cstheme="minorHAnsi"/>
        </w:rPr>
      </w:pPr>
    </w:p>
    <w:p w:rsidR="00D032A4" w:rsidRPr="00D032A4" w:rsidRDefault="00D032A4" w:rsidP="00D032A4">
      <w:pPr>
        <w:autoSpaceDE w:val="0"/>
        <w:autoSpaceDN w:val="0"/>
        <w:adjustRightInd w:val="0"/>
        <w:spacing w:after="0" w:line="240" w:lineRule="auto"/>
        <w:rPr>
          <w:rFonts w:cstheme="minorHAnsi"/>
        </w:rPr>
      </w:pPr>
      <w:r w:rsidRPr="00D032A4">
        <w:rPr>
          <w:rFonts w:cstheme="minorHAnsi"/>
        </w:rPr>
        <w:t>The project funded</w:t>
      </w:r>
      <w:r>
        <w:rPr>
          <w:rFonts w:cstheme="minorHAnsi"/>
        </w:rPr>
        <w:t xml:space="preserve"> </w:t>
      </w:r>
      <w:r w:rsidRPr="00D032A4">
        <w:rPr>
          <w:rFonts w:cstheme="minorHAnsi"/>
        </w:rPr>
        <w:t>extra resources for Chisholm and</w:t>
      </w:r>
      <w:r>
        <w:rPr>
          <w:rFonts w:cstheme="minorHAnsi"/>
        </w:rPr>
        <w:t xml:space="preserve"> </w:t>
      </w:r>
      <w:r w:rsidRPr="00D032A4">
        <w:rPr>
          <w:rFonts w:cstheme="minorHAnsi"/>
        </w:rPr>
        <w:t>SuniTAFE via a partnership with</w:t>
      </w:r>
      <w:r>
        <w:rPr>
          <w:rFonts w:cstheme="minorHAnsi"/>
        </w:rPr>
        <w:t xml:space="preserve"> </w:t>
      </w:r>
      <w:r w:rsidRPr="00D032A4">
        <w:rPr>
          <w:rFonts w:cstheme="minorHAnsi"/>
        </w:rPr>
        <w:t>the Adult Community and Further</w:t>
      </w:r>
      <w:r>
        <w:rPr>
          <w:rFonts w:cstheme="minorHAnsi"/>
        </w:rPr>
        <w:t xml:space="preserve"> </w:t>
      </w:r>
      <w:r w:rsidRPr="00D032A4">
        <w:rPr>
          <w:rFonts w:cstheme="minorHAnsi"/>
        </w:rPr>
        <w:t>Education (ACFE) Board.</w:t>
      </w:r>
    </w:p>
    <w:p w:rsidR="00D032A4" w:rsidRPr="00D032A4" w:rsidRDefault="00D032A4" w:rsidP="00D032A4">
      <w:pPr>
        <w:autoSpaceDE w:val="0"/>
        <w:autoSpaceDN w:val="0"/>
        <w:adjustRightInd w:val="0"/>
        <w:spacing w:after="0" w:line="240" w:lineRule="auto"/>
        <w:rPr>
          <w:rFonts w:cstheme="minorHAnsi"/>
        </w:rPr>
      </w:pPr>
      <w:r w:rsidRPr="00D032A4">
        <w:rPr>
          <w:rFonts w:cstheme="minorHAnsi"/>
        </w:rPr>
        <w:t>The project strengthened Free TAFE</w:t>
      </w:r>
      <w:r>
        <w:rPr>
          <w:rFonts w:cstheme="minorHAnsi"/>
        </w:rPr>
        <w:t xml:space="preserve"> </w:t>
      </w:r>
      <w:r w:rsidRPr="00D032A4">
        <w:rPr>
          <w:rFonts w:cstheme="minorHAnsi"/>
        </w:rPr>
        <w:t>students’ capacity to manage their</w:t>
      </w:r>
      <w:r>
        <w:rPr>
          <w:rFonts w:cstheme="minorHAnsi"/>
        </w:rPr>
        <w:t xml:space="preserve"> </w:t>
      </w:r>
      <w:r w:rsidRPr="00D032A4">
        <w:rPr>
          <w:rFonts w:cstheme="minorHAnsi"/>
        </w:rPr>
        <w:t>learning and get the support they</w:t>
      </w:r>
      <w:r>
        <w:rPr>
          <w:rFonts w:cstheme="minorHAnsi"/>
        </w:rPr>
        <w:t xml:space="preserve"> </w:t>
      </w:r>
      <w:r w:rsidRPr="00D032A4">
        <w:rPr>
          <w:rFonts w:cstheme="minorHAnsi"/>
        </w:rPr>
        <w:t>needed to build their confidence to</w:t>
      </w:r>
      <w:r>
        <w:rPr>
          <w:rFonts w:cstheme="minorHAnsi"/>
        </w:rPr>
        <w:t xml:space="preserve"> </w:t>
      </w:r>
      <w:r w:rsidRPr="00D032A4">
        <w:rPr>
          <w:rFonts w:cstheme="minorHAnsi"/>
        </w:rPr>
        <w:t>achieve a Free TAFE qualification,</w:t>
      </w:r>
      <w:r>
        <w:rPr>
          <w:rFonts w:cstheme="minorHAnsi"/>
        </w:rPr>
        <w:t xml:space="preserve"> </w:t>
      </w:r>
      <w:r w:rsidRPr="00D032A4">
        <w:rPr>
          <w:rFonts w:cstheme="minorHAnsi"/>
        </w:rPr>
        <w:t>and to become job-ready.</w:t>
      </w:r>
    </w:p>
    <w:p w:rsidR="00D032A4" w:rsidRDefault="00D032A4" w:rsidP="00D032A4">
      <w:pPr>
        <w:autoSpaceDE w:val="0"/>
        <w:autoSpaceDN w:val="0"/>
        <w:adjustRightInd w:val="0"/>
        <w:spacing w:after="0" w:line="240" w:lineRule="auto"/>
        <w:rPr>
          <w:rFonts w:cstheme="minorHAnsi"/>
        </w:rPr>
      </w:pPr>
    </w:p>
    <w:p w:rsidR="00D032A4" w:rsidRPr="00D032A4" w:rsidRDefault="00D032A4" w:rsidP="00D032A4">
      <w:pPr>
        <w:autoSpaceDE w:val="0"/>
        <w:autoSpaceDN w:val="0"/>
        <w:adjustRightInd w:val="0"/>
        <w:spacing w:after="0" w:line="240" w:lineRule="auto"/>
        <w:rPr>
          <w:rFonts w:cstheme="minorHAnsi"/>
        </w:rPr>
      </w:pPr>
      <w:r w:rsidRPr="00D032A4">
        <w:rPr>
          <w:rFonts w:cstheme="minorHAnsi"/>
        </w:rPr>
        <w:t>The funding was announced by</w:t>
      </w:r>
      <w:r>
        <w:rPr>
          <w:rFonts w:cstheme="minorHAnsi"/>
        </w:rPr>
        <w:t xml:space="preserve"> </w:t>
      </w:r>
      <w:r w:rsidRPr="00D032A4">
        <w:rPr>
          <w:rFonts w:cstheme="minorHAnsi"/>
        </w:rPr>
        <w:t>Minister for Training and Skills, and</w:t>
      </w:r>
      <w:r>
        <w:rPr>
          <w:rFonts w:cstheme="minorHAnsi"/>
        </w:rPr>
        <w:t xml:space="preserve"> </w:t>
      </w:r>
      <w:r w:rsidRPr="00D032A4">
        <w:rPr>
          <w:rFonts w:cstheme="minorHAnsi"/>
        </w:rPr>
        <w:t>Higher Education, Gayle Tierney,</w:t>
      </w:r>
      <w:r>
        <w:rPr>
          <w:rFonts w:cstheme="minorHAnsi"/>
        </w:rPr>
        <w:t xml:space="preserve"> </w:t>
      </w:r>
      <w:r w:rsidRPr="00D032A4">
        <w:rPr>
          <w:rFonts w:cstheme="minorHAnsi"/>
        </w:rPr>
        <w:t>and Member for Nepean Chris</w:t>
      </w:r>
      <w:r>
        <w:rPr>
          <w:rFonts w:cstheme="minorHAnsi"/>
        </w:rPr>
        <w:t xml:space="preserve"> </w:t>
      </w:r>
      <w:r w:rsidRPr="00D032A4">
        <w:rPr>
          <w:rFonts w:cstheme="minorHAnsi"/>
        </w:rPr>
        <w:t>Brayne at Chisholm’s Mornington</w:t>
      </w:r>
      <w:r>
        <w:rPr>
          <w:rFonts w:cstheme="minorHAnsi"/>
        </w:rPr>
        <w:t xml:space="preserve"> </w:t>
      </w:r>
      <w:r w:rsidRPr="00D032A4">
        <w:rPr>
          <w:rFonts w:cstheme="minorHAnsi"/>
        </w:rPr>
        <w:t>Peninsula campus.</w:t>
      </w:r>
    </w:p>
    <w:p w:rsidR="00D032A4" w:rsidRDefault="00D032A4" w:rsidP="00D032A4">
      <w:pPr>
        <w:autoSpaceDE w:val="0"/>
        <w:autoSpaceDN w:val="0"/>
        <w:adjustRightInd w:val="0"/>
        <w:spacing w:after="0" w:line="240" w:lineRule="auto"/>
        <w:rPr>
          <w:rFonts w:cstheme="minorHAnsi"/>
        </w:rPr>
      </w:pPr>
    </w:p>
    <w:p w:rsidR="00D032A4" w:rsidRPr="00D032A4" w:rsidRDefault="00D032A4" w:rsidP="00D032A4">
      <w:pPr>
        <w:autoSpaceDE w:val="0"/>
        <w:autoSpaceDN w:val="0"/>
        <w:adjustRightInd w:val="0"/>
        <w:spacing w:after="0" w:line="240" w:lineRule="auto"/>
        <w:rPr>
          <w:rFonts w:cstheme="minorHAnsi"/>
        </w:rPr>
      </w:pPr>
      <w:r w:rsidRPr="00D032A4">
        <w:rPr>
          <w:rFonts w:cstheme="minorHAnsi"/>
        </w:rPr>
        <w:t>The ACFE Board and Learn Local</w:t>
      </w:r>
      <w:r>
        <w:rPr>
          <w:rFonts w:cstheme="minorHAnsi"/>
        </w:rPr>
        <w:t xml:space="preserve"> </w:t>
      </w:r>
      <w:r w:rsidRPr="00D032A4">
        <w:rPr>
          <w:rFonts w:cstheme="minorHAnsi"/>
        </w:rPr>
        <w:t>partners worked with Chisholm</w:t>
      </w:r>
      <w:r>
        <w:rPr>
          <w:rFonts w:cstheme="minorHAnsi"/>
        </w:rPr>
        <w:t xml:space="preserve"> </w:t>
      </w:r>
      <w:r w:rsidRPr="00D032A4">
        <w:rPr>
          <w:rFonts w:cstheme="minorHAnsi"/>
        </w:rPr>
        <w:t>to develop educational products</w:t>
      </w:r>
      <w:r>
        <w:rPr>
          <w:rFonts w:cstheme="minorHAnsi"/>
        </w:rPr>
        <w:t xml:space="preserve"> </w:t>
      </w:r>
      <w:r w:rsidRPr="00D032A4">
        <w:rPr>
          <w:rFonts w:cstheme="minorHAnsi"/>
        </w:rPr>
        <w:t>and resources so that Free TAFE</w:t>
      </w:r>
      <w:r>
        <w:rPr>
          <w:rFonts w:cstheme="minorHAnsi"/>
        </w:rPr>
        <w:t xml:space="preserve"> </w:t>
      </w:r>
      <w:r w:rsidRPr="00D032A4">
        <w:rPr>
          <w:rFonts w:cstheme="minorHAnsi"/>
        </w:rPr>
        <w:t>students could access pre</w:t>
      </w:r>
      <w:r>
        <w:rPr>
          <w:rFonts w:cstheme="minorHAnsi"/>
        </w:rPr>
        <w:t>-</w:t>
      </w:r>
      <w:r w:rsidRPr="00D032A4">
        <w:rPr>
          <w:rFonts w:cstheme="minorHAnsi"/>
        </w:rPr>
        <w:t>accredited</w:t>
      </w:r>
      <w:r>
        <w:rPr>
          <w:rFonts w:cstheme="minorHAnsi"/>
        </w:rPr>
        <w:t xml:space="preserve"> </w:t>
      </w:r>
      <w:r w:rsidRPr="00D032A4">
        <w:rPr>
          <w:rFonts w:cstheme="minorHAnsi"/>
        </w:rPr>
        <w:t>education support.</w:t>
      </w:r>
    </w:p>
    <w:p w:rsidR="00D032A4" w:rsidRDefault="00D032A4" w:rsidP="00D032A4">
      <w:pPr>
        <w:autoSpaceDE w:val="0"/>
        <w:autoSpaceDN w:val="0"/>
        <w:adjustRightInd w:val="0"/>
        <w:spacing w:after="0" w:line="240" w:lineRule="auto"/>
        <w:rPr>
          <w:rFonts w:cstheme="minorHAnsi"/>
        </w:rPr>
      </w:pPr>
    </w:p>
    <w:p w:rsidR="00D032A4" w:rsidRPr="00D032A4" w:rsidRDefault="00D032A4" w:rsidP="00D032A4">
      <w:pPr>
        <w:autoSpaceDE w:val="0"/>
        <w:autoSpaceDN w:val="0"/>
        <w:adjustRightInd w:val="0"/>
        <w:spacing w:after="0" w:line="240" w:lineRule="auto"/>
        <w:rPr>
          <w:rFonts w:cstheme="minorHAnsi"/>
        </w:rPr>
      </w:pPr>
      <w:r w:rsidRPr="00D032A4">
        <w:rPr>
          <w:rFonts w:cstheme="minorHAnsi"/>
        </w:rPr>
        <w:t>The funding further supported</w:t>
      </w:r>
      <w:r>
        <w:rPr>
          <w:rFonts w:cstheme="minorHAnsi"/>
        </w:rPr>
        <w:t xml:space="preserve"> </w:t>
      </w:r>
      <w:r w:rsidRPr="00D032A4">
        <w:rPr>
          <w:rFonts w:cstheme="minorHAnsi"/>
        </w:rPr>
        <w:t>Chisholm’s student retention by</w:t>
      </w:r>
      <w:r>
        <w:rPr>
          <w:rFonts w:cstheme="minorHAnsi"/>
        </w:rPr>
        <w:t xml:space="preserve"> </w:t>
      </w:r>
      <w:r w:rsidRPr="00D032A4">
        <w:rPr>
          <w:rFonts w:cstheme="minorHAnsi"/>
        </w:rPr>
        <w:t>funding Learn Locals to offer</w:t>
      </w:r>
      <w:r>
        <w:rPr>
          <w:rFonts w:cstheme="minorHAnsi"/>
        </w:rPr>
        <w:t xml:space="preserve"> </w:t>
      </w:r>
      <w:r w:rsidRPr="00D032A4">
        <w:rPr>
          <w:rFonts w:cstheme="minorHAnsi"/>
        </w:rPr>
        <w:t>additional modules for students</w:t>
      </w:r>
      <w:r>
        <w:rPr>
          <w:rFonts w:cstheme="minorHAnsi"/>
        </w:rPr>
        <w:t xml:space="preserve"> </w:t>
      </w:r>
      <w:r w:rsidRPr="00D032A4">
        <w:rPr>
          <w:rFonts w:cstheme="minorHAnsi"/>
        </w:rPr>
        <w:t>enrolled in Free TAFE to build their</w:t>
      </w:r>
      <w:r>
        <w:rPr>
          <w:rFonts w:cstheme="minorHAnsi"/>
        </w:rPr>
        <w:t xml:space="preserve"> </w:t>
      </w:r>
      <w:r w:rsidRPr="00D032A4">
        <w:rPr>
          <w:rFonts w:cstheme="minorHAnsi"/>
        </w:rPr>
        <w:t>literacy, numeracy, digital, and</w:t>
      </w:r>
      <w:r>
        <w:rPr>
          <w:rFonts w:cstheme="minorHAnsi"/>
        </w:rPr>
        <w:t xml:space="preserve"> </w:t>
      </w:r>
      <w:r w:rsidRPr="00D032A4">
        <w:rPr>
          <w:rFonts w:cstheme="minorHAnsi"/>
        </w:rPr>
        <w:t>employability skills.</w:t>
      </w:r>
    </w:p>
    <w:p w:rsidR="00D30890" w:rsidRDefault="00D30890" w:rsidP="005942B8">
      <w:pPr>
        <w:pStyle w:val="NoSpacing"/>
      </w:pPr>
    </w:p>
    <w:p w:rsidR="00D032A4" w:rsidRDefault="00D032A4" w:rsidP="005942B8">
      <w:pPr>
        <w:pStyle w:val="NoSpacing"/>
      </w:pPr>
      <w:r>
        <w:t>&lt;page 11&gt;</w:t>
      </w:r>
    </w:p>
    <w:p w:rsidR="00D032A4" w:rsidRDefault="00D032A4" w:rsidP="005942B8">
      <w:pPr>
        <w:pStyle w:val="NoSpacing"/>
      </w:pPr>
    </w:p>
    <w:p w:rsidR="00D032A4" w:rsidRDefault="002A3AE0" w:rsidP="002A3AE0">
      <w:pPr>
        <w:pStyle w:val="Heading2"/>
      </w:pPr>
      <w:r>
        <w:t>Higher Education Partnership</w:t>
      </w:r>
    </w:p>
    <w:p w:rsidR="002A3AE0" w:rsidRDefault="002A3AE0" w:rsidP="005942B8">
      <w:pPr>
        <w:pStyle w:val="NoSpacing"/>
      </w:pPr>
    </w:p>
    <w:p w:rsidR="002A3AE0" w:rsidRDefault="002A3AE0" w:rsidP="002A3AE0">
      <w:pPr>
        <w:pStyle w:val="Heading3"/>
      </w:pPr>
      <w:r>
        <w:t xml:space="preserve">Higher Education and working with other Educational Institutions </w:t>
      </w:r>
    </w:p>
    <w:p w:rsidR="002A3AE0" w:rsidRDefault="002A3AE0" w:rsidP="005942B8">
      <w:pPr>
        <w:pStyle w:val="NoSpacing"/>
      </w:pPr>
    </w:p>
    <w:p w:rsidR="002A3AE0" w:rsidRPr="002A3AE0" w:rsidRDefault="002A3AE0" w:rsidP="002A3AE0">
      <w:pPr>
        <w:autoSpaceDE w:val="0"/>
        <w:autoSpaceDN w:val="0"/>
        <w:adjustRightInd w:val="0"/>
        <w:spacing w:after="0" w:line="240" w:lineRule="auto"/>
        <w:rPr>
          <w:rFonts w:cstheme="minorHAnsi"/>
        </w:rPr>
      </w:pPr>
      <w:r w:rsidRPr="002A3AE0">
        <w:rPr>
          <w:rFonts w:cstheme="minorHAnsi"/>
        </w:rPr>
        <w:t>Chisholm’s long term partnership with</w:t>
      </w:r>
      <w:r>
        <w:rPr>
          <w:rFonts w:cstheme="minorHAnsi"/>
        </w:rPr>
        <w:t xml:space="preserve"> </w:t>
      </w:r>
      <w:r w:rsidRPr="002A3AE0">
        <w:rPr>
          <w:rFonts w:cstheme="minorHAnsi"/>
        </w:rPr>
        <w:t>La Trobe University continued in 2019,</w:t>
      </w:r>
      <w:r>
        <w:rPr>
          <w:rFonts w:cstheme="minorHAnsi"/>
        </w:rPr>
        <w:t xml:space="preserve"> </w:t>
      </w:r>
      <w:r w:rsidRPr="002A3AE0">
        <w:rPr>
          <w:rFonts w:cstheme="minorHAnsi"/>
        </w:rPr>
        <w:t>providing us with the opportunity to</w:t>
      </w:r>
      <w:r>
        <w:rPr>
          <w:rFonts w:cstheme="minorHAnsi"/>
        </w:rPr>
        <w:t xml:space="preserve"> </w:t>
      </w:r>
      <w:r w:rsidRPr="002A3AE0">
        <w:rPr>
          <w:rFonts w:cstheme="minorHAnsi"/>
        </w:rPr>
        <w:t>broaden our delivery of university degrees</w:t>
      </w:r>
      <w:r>
        <w:rPr>
          <w:rFonts w:cstheme="minorHAnsi"/>
        </w:rPr>
        <w:t xml:space="preserve"> </w:t>
      </w:r>
      <w:r w:rsidRPr="002A3AE0">
        <w:rPr>
          <w:rFonts w:cstheme="minorHAnsi"/>
        </w:rPr>
        <w:t>to students within south-east Melbourne.</w:t>
      </w:r>
      <w:r>
        <w:rPr>
          <w:rFonts w:cstheme="minorHAnsi"/>
        </w:rPr>
        <w:t xml:space="preserve"> </w:t>
      </w:r>
      <w:r w:rsidRPr="002A3AE0">
        <w:rPr>
          <w:rFonts w:cstheme="minorHAnsi"/>
        </w:rPr>
        <w:t>For over seven years now, Chisholm</w:t>
      </w:r>
      <w:r>
        <w:rPr>
          <w:rFonts w:cstheme="minorHAnsi"/>
        </w:rPr>
        <w:t xml:space="preserve"> </w:t>
      </w:r>
      <w:r w:rsidRPr="002A3AE0">
        <w:rPr>
          <w:rFonts w:cstheme="minorHAnsi"/>
        </w:rPr>
        <w:t>students studying vocational education</w:t>
      </w:r>
      <w:r>
        <w:rPr>
          <w:rFonts w:cstheme="minorHAnsi"/>
        </w:rPr>
        <w:t xml:space="preserve"> </w:t>
      </w:r>
      <w:r w:rsidRPr="002A3AE0">
        <w:rPr>
          <w:rFonts w:cstheme="minorHAnsi"/>
        </w:rPr>
        <w:t>have been able to pathway into higher</w:t>
      </w:r>
      <w:r>
        <w:rPr>
          <w:rFonts w:cstheme="minorHAnsi"/>
        </w:rPr>
        <w:t xml:space="preserve"> </w:t>
      </w:r>
      <w:r w:rsidRPr="002A3AE0">
        <w:rPr>
          <w:rFonts w:cstheme="minorHAnsi"/>
        </w:rPr>
        <w:t>education, either through to a La Trobe</w:t>
      </w:r>
      <w:r>
        <w:rPr>
          <w:rFonts w:cstheme="minorHAnsi"/>
        </w:rPr>
        <w:t xml:space="preserve"> </w:t>
      </w:r>
      <w:r w:rsidRPr="002A3AE0">
        <w:rPr>
          <w:rFonts w:cstheme="minorHAnsi"/>
        </w:rPr>
        <w:t>University degree delivered at Chisholm</w:t>
      </w:r>
      <w:r>
        <w:rPr>
          <w:rFonts w:cstheme="minorHAnsi"/>
        </w:rPr>
        <w:t xml:space="preserve"> </w:t>
      </w:r>
      <w:r w:rsidRPr="002A3AE0">
        <w:rPr>
          <w:rFonts w:cstheme="minorHAnsi"/>
        </w:rPr>
        <w:t>or directly into a Chisholm degree.</w:t>
      </w:r>
    </w:p>
    <w:p w:rsidR="002A3AE0" w:rsidRDefault="002A3AE0" w:rsidP="002A3AE0">
      <w:pPr>
        <w:autoSpaceDE w:val="0"/>
        <w:autoSpaceDN w:val="0"/>
        <w:adjustRightInd w:val="0"/>
        <w:spacing w:after="0" w:line="240" w:lineRule="auto"/>
        <w:rPr>
          <w:rFonts w:cstheme="minorHAnsi"/>
        </w:rPr>
      </w:pPr>
    </w:p>
    <w:p w:rsidR="002A3AE0" w:rsidRPr="002A3AE0" w:rsidRDefault="002A3AE0" w:rsidP="002A3AE0">
      <w:pPr>
        <w:autoSpaceDE w:val="0"/>
        <w:autoSpaceDN w:val="0"/>
        <w:adjustRightInd w:val="0"/>
        <w:spacing w:after="0" w:line="240" w:lineRule="auto"/>
        <w:rPr>
          <w:rFonts w:cstheme="minorHAnsi"/>
        </w:rPr>
      </w:pPr>
      <w:r w:rsidRPr="002A3AE0">
        <w:rPr>
          <w:rFonts w:cstheme="minorHAnsi"/>
        </w:rPr>
        <w:t>In 2019, over 400 students enrolled in</w:t>
      </w:r>
      <w:r>
        <w:rPr>
          <w:rFonts w:cstheme="minorHAnsi"/>
        </w:rPr>
        <w:t xml:space="preserve"> </w:t>
      </w:r>
      <w:r w:rsidRPr="002A3AE0">
        <w:rPr>
          <w:rFonts w:cstheme="minorHAnsi"/>
        </w:rPr>
        <w:t>higher education courses at Chisholm</w:t>
      </w:r>
      <w:r>
        <w:rPr>
          <w:rFonts w:cstheme="minorHAnsi"/>
        </w:rPr>
        <w:t xml:space="preserve"> </w:t>
      </w:r>
      <w:r w:rsidRPr="002A3AE0">
        <w:rPr>
          <w:rFonts w:cstheme="minorHAnsi"/>
        </w:rPr>
        <w:t>with 200 of those enrolled in a La</w:t>
      </w:r>
      <w:r>
        <w:rPr>
          <w:rFonts w:cstheme="minorHAnsi"/>
        </w:rPr>
        <w:t xml:space="preserve"> </w:t>
      </w:r>
      <w:r w:rsidRPr="002A3AE0">
        <w:rPr>
          <w:rFonts w:cstheme="minorHAnsi"/>
        </w:rPr>
        <w:t>Trobe partnership qualification. The</w:t>
      </w:r>
      <w:r>
        <w:rPr>
          <w:rFonts w:cstheme="minorHAnsi"/>
        </w:rPr>
        <w:t xml:space="preserve"> </w:t>
      </w:r>
      <w:r w:rsidRPr="002A3AE0">
        <w:rPr>
          <w:rFonts w:cstheme="minorHAnsi"/>
        </w:rPr>
        <w:t>Latrobe degrees at Chisholm include</w:t>
      </w:r>
      <w:r>
        <w:rPr>
          <w:rFonts w:cstheme="minorHAnsi"/>
        </w:rPr>
        <w:t xml:space="preserve"> </w:t>
      </w:r>
      <w:r w:rsidRPr="002A3AE0">
        <w:rPr>
          <w:rFonts w:cstheme="minorHAnsi"/>
        </w:rPr>
        <w:t>the Bachelor of Accounting, Bachelor</w:t>
      </w:r>
      <w:r>
        <w:rPr>
          <w:rFonts w:cstheme="minorHAnsi"/>
        </w:rPr>
        <w:t xml:space="preserve"> </w:t>
      </w:r>
      <w:r w:rsidRPr="002A3AE0">
        <w:rPr>
          <w:rFonts w:cstheme="minorHAnsi"/>
        </w:rPr>
        <w:t>of Information Technology, Bachelor of</w:t>
      </w:r>
      <w:r>
        <w:rPr>
          <w:rFonts w:cstheme="minorHAnsi"/>
        </w:rPr>
        <w:t xml:space="preserve"> </w:t>
      </w:r>
      <w:r w:rsidRPr="002A3AE0">
        <w:rPr>
          <w:rFonts w:cstheme="minorHAnsi"/>
        </w:rPr>
        <w:t>Community Services and the Bachelor</w:t>
      </w:r>
      <w:r>
        <w:rPr>
          <w:rFonts w:cstheme="minorHAnsi"/>
        </w:rPr>
        <w:t xml:space="preserve"> </w:t>
      </w:r>
      <w:r w:rsidRPr="002A3AE0">
        <w:rPr>
          <w:rFonts w:cstheme="minorHAnsi"/>
        </w:rPr>
        <w:t>of Nursing (Enrolled Nurse). These</w:t>
      </w:r>
      <w:r>
        <w:rPr>
          <w:rFonts w:cstheme="minorHAnsi"/>
        </w:rPr>
        <w:t xml:space="preserve"> </w:t>
      </w:r>
      <w:r w:rsidRPr="002A3AE0">
        <w:rPr>
          <w:rFonts w:cstheme="minorHAnsi"/>
        </w:rPr>
        <w:t>students all had the benefit of studying</w:t>
      </w:r>
      <w:r>
        <w:rPr>
          <w:rFonts w:cstheme="minorHAnsi"/>
        </w:rPr>
        <w:t xml:space="preserve"> </w:t>
      </w:r>
      <w:r w:rsidRPr="002A3AE0">
        <w:rPr>
          <w:rFonts w:cstheme="minorHAnsi"/>
        </w:rPr>
        <w:t>a La Trobe degree conveniently local on</w:t>
      </w:r>
      <w:r>
        <w:rPr>
          <w:rFonts w:cstheme="minorHAnsi"/>
        </w:rPr>
        <w:t xml:space="preserve"> </w:t>
      </w:r>
      <w:r w:rsidRPr="002A3AE0">
        <w:rPr>
          <w:rFonts w:cstheme="minorHAnsi"/>
        </w:rPr>
        <w:t>a Chisholm campus.</w:t>
      </w:r>
    </w:p>
    <w:p w:rsidR="002A3AE0" w:rsidRDefault="002A3AE0" w:rsidP="002A3AE0">
      <w:pPr>
        <w:autoSpaceDE w:val="0"/>
        <w:autoSpaceDN w:val="0"/>
        <w:adjustRightInd w:val="0"/>
        <w:spacing w:after="0" w:line="240" w:lineRule="auto"/>
        <w:rPr>
          <w:rFonts w:cstheme="minorHAnsi"/>
        </w:rPr>
      </w:pPr>
    </w:p>
    <w:p w:rsidR="002A3AE0" w:rsidRPr="002A3AE0" w:rsidRDefault="002A3AE0" w:rsidP="002A3AE0">
      <w:pPr>
        <w:autoSpaceDE w:val="0"/>
        <w:autoSpaceDN w:val="0"/>
        <w:adjustRightInd w:val="0"/>
        <w:spacing w:after="0" w:line="240" w:lineRule="auto"/>
        <w:rPr>
          <w:rFonts w:cstheme="minorHAnsi"/>
        </w:rPr>
      </w:pPr>
      <w:r w:rsidRPr="002A3AE0">
        <w:rPr>
          <w:rFonts w:cstheme="minorHAnsi"/>
        </w:rPr>
        <w:t>The La Trobe partnership reached</w:t>
      </w:r>
      <w:r>
        <w:rPr>
          <w:rFonts w:cstheme="minorHAnsi"/>
        </w:rPr>
        <w:t xml:space="preserve"> </w:t>
      </w:r>
      <w:r w:rsidRPr="002A3AE0">
        <w:rPr>
          <w:rFonts w:cstheme="minorHAnsi"/>
        </w:rPr>
        <w:t>a milestone in December, with the</w:t>
      </w:r>
      <w:r>
        <w:rPr>
          <w:rFonts w:cstheme="minorHAnsi"/>
        </w:rPr>
        <w:t xml:space="preserve"> </w:t>
      </w:r>
      <w:r w:rsidRPr="002A3AE0">
        <w:rPr>
          <w:rFonts w:cstheme="minorHAnsi"/>
        </w:rPr>
        <w:t>celebration of the first cohort of students</w:t>
      </w:r>
      <w:r>
        <w:rPr>
          <w:rFonts w:cstheme="minorHAnsi"/>
        </w:rPr>
        <w:t xml:space="preserve"> </w:t>
      </w:r>
      <w:r w:rsidRPr="002A3AE0">
        <w:rPr>
          <w:rFonts w:cstheme="minorHAnsi"/>
        </w:rPr>
        <w:t>to complete the Bachelor of Nursing</w:t>
      </w:r>
      <w:r>
        <w:rPr>
          <w:rFonts w:cstheme="minorHAnsi"/>
        </w:rPr>
        <w:t xml:space="preserve"> </w:t>
      </w:r>
      <w:r w:rsidRPr="002A3AE0">
        <w:rPr>
          <w:rFonts w:cstheme="minorHAnsi"/>
        </w:rPr>
        <w:t>(Enrolled Nurse). Nearly 30 students</w:t>
      </w:r>
      <w:r>
        <w:rPr>
          <w:rFonts w:cstheme="minorHAnsi"/>
        </w:rPr>
        <w:t xml:space="preserve"> </w:t>
      </w:r>
      <w:r w:rsidRPr="002A3AE0">
        <w:rPr>
          <w:rFonts w:cstheme="minorHAnsi"/>
        </w:rPr>
        <w:t>completed the two-year course, with</w:t>
      </w:r>
      <w:r>
        <w:rPr>
          <w:rFonts w:cstheme="minorHAnsi"/>
        </w:rPr>
        <w:t xml:space="preserve"> </w:t>
      </w:r>
      <w:r w:rsidRPr="002A3AE0">
        <w:rPr>
          <w:rFonts w:cstheme="minorHAnsi"/>
        </w:rPr>
        <w:t>each of them gaining employment within</w:t>
      </w:r>
      <w:r>
        <w:rPr>
          <w:rFonts w:cstheme="minorHAnsi"/>
        </w:rPr>
        <w:t xml:space="preserve"> </w:t>
      </w:r>
      <w:r w:rsidRPr="002A3AE0">
        <w:rPr>
          <w:rFonts w:cstheme="minorHAnsi"/>
        </w:rPr>
        <w:t>the health sector prior to graduation.</w:t>
      </w:r>
    </w:p>
    <w:p w:rsidR="002A3AE0" w:rsidRDefault="002A3AE0" w:rsidP="002A3AE0">
      <w:pPr>
        <w:autoSpaceDE w:val="0"/>
        <w:autoSpaceDN w:val="0"/>
        <w:adjustRightInd w:val="0"/>
        <w:spacing w:after="0" w:line="240" w:lineRule="auto"/>
        <w:rPr>
          <w:rFonts w:cstheme="minorHAnsi"/>
        </w:rPr>
      </w:pPr>
    </w:p>
    <w:p w:rsidR="002A3AE0" w:rsidRPr="002A3AE0" w:rsidRDefault="002A3AE0" w:rsidP="002A3AE0">
      <w:pPr>
        <w:autoSpaceDE w:val="0"/>
        <w:autoSpaceDN w:val="0"/>
        <w:adjustRightInd w:val="0"/>
        <w:spacing w:after="0" w:line="240" w:lineRule="auto"/>
        <w:rPr>
          <w:rFonts w:cstheme="minorHAnsi"/>
        </w:rPr>
      </w:pPr>
      <w:r w:rsidRPr="002A3AE0">
        <w:rPr>
          <w:rFonts w:cstheme="minorHAnsi"/>
        </w:rPr>
        <w:t>The quality, passion and hard work</w:t>
      </w:r>
      <w:r>
        <w:rPr>
          <w:rFonts w:cstheme="minorHAnsi"/>
        </w:rPr>
        <w:t xml:space="preserve"> </w:t>
      </w:r>
      <w:r w:rsidRPr="002A3AE0">
        <w:rPr>
          <w:rFonts w:cstheme="minorHAnsi"/>
        </w:rPr>
        <w:t>of the Chisholm and La Trobe nursing</w:t>
      </w:r>
      <w:r>
        <w:rPr>
          <w:rFonts w:cstheme="minorHAnsi"/>
        </w:rPr>
        <w:t xml:space="preserve"> </w:t>
      </w:r>
      <w:r w:rsidRPr="002A3AE0">
        <w:rPr>
          <w:rFonts w:cstheme="minorHAnsi"/>
        </w:rPr>
        <w:t>teams has helped to ensure the positive</w:t>
      </w:r>
      <w:r>
        <w:rPr>
          <w:rFonts w:cstheme="minorHAnsi"/>
        </w:rPr>
        <w:t xml:space="preserve"> </w:t>
      </w:r>
      <w:r w:rsidRPr="002A3AE0">
        <w:rPr>
          <w:rFonts w:cstheme="minorHAnsi"/>
        </w:rPr>
        <w:t>employment outcomes for the students.</w:t>
      </w:r>
      <w:r>
        <w:rPr>
          <w:rFonts w:cstheme="minorHAnsi"/>
        </w:rPr>
        <w:t xml:space="preserve"> </w:t>
      </w:r>
      <w:r w:rsidRPr="002A3AE0">
        <w:rPr>
          <w:rFonts w:cstheme="minorHAnsi"/>
        </w:rPr>
        <w:t>This achievement re-enforces the</w:t>
      </w:r>
      <w:r>
        <w:rPr>
          <w:rFonts w:cstheme="minorHAnsi"/>
        </w:rPr>
        <w:t xml:space="preserve"> </w:t>
      </w:r>
      <w:r w:rsidRPr="002A3AE0">
        <w:rPr>
          <w:rFonts w:cstheme="minorHAnsi"/>
        </w:rPr>
        <w:t>importance of a career-ready program</w:t>
      </w:r>
      <w:r>
        <w:rPr>
          <w:rFonts w:cstheme="minorHAnsi"/>
        </w:rPr>
        <w:t xml:space="preserve"> </w:t>
      </w:r>
      <w:r w:rsidRPr="002A3AE0">
        <w:rPr>
          <w:rFonts w:cstheme="minorHAnsi"/>
        </w:rPr>
        <w:t>that develops the professional skills that</w:t>
      </w:r>
      <w:r>
        <w:rPr>
          <w:rFonts w:cstheme="minorHAnsi"/>
        </w:rPr>
        <w:t xml:space="preserve"> </w:t>
      </w:r>
      <w:r w:rsidRPr="002A3AE0">
        <w:rPr>
          <w:rFonts w:cstheme="minorHAnsi"/>
        </w:rPr>
        <w:t>employers require.</w:t>
      </w:r>
    </w:p>
    <w:p w:rsidR="002A3AE0" w:rsidRDefault="002A3AE0" w:rsidP="002A3AE0">
      <w:pPr>
        <w:autoSpaceDE w:val="0"/>
        <w:autoSpaceDN w:val="0"/>
        <w:adjustRightInd w:val="0"/>
        <w:spacing w:after="0" w:line="240" w:lineRule="auto"/>
        <w:rPr>
          <w:rFonts w:cstheme="minorHAnsi"/>
        </w:rPr>
      </w:pPr>
    </w:p>
    <w:p w:rsidR="002A3AE0" w:rsidRPr="002A3AE0" w:rsidRDefault="002A3AE0" w:rsidP="002A3AE0">
      <w:pPr>
        <w:autoSpaceDE w:val="0"/>
        <w:autoSpaceDN w:val="0"/>
        <w:adjustRightInd w:val="0"/>
        <w:spacing w:after="0" w:line="240" w:lineRule="auto"/>
        <w:rPr>
          <w:rFonts w:cstheme="minorHAnsi"/>
        </w:rPr>
      </w:pPr>
      <w:r w:rsidRPr="002A3AE0">
        <w:rPr>
          <w:rFonts w:cstheme="minorHAnsi"/>
        </w:rPr>
        <w:lastRenderedPageBreak/>
        <w:t>Alongside Chisholm’s own higher</w:t>
      </w:r>
      <w:r>
        <w:rPr>
          <w:rFonts w:cstheme="minorHAnsi"/>
        </w:rPr>
        <w:t xml:space="preserve"> </w:t>
      </w:r>
      <w:r w:rsidRPr="002A3AE0">
        <w:rPr>
          <w:rFonts w:cstheme="minorHAnsi"/>
        </w:rPr>
        <w:t>education courses in Community</w:t>
      </w:r>
      <w:r>
        <w:rPr>
          <w:rFonts w:cstheme="minorHAnsi"/>
        </w:rPr>
        <w:t xml:space="preserve"> </w:t>
      </w:r>
      <w:r w:rsidRPr="002A3AE0">
        <w:rPr>
          <w:rFonts w:cstheme="minorHAnsi"/>
        </w:rPr>
        <w:t>Mental Health and AOD, Engineering</w:t>
      </w:r>
      <w:r>
        <w:rPr>
          <w:rFonts w:cstheme="minorHAnsi"/>
        </w:rPr>
        <w:t xml:space="preserve"> </w:t>
      </w:r>
      <w:r w:rsidRPr="002A3AE0">
        <w:rPr>
          <w:rFonts w:cstheme="minorHAnsi"/>
        </w:rPr>
        <w:t>Technology, and Family Violence</w:t>
      </w:r>
      <w:r>
        <w:rPr>
          <w:rFonts w:cstheme="minorHAnsi"/>
        </w:rPr>
        <w:t xml:space="preserve"> </w:t>
      </w:r>
      <w:r w:rsidRPr="002A3AE0">
        <w:rPr>
          <w:rFonts w:cstheme="minorHAnsi"/>
        </w:rPr>
        <w:t>Prevention, students gain access to</w:t>
      </w:r>
      <w:r>
        <w:rPr>
          <w:rFonts w:cstheme="minorHAnsi"/>
        </w:rPr>
        <w:t xml:space="preserve"> </w:t>
      </w:r>
      <w:r w:rsidRPr="002A3AE0">
        <w:rPr>
          <w:rFonts w:cstheme="minorHAnsi"/>
        </w:rPr>
        <w:t>higher learning amongst the dynamic</w:t>
      </w:r>
      <w:r>
        <w:rPr>
          <w:rFonts w:cstheme="minorHAnsi"/>
        </w:rPr>
        <w:t xml:space="preserve"> </w:t>
      </w:r>
      <w:r w:rsidRPr="002A3AE0">
        <w:rPr>
          <w:rFonts w:cstheme="minorHAnsi"/>
        </w:rPr>
        <w:t>context of industry-connected and</w:t>
      </w:r>
      <w:r>
        <w:rPr>
          <w:rFonts w:cstheme="minorHAnsi"/>
        </w:rPr>
        <w:t xml:space="preserve"> </w:t>
      </w:r>
      <w:r w:rsidRPr="002A3AE0">
        <w:rPr>
          <w:rFonts w:cstheme="minorHAnsi"/>
        </w:rPr>
        <w:t>the practical learning environments of</w:t>
      </w:r>
      <w:r>
        <w:rPr>
          <w:rFonts w:cstheme="minorHAnsi"/>
        </w:rPr>
        <w:t xml:space="preserve"> </w:t>
      </w:r>
      <w:r w:rsidRPr="002A3AE0">
        <w:rPr>
          <w:rFonts w:cstheme="minorHAnsi"/>
        </w:rPr>
        <w:t>vocational education.</w:t>
      </w:r>
    </w:p>
    <w:p w:rsidR="002A3AE0" w:rsidRDefault="002A3AE0" w:rsidP="002A3AE0">
      <w:pPr>
        <w:autoSpaceDE w:val="0"/>
        <w:autoSpaceDN w:val="0"/>
        <w:adjustRightInd w:val="0"/>
        <w:spacing w:after="0" w:line="240" w:lineRule="auto"/>
        <w:rPr>
          <w:rFonts w:cstheme="minorHAnsi"/>
        </w:rPr>
      </w:pPr>
    </w:p>
    <w:p w:rsidR="002A3AE0" w:rsidRPr="002A3AE0" w:rsidRDefault="002A3AE0" w:rsidP="002A3AE0">
      <w:pPr>
        <w:autoSpaceDE w:val="0"/>
        <w:autoSpaceDN w:val="0"/>
        <w:adjustRightInd w:val="0"/>
        <w:spacing w:after="0" w:line="240" w:lineRule="auto"/>
        <w:rPr>
          <w:rFonts w:cstheme="minorHAnsi"/>
        </w:rPr>
      </w:pPr>
      <w:r w:rsidRPr="002A3AE0">
        <w:rPr>
          <w:rFonts w:cstheme="minorHAnsi"/>
        </w:rPr>
        <w:t>Students can complete a higher</w:t>
      </w:r>
      <w:r>
        <w:rPr>
          <w:rFonts w:cstheme="minorHAnsi"/>
        </w:rPr>
        <w:t xml:space="preserve"> </w:t>
      </w:r>
      <w:r w:rsidRPr="002A3AE0">
        <w:rPr>
          <w:rFonts w:cstheme="minorHAnsi"/>
        </w:rPr>
        <w:t>education degree without an ATAR,</w:t>
      </w:r>
      <w:r>
        <w:rPr>
          <w:rFonts w:cstheme="minorHAnsi"/>
        </w:rPr>
        <w:t xml:space="preserve"> </w:t>
      </w:r>
      <w:r w:rsidRPr="002A3AE0">
        <w:rPr>
          <w:rFonts w:cstheme="minorHAnsi"/>
        </w:rPr>
        <w:t>and typically students will enjoy small</w:t>
      </w:r>
      <w:r>
        <w:rPr>
          <w:rFonts w:cstheme="minorHAnsi"/>
        </w:rPr>
        <w:t xml:space="preserve"> </w:t>
      </w:r>
      <w:r w:rsidRPr="002A3AE0">
        <w:rPr>
          <w:rFonts w:cstheme="minorHAnsi"/>
        </w:rPr>
        <w:t>class sizes in tailored learning spaces</w:t>
      </w:r>
      <w:r>
        <w:rPr>
          <w:rFonts w:cstheme="minorHAnsi"/>
        </w:rPr>
        <w:t xml:space="preserve"> </w:t>
      </w:r>
      <w:r w:rsidRPr="002A3AE0">
        <w:rPr>
          <w:rFonts w:cstheme="minorHAnsi"/>
        </w:rPr>
        <w:t>with active academic support programs.</w:t>
      </w:r>
      <w:r>
        <w:rPr>
          <w:rFonts w:cstheme="minorHAnsi"/>
        </w:rPr>
        <w:t xml:space="preserve"> </w:t>
      </w:r>
      <w:r w:rsidRPr="002A3AE0">
        <w:rPr>
          <w:rFonts w:cstheme="minorHAnsi"/>
        </w:rPr>
        <w:t>Strong links with industry in all of our</w:t>
      </w:r>
      <w:r>
        <w:rPr>
          <w:rFonts w:cstheme="minorHAnsi"/>
        </w:rPr>
        <w:t xml:space="preserve"> </w:t>
      </w:r>
      <w:r w:rsidRPr="002A3AE0">
        <w:rPr>
          <w:rFonts w:cstheme="minorHAnsi"/>
        </w:rPr>
        <w:t>higher education courses provide</w:t>
      </w:r>
      <w:r>
        <w:rPr>
          <w:rFonts w:cstheme="minorHAnsi"/>
        </w:rPr>
        <w:t xml:space="preserve"> </w:t>
      </w:r>
      <w:r w:rsidRPr="002A3AE0">
        <w:rPr>
          <w:rFonts w:cstheme="minorHAnsi"/>
        </w:rPr>
        <w:t>students with valuable placement</w:t>
      </w:r>
      <w:r>
        <w:rPr>
          <w:rFonts w:cstheme="minorHAnsi"/>
        </w:rPr>
        <w:t xml:space="preserve"> </w:t>
      </w:r>
      <w:r w:rsidRPr="002A3AE0">
        <w:rPr>
          <w:rFonts w:cstheme="minorHAnsi"/>
        </w:rPr>
        <w:t>opportunities, with many students</w:t>
      </w:r>
      <w:r>
        <w:rPr>
          <w:rFonts w:cstheme="minorHAnsi"/>
        </w:rPr>
        <w:t xml:space="preserve"> </w:t>
      </w:r>
      <w:r w:rsidRPr="002A3AE0">
        <w:rPr>
          <w:rFonts w:cstheme="minorHAnsi"/>
        </w:rPr>
        <w:t>securing employment on completion.</w:t>
      </w:r>
    </w:p>
    <w:p w:rsidR="002A3AE0" w:rsidRDefault="002A3AE0" w:rsidP="002A3AE0">
      <w:pPr>
        <w:pStyle w:val="NoSpacing"/>
        <w:rPr>
          <w:rFonts w:ascii="ProximaNovaA-Light" w:hAnsi="ProximaNovaA-Light" w:cs="ProximaNovaA-Light"/>
          <w:sz w:val="18"/>
          <w:szCs w:val="18"/>
        </w:rPr>
      </w:pPr>
    </w:p>
    <w:p w:rsidR="002A3AE0" w:rsidRDefault="002A3AE0" w:rsidP="002A3AE0">
      <w:pPr>
        <w:pStyle w:val="NoSpacing"/>
        <w:rPr>
          <w:rFonts w:ascii="ProximaNovaA-Light" w:hAnsi="ProximaNovaA-Light" w:cs="ProximaNovaA-Light"/>
          <w:sz w:val="18"/>
          <w:szCs w:val="18"/>
        </w:rPr>
      </w:pPr>
    </w:p>
    <w:p w:rsidR="002A3AE0" w:rsidRDefault="002A3AE0" w:rsidP="002A3AE0">
      <w:pPr>
        <w:pStyle w:val="Heading2"/>
      </w:pPr>
      <w:r>
        <w:t xml:space="preserve">Chisholm Online </w:t>
      </w:r>
    </w:p>
    <w:p w:rsidR="002A3AE0" w:rsidRDefault="002A3AE0" w:rsidP="002A3AE0">
      <w:pPr>
        <w:pStyle w:val="NoSpacing"/>
        <w:rPr>
          <w:rFonts w:ascii="ProximaNovaA-Light" w:hAnsi="ProximaNovaA-Light" w:cs="ProximaNovaA-Light"/>
          <w:sz w:val="18"/>
          <w:szCs w:val="18"/>
        </w:rPr>
      </w:pPr>
    </w:p>
    <w:p w:rsidR="002A3AE0" w:rsidRPr="002A3AE0" w:rsidRDefault="002A3AE0" w:rsidP="002A3AE0">
      <w:pPr>
        <w:autoSpaceDE w:val="0"/>
        <w:autoSpaceDN w:val="0"/>
        <w:adjustRightInd w:val="0"/>
        <w:spacing w:after="0" w:line="240" w:lineRule="auto"/>
        <w:rPr>
          <w:rFonts w:cstheme="minorHAnsi"/>
        </w:rPr>
      </w:pPr>
      <w:r w:rsidRPr="002A3AE0">
        <w:rPr>
          <w:rFonts w:cstheme="minorHAnsi"/>
        </w:rPr>
        <w:t>The introduction of Free TAFE in</w:t>
      </w:r>
      <w:r>
        <w:rPr>
          <w:rFonts w:cstheme="minorHAnsi"/>
        </w:rPr>
        <w:t xml:space="preserve"> </w:t>
      </w:r>
      <w:r w:rsidRPr="002A3AE0">
        <w:rPr>
          <w:rFonts w:cstheme="minorHAnsi"/>
        </w:rPr>
        <w:t>2019 resulted in significant growth for</w:t>
      </w:r>
      <w:r>
        <w:rPr>
          <w:rFonts w:cstheme="minorHAnsi"/>
        </w:rPr>
        <w:t xml:space="preserve"> </w:t>
      </w:r>
      <w:r w:rsidRPr="002A3AE0">
        <w:rPr>
          <w:rFonts w:cstheme="minorHAnsi"/>
        </w:rPr>
        <w:t>Chisholm Online in providing students</w:t>
      </w:r>
      <w:r>
        <w:rPr>
          <w:rFonts w:cstheme="minorHAnsi"/>
        </w:rPr>
        <w:t xml:space="preserve"> </w:t>
      </w:r>
      <w:r w:rsidRPr="002A3AE0">
        <w:rPr>
          <w:rFonts w:cstheme="minorHAnsi"/>
        </w:rPr>
        <w:t>who require a more flexible training</w:t>
      </w:r>
      <w:r>
        <w:rPr>
          <w:rFonts w:cstheme="minorHAnsi"/>
        </w:rPr>
        <w:t xml:space="preserve"> </w:t>
      </w:r>
      <w:r w:rsidRPr="002A3AE0">
        <w:rPr>
          <w:rFonts w:cstheme="minorHAnsi"/>
        </w:rPr>
        <w:t>option access to education they might</w:t>
      </w:r>
      <w:r>
        <w:rPr>
          <w:rFonts w:cstheme="minorHAnsi"/>
        </w:rPr>
        <w:t xml:space="preserve"> </w:t>
      </w:r>
      <w:r w:rsidRPr="002A3AE0">
        <w:rPr>
          <w:rFonts w:cstheme="minorHAnsi"/>
        </w:rPr>
        <w:t>not otherwise receive. There were</w:t>
      </w:r>
      <w:r>
        <w:rPr>
          <w:rFonts w:cstheme="minorHAnsi"/>
        </w:rPr>
        <w:t xml:space="preserve"> </w:t>
      </w:r>
      <w:r w:rsidRPr="002A3AE0">
        <w:rPr>
          <w:rFonts w:cstheme="minorHAnsi"/>
        </w:rPr>
        <w:t>strong cohorts in a range of courses</w:t>
      </w:r>
      <w:r>
        <w:rPr>
          <w:rFonts w:cstheme="minorHAnsi"/>
        </w:rPr>
        <w:t xml:space="preserve"> </w:t>
      </w:r>
      <w:r w:rsidRPr="002A3AE0">
        <w:rPr>
          <w:rFonts w:cstheme="minorHAnsi"/>
        </w:rPr>
        <w:t>with the most popular courses being</w:t>
      </w:r>
      <w:r>
        <w:rPr>
          <w:rFonts w:cstheme="minorHAnsi"/>
        </w:rPr>
        <w:t xml:space="preserve"> </w:t>
      </w:r>
      <w:r w:rsidRPr="002A3AE0">
        <w:rPr>
          <w:rFonts w:cstheme="minorHAnsi"/>
        </w:rPr>
        <w:t>Certificate IV in Accounting and</w:t>
      </w:r>
      <w:r>
        <w:rPr>
          <w:rFonts w:cstheme="minorHAnsi"/>
        </w:rPr>
        <w:t xml:space="preserve"> </w:t>
      </w:r>
      <w:r w:rsidRPr="002A3AE0">
        <w:rPr>
          <w:rFonts w:cstheme="minorHAnsi"/>
        </w:rPr>
        <w:t>Bookkeeping, Certificate III in Education</w:t>
      </w:r>
      <w:r>
        <w:rPr>
          <w:rFonts w:cstheme="minorHAnsi"/>
        </w:rPr>
        <w:t xml:space="preserve"> </w:t>
      </w:r>
      <w:r w:rsidRPr="002A3AE0">
        <w:rPr>
          <w:rFonts w:cstheme="minorHAnsi"/>
        </w:rPr>
        <w:t>Support, and Certificate IV in Disability.</w:t>
      </w:r>
    </w:p>
    <w:p w:rsidR="002A3AE0" w:rsidRDefault="002A3AE0" w:rsidP="002A3AE0">
      <w:pPr>
        <w:autoSpaceDE w:val="0"/>
        <w:autoSpaceDN w:val="0"/>
        <w:adjustRightInd w:val="0"/>
        <w:spacing w:after="0" w:line="240" w:lineRule="auto"/>
        <w:rPr>
          <w:rFonts w:cstheme="minorHAnsi"/>
        </w:rPr>
      </w:pPr>
    </w:p>
    <w:p w:rsidR="002A3AE0" w:rsidRPr="002A3AE0" w:rsidRDefault="002A3AE0" w:rsidP="002A3AE0">
      <w:pPr>
        <w:autoSpaceDE w:val="0"/>
        <w:autoSpaceDN w:val="0"/>
        <w:adjustRightInd w:val="0"/>
        <w:spacing w:after="0" w:line="240" w:lineRule="auto"/>
        <w:rPr>
          <w:rFonts w:cstheme="minorHAnsi"/>
        </w:rPr>
      </w:pPr>
      <w:r w:rsidRPr="002A3AE0">
        <w:rPr>
          <w:rFonts w:cstheme="minorHAnsi"/>
        </w:rPr>
        <w:t>More new courses were launched in</w:t>
      </w:r>
      <w:r>
        <w:rPr>
          <w:rFonts w:cstheme="minorHAnsi"/>
        </w:rPr>
        <w:t xml:space="preserve"> </w:t>
      </w:r>
      <w:r w:rsidRPr="002A3AE0">
        <w:rPr>
          <w:rFonts w:cstheme="minorHAnsi"/>
        </w:rPr>
        <w:t>response to the Victorian Government’s</w:t>
      </w:r>
      <w:r>
        <w:rPr>
          <w:rFonts w:cstheme="minorHAnsi"/>
        </w:rPr>
        <w:t xml:space="preserve"> f</w:t>
      </w:r>
      <w:r w:rsidRPr="002A3AE0">
        <w:rPr>
          <w:rFonts w:cstheme="minorHAnsi"/>
        </w:rPr>
        <w:t>ree TAFE initiative, including Certificate</w:t>
      </w:r>
      <w:r>
        <w:rPr>
          <w:rFonts w:cstheme="minorHAnsi"/>
        </w:rPr>
        <w:t xml:space="preserve"> </w:t>
      </w:r>
      <w:r w:rsidRPr="002A3AE0">
        <w:rPr>
          <w:rFonts w:cstheme="minorHAnsi"/>
        </w:rPr>
        <w:t>III in Education Support, which was</w:t>
      </w:r>
      <w:r>
        <w:rPr>
          <w:rFonts w:cstheme="minorHAnsi"/>
        </w:rPr>
        <w:t xml:space="preserve"> </w:t>
      </w:r>
      <w:r w:rsidRPr="002A3AE0">
        <w:rPr>
          <w:rFonts w:cstheme="minorHAnsi"/>
        </w:rPr>
        <w:t>designed in collaboration with the</w:t>
      </w:r>
      <w:r>
        <w:rPr>
          <w:rFonts w:cstheme="minorHAnsi"/>
        </w:rPr>
        <w:t xml:space="preserve"> </w:t>
      </w:r>
      <w:r w:rsidRPr="002A3AE0">
        <w:rPr>
          <w:rFonts w:cstheme="minorHAnsi"/>
        </w:rPr>
        <w:t>Institute’s Early Childhood Education</w:t>
      </w:r>
      <w:r>
        <w:rPr>
          <w:rFonts w:cstheme="minorHAnsi"/>
        </w:rPr>
        <w:t xml:space="preserve"> </w:t>
      </w:r>
      <w:r w:rsidRPr="002A3AE0">
        <w:rPr>
          <w:rFonts w:cstheme="minorHAnsi"/>
        </w:rPr>
        <w:t>and Care business area. Other new</w:t>
      </w:r>
      <w:r>
        <w:rPr>
          <w:rFonts w:cstheme="minorHAnsi"/>
        </w:rPr>
        <w:t xml:space="preserve"> </w:t>
      </w:r>
      <w:r w:rsidRPr="002A3AE0">
        <w:rPr>
          <w:rFonts w:cstheme="minorHAnsi"/>
        </w:rPr>
        <w:t>courses included Certificate IV in Ageing</w:t>
      </w:r>
      <w:r>
        <w:rPr>
          <w:rFonts w:cstheme="minorHAnsi"/>
        </w:rPr>
        <w:t xml:space="preserve"> </w:t>
      </w:r>
      <w:r w:rsidRPr="002A3AE0">
        <w:rPr>
          <w:rFonts w:cstheme="minorHAnsi"/>
        </w:rPr>
        <w:t>Support, Certificate IV in Mental Health,</w:t>
      </w:r>
      <w:r>
        <w:rPr>
          <w:rFonts w:cstheme="minorHAnsi"/>
        </w:rPr>
        <w:t xml:space="preserve"> </w:t>
      </w:r>
      <w:r w:rsidRPr="002A3AE0">
        <w:rPr>
          <w:rFonts w:cstheme="minorHAnsi"/>
        </w:rPr>
        <w:t>and Certificate IV in TAE Upgrade and</w:t>
      </w:r>
      <w:r>
        <w:rPr>
          <w:rFonts w:cstheme="minorHAnsi"/>
        </w:rPr>
        <w:t xml:space="preserve"> </w:t>
      </w:r>
      <w:r w:rsidRPr="002A3AE0">
        <w:rPr>
          <w:rFonts w:cstheme="minorHAnsi"/>
        </w:rPr>
        <w:t>Certificate IV in TAE.</w:t>
      </w:r>
    </w:p>
    <w:p w:rsidR="002A3AE0" w:rsidRDefault="002A3AE0" w:rsidP="002A3AE0">
      <w:pPr>
        <w:autoSpaceDE w:val="0"/>
        <w:autoSpaceDN w:val="0"/>
        <w:adjustRightInd w:val="0"/>
        <w:spacing w:after="0" w:line="240" w:lineRule="auto"/>
        <w:rPr>
          <w:rFonts w:cstheme="minorHAnsi"/>
        </w:rPr>
      </w:pPr>
    </w:p>
    <w:p w:rsidR="002A3AE0" w:rsidRPr="002A3AE0" w:rsidRDefault="002A3AE0" w:rsidP="002A3AE0">
      <w:pPr>
        <w:autoSpaceDE w:val="0"/>
        <w:autoSpaceDN w:val="0"/>
        <w:adjustRightInd w:val="0"/>
        <w:spacing w:after="0" w:line="240" w:lineRule="auto"/>
        <w:rPr>
          <w:rFonts w:cstheme="minorHAnsi"/>
        </w:rPr>
      </w:pPr>
      <w:r w:rsidRPr="002A3AE0">
        <w:rPr>
          <w:rFonts w:cstheme="minorHAnsi"/>
        </w:rPr>
        <w:t>New projects in 2019 included the</w:t>
      </w:r>
      <w:r>
        <w:rPr>
          <w:rFonts w:cstheme="minorHAnsi"/>
        </w:rPr>
        <w:t xml:space="preserve"> </w:t>
      </w:r>
      <w:r w:rsidRPr="002A3AE0">
        <w:rPr>
          <w:rFonts w:cstheme="minorHAnsi"/>
        </w:rPr>
        <w:t>Certificate IV in TAE Upgrade (China),</w:t>
      </w:r>
      <w:r>
        <w:rPr>
          <w:rFonts w:cstheme="minorHAnsi"/>
        </w:rPr>
        <w:t xml:space="preserve"> </w:t>
      </w:r>
      <w:r w:rsidRPr="002A3AE0">
        <w:rPr>
          <w:rFonts w:cstheme="minorHAnsi"/>
        </w:rPr>
        <w:t>Certificate IV in TAE Upgrade (Qatar),</w:t>
      </w:r>
      <w:r>
        <w:rPr>
          <w:rFonts w:cstheme="minorHAnsi"/>
        </w:rPr>
        <w:t xml:space="preserve"> </w:t>
      </w:r>
      <w:r w:rsidRPr="002A3AE0">
        <w:rPr>
          <w:rFonts w:cstheme="minorHAnsi"/>
        </w:rPr>
        <w:t>and Skillset - CHCSS00070 to assist</w:t>
      </w:r>
      <w:r>
        <w:rPr>
          <w:rFonts w:cstheme="minorHAnsi"/>
        </w:rPr>
        <w:t xml:space="preserve"> </w:t>
      </w:r>
      <w:r w:rsidRPr="002A3AE0">
        <w:rPr>
          <w:rFonts w:cstheme="minorHAnsi"/>
        </w:rPr>
        <w:t>clients with self- delivery of medication.</w:t>
      </w:r>
    </w:p>
    <w:p w:rsidR="002A3AE0" w:rsidRDefault="002A3AE0" w:rsidP="002A3AE0">
      <w:pPr>
        <w:pStyle w:val="NoSpacing"/>
      </w:pPr>
    </w:p>
    <w:p w:rsidR="002A3AE0" w:rsidRDefault="002A3AE0" w:rsidP="002A3AE0">
      <w:pPr>
        <w:pStyle w:val="NoSpacing"/>
      </w:pPr>
      <w:r>
        <w:t>&lt;page 12&gt;</w:t>
      </w:r>
    </w:p>
    <w:p w:rsidR="00D032A4" w:rsidRDefault="00D032A4" w:rsidP="005942B8">
      <w:pPr>
        <w:pStyle w:val="NoSpacing"/>
      </w:pPr>
    </w:p>
    <w:p w:rsidR="002A3AE0" w:rsidRDefault="008378F1" w:rsidP="008378F1">
      <w:pPr>
        <w:pStyle w:val="Heading2"/>
      </w:pPr>
      <w:r>
        <w:t xml:space="preserve">International Projects </w:t>
      </w:r>
    </w:p>
    <w:p w:rsidR="008378F1" w:rsidRDefault="008378F1" w:rsidP="005942B8">
      <w:pPr>
        <w:pStyle w:val="NoSpacing"/>
      </w:pPr>
    </w:p>
    <w:p w:rsidR="008378F1" w:rsidRDefault="008378F1" w:rsidP="008378F1">
      <w:pPr>
        <w:pStyle w:val="Heading3"/>
      </w:pPr>
      <w:r>
        <w:t>Major offshore activities accounted for over $7 million in revenue for Chisholm in 2019 and included:</w:t>
      </w:r>
    </w:p>
    <w:p w:rsidR="008378F1" w:rsidRDefault="008378F1" w:rsidP="005942B8">
      <w:pPr>
        <w:pStyle w:val="NoSpacing"/>
      </w:pPr>
    </w:p>
    <w:p w:rsidR="008378F1" w:rsidRDefault="008378F1" w:rsidP="008378F1">
      <w:pPr>
        <w:pStyle w:val="Heading4"/>
      </w:pPr>
      <w:r>
        <w:t xml:space="preserve">Vietnam Trial Implementation Project </w:t>
      </w:r>
    </w:p>
    <w:p w:rsidR="002A3AE0" w:rsidRDefault="002A3AE0" w:rsidP="005942B8">
      <w:pPr>
        <w:pStyle w:val="NoSpacing"/>
      </w:pPr>
    </w:p>
    <w:p w:rsidR="008378F1" w:rsidRPr="008378F1" w:rsidRDefault="008378F1" w:rsidP="008378F1">
      <w:pPr>
        <w:autoSpaceDE w:val="0"/>
        <w:autoSpaceDN w:val="0"/>
        <w:adjustRightInd w:val="0"/>
        <w:spacing w:after="0" w:line="240" w:lineRule="auto"/>
        <w:rPr>
          <w:rFonts w:cstheme="minorHAnsi"/>
        </w:rPr>
      </w:pPr>
      <w:r w:rsidRPr="008378F1">
        <w:rPr>
          <w:rFonts w:cstheme="minorHAnsi"/>
        </w:rPr>
        <w:t>Funded by the Government of Vietnam</w:t>
      </w:r>
      <w:r>
        <w:rPr>
          <w:rFonts w:cstheme="minorHAnsi"/>
        </w:rPr>
        <w:t xml:space="preserve"> </w:t>
      </w:r>
      <w:r w:rsidRPr="008378F1">
        <w:rPr>
          <w:rFonts w:cstheme="minorHAnsi"/>
        </w:rPr>
        <w:t>and in partnership with AIC Vietnam,</w:t>
      </w:r>
      <w:r>
        <w:rPr>
          <w:rFonts w:cstheme="minorHAnsi"/>
        </w:rPr>
        <w:t xml:space="preserve"> </w:t>
      </w:r>
      <w:r w:rsidRPr="008378F1">
        <w:rPr>
          <w:rFonts w:cstheme="minorHAnsi"/>
        </w:rPr>
        <w:t>Chisholm monitored the delivery of 12</w:t>
      </w:r>
      <w:r>
        <w:rPr>
          <w:rFonts w:cstheme="minorHAnsi"/>
        </w:rPr>
        <w:t xml:space="preserve"> </w:t>
      </w:r>
      <w:r w:rsidRPr="008378F1">
        <w:rPr>
          <w:rFonts w:cstheme="minorHAnsi"/>
        </w:rPr>
        <w:t>qualification streams (up to Advanced</w:t>
      </w:r>
      <w:r>
        <w:rPr>
          <w:rFonts w:cstheme="minorHAnsi"/>
        </w:rPr>
        <w:t xml:space="preserve"> </w:t>
      </w:r>
      <w:r w:rsidRPr="008378F1">
        <w:rPr>
          <w:rFonts w:cstheme="minorHAnsi"/>
        </w:rPr>
        <w:t>Diploma) across 25 colleges throughou</w:t>
      </w:r>
      <w:r>
        <w:rPr>
          <w:rFonts w:cstheme="minorHAnsi"/>
        </w:rPr>
        <w:t xml:space="preserve">t </w:t>
      </w:r>
      <w:r w:rsidRPr="008378F1">
        <w:rPr>
          <w:rFonts w:cstheme="minorHAnsi"/>
        </w:rPr>
        <w:t>Vietnam. In 2019, Chisholm undertook</w:t>
      </w:r>
      <w:r>
        <w:rPr>
          <w:rFonts w:cstheme="minorHAnsi"/>
        </w:rPr>
        <w:t xml:space="preserve"> </w:t>
      </w:r>
      <w:r w:rsidRPr="008378F1">
        <w:rPr>
          <w:rFonts w:cstheme="minorHAnsi"/>
        </w:rPr>
        <w:t>70 weeks of mentoring support with 20</w:t>
      </w:r>
      <w:r>
        <w:rPr>
          <w:rFonts w:cstheme="minorHAnsi"/>
        </w:rPr>
        <w:t xml:space="preserve"> </w:t>
      </w:r>
      <w:r w:rsidRPr="008378F1">
        <w:rPr>
          <w:rFonts w:cstheme="minorHAnsi"/>
        </w:rPr>
        <w:t>mentors, across the 12 sectors. With a</w:t>
      </w:r>
      <w:r>
        <w:rPr>
          <w:rFonts w:cstheme="minorHAnsi"/>
        </w:rPr>
        <w:t xml:space="preserve"> </w:t>
      </w:r>
      <w:r w:rsidRPr="008378F1">
        <w:rPr>
          <w:rFonts w:cstheme="minorHAnsi"/>
        </w:rPr>
        <w:t>high retention rate, of 93% on average,</w:t>
      </w:r>
      <w:r>
        <w:rPr>
          <w:rFonts w:cstheme="minorHAnsi"/>
        </w:rPr>
        <w:t xml:space="preserve"> </w:t>
      </w:r>
      <w:r w:rsidRPr="008378F1">
        <w:rPr>
          <w:rFonts w:cstheme="minorHAnsi"/>
        </w:rPr>
        <w:t>across all partner colleges, Chisholm</w:t>
      </w:r>
      <w:r>
        <w:rPr>
          <w:rFonts w:cstheme="minorHAnsi"/>
        </w:rPr>
        <w:t xml:space="preserve"> </w:t>
      </w:r>
      <w:r w:rsidRPr="008378F1">
        <w:rPr>
          <w:rFonts w:cstheme="minorHAnsi"/>
        </w:rPr>
        <w:t>is proud to award 724 students with</w:t>
      </w:r>
      <w:r>
        <w:rPr>
          <w:rFonts w:cstheme="minorHAnsi"/>
        </w:rPr>
        <w:t xml:space="preserve"> </w:t>
      </w:r>
      <w:r w:rsidRPr="008378F1">
        <w:rPr>
          <w:rFonts w:cstheme="minorHAnsi"/>
        </w:rPr>
        <w:t>Australian qualifications.</w:t>
      </w:r>
    </w:p>
    <w:p w:rsidR="008378F1" w:rsidRDefault="008378F1" w:rsidP="005942B8">
      <w:pPr>
        <w:pStyle w:val="NoSpacing"/>
      </w:pPr>
    </w:p>
    <w:p w:rsidR="008378F1" w:rsidRDefault="008378F1" w:rsidP="008378F1">
      <w:pPr>
        <w:pStyle w:val="Heading4"/>
      </w:pPr>
      <w:r>
        <w:t>China Transnational Partnerships</w:t>
      </w:r>
    </w:p>
    <w:p w:rsidR="008378F1" w:rsidRDefault="008378F1" w:rsidP="005942B8">
      <w:pPr>
        <w:pStyle w:val="NoSpacing"/>
      </w:pPr>
    </w:p>
    <w:p w:rsidR="008378F1" w:rsidRPr="008378F1" w:rsidRDefault="008378F1" w:rsidP="008378F1">
      <w:pPr>
        <w:autoSpaceDE w:val="0"/>
        <w:autoSpaceDN w:val="0"/>
        <w:adjustRightInd w:val="0"/>
        <w:spacing w:after="0" w:line="240" w:lineRule="auto"/>
        <w:rPr>
          <w:rFonts w:cstheme="minorHAnsi"/>
        </w:rPr>
      </w:pPr>
      <w:r w:rsidRPr="008378F1">
        <w:rPr>
          <w:rFonts w:cstheme="minorHAnsi"/>
        </w:rPr>
        <w:t>Chisholm continued to partner with</w:t>
      </w:r>
      <w:r>
        <w:rPr>
          <w:rFonts w:cstheme="minorHAnsi"/>
        </w:rPr>
        <w:t xml:space="preserve"> </w:t>
      </w:r>
      <w:r w:rsidRPr="008378F1">
        <w:rPr>
          <w:rFonts w:cstheme="minorHAnsi"/>
        </w:rPr>
        <w:t>13 colleges across China to deliver</w:t>
      </w:r>
      <w:r>
        <w:rPr>
          <w:rFonts w:cstheme="minorHAnsi"/>
        </w:rPr>
        <w:t xml:space="preserve"> </w:t>
      </w:r>
      <w:r w:rsidRPr="008378F1">
        <w:rPr>
          <w:rFonts w:cstheme="minorHAnsi"/>
        </w:rPr>
        <w:t>qualifications to over 3,500 students.</w:t>
      </w:r>
      <w:r>
        <w:rPr>
          <w:rFonts w:cstheme="minorHAnsi"/>
        </w:rPr>
        <w:t xml:space="preserve"> </w:t>
      </w:r>
      <w:r w:rsidRPr="008378F1">
        <w:rPr>
          <w:rFonts w:cstheme="minorHAnsi"/>
        </w:rPr>
        <w:t>A total of 821 students graduated in</w:t>
      </w:r>
      <w:r>
        <w:rPr>
          <w:rFonts w:cstheme="minorHAnsi"/>
        </w:rPr>
        <w:t xml:space="preserve"> </w:t>
      </w:r>
      <w:r w:rsidRPr="008378F1">
        <w:rPr>
          <w:rFonts w:cstheme="minorHAnsi"/>
        </w:rPr>
        <w:t>2019 with qualifications in Engineering</w:t>
      </w:r>
      <w:r>
        <w:rPr>
          <w:rFonts w:cstheme="minorHAnsi"/>
        </w:rPr>
        <w:t xml:space="preserve"> </w:t>
      </w:r>
      <w:r w:rsidRPr="008378F1">
        <w:rPr>
          <w:rFonts w:cstheme="minorHAnsi"/>
        </w:rPr>
        <w:t>– Mechatronics and ESI (Electrical</w:t>
      </w:r>
      <w:r>
        <w:rPr>
          <w:rFonts w:cstheme="minorHAnsi"/>
        </w:rPr>
        <w:t xml:space="preserve"> </w:t>
      </w:r>
      <w:r w:rsidRPr="008378F1">
        <w:rPr>
          <w:rFonts w:cstheme="minorHAnsi"/>
        </w:rPr>
        <w:t>Systems Industry), Accounting, and</w:t>
      </w:r>
      <w:r>
        <w:rPr>
          <w:rFonts w:cstheme="minorHAnsi"/>
        </w:rPr>
        <w:t xml:space="preserve"> </w:t>
      </w:r>
      <w:r w:rsidRPr="008378F1">
        <w:rPr>
          <w:rFonts w:cstheme="minorHAnsi"/>
        </w:rPr>
        <w:t>Individual Support.</w:t>
      </w:r>
    </w:p>
    <w:p w:rsidR="008378F1" w:rsidRDefault="008378F1" w:rsidP="005942B8">
      <w:pPr>
        <w:pStyle w:val="NoSpacing"/>
      </w:pPr>
    </w:p>
    <w:p w:rsidR="008378F1" w:rsidRDefault="008378F1" w:rsidP="008378F1">
      <w:pPr>
        <w:pStyle w:val="Heading4"/>
      </w:pPr>
      <w:r>
        <w:lastRenderedPageBreak/>
        <w:t xml:space="preserve">Kiribati Developmental RPL Project </w:t>
      </w:r>
    </w:p>
    <w:p w:rsidR="008378F1" w:rsidRDefault="008378F1" w:rsidP="005942B8">
      <w:pPr>
        <w:pStyle w:val="NoSpacing"/>
      </w:pPr>
    </w:p>
    <w:p w:rsidR="008378F1" w:rsidRPr="008378F1" w:rsidRDefault="008378F1" w:rsidP="008378F1">
      <w:pPr>
        <w:autoSpaceDE w:val="0"/>
        <w:autoSpaceDN w:val="0"/>
        <w:adjustRightInd w:val="0"/>
        <w:spacing w:after="0" w:line="240" w:lineRule="auto"/>
        <w:rPr>
          <w:rFonts w:cstheme="minorHAnsi"/>
        </w:rPr>
      </w:pPr>
      <w:r w:rsidRPr="008378F1">
        <w:rPr>
          <w:rFonts w:cstheme="minorHAnsi"/>
        </w:rPr>
        <w:t>Chisholm has been engaged to</w:t>
      </w:r>
      <w:r>
        <w:rPr>
          <w:rFonts w:cstheme="minorHAnsi"/>
        </w:rPr>
        <w:t xml:space="preserve"> </w:t>
      </w:r>
      <w:r w:rsidRPr="008378F1">
        <w:rPr>
          <w:rFonts w:cstheme="minorHAnsi"/>
        </w:rPr>
        <w:t>conduct Recognition of Prior Learning</w:t>
      </w:r>
      <w:r>
        <w:rPr>
          <w:rFonts w:cstheme="minorHAnsi"/>
        </w:rPr>
        <w:t xml:space="preserve"> </w:t>
      </w:r>
      <w:r w:rsidRPr="008378F1">
        <w:rPr>
          <w:rFonts w:cstheme="minorHAnsi"/>
        </w:rPr>
        <w:t>(RPL) assessment at Kiribati Institute of</w:t>
      </w:r>
      <w:r>
        <w:rPr>
          <w:rFonts w:cstheme="minorHAnsi"/>
        </w:rPr>
        <w:t xml:space="preserve"> </w:t>
      </w:r>
      <w:r w:rsidRPr="008378F1">
        <w:rPr>
          <w:rFonts w:cstheme="minorHAnsi"/>
        </w:rPr>
        <w:t>Technology (KIT). The RPL assessments,</w:t>
      </w:r>
      <w:r>
        <w:rPr>
          <w:rFonts w:cstheme="minorHAnsi"/>
        </w:rPr>
        <w:t xml:space="preserve"> </w:t>
      </w:r>
      <w:r w:rsidRPr="008378F1">
        <w:rPr>
          <w:rFonts w:cstheme="minorHAnsi"/>
        </w:rPr>
        <w:t>along with other professional</w:t>
      </w:r>
      <w:r>
        <w:rPr>
          <w:rFonts w:cstheme="minorHAnsi"/>
        </w:rPr>
        <w:t xml:space="preserve"> </w:t>
      </w:r>
      <w:r w:rsidRPr="008378F1">
        <w:rPr>
          <w:rFonts w:cstheme="minorHAnsi"/>
        </w:rPr>
        <w:t>development services, lead to the</w:t>
      </w:r>
      <w:r>
        <w:rPr>
          <w:rFonts w:cstheme="minorHAnsi"/>
        </w:rPr>
        <w:t xml:space="preserve"> </w:t>
      </w:r>
      <w:r w:rsidRPr="008378F1">
        <w:rPr>
          <w:rFonts w:cstheme="minorHAnsi"/>
        </w:rPr>
        <w:t>award of qualifications that meet</w:t>
      </w:r>
      <w:r>
        <w:rPr>
          <w:rFonts w:cstheme="minorHAnsi"/>
        </w:rPr>
        <w:t xml:space="preserve"> </w:t>
      </w:r>
      <w:r w:rsidRPr="008378F1">
        <w:rPr>
          <w:rFonts w:cstheme="minorHAnsi"/>
        </w:rPr>
        <w:t>Australian standards. Chisholm worked</w:t>
      </w:r>
      <w:r>
        <w:rPr>
          <w:rFonts w:cstheme="minorHAnsi"/>
        </w:rPr>
        <w:t xml:space="preserve"> </w:t>
      </w:r>
      <w:r w:rsidRPr="008378F1">
        <w:rPr>
          <w:rFonts w:cstheme="minorHAnsi"/>
        </w:rPr>
        <w:t>with the managing contractor, Scope</w:t>
      </w:r>
      <w:r>
        <w:rPr>
          <w:rFonts w:cstheme="minorHAnsi"/>
        </w:rPr>
        <w:t xml:space="preserve"> </w:t>
      </w:r>
      <w:r w:rsidRPr="008378F1">
        <w:rPr>
          <w:rFonts w:cstheme="minorHAnsi"/>
        </w:rPr>
        <w:t>Global, to implement the program for</w:t>
      </w:r>
      <w:r>
        <w:rPr>
          <w:rFonts w:cstheme="minorHAnsi"/>
        </w:rPr>
        <w:t xml:space="preserve"> </w:t>
      </w:r>
      <w:r w:rsidRPr="008378F1">
        <w:rPr>
          <w:rFonts w:cstheme="minorHAnsi"/>
        </w:rPr>
        <w:t>KIT. Customised Recognition of Prior</w:t>
      </w:r>
      <w:r>
        <w:rPr>
          <w:rFonts w:cstheme="minorHAnsi"/>
        </w:rPr>
        <w:t xml:space="preserve"> </w:t>
      </w:r>
      <w:r w:rsidRPr="008378F1">
        <w:rPr>
          <w:rFonts w:cstheme="minorHAnsi"/>
        </w:rPr>
        <w:t>Learning (RPL) kits were developed to</w:t>
      </w:r>
      <w:r>
        <w:rPr>
          <w:rFonts w:cstheme="minorHAnsi"/>
        </w:rPr>
        <w:t xml:space="preserve"> </w:t>
      </w:r>
      <w:r w:rsidRPr="008378F1">
        <w:rPr>
          <w:rFonts w:cstheme="minorHAnsi"/>
        </w:rPr>
        <w:t>deliver RPL services to graduates of</w:t>
      </w:r>
      <w:r>
        <w:rPr>
          <w:rFonts w:cstheme="minorHAnsi"/>
        </w:rPr>
        <w:t xml:space="preserve"> </w:t>
      </w:r>
      <w:r w:rsidRPr="008378F1">
        <w:rPr>
          <w:rFonts w:cstheme="minorHAnsi"/>
        </w:rPr>
        <w:t>local programs in the following streams:</w:t>
      </w:r>
    </w:p>
    <w:p w:rsidR="008378F1" w:rsidRPr="008378F1" w:rsidRDefault="008378F1" w:rsidP="008378F1">
      <w:pPr>
        <w:autoSpaceDE w:val="0"/>
        <w:autoSpaceDN w:val="0"/>
        <w:adjustRightInd w:val="0"/>
        <w:spacing w:after="0" w:line="240" w:lineRule="auto"/>
        <w:rPr>
          <w:rFonts w:cstheme="minorHAnsi"/>
        </w:rPr>
      </w:pPr>
      <w:r w:rsidRPr="008378F1">
        <w:rPr>
          <w:rFonts w:cstheme="minorHAnsi"/>
        </w:rPr>
        <w:t>1. Electro Technology (Certificate II</w:t>
      </w:r>
      <w:r>
        <w:rPr>
          <w:rFonts w:cstheme="minorHAnsi"/>
        </w:rPr>
        <w:t xml:space="preserve"> </w:t>
      </w:r>
      <w:r w:rsidRPr="008378F1">
        <w:rPr>
          <w:rFonts w:cstheme="minorHAnsi"/>
        </w:rPr>
        <w:t>level)</w:t>
      </w:r>
    </w:p>
    <w:p w:rsidR="008378F1" w:rsidRPr="008378F1" w:rsidRDefault="008378F1" w:rsidP="008378F1">
      <w:pPr>
        <w:autoSpaceDE w:val="0"/>
        <w:autoSpaceDN w:val="0"/>
        <w:adjustRightInd w:val="0"/>
        <w:spacing w:after="0" w:line="240" w:lineRule="auto"/>
        <w:rPr>
          <w:rFonts w:cstheme="minorHAnsi"/>
        </w:rPr>
      </w:pPr>
      <w:r w:rsidRPr="008378F1">
        <w:rPr>
          <w:rFonts w:cstheme="minorHAnsi"/>
        </w:rPr>
        <w:t>2. Plumbing (Certificate II level)</w:t>
      </w:r>
    </w:p>
    <w:p w:rsidR="008378F1" w:rsidRPr="008378F1" w:rsidRDefault="008378F1" w:rsidP="008378F1">
      <w:pPr>
        <w:autoSpaceDE w:val="0"/>
        <w:autoSpaceDN w:val="0"/>
        <w:adjustRightInd w:val="0"/>
        <w:spacing w:after="0" w:line="240" w:lineRule="auto"/>
        <w:rPr>
          <w:rFonts w:cstheme="minorHAnsi"/>
        </w:rPr>
      </w:pPr>
      <w:r w:rsidRPr="008378F1">
        <w:rPr>
          <w:rFonts w:cstheme="minorHAnsi"/>
        </w:rPr>
        <w:t>3. Hospitality (Certificate II level)</w:t>
      </w:r>
    </w:p>
    <w:p w:rsidR="008378F1" w:rsidRPr="008378F1" w:rsidRDefault="008378F1" w:rsidP="008378F1">
      <w:pPr>
        <w:autoSpaceDE w:val="0"/>
        <w:autoSpaceDN w:val="0"/>
        <w:adjustRightInd w:val="0"/>
        <w:spacing w:after="0" w:line="240" w:lineRule="auto"/>
        <w:rPr>
          <w:rFonts w:cstheme="minorHAnsi"/>
        </w:rPr>
      </w:pPr>
      <w:r w:rsidRPr="008378F1">
        <w:rPr>
          <w:rFonts w:cstheme="minorHAnsi"/>
        </w:rPr>
        <w:t>4. Hardware Technician Skill Sets;</w:t>
      </w:r>
    </w:p>
    <w:p w:rsidR="008378F1" w:rsidRPr="008378F1" w:rsidRDefault="008378F1" w:rsidP="008378F1">
      <w:pPr>
        <w:autoSpaceDE w:val="0"/>
        <w:autoSpaceDN w:val="0"/>
        <w:adjustRightInd w:val="0"/>
        <w:spacing w:after="0" w:line="240" w:lineRule="auto"/>
        <w:rPr>
          <w:rFonts w:cstheme="minorHAnsi"/>
        </w:rPr>
      </w:pPr>
      <w:r w:rsidRPr="008378F1">
        <w:rPr>
          <w:rFonts w:cstheme="minorHAnsi"/>
        </w:rPr>
        <w:t>5. Account Administration (Certificate III</w:t>
      </w:r>
      <w:r>
        <w:rPr>
          <w:rFonts w:cstheme="minorHAnsi"/>
        </w:rPr>
        <w:t xml:space="preserve"> </w:t>
      </w:r>
      <w:r w:rsidRPr="008378F1">
        <w:rPr>
          <w:rFonts w:cstheme="minorHAnsi"/>
        </w:rPr>
        <w:t>level); and</w:t>
      </w:r>
    </w:p>
    <w:p w:rsidR="008378F1" w:rsidRPr="008378F1" w:rsidRDefault="008378F1" w:rsidP="008378F1">
      <w:pPr>
        <w:autoSpaceDE w:val="0"/>
        <w:autoSpaceDN w:val="0"/>
        <w:adjustRightInd w:val="0"/>
        <w:spacing w:after="0" w:line="240" w:lineRule="auto"/>
        <w:rPr>
          <w:rFonts w:cstheme="minorHAnsi"/>
        </w:rPr>
      </w:pPr>
      <w:r w:rsidRPr="008378F1">
        <w:rPr>
          <w:rFonts w:cstheme="minorHAnsi"/>
        </w:rPr>
        <w:t>6. Accounting (Certificate IV level).</w:t>
      </w:r>
      <w:r>
        <w:rPr>
          <w:rFonts w:cstheme="minorHAnsi"/>
        </w:rPr>
        <w:t xml:space="preserve"> </w:t>
      </w:r>
      <w:r w:rsidRPr="008378F1">
        <w:rPr>
          <w:rFonts w:cstheme="minorHAnsi"/>
        </w:rPr>
        <w:t>A total of 172 KIT students achieved</w:t>
      </w:r>
      <w:r>
        <w:rPr>
          <w:rFonts w:cstheme="minorHAnsi"/>
        </w:rPr>
        <w:t xml:space="preserve"> </w:t>
      </w:r>
      <w:r w:rsidRPr="008378F1">
        <w:rPr>
          <w:rFonts w:cstheme="minorHAnsi"/>
        </w:rPr>
        <w:t>either an Australian qualification or</w:t>
      </w:r>
      <w:r>
        <w:rPr>
          <w:rFonts w:cstheme="minorHAnsi"/>
        </w:rPr>
        <w:t xml:space="preserve"> </w:t>
      </w:r>
      <w:r w:rsidRPr="008378F1">
        <w:rPr>
          <w:rFonts w:cstheme="minorHAnsi"/>
        </w:rPr>
        <w:t>statement of attainment in 2019.</w:t>
      </w:r>
    </w:p>
    <w:p w:rsidR="008378F1" w:rsidRDefault="008378F1" w:rsidP="005942B8">
      <w:pPr>
        <w:pStyle w:val="NoSpacing"/>
      </w:pPr>
    </w:p>
    <w:p w:rsidR="008378F1" w:rsidRDefault="008378F1" w:rsidP="008378F1">
      <w:pPr>
        <w:pStyle w:val="Heading4"/>
      </w:pPr>
      <w:r>
        <w:t>Qatar Technical School</w:t>
      </w:r>
    </w:p>
    <w:p w:rsidR="008378F1" w:rsidRDefault="008378F1" w:rsidP="005942B8">
      <w:pPr>
        <w:pStyle w:val="NoSpacing"/>
      </w:pPr>
    </w:p>
    <w:p w:rsidR="008378F1" w:rsidRPr="008378F1" w:rsidRDefault="008378F1" w:rsidP="008378F1">
      <w:pPr>
        <w:autoSpaceDE w:val="0"/>
        <w:autoSpaceDN w:val="0"/>
        <w:adjustRightInd w:val="0"/>
        <w:spacing w:after="0" w:line="240" w:lineRule="auto"/>
        <w:rPr>
          <w:rFonts w:cstheme="minorHAnsi"/>
        </w:rPr>
      </w:pPr>
      <w:r w:rsidRPr="008378F1">
        <w:rPr>
          <w:rFonts w:cstheme="minorHAnsi"/>
        </w:rPr>
        <w:t>Chisholm continued delivery of</w:t>
      </w:r>
      <w:r>
        <w:rPr>
          <w:rFonts w:cstheme="minorHAnsi"/>
        </w:rPr>
        <w:t xml:space="preserve"> </w:t>
      </w:r>
      <w:r w:rsidRPr="008378F1">
        <w:rPr>
          <w:rFonts w:cstheme="minorHAnsi"/>
        </w:rPr>
        <w:t>Certificate II Engineering programs at</w:t>
      </w:r>
      <w:r>
        <w:rPr>
          <w:rFonts w:cstheme="minorHAnsi"/>
        </w:rPr>
        <w:t xml:space="preserve"> </w:t>
      </w:r>
      <w:r w:rsidRPr="008378F1">
        <w:rPr>
          <w:rFonts w:cstheme="minorHAnsi"/>
        </w:rPr>
        <w:t>Qatar Technical School. 90 students</w:t>
      </w:r>
      <w:r>
        <w:rPr>
          <w:rFonts w:cstheme="minorHAnsi"/>
        </w:rPr>
        <w:t xml:space="preserve"> </w:t>
      </w:r>
      <w:r w:rsidRPr="008378F1">
        <w:rPr>
          <w:rFonts w:cstheme="minorHAnsi"/>
        </w:rPr>
        <w:t>graduated with the Australian</w:t>
      </w:r>
      <w:r>
        <w:rPr>
          <w:rFonts w:cstheme="minorHAnsi"/>
        </w:rPr>
        <w:t xml:space="preserve"> </w:t>
      </w:r>
      <w:r w:rsidRPr="008378F1">
        <w:rPr>
          <w:rFonts w:cstheme="minorHAnsi"/>
        </w:rPr>
        <w:t>qualification in 2019. In addition, 40</w:t>
      </w:r>
      <w:r>
        <w:rPr>
          <w:rFonts w:cstheme="minorHAnsi"/>
        </w:rPr>
        <w:t xml:space="preserve"> </w:t>
      </w:r>
      <w:r w:rsidRPr="008378F1">
        <w:rPr>
          <w:rFonts w:cstheme="minorHAnsi"/>
        </w:rPr>
        <w:t>teachers of QTS undertook presentation</w:t>
      </w:r>
      <w:r>
        <w:rPr>
          <w:rFonts w:cstheme="minorHAnsi"/>
        </w:rPr>
        <w:t xml:space="preserve"> </w:t>
      </w:r>
      <w:r w:rsidRPr="008378F1">
        <w:rPr>
          <w:rFonts w:cstheme="minorHAnsi"/>
        </w:rPr>
        <w:t>skills training, of which 23 also</w:t>
      </w:r>
      <w:r>
        <w:rPr>
          <w:rFonts w:cstheme="minorHAnsi"/>
        </w:rPr>
        <w:t xml:space="preserve"> </w:t>
      </w:r>
      <w:r w:rsidRPr="008378F1">
        <w:rPr>
          <w:rFonts w:cstheme="minorHAnsi"/>
        </w:rPr>
        <w:t>completed the Certificate IV in TAE</w:t>
      </w:r>
      <w:r>
        <w:rPr>
          <w:rFonts w:cstheme="minorHAnsi"/>
        </w:rPr>
        <w:t xml:space="preserve"> </w:t>
      </w:r>
      <w:r w:rsidRPr="008378F1">
        <w:rPr>
          <w:rFonts w:cstheme="minorHAnsi"/>
        </w:rPr>
        <w:t>upgrade through Chisholm Online.</w:t>
      </w:r>
    </w:p>
    <w:p w:rsidR="008378F1" w:rsidRDefault="008378F1" w:rsidP="005942B8">
      <w:pPr>
        <w:pStyle w:val="NoSpacing"/>
      </w:pPr>
    </w:p>
    <w:p w:rsidR="008378F1" w:rsidRDefault="008378F1" w:rsidP="008378F1">
      <w:pPr>
        <w:pStyle w:val="Heading4"/>
      </w:pPr>
      <w:r>
        <w:t xml:space="preserve">Consulting Service </w:t>
      </w:r>
    </w:p>
    <w:p w:rsidR="008378F1" w:rsidRDefault="008378F1" w:rsidP="005942B8">
      <w:pPr>
        <w:pStyle w:val="NoSpacing"/>
      </w:pPr>
    </w:p>
    <w:p w:rsidR="008378F1" w:rsidRPr="008378F1" w:rsidRDefault="008378F1" w:rsidP="008378F1">
      <w:pPr>
        <w:autoSpaceDE w:val="0"/>
        <w:autoSpaceDN w:val="0"/>
        <w:adjustRightInd w:val="0"/>
        <w:spacing w:after="0" w:line="240" w:lineRule="auto"/>
        <w:rPr>
          <w:rFonts w:cstheme="minorHAnsi"/>
        </w:rPr>
      </w:pPr>
      <w:r w:rsidRPr="008378F1">
        <w:rPr>
          <w:rFonts w:cstheme="minorHAnsi"/>
        </w:rPr>
        <w:t>Chisholm provided consultancy</w:t>
      </w:r>
      <w:r>
        <w:rPr>
          <w:rFonts w:cstheme="minorHAnsi"/>
        </w:rPr>
        <w:t xml:space="preserve"> </w:t>
      </w:r>
      <w:r w:rsidRPr="008378F1">
        <w:rPr>
          <w:rFonts w:cstheme="minorHAnsi"/>
        </w:rPr>
        <w:t>services to various clients in Korea,</w:t>
      </w:r>
      <w:r>
        <w:rPr>
          <w:rFonts w:cstheme="minorHAnsi"/>
        </w:rPr>
        <w:t xml:space="preserve"> </w:t>
      </w:r>
      <w:r w:rsidRPr="008378F1">
        <w:rPr>
          <w:rFonts w:cstheme="minorHAnsi"/>
        </w:rPr>
        <w:t>Peru and Thailand.</w:t>
      </w:r>
    </w:p>
    <w:p w:rsidR="008378F1" w:rsidRPr="008378F1" w:rsidRDefault="008378F1" w:rsidP="008378F1">
      <w:pPr>
        <w:autoSpaceDE w:val="0"/>
        <w:autoSpaceDN w:val="0"/>
        <w:adjustRightInd w:val="0"/>
        <w:spacing w:after="0" w:line="240" w:lineRule="auto"/>
        <w:rPr>
          <w:rFonts w:cstheme="minorHAnsi"/>
        </w:rPr>
      </w:pPr>
      <w:r w:rsidRPr="008378F1">
        <w:rPr>
          <w:rFonts w:cstheme="minorHAnsi"/>
        </w:rPr>
        <w:t>Clients include Kenan Foundation in</w:t>
      </w:r>
      <w:r>
        <w:rPr>
          <w:rFonts w:cstheme="minorHAnsi"/>
        </w:rPr>
        <w:t xml:space="preserve"> </w:t>
      </w:r>
      <w:r w:rsidRPr="008378F1">
        <w:rPr>
          <w:rFonts w:cstheme="minorHAnsi"/>
        </w:rPr>
        <w:t>Thailand for the Chevron Enjoy Science</w:t>
      </w:r>
      <w:r>
        <w:rPr>
          <w:rFonts w:cstheme="minorHAnsi"/>
        </w:rPr>
        <w:t xml:space="preserve"> </w:t>
      </w:r>
      <w:r w:rsidRPr="008378F1">
        <w:rPr>
          <w:rFonts w:cstheme="minorHAnsi"/>
        </w:rPr>
        <w:t>Project; Eductrade for a project with the</w:t>
      </w:r>
      <w:r>
        <w:rPr>
          <w:rFonts w:cstheme="minorHAnsi"/>
        </w:rPr>
        <w:t xml:space="preserve"> </w:t>
      </w:r>
      <w:r w:rsidRPr="008378F1">
        <w:rPr>
          <w:rFonts w:cstheme="minorHAnsi"/>
        </w:rPr>
        <w:t>Ministry of Labour Peru; and Gyeongbuk</w:t>
      </w:r>
      <w:r>
        <w:rPr>
          <w:rFonts w:cstheme="minorHAnsi"/>
        </w:rPr>
        <w:t xml:space="preserve"> </w:t>
      </w:r>
      <w:r w:rsidRPr="008378F1">
        <w:rPr>
          <w:rFonts w:cstheme="minorHAnsi"/>
        </w:rPr>
        <w:t>Provincial College, Korea.</w:t>
      </w:r>
    </w:p>
    <w:p w:rsidR="008378F1" w:rsidRDefault="008378F1" w:rsidP="005942B8">
      <w:pPr>
        <w:pStyle w:val="NoSpacing"/>
      </w:pPr>
    </w:p>
    <w:p w:rsidR="008378F1" w:rsidRDefault="008378F1" w:rsidP="008378F1">
      <w:pPr>
        <w:pStyle w:val="Heading2"/>
      </w:pPr>
      <w:r>
        <w:t xml:space="preserve">Performance Measures and Targets </w:t>
      </w:r>
    </w:p>
    <w:p w:rsidR="008378F1" w:rsidRPr="008378F1" w:rsidRDefault="008378F1" w:rsidP="005942B8">
      <w:pPr>
        <w:pStyle w:val="NoSpacing"/>
      </w:pPr>
    </w:p>
    <w:p w:rsidR="008378F1" w:rsidRDefault="008378F1" w:rsidP="008378F1">
      <w:pPr>
        <w:autoSpaceDE w:val="0"/>
        <w:autoSpaceDN w:val="0"/>
        <w:adjustRightInd w:val="0"/>
        <w:spacing w:after="0" w:line="240" w:lineRule="auto"/>
        <w:rPr>
          <w:rFonts w:cstheme="minorHAnsi"/>
        </w:rPr>
      </w:pPr>
      <w:r w:rsidRPr="008378F1">
        <w:rPr>
          <w:rFonts w:cstheme="minorHAnsi"/>
        </w:rPr>
        <w:t>Our offshore opportunities and contracted partnership</w:t>
      </w:r>
      <w:r>
        <w:rPr>
          <w:rFonts w:cstheme="minorHAnsi"/>
        </w:rPr>
        <w:t xml:space="preserve"> </w:t>
      </w:r>
      <w:r w:rsidRPr="008378F1">
        <w:rPr>
          <w:rFonts w:cstheme="minorHAnsi"/>
        </w:rPr>
        <w:t>projects are managed within a strict quality and project</w:t>
      </w:r>
      <w:r>
        <w:rPr>
          <w:rFonts w:cstheme="minorHAnsi"/>
        </w:rPr>
        <w:t xml:space="preserve"> </w:t>
      </w:r>
      <w:r w:rsidRPr="008378F1">
        <w:rPr>
          <w:rFonts w:cstheme="minorHAnsi"/>
        </w:rPr>
        <w:t>management environment. To promote optimum</w:t>
      </w:r>
      <w:r>
        <w:rPr>
          <w:rFonts w:cstheme="minorHAnsi"/>
        </w:rPr>
        <w:t xml:space="preserve"> </w:t>
      </w:r>
      <w:r w:rsidRPr="008378F1">
        <w:rPr>
          <w:rFonts w:cstheme="minorHAnsi"/>
        </w:rPr>
        <w:t>performance and outcomes, assessments and reviews</w:t>
      </w:r>
      <w:r>
        <w:rPr>
          <w:rFonts w:cstheme="minorHAnsi"/>
        </w:rPr>
        <w:t xml:space="preserve"> </w:t>
      </w:r>
      <w:r w:rsidRPr="008378F1">
        <w:rPr>
          <w:rFonts w:cstheme="minorHAnsi"/>
        </w:rPr>
        <w:t>are carried out at all stages of the project’s lifecycle. This</w:t>
      </w:r>
      <w:r>
        <w:rPr>
          <w:rFonts w:cstheme="minorHAnsi"/>
        </w:rPr>
        <w:t xml:space="preserve"> </w:t>
      </w:r>
      <w:r w:rsidRPr="008378F1">
        <w:rPr>
          <w:rFonts w:cstheme="minorHAnsi"/>
        </w:rPr>
        <w:t>environment supports growth in international project</w:t>
      </w:r>
      <w:r>
        <w:rPr>
          <w:rFonts w:cstheme="minorHAnsi"/>
        </w:rPr>
        <w:t xml:space="preserve"> </w:t>
      </w:r>
      <w:r w:rsidRPr="008378F1">
        <w:rPr>
          <w:rFonts w:cstheme="minorHAnsi"/>
        </w:rPr>
        <w:t>operations and provides opportunities to strengthen</w:t>
      </w:r>
      <w:r>
        <w:rPr>
          <w:rFonts w:cstheme="minorHAnsi"/>
        </w:rPr>
        <w:t xml:space="preserve"> </w:t>
      </w:r>
      <w:r w:rsidRPr="008378F1">
        <w:rPr>
          <w:rFonts w:cstheme="minorHAnsi"/>
        </w:rPr>
        <w:t>partner relationships to build on existing international</w:t>
      </w:r>
      <w:r>
        <w:rPr>
          <w:rFonts w:cstheme="minorHAnsi"/>
        </w:rPr>
        <w:t xml:space="preserve"> </w:t>
      </w:r>
      <w:r w:rsidRPr="008378F1">
        <w:rPr>
          <w:rFonts w:cstheme="minorHAnsi"/>
        </w:rPr>
        <w:t>activities. Detailed financial planning and management</w:t>
      </w:r>
      <w:r>
        <w:rPr>
          <w:rFonts w:cstheme="minorHAnsi"/>
        </w:rPr>
        <w:t xml:space="preserve"> </w:t>
      </w:r>
      <w:r w:rsidRPr="008378F1">
        <w:rPr>
          <w:rFonts w:cstheme="minorHAnsi"/>
        </w:rPr>
        <w:t>ensure that projects are commercially viable and managed</w:t>
      </w:r>
      <w:r>
        <w:rPr>
          <w:rFonts w:cstheme="minorHAnsi"/>
        </w:rPr>
        <w:t xml:space="preserve"> </w:t>
      </w:r>
      <w:r w:rsidRPr="008378F1">
        <w:rPr>
          <w:rFonts w:cstheme="minorHAnsi"/>
        </w:rPr>
        <w:t>to maximise comm</w:t>
      </w:r>
      <w:r>
        <w:rPr>
          <w:rFonts w:cstheme="minorHAnsi"/>
        </w:rPr>
        <w:t>ercial return and benefit:</w:t>
      </w:r>
    </w:p>
    <w:p w:rsidR="008378F1" w:rsidRPr="008378F1" w:rsidRDefault="008378F1" w:rsidP="00925530">
      <w:pPr>
        <w:pStyle w:val="ListParagraph"/>
        <w:numPr>
          <w:ilvl w:val="0"/>
          <w:numId w:val="16"/>
        </w:numPr>
        <w:autoSpaceDE w:val="0"/>
        <w:autoSpaceDN w:val="0"/>
        <w:adjustRightInd w:val="0"/>
        <w:spacing w:after="0" w:line="240" w:lineRule="auto"/>
        <w:rPr>
          <w:rFonts w:cstheme="minorHAnsi"/>
        </w:rPr>
      </w:pPr>
      <w:r w:rsidRPr="008378F1">
        <w:rPr>
          <w:rFonts w:cstheme="minorHAnsi"/>
        </w:rPr>
        <w:t>all pipeline project activities are assessed to determine risk profile, commercial viability, and match to Institute</w:t>
      </w:r>
      <w:r>
        <w:rPr>
          <w:rFonts w:cstheme="minorHAnsi"/>
        </w:rPr>
        <w:t xml:space="preserve"> </w:t>
      </w:r>
      <w:r w:rsidRPr="008378F1">
        <w:rPr>
          <w:rFonts w:cstheme="minorHAnsi"/>
        </w:rPr>
        <w:t>capability and strategic purpose</w:t>
      </w:r>
    </w:p>
    <w:p w:rsidR="008378F1" w:rsidRPr="008378F1" w:rsidRDefault="008378F1" w:rsidP="00925530">
      <w:pPr>
        <w:pStyle w:val="ListParagraph"/>
        <w:numPr>
          <w:ilvl w:val="0"/>
          <w:numId w:val="16"/>
        </w:numPr>
        <w:autoSpaceDE w:val="0"/>
        <w:autoSpaceDN w:val="0"/>
        <w:adjustRightInd w:val="0"/>
        <w:spacing w:after="0" w:line="240" w:lineRule="auto"/>
        <w:rPr>
          <w:rFonts w:cstheme="minorHAnsi"/>
        </w:rPr>
      </w:pPr>
      <w:r w:rsidRPr="008378F1">
        <w:rPr>
          <w:rFonts w:cstheme="minorHAnsi"/>
        </w:rPr>
        <w:t>before and during development, all contracts and agreements are reviewed to ensure they are fit for</w:t>
      </w:r>
      <w:r>
        <w:rPr>
          <w:rFonts w:cstheme="minorHAnsi"/>
        </w:rPr>
        <w:t xml:space="preserve"> </w:t>
      </w:r>
      <w:r w:rsidRPr="008378F1">
        <w:rPr>
          <w:rFonts w:cstheme="minorHAnsi"/>
        </w:rPr>
        <w:t>purpose with the scope of services</w:t>
      </w:r>
    </w:p>
    <w:p w:rsidR="008378F1" w:rsidRPr="008378F1" w:rsidRDefault="008378F1" w:rsidP="00925530">
      <w:pPr>
        <w:pStyle w:val="ListParagraph"/>
        <w:numPr>
          <w:ilvl w:val="0"/>
          <w:numId w:val="16"/>
        </w:numPr>
        <w:autoSpaceDE w:val="0"/>
        <w:autoSpaceDN w:val="0"/>
        <w:adjustRightInd w:val="0"/>
        <w:spacing w:after="0" w:line="240" w:lineRule="auto"/>
        <w:rPr>
          <w:rFonts w:cstheme="minorHAnsi"/>
        </w:rPr>
      </w:pPr>
      <w:r w:rsidRPr="008378F1">
        <w:rPr>
          <w:rFonts w:cstheme="minorHAnsi"/>
        </w:rPr>
        <w:t>each individual activity is assessed for project</w:t>
      </w:r>
      <w:r>
        <w:rPr>
          <w:rFonts w:cstheme="minorHAnsi"/>
        </w:rPr>
        <w:t xml:space="preserve"> </w:t>
      </w:r>
      <w:r w:rsidRPr="008378F1">
        <w:rPr>
          <w:rFonts w:cstheme="minorHAnsi"/>
        </w:rPr>
        <w:t>performance against client requirements.</w:t>
      </w:r>
    </w:p>
    <w:p w:rsidR="008378F1" w:rsidRDefault="008378F1" w:rsidP="005942B8">
      <w:pPr>
        <w:pStyle w:val="NoSpacing"/>
      </w:pPr>
    </w:p>
    <w:p w:rsidR="008378F1" w:rsidRDefault="008378F1" w:rsidP="005942B8">
      <w:pPr>
        <w:pStyle w:val="NoSpacing"/>
      </w:pPr>
      <w:r>
        <w:t>&lt;page 13&gt;</w:t>
      </w:r>
    </w:p>
    <w:p w:rsidR="008378F1" w:rsidRDefault="008378F1" w:rsidP="005942B8">
      <w:pPr>
        <w:pStyle w:val="NoSpacing"/>
      </w:pPr>
    </w:p>
    <w:p w:rsidR="008378F1" w:rsidRDefault="008378F1" w:rsidP="008378F1">
      <w:pPr>
        <w:pStyle w:val="Heading2"/>
      </w:pPr>
      <w:r>
        <w:t xml:space="preserve">Strategies established to manage risks </w:t>
      </w:r>
    </w:p>
    <w:p w:rsidR="008378F1" w:rsidRDefault="008378F1" w:rsidP="005942B8">
      <w:pPr>
        <w:pStyle w:val="NoSpacing"/>
      </w:pPr>
    </w:p>
    <w:p w:rsidR="008378F1" w:rsidRDefault="008378F1" w:rsidP="008378F1">
      <w:pPr>
        <w:autoSpaceDE w:val="0"/>
        <w:autoSpaceDN w:val="0"/>
        <w:adjustRightInd w:val="0"/>
        <w:spacing w:after="0" w:line="240" w:lineRule="auto"/>
        <w:rPr>
          <w:rFonts w:cstheme="minorHAnsi"/>
        </w:rPr>
      </w:pPr>
      <w:r w:rsidRPr="008378F1">
        <w:rPr>
          <w:rFonts w:cstheme="minorHAnsi"/>
        </w:rPr>
        <w:t>Ou</w:t>
      </w:r>
      <w:r>
        <w:rPr>
          <w:rFonts w:cstheme="minorHAnsi"/>
        </w:rPr>
        <w:t xml:space="preserve">r Risk Management Plan outlines </w:t>
      </w:r>
      <w:r w:rsidRPr="008378F1">
        <w:rPr>
          <w:rFonts w:cstheme="minorHAnsi"/>
        </w:rPr>
        <w:t>specific</w:t>
      </w:r>
      <w:r>
        <w:rPr>
          <w:rFonts w:cstheme="minorHAnsi"/>
        </w:rPr>
        <w:t xml:space="preserve"> strategies to mitigate risk in </w:t>
      </w:r>
      <w:r w:rsidRPr="008378F1">
        <w:rPr>
          <w:rFonts w:cstheme="minorHAnsi"/>
        </w:rPr>
        <w:t>two categories:</w:t>
      </w:r>
    </w:p>
    <w:p w:rsidR="00FD3A76" w:rsidRPr="008378F1" w:rsidRDefault="00FD3A76" w:rsidP="008378F1">
      <w:pPr>
        <w:autoSpaceDE w:val="0"/>
        <w:autoSpaceDN w:val="0"/>
        <w:adjustRightInd w:val="0"/>
        <w:spacing w:after="0" w:line="240" w:lineRule="auto"/>
        <w:rPr>
          <w:rFonts w:cstheme="minorHAnsi"/>
        </w:rPr>
      </w:pPr>
    </w:p>
    <w:p w:rsidR="008378F1" w:rsidRDefault="008378F1" w:rsidP="00925530">
      <w:pPr>
        <w:pStyle w:val="ListParagraph"/>
        <w:numPr>
          <w:ilvl w:val="0"/>
          <w:numId w:val="17"/>
        </w:numPr>
        <w:autoSpaceDE w:val="0"/>
        <w:autoSpaceDN w:val="0"/>
        <w:adjustRightInd w:val="0"/>
        <w:spacing w:after="0" w:line="240" w:lineRule="auto"/>
        <w:rPr>
          <w:rFonts w:cstheme="minorHAnsi"/>
        </w:rPr>
      </w:pPr>
      <w:r w:rsidRPr="00FD3A76">
        <w:rPr>
          <w:rFonts w:cstheme="minorHAnsi"/>
          <w:bCs/>
        </w:rPr>
        <w:lastRenderedPageBreak/>
        <w:t xml:space="preserve">Strategic risk </w:t>
      </w:r>
      <w:r w:rsidRPr="00FD3A76">
        <w:rPr>
          <w:rFonts w:cstheme="minorHAnsi"/>
        </w:rPr>
        <w:t>– Any risks beyond</w:t>
      </w:r>
      <w:r w:rsidR="00FD3A76">
        <w:rPr>
          <w:rFonts w:cstheme="minorHAnsi"/>
        </w:rPr>
        <w:t xml:space="preserve"> </w:t>
      </w:r>
      <w:r w:rsidRPr="00FD3A76">
        <w:rPr>
          <w:rFonts w:cstheme="minorHAnsi"/>
        </w:rPr>
        <w:t>the control of the Board and</w:t>
      </w:r>
      <w:r w:rsidR="00FD3A76" w:rsidRPr="00FD3A76">
        <w:rPr>
          <w:rFonts w:cstheme="minorHAnsi"/>
        </w:rPr>
        <w:t xml:space="preserve"> </w:t>
      </w:r>
      <w:r w:rsidRPr="00FD3A76">
        <w:rPr>
          <w:rFonts w:cstheme="minorHAnsi"/>
        </w:rPr>
        <w:t>Executive must be responded</w:t>
      </w:r>
      <w:r w:rsidR="00FD3A76" w:rsidRPr="00FD3A76">
        <w:rPr>
          <w:rFonts w:cstheme="minorHAnsi"/>
        </w:rPr>
        <w:t xml:space="preserve"> </w:t>
      </w:r>
      <w:r w:rsidRPr="00FD3A76">
        <w:rPr>
          <w:rFonts w:cstheme="minorHAnsi"/>
        </w:rPr>
        <w:t>to through changes in strategy</w:t>
      </w:r>
      <w:r w:rsidR="00FD3A76" w:rsidRPr="00FD3A76">
        <w:rPr>
          <w:rFonts w:cstheme="minorHAnsi"/>
        </w:rPr>
        <w:t xml:space="preserve"> </w:t>
      </w:r>
      <w:r w:rsidRPr="00FD3A76">
        <w:rPr>
          <w:rFonts w:cstheme="minorHAnsi"/>
        </w:rPr>
        <w:t>direction to protect our business.</w:t>
      </w:r>
    </w:p>
    <w:p w:rsidR="00FD3A76" w:rsidRPr="00FD3A76" w:rsidRDefault="00FD3A76" w:rsidP="00FD3A76">
      <w:pPr>
        <w:autoSpaceDE w:val="0"/>
        <w:autoSpaceDN w:val="0"/>
        <w:adjustRightInd w:val="0"/>
        <w:spacing w:after="0" w:line="240" w:lineRule="auto"/>
        <w:rPr>
          <w:rFonts w:cstheme="minorHAnsi"/>
        </w:rPr>
      </w:pPr>
    </w:p>
    <w:p w:rsidR="008378F1" w:rsidRPr="00FD3A76" w:rsidRDefault="008378F1" w:rsidP="00925530">
      <w:pPr>
        <w:pStyle w:val="ListParagraph"/>
        <w:numPr>
          <w:ilvl w:val="0"/>
          <w:numId w:val="17"/>
        </w:numPr>
        <w:autoSpaceDE w:val="0"/>
        <w:autoSpaceDN w:val="0"/>
        <w:adjustRightInd w:val="0"/>
        <w:spacing w:after="0" w:line="240" w:lineRule="auto"/>
        <w:rPr>
          <w:rFonts w:cstheme="minorHAnsi"/>
        </w:rPr>
      </w:pPr>
      <w:r w:rsidRPr="00FD3A76">
        <w:rPr>
          <w:rFonts w:cstheme="minorHAnsi"/>
          <w:bCs/>
        </w:rPr>
        <w:t xml:space="preserve">Operational risk </w:t>
      </w:r>
      <w:r w:rsidRPr="00FD3A76">
        <w:rPr>
          <w:rFonts w:cstheme="minorHAnsi"/>
        </w:rPr>
        <w:t>– The</w:t>
      </w:r>
      <w:r w:rsidR="00FD3A76">
        <w:rPr>
          <w:rFonts w:cstheme="minorHAnsi"/>
        </w:rPr>
        <w:t xml:space="preserve"> </w:t>
      </w:r>
      <w:r w:rsidRPr="00FD3A76">
        <w:rPr>
          <w:rFonts w:cstheme="minorHAnsi"/>
        </w:rPr>
        <w:t>downstream risks that can be</w:t>
      </w:r>
      <w:r w:rsidR="00FD3A76" w:rsidRPr="00FD3A76">
        <w:rPr>
          <w:rFonts w:cstheme="minorHAnsi"/>
        </w:rPr>
        <w:t xml:space="preserve"> </w:t>
      </w:r>
      <w:r w:rsidRPr="00FD3A76">
        <w:rPr>
          <w:rFonts w:cstheme="minorHAnsi"/>
        </w:rPr>
        <w:t>managed and mitigated, which</w:t>
      </w:r>
      <w:r w:rsidR="00FD3A76" w:rsidRPr="00FD3A76">
        <w:rPr>
          <w:rFonts w:cstheme="minorHAnsi"/>
        </w:rPr>
        <w:t xml:space="preserve"> </w:t>
      </w:r>
      <w:r w:rsidRPr="00FD3A76">
        <w:rPr>
          <w:rFonts w:cstheme="minorHAnsi"/>
        </w:rPr>
        <w:t>may have strategic impact but can</w:t>
      </w:r>
      <w:r w:rsidR="00FD3A76" w:rsidRPr="00FD3A76">
        <w:rPr>
          <w:rFonts w:cstheme="minorHAnsi"/>
        </w:rPr>
        <w:t xml:space="preserve"> </w:t>
      </w:r>
      <w:r w:rsidRPr="00FD3A76">
        <w:rPr>
          <w:rFonts w:cstheme="minorHAnsi"/>
        </w:rPr>
        <w:t>be addressed through operational</w:t>
      </w:r>
      <w:r w:rsidR="00FD3A76" w:rsidRPr="00FD3A76">
        <w:rPr>
          <w:rFonts w:cstheme="minorHAnsi"/>
        </w:rPr>
        <w:t xml:space="preserve"> </w:t>
      </w:r>
      <w:r w:rsidRPr="00FD3A76">
        <w:rPr>
          <w:rFonts w:cstheme="minorHAnsi"/>
        </w:rPr>
        <w:t>management.</w:t>
      </w:r>
    </w:p>
    <w:p w:rsidR="00FD3A76" w:rsidRDefault="00FD3A76" w:rsidP="008378F1">
      <w:pPr>
        <w:autoSpaceDE w:val="0"/>
        <w:autoSpaceDN w:val="0"/>
        <w:adjustRightInd w:val="0"/>
        <w:spacing w:after="0" w:line="240" w:lineRule="auto"/>
        <w:rPr>
          <w:rFonts w:cstheme="minorHAnsi"/>
        </w:rPr>
      </w:pPr>
    </w:p>
    <w:p w:rsidR="008378F1" w:rsidRPr="008378F1" w:rsidRDefault="008378F1" w:rsidP="008378F1">
      <w:pPr>
        <w:autoSpaceDE w:val="0"/>
        <w:autoSpaceDN w:val="0"/>
        <w:adjustRightInd w:val="0"/>
        <w:spacing w:after="0" w:line="240" w:lineRule="auto"/>
        <w:rPr>
          <w:rFonts w:cstheme="minorHAnsi"/>
        </w:rPr>
      </w:pPr>
      <w:r w:rsidRPr="008378F1">
        <w:rPr>
          <w:rFonts w:cstheme="minorHAnsi"/>
        </w:rPr>
        <w:t>Our leadership and management</w:t>
      </w:r>
      <w:r w:rsidR="00FD3A76">
        <w:rPr>
          <w:rFonts w:cstheme="minorHAnsi"/>
        </w:rPr>
        <w:t xml:space="preserve"> </w:t>
      </w:r>
      <w:r w:rsidRPr="008378F1">
        <w:rPr>
          <w:rFonts w:cstheme="minorHAnsi"/>
        </w:rPr>
        <w:t>carefully review and evaluate the</w:t>
      </w:r>
      <w:r w:rsidR="00FD3A76">
        <w:rPr>
          <w:rFonts w:cstheme="minorHAnsi"/>
        </w:rPr>
        <w:t xml:space="preserve"> </w:t>
      </w:r>
      <w:r w:rsidRPr="008378F1">
        <w:rPr>
          <w:rFonts w:cstheme="minorHAnsi"/>
        </w:rPr>
        <w:t>mitigation measures for all risks so they</w:t>
      </w:r>
      <w:r w:rsidR="00FD3A76">
        <w:rPr>
          <w:rFonts w:cstheme="minorHAnsi"/>
        </w:rPr>
        <w:t xml:space="preserve"> </w:t>
      </w:r>
      <w:r w:rsidRPr="008378F1">
        <w:rPr>
          <w:rFonts w:cstheme="minorHAnsi"/>
        </w:rPr>
        <w:t>can respond to the changing nature of</w:t>
      </w:r>
      <w:r w:rsidR="00FD3A76">
        <w:rPr>
          <w:rFonts w:cstheme="minorHAnsi"/>
        </w:rPr>
        <w:t xml:space="preserve"> </w:t>
      </w:r>
      <w:r w:rsidRPr="008378F1">
        <w:rPr>
          <w:rFonts w:cstheme="minorHAnsi"/>
        </w:rPr>
        <w:t>international education and training.</w:t>
      </w:r>
      <w:r w:rsidR="00FD3A76">
        <w:rPr>
          <w:rFonts w:cstheme="minorHAnsi"/>
        </w:rPr>
        <w:t xml:space="preserve"> </w:t>
      </w:r>
      <w:r w:rsidRPr="008378F1">
        <w:rPr>
          <w:rFonts w:cstheme="minorHAnsi"/>
        </w:rPr>
        <w:t>This includes Australian Skills Quality</w:t>
      </w:r>
      <w:r w:rsidR="00FD3A76">
        <w:rPr>
          <w:rFonts w:cstheme="minorHAnsi"/>
        </w:rPr>
        <w:t xml:space="preserve"> </w:t>
      </w:r>
      <w:r w:rsidRPr="008378F1">
        <w:rPr>
          <w:rFonts w:cstheme="minorHAnsi"/>
        </w:rPr>
        <w:t>Authority requirements for offshore</w:t>
      </w:r>
      <w:r w:rsidR="00FD3A76">
        <w:rPr>
          <w:rFonts w:cstheme="minorHAnsi"/>
        </w:rPr>
        <w:t xml:space="preserve"> </w:t>
      </w:r>
      <w:r w:rsidRPr="008378F1">
        <w:rPr>
          <w:rFonts w:cstheme="minorHAnsi"/>
        </w:rPr>
        <w:t>delivery and the requirements of the</w:t>
      </w:r>
      <w:r w:rsidR="00FD3A76">
        <w:rPr>
          <w:rFonts w:cstheme="minorHAnsi"/>
        </w:rPr>
        <w:t xml:space="preserve"> </w:t>
      </w:r>
      <w:r w:rsidRPr="008378F1">
        <w:rPr>
          <w:rFonts w:cstheme="minorHAnsi"/>
        </w:rPr>
        <w:t>Education Services for Overseas</w:t>
      </w:r>
      <w:r w:rsidR="00FD3A76">
        <w:rPr>
          <w:rFonts w:cstheme="minorHAnsi"/>
        </w:rPr>
        <w:t xml:space="preserve"> </w:t>
      </w:r>
      <w:r w:rsidRPr="008378F1">
        <w:rPr>
          <w:rFonts w:cstheme="minorHAnsi"/>
        </w:rPr>
        <w:t>Students Act 2000.</w:t>
      </w:r>
    </w:p>
    <w:p w:rsidR="00FD3A76" w:rsidRDefault="00FD3A76" w:rsidP="008378F1">
      <w:pPr>
        <w:autoSpaceDE w:val="0"/>
        <w:autoSpaceDN w:val="0"/>
        <w:adjustRightInd w:val="0"/>
        <w:spacing w:after="0" w:line="240" w:lineRule="auto"/>
        <w:rPr>
          <w:rFonts w:cstheme="minorHAnsi"/>
        </w:rPr>
      </w:pPr>
    </w:p>
    <w:p w:rsidR="008378F1" w:rsidRPr="008378F1" w:rsidRDefault="008378F1" w:rsidP="008378F1">
      <w:pPr>
        <w:autoSpaceDE w:val="0"/>
        <w:autoSpaceDN w:val="0"/>
        <w:adjustRightInd w:val="0"/>
        <w:spacing w:after="0" w:line="240" w:lineRule="auto"/>
        <w:rPr>
          <w:rFonts w:cstheme="minorHAnsi"/>
        </w:rPr>
      </w:pPr>
      <w:r w:rsidRPr="008378F1">
        <w:rPr>
          <w:rFonts w:cstheme="minorHAnsi"/>
        </w:rPr>
        <w:t>Management undertakes to:</w:t>
      </w:r>
    </w:p>
    <w:p w:rsidR="008378F1" w:rsidRPr="00FD3A76" w:rsidRDefault="008378F1" w:rsidP="00925530">
      <w:pPr>
        <w:pStyle w:val="ListParagraph"/>
        <w:numPr>
          <w:ilvl w:val="0"/>
          <w:numId w:val="17"/>
        </w:numPr>
        <w:autoSpaceDE w:val="0"/>
        <w:autoSpaceDN w:val="0"/>
        <w:adjustRightInd w:val="0"/>
        <w:spacing w:after="0" w:line="240" w:lineRule="auto"/>
        <w:rPr>
          <w:rFonts w:cstheme="minorHAnsi"/>
        </w:rPr>
      </w:pPr>
      <w:r w:rsidRPr="00FD3A76">
        <w:rPr>
          <w:rFonts w:cstheme="minorHAnsi"/>
        </w:rPr>
        <w:t>implement activities to deliver on</w:t>
      </w:r>
      <w:r w:rsidR="00FD3A76">
        <w:rPr>
          <w:rFonts w:cstheme="minorHAnsi"/>
        </w:rPr>
        <w:t xml:space="preserve"> </w:t>
      </w:r>
      <w:r w:rsidRPr="00FD3A76">
        <w:rPr>
          <w:rFonts w:cstheme="minorHAnsi"/>
        </w:rPr>
        <w:t>the approved Chisholm Commercial</w:t>
      </w:r>
      <w:r w:rsidR="00FD3A76" w:rsidRPr="00FD3A76">
        <w:rPr>
          <w:rFonts w:cstheme="minorHAnsi"/>
        </w:rPr>
        <w:t xml:space="preserve"> </w:t>
      </w:r>
      <w:r w:rsidRPr="00FD3A76">
        <w:rPr>
          <w:rFonts w:cstheme="minorHAnsi"/>
        </w:rPr>
        <w:t>Plan</w:t>
      </w:r>
    </w:p>
    <w:p w:rsidR="008378F1" w:rsidRPr="00FD3A76" w:rsidRDefault="008378F1" w:rsidP="00925530">
      <w:pPr>
        <w:pStyle w:val="ListParagraph"/>
        <w:numPr>
          <w:ilvl w:val="0"/>
          <w:numId w:val="17"/>
        </w:numPr>
        <w:autoSpaceDE w:val="0"/>
        <w:autoSpaceDN w:val="0"/>
        <w:adjustRightInd w:val="0"/>
        <w:spacing w:after="0" w:line="240" w:lineRule="auto"/>
        <w:rPr>
          <w:rFonts w:cstheme="minorHAnsi"/>
        </w:rPr>
      </w:pPr>
      <w:r w:rsidRPr="00FD3A76">
        <w:rPr>
          <w:rFonts w:cstheme="minorHAnsi"/>
        </w:rPr>
        <w:t>provide regular reports to the Board</w:t>
      </w:r>
      <w:r w:rsidR="00FD3A76">
        <w:rPr>
          <w:rFonts w:cstheme="minorHAnsi"/>
        </w:rPr>
        <w:t xml:space="preserve"> </w:t>
      </w:r>
      <w:r w:rsidRPr="00FD3A76">
        <w:rPr>
          <w:rFonts w:cstheme="minorHAnsi"/>
        </w:rPr>
        <w:t>regarding offshore activities</w:t>
      </w:r>
    </w:p>
    <w:p w:rsidR="008378F1" w:rsidRPr="00FD3A76" w:rsidRDefault="008378F1" w:rsidP="00925530">
      <w:pPr>
        <w:pStyle w:val="ListParagraph"/>
        <w:numPr>
          <w:ilvl w:val="0"/>
          <w:numId w:val="17"/>
        </w:numPr>
        <w:autoSpaceDE w:val="0"/>
        <w:autoSpaceDN w:val="0"/>
        <w:adjustRightInd w:val="0"/>
        <w:spacing w:after="0" w:line="240" w:lineRule="auto"/>
        <w:rPr>
          <w:rFonts w:cstheme="minorHAnsi"/>
        </w:rPr>
      </w:pPr>
      <w:r w:rsidRPr="00FD3A76">
        <w:rPr>
          <w:rFonts w:cstheme="minorHAnsi"/>
        </w:rPr>
        <w:t>undertake frequent consultation</w:t>
      </w:r>
      <w:r w:rsidR="00FD3A76">
        <w:rPr>
          <w:rFonts w:cstheme="minorHAnsi"/>
        </w:rPr>
        <w:t xml:space="preserve"> </w:t>
      </w:r>
      <w:r w:rsidRPr="00FD3A76">
        <w:rPr>
          <w:rFonts w:cstheme="minorHAnsi"/>
        </w:rPr>
        <w:t>with senior management and</w:t>
      </w:r>
      <w:r w:rsidR="00FD3A76" w:rsidRPr="00FD3A76">
        <w:rPr>
          <w:rFonts w:cstheme="minorHAnsi"/>
        </w:rPr>
        <w:t xml:space="preserve"> </w:t>
      </w:r>
      <w:r w:rsidRPr="00FD3A76">
        <w:rPr>
          <w:rFonts w:cstheme="minorHAnsi"/>
        </w:rPr>
        <w:t>relevant government departments</w:t>
      </w:r>
      <w:r w:rsidR="00FD3A76" w:rsidRPr="00FD3A76">
        <w:rPr>
          <w:rFonts w:cstheme="minorHAnsi"/>
        </w:rPr>
        <w:t xml:space="preserve"> </w:t>
      </w:r>
      <w:r w:rsidRPr="00FD3A76">
        <w:rPr>
          <w:rFonts w:cstheme="minorHAnsi"/>
        </w:rPr>
        <w:t>on strategic direction with a view to</w:t>
      </w:r>
      <w:r w:rsidR="00FD3A76" w:rsidRPr="00FD3A76">
        <w:rPr>
          <w:rFonts w:cstheme="minorHAnsi"/>
        </w:rPr>
        <w:t xml:space="preserve"> </w:t>
      </w:r>
      <w:r w:rsidRPr="00FD3A76">
        <w:rPr>
          <w:rFonts w:cstheme="minorHAnsi"/>
        </w:rPr>
        <w:t>minimising potential risk factors</w:t>
      </w:r>
    </w:p>
    <w:p w:rsidR="008378F1" w:rsidRPr="00FD3A76" w:rsidRDefault="008378F1" w:rsidP="00925530">
      <w:pPr>
        <w:pStyle w:val="ListParagraph"/>
        <w:numPr>
          <w:ilvl w:val="0"/>
          <w:numId w:val="17"/>
        </w:numPr>
        <w:autoSpaceDE w:val="0"/>
        <w:autoSpaceDN w:val="0"/>
        <w:adjustRightInd w:val="0"/>
        <w:spacing w:after="0" w:line="240" w:lineRule="auto"/>
        <w:rPr>
          <w:rFonts w:cstheme="minorHAnsi"/>
        </w:rPr>
      </w:pPr>
      <w:r w:rsidRPr="00FD3A76">
        <w:rPr>
          <w:rFonts w:cstheme="minorHAnsi"/>
        </w:rPr>
        <w:t>build a short, medium, and long</w:t>
      </w:r>
      <w:r w:rsidR="00FD3A76">
        <w:rPr>
          <w:rFonts w:cstheme="minorHAnsi"/>
        </w:rPr>
        <w:t>-</w:t>
      </w:r>
      <w:r w:rsidRPr="00FD3A76">
        <w:rPr>
          <w:rFonts w:cstheme="minorHAnsi"/>
        </w:rPr>
        <w:t>term</w:t>
      </w:r>
      <w:r w:rsidR="00FD3A76">
        <w:rPr>
          <w:rFonts w:cstheme="minorHAnsi"/>
        </w:rPr>
        <w:t xml:space="preserve"> </w:t>
      </w:r>
      <w:r w:rsidRPr="00FD3A76">
        <w:rPr>
          <w:rFonts w:cstheme="minorHAnsi"/>
        </w:rPr>
        <w:t>pipeline of activities to ensure</w:t>
      </w:r>
      <w:r w:rsidR="00FD3A76" w:rsidRPr="00FD3A76">
        <w:rPr>
          <w:rFonts w:cstheme="minorHAnsi"/>
        </w:rPr>
        <w:t xml:space="preserve"> </w:t>
      </w:r>
      <w:r w:rsidRPr="00FD3A76">
        <w:rPr>
          <w:rFonts w:cstheme="minorHAnsi"/>
        </w:rPr>
        <w:t>ongoing international presence and</w:t>
      </w:r>
      <w:r w:rsidR="00FD3A76" w:rsidRPr="00FD3A76">
        <w:rPr>
          <w:rFonts w:cstheme="minorHAnsi"/>
        </w:rPr>
        <w:t xml:space="preserve"> </w:t>
      </w:r>
      <w:r w:rsidRPr="00FD3A76">
        <w:rPr>
          <w:rFonts w:cstheme="minorHAnsi"/>
        </w:rPr>
        <w:t>business viability</w:t>
      </w:r>
    </w:p>
    <w:p w:rsidR="008378F1" w:rsidRPr="00FD3A76" w:rsidRDefault="008378F1" w:rsidP="00925530">
      <w:pPr>
        <w:pStyle w:val="ListParagraph"/>
        <w:numPr>
          <w:ilvl w:val="0"/>
          <w:numId w:val="17"/>
        </w:numPr>
        <w:autoSpaceDE w:val="0"/>
        <w:autoSpaceDN w:val="0"/>
        <w:adjustRightInd w:val="0"/>
        <w:spacing w:after="0" w:line="240" w:lineRule="auto"/>
        <w:rPr>
          <w:rFonts w:cstheme="minorHAnsi"/>
        </w:rPr>
      </w:pPr>
      <w:r w:rsidRPr="00FD3A76">
        <w:rPr>
          <w:rFonts w:cstheme="minorHAnsi"/>
        </w:rPr>
        <w:t>develop business cases which</w:t>
      </w:r>
      <w:r w:rsidR="00FD3A76">
        <w:rPr>
          <w:rFonts w:cstheme="minorHAnsi"/>
        </w:rPr>
        <w:t xml:space="preserve"> </w:t>
      </w:r>
      <w:r w:rsidRPr="00FD3A76">
        <w:rPr>
          <w:rFonts w:cstheme="minorHAnsi"/>
        </w:rPr>
        <w:t>outline new major international</w:t>
      </w:r>
      <w:r w:rsidR="00FD3A76" w:rsidRPr="00FD3A76">
        <w:rPr>
          <w:rFonts w:cstheme="minorHAnsi"/>
        </w:rPr>
        <w:t xml:space="preserve"> </w:t>
      </w:r>
      <w:r w:rsidRPr="00FD3A76">
        <w:rPr>
          <w:rFonts w:cstheme="minorHAnsi"/>
        </w:rPr>
        <w:t>activities to Executive Team</w:t>
      </w:r>
      <w:r w:rsidR="00FD3A76" w:rsidRPr="00FD3A76">
        <w:rPr>
          <w:rFonts w:cstheme="minorHAnsi"/>
        </w:rPr>
        <w:t xml:space="preserve"> </w:t>
      </w:r>
      <w:r w:rsidRPr="00FD3A76">
        <w:rPr>
          <w:rFonts w:cstheme="minorHAnsi"/>
        </w:rPr>
        <w:t>(and the Board depending on</w:t>
      </w:r>
      <w:r w:rsidR="00FD3A76" w:rsidRPr="00FD3A76">
        <w:rPr>
          <w:rFonts w:cstheme="minorHAnsi"/>
        </w:rPr>
        <w:t xml:space="preserve"> </w:t>
      </w:r>
      <w:r w:rsidRPr="00FD3A76">
        <w:rPr>
          <w:rFonts w:cstheme="minorHAnsi"/>
        </w:rPr>
        <w:t>delegation) for consideration</w:t>
      </w:r>
      <w:r w:rsidR="00FD3A76" w:rsidRPr="00FD3A76">
        <w:rPr>
          <w:rFonts w:cstheme="minorHAnsi"/>
        </w:rPr>
        <w:t xml:space="preserve"> </w:t>
      </w:r>
      <w:r w:rsidRPr="00FD3A76">
        <w:rPr>
          <w:rFonts w:cstheme="minorHAnsi"/>
        </w:rPr>
        <w:t>and approval before the activity</w:t>
      </w:r>
      <w:r w:rsidR="00FD3A76" w:rsidRPr="00FD3A76">
        <w:rPr>
          <w:rFonts w:cstheme="minorHAnsi"/>
        </w:rPr>
        <w:t xml:space="preserve"> </w:t>
      </w:r>
      <w:r w:rsidRPr="00FD3A76">
        <w:rPr>
          <w:rFonts w:cstheme="minorHAnsi"/>
        </w:rPr>
        <w:t>commences</w:t>
      </w:r>
    </w:p>
    <w:p w:rsidR="008378F1" w:rsidRPr="00FD3A76" w:rsidRDefault="008378F1" w:rsidP="00925530">
      <w:pPr>
        <w:pStyle w:val="ListParagraph"/>
        <w:numPr>
          <w:ilvl w:val="0"/>
          <w:numId w:val="17"/>
        </w:numPr>
        <w:autoSpaceDE w:val="0"/>
        <w:autoSpaceDN w:val="0"/>
        <w:adjustRightInd w:val="0"/>
        <w:spacing w:after="0" w:line="240" w:lineRule="auto"/>
        <w:rPr>
          <w:rFonts w:cstheme="minorHAnsi"/>
        </w:rPr>
      </w:pPr>
      <w:r w:rsidRPr="00FD3A76">
        <w:rPr>
          <w:rFonts w:cstheme="minorHAnsi"/>
        </w:rPr>
        <w:t>undertake continuous scanning</w:t>
      </w:r>
      <w:r w:rsidR="00FD3A76">
        <w:rPr>
          <w:rFonts w:cstheme="minorHAnsi"/>
        </w:rPr>
        <w:t xml:space="preserve"> </w:t>
      </w:r>
      <w:r w:rsidRPr="00FD3A76">
        <w:rPr>
          <w:rFonts w:cstheme="minorHAnsi"/>
        </w:rPr>
        <w:t>of the business environment in</w:t>
      </w:r>
      <w:r w:rsidR="00FD3A76" w:rsidRPr="00FD3A76">
        <w:rPr>
          <w:rFonts w:cstheme="minorHAnsi"/>
        </w:rPr>
        <w:t xml:space="preserve"> </w:t>
      </w:r>
      <w:r w:rsidRPr="00FD3A76">
        <w:rPr>
          <w:rFonts w:cstheme="minorHAnsi"/>
        </w:rPr>
        <w:t>each of the countries in which we</w:t>
      </w:r>
      <w:r w:rsidR="00FD3A76" w:rsidRPr="00FD3A76">
        <w:rPr>
          <w:rFonts w:cstheme="minorHAnsi"/>
        </w:rPr>
        <w:t xml:space="preserve"> </w:t>
      </w:r>
      <w:r w:rsidRPr="00FD3A76">
        <w:rPr>
          <w:rFonts w:cstheme="minorHAnsi"/>
        </w:rPr>
        <w:t>operate to identify change to the</w:t>
      </w:r>
      <w:r w:rsidR="00FD3A76" w:rsidRPr="00FD3A76">
        <w:rPr>
          <w:rFonts w:cstheme="minorHAnsi"/>
        </w:rPr>
        <w:t xml:space="preserve"> </w:t>
      </w:r>
      <w:r w:rsidRPr="00FD3A76">
        <w:rPr>
          <w:rFonts w:cstheme="minorHAnsi"/>
        </w:rPr>
        <w:t>risk situation.</w:t>
      </w:r>
    </w:p>
    <w:p w:rsidR="00FD3A76" w:rsidRDefault="00FD3A76" w:rsidP="008378F1">
      <w:pPr>
        <w:autoSpaceDE w:val="0"/>
        <w:autoSpaceDN w:val="0"/>
        <w:adjustRightInd w:val="0"/>
        <w:spacing w:after="0" w:line="240" w:lineRule="auto"/>
        <w:rPr>
          <w:rFonts w:cstheme="minorHAnsi"/>
        </w:rPr>
      </w:pPr>
    </w:p>
    <w:p w:rsidR="008378F1" w:rsidRPr="008378F1" w:rsidRDefault="008378F1" w:rsidP="00FD3A76">
      <w:pPr>
        <w:autoSpaceDE w:val="0"/>
        <w:autoSpaceDN w:val="0"/>
        <w:adjustRightInd w:val="0"/>
        <w:spacing w:after="0" w:line="240" w:lineRule="auto"/>
        <w:rPr>
          <w:rFonts w:cstheme="minorHAnsi"/>
        </w:rPr>
      </w:pPr>
      <w:r w:rsidRPr="008378F1">
        <w:rPr>
          <w:rFonts w:cstheme="minorHAnsi"/>
        </w:rPr>
        <w:t>Of note, in 2019 the Chisholm</w:t>
      </w:r>
      <w:r w:rsidR="00FD3A76">
        <w:rPr>
          <w:rFonts w:cstheme="minorHAnsi"/>
        </w:rPr>
        <w:t xml:space="preserve"> </w:t>
      </w:r>
      <w:r w:rsidRPr="008378F1">
        <w:rPr>
          <w:rFonts w:cstheme="minorHAnsi"/>
        </w:rPr>
        <w:t>International Project Development</w:t>
      </w:r>
      <w:r w:rsidR="00FD3A76">
        <w:rPr>
          <w:rFonts w:cstheme="minorHAnsi"/>
        </w:rPr>
        <w:t xml:space="preserve"> </w:t>
      </w:r>
      <w:r w:rsidRPr="008378F1">
        <w:rPr>
          <w:rFonts w:cstheme="minorHAnsi"/>
        </w:rPr>
        <w:t>unit focussed on review and</w:t>
      </w:r>
      <w:r w:rsidR="00FD3A76">
        <w:rPr>
          <w:rFonts w:cstheme="minorHAnsi"/>
        </w:rPr>
        <w:t xml:space="preserve"> </w:t>
      </w:r>
      <w:r w:rsidRPr="008378F1">
        <w:rPr>
          <w:rFonts w:cstheme="minorHAnsi"/>
        </w:rPr>
        <w:t>re-development of offshore</w:t>
      </w:r>
      <w:r w:rsidR="00FD3A76">
        <w:rPr>
          <w:rFonts w:cstheme="minorHAnsi"/>
        </w:rPr>
        <w:t xml:space="preserve"> </w:t>
      </w:r>
      <w:r w:rsidRPr="008378F1">
        <w:rPr>
          <w:rFonts w:cstheme="minorHAnsi"/>
        </w:rPr>
        <w:t>delivery guidelines and improving</w:t>
      </w:r>
      <w:r w:rsidR="00FD3A76">
        <w:rPr>
          <w:rFonts w:cstheme="minorHAnsi"/>
        </w:rPr>
        <w:t xml:space="preserve"> </w:t>
      </w:r>
      <w:r w:rsidRPr="008378F1">
        <w:rPr>
          <w:rFonts w:cstheme="minorHAnsi"/>
        </w:rPr>
        <w:t>transnational compliance</w:t>
      </w:r>
      <w:r w:rsidR="00FD3A76">
        <w:rPr>
          <w:rFonts w:cstheme="minorHAnsi"/>
        </w:rPr>
        <w:t xml:space="preserve"> </w:t>
      </w:r>
      <w:r w:rsidRPr="008378F1">
        <w:rPr>
          <w:rFonts w:cstheme="minorHAnsi"/>
        </w:rPr>
        <w:t>requirements, which included the</w:t>
      </w:r>
      <w:r w:rsidR="00FD3A76">
        <w:rPr>
          <w:rFonts w:cstheme="minorHAnsi"/>
        </w:rPr>
        <w:t xml:space="preserve"> </w:t>
      </w:r>
      <w:r w:rsidRPr="008378F1">
        <w:rPr>
          <w:rFonts w:cstheme="minorHAnsi"/>
        </w:rPr>
        <w:t>delivery of the Certificate IV in</w:t>
      </w:r>
      <w:r w:rsidR="00FD3A76">
        <w:rPr>
          <w:rFonts w:cstheme="minorHAnsi"/>
        </w:rPr>
        <w:t xml:space="preserve"> </w:t>
      </w:r>
      <w:r w:rsidRPr="008378F1">
        <w:rPr>
          <w:rFonts w:cstheme="minorHAnsi"/>
        </w:rPr>
        <w:t>Training and Assessment (TAE) and</w:t>
      </w:r>
      <w:r w:rsidR="00FD3A76">
        <w:rPr>
          <w:rFonts w:cstheme="minorHAnsi"/>
        </w:rPr>
        <w:t xml:space="preserve"> </w:t>
      </w:r>
      <w:r w:rsidRPr="008378F1">
        <w:rPr>
          <w:rFonts w:cstheme="minorHAnsi"/>
        </w:rPr>
        <w:t>TAE upgrade to over 280 offshore</w:t>
      </w:r>
      <w:r w:rsidR="00FD3A76">
        <w:rPr>
          <w:rFonts w:cstheme="minorHAnsi"/>
        </w:rPr>
        <w:t xml:space="preserve"> </w:t>
      </w:r>
      <w:r w:rsidRPr="008378F1">
        <w:rPr>
          <w:rFonts w:cstheme="minorHAnsi"/>
        </w:rPr>
        <w:t>teachers and/or third-party approved</w:t>
      </w:r>
      <w:r w:rsidR="00FD3A76">
        <w:rPr>
          <w:rFonts w:cstheme="minorHAnsi"/>
        </w:rPr>
        <w:t xml:space="preserve"> </w:t>
      </w:r>
      <w:r w:rsidRPr="008378F1">
        <w:rPr>
          <w:rFonts w:cstheme="minorHAnsi"/>
        </w:rPr>
        <w:t>trainers of Chisholm in China, Vietnam</w:t>
      </w:r>
      <w:r w:rsidR="00FD3A76">
        <w:rPr>
          <w:rFonts w:cstheme="minorHAnsi"/>
        </w:rPr>
        <w:t xml:space="preserve"> </w:t>
      </w:r>
      <w:r w:rsidRPr="008378F1">
        <w:rPr>
          <w:rFonts w:cstheme="minorHAnsi"/>
        </w:rPr>
        <w:t>and Qatar. This was achieved through</w:t>
      </w:r>
      <w:r w:rsidR="00FD3A76">
        <w:rPr>
          <w:rFonts w:cstheme="minorHAnsi"/>
        </w:rPr>
        <w:t xml:space="preserve"> </w:t>
      </w:r>
      <w:r w:rsidRPr="008378F1">
        <w:rPr>
          <w:rFonts w:cstheme="minorHAnsi"/>
        </w:rPr>
        <w:t>delivery in country; in Australia or via</w:t>
      </w:r>
      <w:r w:rsidR="00FD3A76">
        <w:rPr>
          <w:rFonts w:cstheme="minorHAnsi"/>
        </w:rPr>
        <w:t xml:space="preserve"> </w:t>
      </w:r>
      <w:r w:rsidRPr="008378F1">
        <w:rPr>
          <w:rFonts w:cstheme="minorHAnsi"/>
        </w:rPr>
        <w:t>the Chisholm Online platform.</w:t>
      </w:r>
    </w:p>
    <w:p w:rsidR="008378F1" w:rsidRDefault="008378F1" w:rsidP="005942B8">
      <w:pPr>
        <w:pStyle w:val="NoSpacing"/>
      </w:pPr>
    </w:p>
    <w:p w:rsidR="00FD3A76" w:rsidRDefault="00FD3A76" w:rsidP="00FD3A76">
      <w:pPr>
        <w:pStyle w:val="Heading2"/>
      </w:pPr>
      <w:r>
        <w:t>Engagement</w:t>
      </w:r>
    </w:p>
    <w:p w:rsidR="00FD3A76" w:rsidRDefault="00FD3A76" w:rsidP="005942B8">
      <w:pPr>
        <w:pStyle w:val="NoSpacing"/>
      </w:pPr>
    </w:p>
    <w:p w:rsidR="00FD3A76" w:rsidRDefault="00FD3A76" w:rsidP="00FD3A76">
      <w:pPr>
        <w:autoSpaceDE w:val="0"/>
        <w:autoSpaceDN w:val="0"/>
        <w:adjustRightInd w:val="0"/>
        <w:spacing w:after="0" w:line="240" w:lineRule="auto"/>
        <w:rPr>
          <w:rFonts w:cstheme="minorHAnsi"/>
        </w:rPr>
      </w:pPr>
      <w:r w:rsidRPr="00FD3A76">
        <w:rPr>
          <w:rFonts w:cstheme="minorHAnsi"/>
        </w:rPr>
        <w:t>In line with the Commercial Plan,</w:t>
      </w:r>
      <w:r>
        <w:rPr>
          <w:rFonts w:cstheme="minorHAnsi"/>
        </w:rPr>
        <w:t xml:space="preserve"> </w:t>
      </w:r>
      <w:r w:rsidRPr="00FD3A76">
        <w:rPr>
          <w:rFonts w:cstheme="minorHAnsi"/>
        </w:rPr>
        <w:t>Chisholm explored new opportunities</w:t>
      </w:r>
      <w:r>
        <w:rPr>
          <w:rFonts w:cstheme="minorHAnsi"/>
        </w:rPr>
        <w:t xml:space="preserve"> </w:t>
      </w:r>
      <w:r w:rsidRPr="00FD3A76">
        <w:rPr>
          <w:rFonts w:cstheme="minorHAnsi"/>
        </w:rPr>
        <w:t>in Vietnam, China, Thailand, Sri Lanka,</w:t>
      </w:r>
      <w:r>
        <w:rPr>
          <w:rFonts w:cstheme="minorHAnsi"/>
        </w:rPr>
        <w:t xml:space="preserve"> </w:t>
      </w:r>
      <w:r w:rsidRPr="00FD3A76">
        <w:rPr>
          <w:rFonts w:cstheme="minorHAnsi"/>
        </w:rPr>
        <w:t>Korea and Latin America.</w:t>
      </w:r>
    </w:p>
    <w:p w:rsidR="00FD3A76" w:rsidRPr="00FD3A76" w:rsidRDefault="00FD3A76" w:rsidP="00FD3A76">
      <w:pPr>
        <w:autoSpaceDE w:val="0"/>
        <w:autoSpaceDN w:val="0"/>
        <w:adjustRightInd w:val="0"/>
        <w:spacing w:after="0" w:line="240" w:lineRule="auto"/>
        <w:rPr>
          <w:rFonts w:cstheme="minorHAnsi"/>
        </w:rPr>
      </w:pPr>
    </w:p>
    <w:p w:rsidR="00FD3A76" w:rsidRPr="00FD3A76" w:rsidRDefault="00FD3A76" w:rsidP="00FD3A76">
      <w:pPr>
        <w:autoSpaceDE w:val="0"/>
        <w:autoSpaceDN w:val="0"/>
        <w:adjustRightInd w:val="0"/>
        <w:spacing w:after="0" w:line="240" w:lineRule="auto"/>
        <w:rPr>
          <w:rFonts w:cstheme="minorHAnsi"/>
        </w:rPr>
      </w:pPr>
      <w:r w:rsidRPr="00FD3A76">
        <w:rPr>
          <w:rFonts w:cstheme="minorHAnsi"/>
        </w:rPr>
        <w:t>Opportunities included:</w:t>
      </w:r>
    </w:p>
    <w:p w:rsidR="00FD3A76" w:rsidRPr="00FD3A76" w:rsidRDefault="00FD3A76" w:rsidP="00925530">
      <w:pPr>
        <w:pStyle w:val="ListParagraph"/>
        <w:numPr>
          <w:ilvl w:val="0"/>
          <w:numId w:val="18"/>
        </w:numPr>
        <w:autoSpaceDE w:val="0"/>
        <w:autoSpaceDN w:val="0"/>
        <w:adjustRightInd w:val="0"/>
        <w:spacing w:after="0" w:line="240" w:lineRule="auto"/>
        <w:rPr>
          <w:rFonts w:cstheme="minorHAnsi"/>
        </w:rPr>
      </w:pPr>
      <w:r w:rsidRPr="00FD3A76">
        <w:rPr>
          <w:rFonts w:cstheme="minorHAnsi"/>
        </w:rPr>
        <w:t>Transnational partnerships.</w:t>
      </w:r>
    </w:p>
    <w:p w:rsidR="00FD3A76" w:rsidRPr="00FD3A76" w:rsidRDefault="00FD3A76" w:rsidP="00925530">
      <w:pPr>
        <w:pStyle w:val="ListParagraph"/>
        <w:numPr>
          <w:ilvl w:val="0"/>
          <w:numId w:val="18"/>
        </w:numPr>
        <w:autoSpaceDE w:val="0"/>
        <w:autoSpaceDN w:val="0"/>
        <w:adjustRightInd w:val="0"/>
        <w:spacing w:after="0" w:line="240" w:lineRule="auto"/>
        <w:rPr>
          <w:rFonts w:cstheme="minorHAnsi"/>
        </w:rPr>
      </w:pPr>
      <w:r w:rsidRPr="00FD3A76">
        <w:rPr>
          <w:rFonts w:cstheme="minorHAnsi"/>
        </w:rPr>
        <w:t>Delivery of in country programs and</w:t>
      </w:r>
      <w:r>
        <w:rPr>
          <w:rFonts w:cstheme="minorHAnsi"/>
        </w:rPr>
        <w:t xml:space="preserve"> </w:t>
      </w:r>
      <w:r w:rsidRPr="00FD3A76">
        <w:rPr>
          <w:rFonts w:cstheme="minorHAnsi"/>
        </w:rPr>
        <w:t>fellowships to Australia.</w:t>
      </w:r>
    </w:p>
    <w:p w:rsidR="00FD3A76" w:rsidRPr="00FD3A76" w:rsidRDefault="00FD3A76" w:rsidP="00925530">
      <w:pPr>
        <w:pStyle w:val="ListParagraph"/>
        <w:numPr>
          <w:ilvl w:val="0"/>
          <w:numId w:val="19"/>
        </w:numPr>
        <w:autoSpaceDE w:val="0"/>
        <w:autoSpaceDN w:val="0"/>
        <w:adjustRightInd w:val="0"/>
        <w:spacing w:after="0" w:line="240" w:lineRule="auto"/>
        <w:rPr>
          <w:rFonts w:cstheme="minorHAnsi"/>
        </w:rPr>
      </w:pPr>
      <w:r w:rsidRPr="00FD3A76">
        <w:rPr>
          <w:rFonts w:cstheme="minorHAnsi"/>
        </w:rPr>
        <w:t>Consultancy services to Government</w:t>
      </w:r>
      <w:r>
        <w:rPr>
          <w:rFonts w:cstheme="minorHAnsi"/>
        </w:rPr>
        <w:t xml:space="preserve"> </w:t>
      </w:r>
      <w:r w:rsidRPr="00FD3A76">
        <w:rPr>
          <w:rFonts w:cstheme="minorHAnsi"/>
        </w:rPr>
        <w:t>entities for delivery of TVET reform.</w:t>
      </w:r>
    </w:p>
    <w:p w:rsidR="00FD3A76" w:rsidRPr="00FD3A76" w:rsidRDefault="00FD3A76" w:rsidP="00925530">
      <w:pPr>
        <w:pStyle w:val="ListParagraph"/>
        <w:numPr>
          <w:ilvl w:val="0"/>
          <w:numId w:val="19"/>
        </w:numPr>
        <w:autoSpaceDE w:val="0"/>
        <w:autoSpaceDN w:val="0"/>
        <w:adjustRightInd w:val="0"/>
        <w:spacing w:after="0" w:line="240" w:lineRule="auto"/>
        <w:rPr>
          <w:rFonts w:cstheme="minorHAnsi"/>
        </w:rPr>
      </w:pPr>
      <w:r w:rsidRPr="00FD3A76">
        <w:rPr>
          <w:rFonts w:cstheme="minorHAnsi"/>
        </w:rPr>
        <w:t>Attendance at Victorian Government</w:t>
      </w:r>
      <w:r>
        <w:rPr>
          <w:rFonts w:cstheme="minorHAnsi"/>
        </w:rPr>
        <w:t xml:space="preserve"> </w:t>
      </w:r>
      <w:r w:rsidRPr="00FD3A76">
        <w:rPr>
          <w:rFonts w:cstheme="minorHAnsi"/>
        </w:rPr>
        <w:t>education missions to Japan, Korea, and Vietnam.</w:t>
      </w:r>
    </w:p>
    <w:p w:rsidR="00FD3A76" w:rsidRDefault="00FD3A76" w:rsidP="00925530">
      <w:pPr>
        <w:pStyle w:val="ListParagraph"/>
        <w:numPr>
          <w:ilvl w:val="0"/>
          <w:numId w:val="19"/>
        </w:numPr>
        <w:autoSpaceDE w:val="0"/>
        <w:autoSpaceDN w:val="0"/>
        <w:adjustRightInd w:val="0"/>
        <w:spacing w:after="0" w:line="240" w:lineRule="auto"/>
        <w:rPr>
          <w:rFonts w:cstheme="minorHAnsi"/>
        </w:rPr>
      </w:pPr>
      <w:r w:rsidRPr="00FD3A76">
        <w:rPr>
          <w:rFonts w:cstheme="minorHAnsi"/>
        </w:rPr>
        <w:t>Austrade missions to China for Aged</w:t>
      </w:r>
      <w:r>
        <w:rPr>
          <w:rFonts w:cstheme="minorHAnsi"/>
        </w:rPr>
        <w:t xml:space="preserve"> </w:t>
      </w:r>
      <w:r w:rsidRPr="00FD3A76">
        <w:rPr>
          <w:rFonts w:cstheme="minorHAnsi"/>
        </w:rPr>
        <w:t>Care sector and Thailand / Vietnam for the Tourism and Hospitality sector.</w:t>
      </w:r>
    </w:p>
    <w:p w:rsidR="00FD3A76" w:rsidRPr="00FD3A76" w:rsidRDefault="00FD3A76" w:rsidP="00925530">
      <w:pPr>
        <w:pStyle w:val="ListParagraph"/>
        <w:numPr>
          <w:ilvl w:val="0"/>
          <w:numId w:val="19"/>
        </w:numPr>
        <w:autoSpaceDE w:val="0"/>
        <w:autoSpaceDN w:val="0"/>
        <w:adjustRightInd w:val="0"/>
        <w:spacing w:after="0" w:line="240" w:lineRule="auto"/>
        <w:rPr>
          <w:rFonts w:cstheme="minorHAnsi"/>
        </w:rPr>
      </w:pPr>
    </w:p>
    <w:p w:rsidR="00FD3A76" w:rsidRPr="00FD3A76" w:rsidRDefault="00FD3A76" w:rsidP="00FD3A76">
      <w:pPr>
        <w:autoSpaceDE w:val="0"/>
        <w:autoSpaceDN w:val="0"/>
        <w:adjustRightInd w:val="0"/>
        <w:spacing w:after="0" w:line="240" w:lineRule="auto"/>
        <w:rPr>
          <w:rFonts w:cstheme="minorHAnsi"/>
        </w:rPr>
      </w:pPr>
      <w:r w:rsidRPr="00FD3A76">
        <w:rPr>
          <w:rFonts w:cstheme="minorHAnsi"/>
        </w:rPr>
        <w:t>Chisholm accompanied the Victorian</w:t>
      </w:r>
      <w:r>
        <w:rPr>
          <w:rFonts w:cstheme="minorHAnsi"/>
        </w:rPr>
        <w:t xml:space="preserve"> </w:t>
      </w:r>
      <w:r w:rsidRPr="00FD3A76">
        <w:rPr>
          <w:rFonts w:cstheme="minorHAnsi"/>
        </w:rPr>
        <w:t>Government on official visits in Vietnam</w:t>
      </w:r>
      <w:r>
        <w:rPr>
          <w:rFonts w:cstheme="minorHAnsi"/>
        </w:rPr>
        <w:t xml:space="preserve">, </w:t>
      </w:r>
    </w:p>
    <w:p w:rsidR="00FD3A76" w:rsidRPr="00FD3A76" w:rsidRDefault="00FD3A76" w:rsidP="00FD3A76">
      <w:pPr>
        <w:autoSpaceDE w:val="0"/>
        <w:autoSpaceDN w:val="0"/>
        <w:adjustRightInd w:val="0"/>
        <w:spacing w:after="0" w:line="240" w:lineRule="auto"/>
        <w:rPr>
          <w:rFonts w:cstheme="minorHAnsi"/>
        </w:rPr>
      </w:pPr>
      <w:r w:rsidRPr="00FD3A76">
        <w:rPr>
          <w:rFonts w:cstheme="minorHAnsi"/>
        </w:rPr>
        <w:t>by The Hon. Martin Pakula, Minister for</w:t>
      </w:r>
      <w:r>
        <w:rPr>
          <w:rFonts w:cstheme="minorHAnsi"/>
        </w:rPr>
        <w:t xml:space="preserve"> </w:t>
      </w:r>
      <w:r w:rsidRPr="00FD3A76">
        <w:rPr>
          <w:rFonts w:cstheme="minorHAnsi"/>
        </w:rPr>
        <w:t>Jobs, Innovation and Trade, and Minister</w:t>
      </w:r>
      <w:r>
        <w:rPr>
          <w:rFonts w:cstheme="minorHAnsi"/>
        </w:rPr>
        <w:t xml:space="preserve"> </w:t>
      </w:r>
      <w:r w:rsidRPr="00FD3A76">
        <w:rPr>
          <w:rFonts w:cstheme="minorHAnsi"/>
        </w:rPr>
        <w:t>for Tourism, Sport and Major Events,</w:t>
      </w:r>
      <w:r>
        <w:rPr>
          <w:rFonts w:cstheme="minorHAnsi"/>
        </w:rPr>
        <w:t xml:space="preserve"> </w:t>
      </w:r>
      <w:r w:rsidRPr="00FD3A76">
        <w:rPr>
          <w:rFonts w:cstheme="minorHAnsi"/>
        </w:rPr>
        <w:t>and The Hon. Gayle Tierney, Minister</w:t>
      </w:r>
      <w:r>
        <w:rPr>
          <w:rFonts w:cstheme="minorHAnsi"/>
        </w:rPr>
        <w:t xml:space="preserve"> </w:t>
      </w:r>
      <w:r w:rsidRPr="00FD3A76">
        <w:rPr>
          <w:rFonts w:cstheme="minorHAnsi"/>
        </w:rPr>
        <w:t>for Training and Skills, and the Minister</w:t>
      </w:r>
      <w:r>
        <w:rPr>
          <w:rFonts w:cstheme="minorHAnsi"/>
        </w:rPr>
        <w:t xml:space="preserve"> </w:t>
      </w:r>
      <w:r w:rsidRPr="00FD3A76">
        <w:rPr>
          <w:rFonts w:cstheme="minorHAnsi"/>
        </w:rPr>
        <w:t>for Higher Education in April and August</w:t>
      </w:r>
      <w:r>
        <w:rPr>
          <w:rFonts w:cstheme="minorHAnsi"/>
        </w:rPr>
        <w:t xml:space="preserve"> </w:t>
      </w:r>
      <w:r w:rsidRPr="00FD3A76">
        <w:rPr>
          <w:rFonts w:cstheme="minorHAnsi"/>
        </w:rPr>
        <w:t>respectively. During these visits, Chisholm</w:t>
      </w:r>
      <w:r>
        <w:rPr>
          <w:rFonts w:cstheme="minorHAnsi"/>
        </w:rPr>
        <w:t xml:space="preserve"> </w:t>
      </w:r>
      <w:r w:rsidRPr="00FD3A76">
        <w:rPr>
          <w:rFonts w:cstheme="minorHAnsi"/>
        </w:rPr>
        <w:t>delegates had the opportunity to visit</w:t>
      </w:r>
      <w:r>
        <w:rPr>
          <w:rFonts w:cstheme="minorHAnsi"/>
        </w:rPr>
        <w:t xml:space="preserve"> </w:t>
      </w:r>
      <w:r w:rsidRPr="00FD3A76">
        <w:rPr>
          <w:rFonts w:cstheme="minorHAnsi"/>
        </w:rPr>
        <w:t>partner colleges in Hanoi and HCMC and</w:t>
      </w:r>
      <w:r>
        <w:rPr>
          <w:rFonts w:cstheme="minorHAnsi"/>
        </w:rPr>
        <w:t xml:space="preserve"> </w:t>
      </w:r>
      <w:r w:rsidRPr="00FD3A76">
        <w:rPr>
          <w:rFonts w:cstheme="minorHAnsi"/>
        </w:rPr>
        <w:t>be briefed on the TVET reform activities</w:t>
      </w:r>
      <w:r>
        <w:rPr>
          <w:rFonts w:cstheme="minorHAnsi"/>
        </w:rPr>
        <w:t xml:space="preserve"> </w:t>
      </w:r>
      <w:r w:rsidRPr="00FD3A76">
        <w:rPr>
          <w:rFonts w:cstheme="minorHAnsi"/>
        </w:rPr>
        <w:t>being undertaken by Chisholm for the</w:t>
      </w:r>
      <w:r>
        <w:rPr>
          <w:rFonts w:cstheme="minorHAnsi"/>
        </w:rPr>
        <w:t xml:space="preserve"> </w:t>
      </w:r>
      <w:r w:rsidRPr="00FD3A76">
        <w:rPr>
          <w:rFonts w:cstheme="minorHAnsi"/>
        </w:rPr>
        <w:t>Government of Vietnam.</w:t>
      </w:r>
    </w:p>
    <w:p w:rsidR="00FD3A76" w:rsidRDefault="00FD3A76" w:rsidP="00FD3A76">
      <w:pPr>
        <w:autoSpaceDE w:val="0"/>
        <w:autoSpaceDN w:val="0"/>
        <w:adjustRightInd w:val="0"/>
        <w:spacing w:after="0" w:line="240" w:lineRule="auto"/>
        <w:rPr>
          <w:rFonts w:cstheme="minorHAnsi"/>
        </w:rPr>
      </w:pPr>
    </w:p>
    <w:p w:rsidR="00FD3A76" w:rsidRPr="00FD3A76" w:rsidRDefault="00FD3A76" w:rsidP="00FD3A76">
      <w:pPr>
        <w:autoSpaceDE w:val="0"/>
        <w:autoSpaceDN w:val="0"/>
        <w:adjustRightInd w:val="0"/>
        <w:spacing w:after="0" w:line="240" w:lineRule="auto"/>
        <w:rPr>
          <w:rFonts w:cstheme="minorHAnsi"/>
        </w:rPr>
      </w:pPr>
      <w:r w:rsidRPr="00FD3A76">
        <w:rPr>
          <w:rFonts w:cstheme="minorHAnsi"/>
        </w:rPr>
        <w:t>Our engagement extended to welcome</w:t>
      </w:r>
      <w:r>
        <w:rPr>
          <w:rFonts w:cstheme="minorHAnsi"/>
        </w:rPr>
        <w:t xml:space="preserve"> </w:t>
      </w:r>
      <w:r w:rsidRPr="00FD3A76">
        <w:rPr>
          <w:rFonts w:cstheme="minorHAnsi"/>
        </w:rPr>
        <w:t>events for 11 international delegations</w:t>
      </w:r>
      <w:r>
        <w:rPr>
          <w:rFonts w:cstheme="minorHAnsi"/>
        </w:rPr>
        <w:t xml:space="preserve"> </w:t>
      </w:r>
      <w:r w:rsidRPr="00FD3A76">
        <w:rPr>
          <w:rFonts w:cstheme="minorHAnsi"/>
        </w:rPr>
        <w:t>who visited our local campuses,</w:t>
      </w:r>
      <w:r>
        <w:rPr>
          <w:rFonts w:cstheme="minorHAnsi"/>
        </w:rPr>
        <w:t xml:space="preserve"> </w:t>
      </w:r>
      <w:r w:rsidRPr="00FD3A76">
        <w:rPr>
          <w:rFonts w:cstheme="minorHAnsi"/>
        </w:rPr>
        <w:t>including representation from:</w:t>
      </w:r>
    </w:p>
    <w:p w:rsidR="00FD3A76" w:rsidRPr="00FD3A76" w:rsidRDefault="00FD3A76" w:rsidP="00925530">
      <w:pPr>
        <w:pStyle w:val="ListParagraph"/>
        <w:numPr>
          <w:ilvl w:val="0"/>
          <w:numId w:val="19"/>
        </w:numPr>
        <w:autoSpaceDE w:val="0"/>
        <w:autoSpaceDN w:val="0"/>
        <w:adjustRightInd w:val="0"/>
        <w:spacing w:after="0" w:line="240" w:lineRule="auto"/>
        <w:rPr>
          <w:rFonts w:cstheme="minorHAnsi"/>
        </w:rPr>
      </w:pPr>
      <w:r w:rsidRPr="00FD3A76">
        <w:rPr>
          <w:rFonts w:cstheme="minorHAnsi"/>
        </w:rPr>
        <w:t>Department of Labour, Invalids and</w:t>
      </w:r>
      <w:r>
        <w:rPr>
          <w:rFonts w:cstheme="minorHAnsi"/>
        </w:rPr>
        <w:t xml:space="preserve"> </w:t>
      </w:r>
      <w:r w:rsidRPr="00FD3A76">
        <w:rPr>
          <w:rFonts w:cstheme="minorHAnsi"/>
        </w:rPr>
        <w:t>Social Affairs (DOLISA), Vietnam;</w:t>
      </w:r>
    </w:p>
    <w:p w:rsidR="00FD3A76" w:rsidRPr="00FD3A76" w:rsidRDefault="00FD3A76" w:rsidP="00925530">
      <w:pPr>
        <w:pStyle w:val="ListParagraph"/>
        <w:numPr>
          <w:ilvl w:val="0"/>
          <w:numId w:val="19"/>
        </w:numPr>
        <w:autoSpaceDE w:val="0"/>
        <w:autoSpaceDN w:val="0"/>
        <w:adjustRightInd w:val="0"/>
        <w:spacing w:after="0" w:line="240" w:lineRule="auto"/>
        <w:rPr>
          <w:rFonts w:cstheme="minorHAnsi"/>
        </w:rPr>
      </w:pPr>
      <w:r w:rsidRPr="00FD3A76">
        <w:rPr>
          <w:rFonts w:cstheme="minorHAnsi"/>
        </w:rPr>
        <w:t>Botswana Examination Council;</w:t>
      </w:r>
    </w:p>
    <w:p w:rsidR="00FD3A76" w:rsidRPr="00FD3A76" w:rsidRDefault="00FD3A76" w:rsidP="00925530">
      <w:pPr>
        <w:pStyle w:val="ListParagraph"/>
        <w:numPr>
          <w:ilvl w:val="0"/>
          <w:numId w:val="19"/>
        </w:numPr>
        <w:autoSpaceDE w:val="0"/>
        <w:autoSpaceDN w:val="0"/>
        <w:adjustRightInd w:val="0"/>
        <w:spacing w:after="0" w:line="240" w:lineRule="auto"/>
        <w:rPr>
          <w:rFonts w:cstheme="minorHAnsi"/>
        </w:rPr>
      </w:pPr>
      <w:r w:rsidRPr="00FD3A76">
        <w:rPr>
          <w:rFonts w:cstheme="minorHAnsi"/>
        </w:rPr>
        <w:t>Chitakara University, India;</w:t>
      </w:r>
    </w:p>
    <w:p w:rsidR="00FD3A76" w:rsidRPr="00FD3A76" w:rsidRDefault="00FD3A76" w:rsidP="00925530">
      <w:pPr>
        <w:pStyle w:val="ListParagraph"/>
        <w:numPr>
          <w:ilvl w:val="0"/>
          <w:numId w:val="19"/>
        </w:numPr>
        <w:autoSpaceDE w:val="0"/>
        <w:autoSpaceDN w:val="0"/>
        <w:adjustRightInd w:val="0"/>
        <w:spacing w:after="0" w:line="240" w:lineRule="auto"/>
        <w:rPr>
          <w:rFonts w:cstheme="minorHAnsi"/>
        </w:rPr>
      </w:pPr>
      <w:r w:rsidRPr="00FD3A76">
        <w:rPr>
          <w:rFonts w:cstheme="minorHAnsi"/>
        </w:rPr>
        <w:t>Department of Health, Malaysia;</w:t>
      </w:r>
    </w:p>
    <w:p w:rsidR="00FD3A76" w:rsidRPr="00FD3A76" w:rsidRDefault="00FD3A76" w:rsidP="00925530">
      <w:pPr>
        <w:pStyle w:val="ListParagraph"/>
        <w:numPr>
          <w:ilvl w:val="0"/>
          <w:numId w:val="19"/>
        </w:numPr>
        <w:autoSpaceDE w:val="0"/>
        <w:autoSpaceDN w:val="0"/>
        <w:adjustRightInd w:val="0"/>
        <w:spacing w:after="0" w:line="240" w:lineRule="auto"/>
        <w:rPr>
          <w:rFonts w:cstheme="minorHAnsi"/>
        </w:rPr>
      </w:pPr>
      <w:r w:rsidRPr="00FD3A76">
        <w:rPr>
          <w:rFonts w:cstheme="minorHAnsi"/>
        </w:rPr>
        <w:t>Philippines Retirement Authority;</w:t>
      </w:r>
    </w:p>
    <w:p w:rsidR="00FD3A76" w:rsidRPr="00FD3A76" w:rsidRDefault="00FD3A76" w:rsidP="00925530">
      <w:pPr>
        <w:pStyle w:val="ListParagraph"/>
        <w:numPr>
          <w:ilvl w:val="0"/>
          <w:numId w:val="19"/>
        </w:numPr>
        <w:autoSpaceDE w:val="0"/>
        <w:autoSpaceDN w:val="0"/>
        <w:adjustRightInd w:val="0"/>
        <w:spacing w:after="0" w:line="240" w:lineRule="auto"/>
        <w:rPr>
          <w:rFonts w:cstheme="minorHAnsi"/>
        </w:rPr>
      </w:pPr>
      <w:r w:rsidRPr="00FD3A76">
        <w:rPr>
          <w:rFonts w:cstheme="minorHAnsi"/>
        </w:rPr>
        <w:t>Colombo Plan Staff College, Nepal.</w:t>
      </w:r>
    </w:p>
    <w:p w:rsidR="00FD3A76" w:rsidRDefault="00FD3A76" w:rsidP="00FD3A76">
      <w:pPr>
        <w:autoSpaceDE w:val="0"/>
        <w:autoSpaceDN w:val="0"/>
        <w:adjustRightInd w:val="0"/>
        <w:spacing w:after="0" w:line="240" w:lineRule="auto"/>
        <w:rPr>
          <w:rFonts w:cstheme="minorHAnsi"/>
        </w:rPr>
      </w:pPr>
    </w:p>
    <w:p w:rsidR="00FD3A76" w:rsidRPr="00FD3A76" w:rsidRDefault="00FD3A76" w:rsidP="00FD3A76">
      <w:pPr>
        <w:autoSpaceDE w:val="0"/>
        <w:autoSpaceDN w:val="0"/>
        <w:adjustRightInd w:val="0"/>
        <w:spacing w:after="0" w:line="240" w:lineRule="auto"/>
        <w:rPr>
          <w:rFonts w:cstheme="minorHAnsi"/>
        </w:rPr>
      </w:pPr>
      <w:r w:rsidRPr="00FD3A76">
        <w:rPr>
          <w:rFonts w:cstheme="minorHAnsi"/>
        </w:rPr>
        <w:t>The purpose of the delegations were</w:t>
      </w:r>
      <w:r>
        <w:rPr>
          <w:rFonts w:cstheme="minorHAnsi"/>
        </w:rPr>
        <w:t xml:space="preserve"> </w:t>
      </w:r>
      <w:r w:rsidRPr="00FD3A76">
        <w:rPr>
          <w:rFonts w:cstheme="minorHAnsi"/>
        </w:rPr>
        <w:t>to strengthen and enhance current</w:t>
      </w:r>
      <w:r>
        <w:rPr>
          <w:rFonts w:cstheme="minorHAnsi"/>
        </w:rPr>
        <w:t xml:space="preserve"> </w:t>
      </w:r>
      <w:r w:rsidRPr="00FD3A76">
        <w:rPr>
          <w:rFonts w:cstheme="minorHAnsi"/>
        </w:rPr>
        <w:t>partnerships, or to support TAFE Victoria</w:t>
      </w:r>
      <w:r>
        <w:rPr>
          <w:rFonts w:cstheme="minorHAnsi"/>
        </w:rPr>
        <w:t xml:space="preserve"> </w:t>
      </w:r>
      <w:r w:rsidRPr="00FD3A76">
        <w:rPr>
          <w:rFonts w:cstheme="minorHAnsi"/>
        </w:rPr>
        <w:t>or Austrade in developing business</w:t>
      </w:r>
      <w:r>
        <w:rPr>
          <w:rFonts w:cstheme="minorHAnsi"/>
        </w:rPr>
        <w:t xml:space="preserve"> </w:t>
      </w:r>
      <w:r w:rsidRPr="00FD3A76">
        <w:rPr>
          <w:rFonts w:cstheme="minorHAnsi"/>
        </w:rPr>
        <w:t>opportunities for the sector, or seek</w:t>
      </w:r>
      <w:r>
        <w:rPr>
          <w:rFonts w:cstheme="minorHAnsi"/>
        </w:rPr>
        <w:t xml:space="preserve"> </w:t>
      </w:r>
      <w:r w:rsidRPr="00FD3A76">
        <w:rPr>
          <w:rFonts w:cstheme="minorHAnsi"/>
        </w:rPr>
        <w:t>collaboration with Chisholm in the future.</w:t>
      </w:r>
    </w:p>
    <w:p w:rsidR="00FD3A76" w:rsidRDefault="00FD3A76" w:rsidP="005942B8">
      <w:pPr>
        <w:pStyle w:val="NoSpacing"/>
      </w:pPr>
    </w:p>
    <w:p w:rsidR="00FD3A76" w:rsidRDefault="00FD3A76" w:rsidP="00FD3A76">
      <w:pPr>
        <w:pStyle w:val="Heading3"/>
      </w:pPr>
      <w:r>
        <w:t xml:space="preserve">Onshore Recruitment and Enrolment </w:t>
      </w:r>
    </w:p>
    <w:p w:rsidR="00FD3A76" w:rsidRDefault="00FD3A76" w:rsidP="005942B8">
      <w:pPr>
        <w:pStyle w:val="NoSpacing"/>
      </w:pPr>
    </w:p>
    <w:p w:rsidR="00FD3A76" w:rsidRPr="00FD3A76" w:rsidRDefault="00FD3A76" w:rsidP="00FD3A76">
      <w:pPr>
        <w:autoSpaceDE w:val="0"/>
        <w:autoSpaceDN w:val="0"/>
        <w:adjustRightInd w:val="0"/>
        <w:spacing w:after="0" w:line="240" w:lineRule="auto"/>
        <w:rPr>
          <w:rFonts w:cstheme="minorHAnsi"/>
        </w:rPr>
      </w:pPr>
      <w:r w:rsidRPr="00FD3A76">
        <w:rPr>
          <w:rFonts w:cstheme="minorHAnsi"/>
        </w:rPr>
        <w:t>More than 500 onshore international</w:t>
      </w:r>
      <w:r>
        <w:rPr>
          <w:rFonts w:cstheme="minorHAnsi"/>
        </w:rPr>
        <w:t xml:space="preserve"> </w:t>
      </w:r>
      <w:r w:rsidRPr="00FD3A76">
        <w:rPr>
          <w:rFonts w:cstheme="minorHAnsi"/>
        </w:rPr>
        <w:t>students were enrolled for 2019. Top five</w:t>
      </w:r>
      <w:r>
        <w:rPr>
          <w:rFonts w:cstheme="minorHAnsi"/>
        </w:rPr>
        <w:t xml:space="preserve"> </w:t>
      </w:r>
      <w:r w:rsidRPr="00FD3A76">
        <w:rPr>
          <w:rFonts w:cstheme="minorHAnsi"/>
        </w:rPr>
        <w:t>source of origin countries included:</w:t>
      </w:r>
    </w:p>
    <w:p w:rsidR="00FD3A76" w:rsidRPr="00FD3A76" w:rsidRDefault="00FD3A76" w:rsidP="00925530">
      <w:pPr>
        <w:pStyle w:val="ListParagraph"/>
        <w:numPr>
          <w:ilvl w:val="0"/>
          <w:numId w:val="20"/>
        </w:numPr>
        <w:autoSpaceDE w:val="0"/>
        <w:autoSpaceDN w:val="0"/>
        <w:adjustRightInd w:val="0"/>
        <w:spacing w:after="0" w:line="240" w:lineRule="auto"/>
        <w:rPr>
          <w:rFonts w:cstheme="minorHAnsi"/>
        </w:rPr>
      </w:pPr>
      <w:r w:rsidRPr="00FD3A76">
        <w:rPr>
          <w:rFonts w:cstheme="minorHAnsi"/>
        </w:rPr>
        <w:t>India</w:t>
      </w:r>
    </w:p>
    <w:p w:rsidR="00FD3A76" w:rsidRPr="00FD3A76" w:rsidRDefault="00FD3A76" w:rsidP="00925530">
      <w:pPr>
        <w:pStyle w:val="ListParagraph"/>
        <w:numPr>
          <w:ilvl w:val="0"/>
          <w:numId w:val="20"/>
        </w:numPr>
        <w:autoSpaceDE w:val="0"/>
        <w:autoSpaceDN w:val="0"/>
        <w:adjustRightInd w:val="0"/>
        <w:spacing w:after="0" w:line="240" w:lineRule="auto"/>
        <w:rPr>
          <w:rFonts w:cstheme="minorHAnsi"/>
        </w:rPr>
      </w:pPr>
      <w:r w:rsidRPr="00FD3A76">
        <w:rPr>
          <w:rFonts w:cstheme="minorHAnsi"/>
        </w:rPr>
        <w:t>Nepal</w:t>
      </w:r>
    </w:p>
    <w:p w:rsidR="00FD3A76" w:rsidRPr="00FD3A76" w:rsidRDefault="00FD3A76" w:rsidP="00925530">
      <w:pPr>
        <w:pStyle w:val="ListParagraph"/>
        <w:numPr>
          <w:ilvl w:val="0"/>
          <w:numId w:val="20"/>
        </w:numPr>
        <w:autoSpaceDE w:val="0"/>
        <w:autoSpaceDN w:val="0"/>
        <w:adjustRightInd w:val="0"/>
        <w:spacing w:after="0" w:line="240" w:lineRule="auto"/>
        <w:rPr>
          <w:rFonts w:cstheme="minorHAnsi"/>
        </w:rPr>
      </w:pPr>
      <w:r w:rsidRPr="00FD3A76">
        <w:rPr>
          <w:rFonts w:cstheme="minorHAnsi"/>
        </w:rPr>
        <w:t>China</w:t>
      </w:r>
    </w:p>
    <w:p w:rsidR="00FD3A76" w:rsidRPr="00FD3A76" w:rsidRDefault="00FD3A76" w:rsidP="00925530">
      <w:pPr>
        <w:pStyle w:val="ListParagraph"/>
        <w:numPr>
          <w:ilvl w:val="0"/>
          <w:numId w:val="20"/>
        </w:numPr>
        <w:autoSpaceDE w:val="0"/>
        <w:autoSpaceDN w:val="0"/>
        <w:adjustRightInd w:val="0"/>
        <w:spacing w:after="0" w:line="240" w:lineRule="auto"/>
        <w:rPr>
          <w:rFonts w:cstheme="minorHAnsi"/>
        </w:rPr>
      </w:pPr>
      <w:r w:rsidRPr="00FD3A76">
        <w:rPr>
          <w:rFonts w:cstheme="minorHAnsi"/>
        </w:rPr>
        <w:t>Pakistan</w:t>
      </w:r>
    </w:p>
    <w:p w:rsidR="00FD3A76" w:rsidRPr="00FD3A76" w:rsidRDefault="00FD3A76" w:rsidP="00925530">
      <w:pPr>
        <w:pStyle w:val="ListParagraph"/>
        <w:numPr>
          <w:ilvl w:val="0"/>
          <w:numId w:val="20"/>
        </w:numPr>
        <w:autoSpaceDE w:val="0"/>
        <w:autoSpaceDN w:val="0"/>
        <w:adjustRightInd w:val="0"/>
        <w:spacing w:after="0" w:line="240" w:lineRule="auto"/>
        <w:rPr>
          <w:rFonts w:cstheme="minorHAnsi"/>
        </w:rPr>
      </w:pPr>
      <w:r w:rsidRPr="00FD3A76">
        <w:rPr>
          <w:rFonts w:cstheme="minorHAnsi"/>
        </w:rPr>
        <w:t>Sri Lanka</w:t>
      </w:r>
    </w:p>
    <w:p w:rsidR="00FD3A76" w:rsidRPr="00FD3A76" w:rsidRDefault="00FD3A76" w:rsidP="00925530">
      <w:pPr>
        <w:pStyle w:val="ListParagraph"/>
        <w:numPr>
          <w:ilvl w:val="0"/>
          <w:numId w:val="20"/>
        </w:numPr>
        <w:autoSpaceDE w:val="0"/>
        <w:autoSpaceDN w:val="0"/>
        <w:adjustRightInd w:val="0"/>
        <w:spacing w:after="0" w:line="240" w:lineRule="auto"/>
        <w:rPr>
          <w:rFonts w:cstheme="minorHAnsi"/>
        </w:rPr>
      </w:pPr>
      <w:r w:rsidRPr="00FD3A76">
        <w:rPr>
          <w:rFonts w:cstheme="minorHAnsi"/>
        </w:rPr>
        <w:t>Vietnam</w:t>
      </w:r>
    </w:p>
    <w:p w:rsidR="00FD3A76" w:rsidRDefault="00FD3A76" w:rsidP="00FD3A76">
      <w:pPr>
        <w:autoSpaceDE w:val="0"/>
        <w:autoSpaceDN w:val="0"/>
        <w:adjustRightInd w:val="0"/>
        <w:spacing w:after="0" w:line="240" w:lineRule="auto"/>
        <w:rPr>
          <w:rFonts w:cstheme="minorHAnsi"/>
        </w:rPr>
      </w:pPr>
    </w:p>
    <w:p w:rsidR="00FD3A76" w:rsidRPr="00FD3A76" w:rsidRDefault="00FD3A76" w:rsidP="00FD3A76">
      <w:pPr>
        <w:autoSpaceDE w:val="0"/>
        <w:autoSpaceDN w:val="0"/>
        <w:adjustRightInd w:val="0"/>
        <w:spacing w:after="0" w:line="240" w:lineRule="auto"/>
        <w:rPr>
          <w:rFonts w:cstheme="minorHAnsi"/>
        </w:rPr>
      </w:pPr>
      <w:r w:rsidRPr="00FD3A76">
        <w:rPr>
          <w:rFonts w:cstheme="minorHAnsi"/>
        </w:rPr>
        <w:t>International students undertook study</w:t>
      </w:r>
      <w:r>
        <w:rPr>
          <w:rFonts w:cstheme="minorHAnsi"/>
        </w:rPr>
        <w:t xml:space="preserve"> </w:t>
      </w:r>
      <w:r w:rsidRPr="00FD3A76">
        <w:rPr>
          <w:rFonts w:cstheme="minorHAnsi"/>
        </w:rPr>
        <w:t>in a range of vocational and higher</w:t>
      </w:r>
      <w:r>
        <w:rPr>
          <w:rFonts w:cstheme="minorHAnsi"/>
        </w:rPr>
        <w:t xml:space="preserve"> </w:t>
      </w:r>
      <w:r w:rsidRPr="00FD3A76">
        <w:rPr>
          <w:rFonts w:cstheme="minorHAnsi"/>
        </w:rPr>
        <w:t>education disciplines, including pathways</w:t>
      </w:r>
      <w:r>
        <w:rPr>
          <w:rFonts w:cstheme="minorHAnsi"/>
        </w:rPr>
        <w:t xml:space="preserve"> </w:t>
      </w:r>
      <w:r w:rsidRPr="00FD3A76">
        <w:rPr>
          <w:rFonts w:cstheme="minorHAnsi"/>
        </w:rPr>
        <w:t>from Certificate to Diploma and Higher</w:t>
      </w:r>
      <w:r>
        <w:rPr>
          <w:rFonts w:cstheme="minorHAnsi"/>
        </w:rPr>
        <w:t xml:space="preserve"> </w:t>
      </w:r>
      <w:r w:rsidRPr="00FD3A76">
        <w:rPr>
          <w:rFonts w:cstheme="minorHAnsi"/>
        </w:rPr>
        <w:t>Education Chisholm /La Trobe degrees.</w:t>
      </w:r>
    </w:p>
    <w:p w:rsidR="00FD3A76" w:rsidRPr="00FD3A76" w:rsidRDefault="00FD3A76" w:rsidP="00FD3A76">
      <w:pPr>
        <w:autoSpaceDE w:val="0"/>
        <w:autoSpaceDN w:val="0"/>
        <w:adjustRightInd w:val="0"/>
        <w:spacing w:after="0" w:line="240" w:lineRule="auto"/>
        <w:rPr>
          <w:rFonts w:cstheme="minorHAnsi"/>
        </w:rPr>
      </w:pPr>
      <w:r w:rsidRPr="00FD3A76">
        <w:rPr>
          <w:rFonts w:cstheme="minorHAnsi"/>
        </w:rPr>
        <w:t>In 2019, our most popular degree</w:t>
      </w:r>
      <w:r>
        <w:rPr>
          <w:rFonts w:cstheme="minorHAnsi"/>
        </w:rPr>
        <w:t xml:space="preserve"> </w:t>
      </w:r>
      <w:r w:rsidRPr="00FD3A76">
        <w:rPr>
          <w:rFonts w:cstheme="minorHAnsi"/>
        </w:rPr>
        <w:t>programs were in IT and Accounting,</w:t>
      </w:r>
      <w:r>
        <w:rPr>
          <w:rFonts w:cstheme="minorHAnsi"/>
        </w:rPr>
        <w:t xml:space="preserve"> </w:t>
      </w:r>
      <w:r w:rsidRPr="00FD3A76">
        <w:rPr>
          <w:rFonts w:cstheme="minorHAnsi"/>
        </w:rPr>
        <w:t>Bachelor of Engineering Technology</w:t>
      </w:r>
      <w:r>
        <w:rPr>
          <w:rFonts w:cstheme="minorHAnsi"/>
        </w:rPr>
        <w:t xml:space="preserve"> </w:t>
      </w:r>
      <w:r w:rsidRPr="00FD3A76">
        <w:rPr>
          <w:rFonts w:cstheme="minorHAnsi"/>
        </w:rPr>
        <w:t>(3 years) and Bachelor of Mental Health,</w:t>
      </w:r>
      <w:r>
        <w:rPr>
          <w:rFonts w:cstheme="minorHAnsi"/>
        </w:rPr>
        <w:t xml:space="preserve"> </w:t>
      </w:r>
      <w:r w:rsidRPr="00FD3A76">
        <w:rPr>
          <w:rFonts w:cstheme="minorHAnsi"/>
        </w:rPr>
        <w:t>and Alcohol and Other Drugs.</w:t>
      </w:r>
    </w:p>
    <w:p w:rsidR="00FD3A76" w:rsidRPr="00FD3A76" w:rsidRDefault="00FD3A76" w:rsidP="00FD3A76">
      <w:pPr>
        <w:autoSpaceDE w:val="0"/>
        <w:autoSpaceDN w:val="0"/>
        <w:adjustRightInd w:val="0"/>
        <w:spacing w:after="0" w:line="240" w:lineRule="auto"/>
        <w:rPr>
          <w:rFonts w:cstheme="minorHAnsi"/>
        </w:rPr>
      </w:pPr>
      <w:r w:rsidRPr="00FD3A76">
        <w:rPr>
          <w:rFonts w:cstheme="minorHAnsi"/>
        </w:rPr>
        <w:t>International recruitment is maintained</w:t>
      </w:r>
      <w:r>
        <w:rPr>
          <w:rFonts w:cstheme="minorHAnsi"/>
        </w:rPr>
        <w:t xml:space="preserve"> </w:t>
      </w:r>
      <w:r w:rsidRPr="00FD3A76">
        <w:rPr>
          <w:rFonts w:cstheme="minorHAnsi"/>
        </w:rPr>
        <w:t>via a team of marketing personnel who</w:t>
      </w:r>
      <w:r>
        <w:rPr>
          <w:rFonts w:cstheme="minorHAnsi"/>
        </w:rPr>
        <w:t xml:space="preserve"> </w:t>
      </w:r>
      <w:r w:rsidRPr="00FD3A76">
        <w:rPr>
          <w:rFonts w:cstheme="minorHAnsi"/>
        </w:rPr>
        <w:t>make regular visits to agents, recruitment</w:t>
      </w:r>
      <w:r>
        <w:rPr>
          <w:rFonts w:cstheme="minorHAnsi"/>
        </w:rPr>
        <w:t xml:space="preserve"> </w:t>
      </w:r>
      <w:r w:rsidRPr="00FD3A76">
        <w:rPr>
          <w:rFonts w:cstheme="minorHAnsi"/>
        </w:rPr>
        <w:t>fairs and schools in our offshore markets.</w:t>
      </w:r>
    </w:p>
    <w:p w:rsidR="00FD3A76" w:rsidRPr="00FD3A76" w:rsidRDefault="00FD3A76" w:rsidP="00FD3A76">
      <w:pPr>
        <w:autoSpaceDE w:val="0"/>
        <w:autoSpaceDN w:val="0"/>
        <w:adjustRightInd w:val="0"/>
        <w:spacing w:after="0" w:line="240" w:lineRule="auto"/>
        <w:rPr>
          <w:rFonts w:cstheme="minorHAnsi"/>
        </w:rPr>
      </w:pPr>
      <w:r w:rsidRPr="00FD3A76">
        <w:rPr>
          <w:rFonts w:cstheme="minorHAnsi"/>
        </w:rPr>
        <w:t>In 2019, numbers remained strong in our</w:t>
      </w:r>
      <w:r>
        <w:rPr>
          <w:rFonts w:cstheme="minorHAnsi"/>
        </w:rPr>
        <w:t xml:space="preserve"> </w:t>
      </w:r>
      <w:r w:rsidRPr="00FD3A76">
        <w:rPr>
          <w:rFonts w:cstheme="minorHAnsi"/>
        </w:rPr>
        <w:t>three major markets of India, Nepal and</w:t>
      </w:r>
      <w:r>
        <w:rPr>
          <w:rFonts w:cstheme="minorHAnsi"/>
        </w:rPr>
        <w:t xml:space="preserve"> </w:t>
      </w:r>
      <w:r w:rsidRPr="00FD3A76">
        <w:rPr>
          <w:rFonts w:cstheme="minorHAnsi"/>
        </w:rPr>
        <w:t>China as we continued to explore new</w:t>
      </w:r>
      <w:r>
        <w:rPr>
          <w:rFonts w:cstheme="minorHAnsi"/>
        </w:rPr>
        <w:t xml:space="preserve"> </w:t>
      </w:r>
      <w:r w:rsidRPr="00FD3A76">
        <w:rPr>
          <w:rFonts w:cstheme="minorHAnsi"/>
        </w:rPr>
        <w:t>sources of students in South-East Asia,</w:t>
      </w:r>
      <w:r>
        <w:rPr>
          <w:rFonts w:cstheme="minorHAnsi"/>
        </w:rPr>
        <w:t xml:space="preserve"> </w:t>
      </w:r>
      <w:r w:rsidRPr="00FD3A76">
        <w:rPr>
          <w:rFonts w:cstheme="minorHAnsi"/>
        </w:rPr>
        <w:t>Latin America, Pakistan and Sri Lanka.</w:t>
      </w:r>
      <w:r>
        <w:rPr>
          <w:rFonts w:cstheme="minorHAnsi"/>
        </w:rPr>
        <w:t xml:space="preserve"> </w:t>
      </w:r>
      <w:r w:rsidRPr="00FD3A76">
        <w:rPr>
          <w:rFonts w:cstheme="minorHAnsi"/>
        </w:rPr>
        <w:t>Competition from the UK and Canada</w:t>
      </w:r>
      <w:r>
        <w:rPr>
          <w:rFonts w:cstheme="minorHAnsi"/>
        </w:rPr>
        <w:t xml:space="preserve"> </w:t>
      </w:r>
      <w:r w:rsidRPr="00FD3A76">
        <w:rPr>
          <w:rFonts w:cstheme="minorHAnsi"/>
        </w:rPr>
        <w:t>and visa restrictions in Australia put</w:t>
      </w:r>
      <w:r>
        <w:rPr>
          <w:rFonts w:cstheme="minorHAnsi"/>
        </w:rPr>
        <w:t xml:space="preserve"> </w:t>
      </w:r>
      <w:r w:rsidRPr="00FD3A76">
        <w:rPr>
          <w:rFonts w:cstheme="minorHAnsi"/>
        </w:rPr>
        <w:t>pressure on numbers in the second half</w:t>
      </w:r>
      <w:r>
        <w:rPr>
          <w:rFonts w:cstheme="minorHAnsi"/>
        </w:rPr>
        <w:t xml:space="preserve"> </w:t>
      </w:r>
      <w:r w:rsidRPr="00FD3A76">
        <w:rPr>
          <w:rFonts w:cstheme="minorHAnsi"/>
        </w:rPr>
        <w:t>of 2019 and this has informed strategies</w:t>
      </w:r>
      <w:r>
        <w:rPr>
          <w:rFonts w:cstheme="minorHAnsi"/>
        </w:rPr>
        <w:t xml:space="preserve"> </w:t>
      </w:r>
      <w:r w:rsidRPr="00FD3A76">
        <w:rPr>
          <w:rFonts w:cstheme="minorHAnsi"/>
        </w:rPr>
        <w:t>for 2020.</w:t>
      </w:r>
    </w:p>
    <w:p w:rsidR="00FD3A76" w:rsidRPr="00FD3A76" w:rsidRDefault="00FD3A76" w:rsidP="00FD3A76">
      <w:pPr>
        <w:autoSpaceDE w:val="0"/>
        <w:autoSpaceDN w:val="0"/>
        <w:adjustRightInd w:val="0"/>
        <w:spacing w:after="0" w:line="240" w:lineRule="auto"/>
        <w:rPr>
          <w:rFonts w:cstheme="minorHAnsi"/>
        </w:rPr>
      </w:pPr>
      <w:r w:rsidRPr="00FD3A76">
        <w:rPr>
          <w:rFonts w:cstheme="minorHAnsi"/>
        </w:rPr>
        <w:t>International onshore students received</w:t>
      </w:r>
      <w:r>
        <w:rPr>
          <w:rFonts w:cstheme="minorHAnsi"/>
        </w:rPr>
        <w:t xml:space="preserve"> </w:t>
      </w:r>
      <w:r w:rsidRPr="00FD3A76">
        <w:rPr>
          <w:rFonts w:cstheme="minorHAnsi"/>
        </w:rPr>
        <w:t>support by way of orientation, student</w:t>
      </w:r>
      <w:r>
        <w:rPr>
          <w:rFonts w:cstheme="minorHAnsi"/>
        </w:rPr>
        <w:t xml:space="preserve"> </w:t>
      </w:r>
      <w:r w:rsidRPr="00FD3A76">
        <w:rPr>
          <w:rFonts w:cstheme="minorHAnsi"/>
        </w:rPr>
        <w:t>welfare, social activities, counselling</w:t>
      </w:r>
      <w:r>
        <w:rPr>
          <w:rFonts w:cstheme="minorHAnsi"/>
        </w:rPr>
        <w:t xml:space="preserve"> </w:t>
      </w:r>
      <w:r w:rsidRPr="00FD3A76">
        <w:rPr>
          <w:rFonts w:cstheme="minorHAnsi"/>
        </w:rPr>
        <w:t>and academic support to achieve</w:t>
      </w:r>
      <w:r>
        <w:rPr>
          <w:rFonts w:cstheme="minorHAnsi"/>
        </w:rPr>
        <w:t xml:space="preserve"> </w:t>
      </w:r>
      <w:r w:rsidRPr="00FD3A76">
        <w:rPr>
          <w:rFonts w:cstheme="minorHAnsi"/>
        </w:rPr>
        <w:t>successful outcomes.</w:t>
      </w:r>
    </w:p>
    <w:p w:rsidR="00FD3A76" w:rsidRDefault="00FD3A76" w:rsidP="005942B8">
      <w:pPr>
        <w:pStyle w:val="NoSpacing"/>
      </w:pPr>
    </w:p>
    <w:p w:rsidR="00FD3A76" w:rsidRDefault="00FD3A76" w:rsidP="005942B8">
      <w:pPr>
        <w:pStyle w:val="NoSpacing"/>
      </w:pPr>
      <w:r>
        <w:t>&lt;page 14&gt;</w:t>
      </w:r>
    </w:p>
    <w:p w:rsidR="00FD3A76" w:rsidRDefault="00FD3A76" w:rsidP="005942B8">
      <w:pPr>
        <w:pStyle w:val="NoSpacing"/>
      </w:pPr>
    </w:p>
    <w:p w:rsidR="00FD3A76" w:rsidRDefault="00FD3A76" w:rsidP="00D14CDC">
      <w:pPr>
        <w:pStyle w:val="Heading2"/>
      </w:pPr>
      <w:r>
        <w:t xml:space="preserve">Strategic Direction </w:t>
      </w:r>
    </w:p>
    <w:p w:rsidR="00D14CDC" w:rsidRDefault="00D14CDC" w:rsidP="005942B8">
      <w:pPr>
        <w:pStyle w:val="NoSpacing"/>
      </w:pPr>
    </w:p>
    <w:p w:rsidR="00D14CDC" w:rsidRDefault="00D14CDC" w:rsidP="00D14CDC">
      <w:pPr>
        <w:pStyle w:val="Heading3"/>
      </w:pPr>
      <w:r>
        <w:t xml:space="preserve">Operational Plans </w:t>
      </w:r>
    </w:p>
    <w:p w:rsidR="00D14CDC" w:rsidRDefault="00D14CDC" w:rsidP="005942B8">
      <w:pPr>
        <w:pStyle w:val="NoSpacing"/>
      </w:pPr>
    </w:p>
    <w:p w:rsidR="00D14CDC" w:rsidRDefault="00D14CDC" w:rsidP="005942B8">
      <w:pPr>
        <w:pStyle w:val="NoSpacing"/>
      </w:pPr>
      <w:r>
        <w:t>Our strategy for guiding Chisholm into the future as an Institute of Choice, Partner of Choice and a Workplace of Choice, is built of five operational plans.</w:t>
      </w:r>
    </w:p>
    <w:p w:rsidR="00D14CDC" w:rsidRDefault="00D14CDC" w:rsidP="005942B8">
      <w:pPr>
        <w:pStyle w:val="NoSpacing"/>
      </w:pPr>
    </w:p>
    <w:p w:rsidR="00D14CDC" w:rsidRPr="00D14CDC" w:rsidRDefault="00D14CDC" w:rsidP="00D14CDC">
      <w:pPr>
        <w:autoSpaceDE w:val="0"/>
        <w:autoSpaceDN w:val="0"/>
        <w:adjustRightInd w:val="0"/>
        <w:spacing w:after="0" w:line="240" w:lineRule="auto"/>
        <w:rPr>
          <w:rFonts w:cstheme="minorHAnsi"/>
        </w:rPr>
      </w:pPr>
      <w:r w:rsidRPr="00D14CDC">
        <w:rPr>
          <w:rFonts w:cstheme="minorHAnsi"/>
        </w:rPr>
        <w:t>The Education, Commercial, People,</w:t>
      </w:r>
      <w:r>
        <w:rPr>
          <w:rFonts w:cstheme="minorHAnsi"/>
        </w:rPr>
        <w:t xml:space="preserve"> </w:t>
      </w:r>
      <w:r w:rsidRPr="00D14CDC">
        <w:rPr>
          <w:rFonts w:cstheme="minorHAnsi"/>
        </w:rPr>
        <w:t>Student Experience and ITS Infrastructure</w:t>
      </w:r>
      <w:r>
        <w:rPr>
          <w:rFonts w:cstheme="minorHAnsi"/>
        </w:rPr>
        <w:t xml:space="preserve"> </w:t>
      </w:r>
      <w:r w:rsidRPr="00D14CDC">
        <w:rPr>
          <w:rFonts w:cstheme="minorHAnsi"/>
        </w:rPr>
        <w:t>Plans provide the roadmap that will</w:t>
      </w:r>
      <w:r>
        <w:rPr>
          <w:rFonts w:cstheme="minorHAnsi"/>
        </w:rPr>
        <w:t xml:space="preserve"> </w:t>
      </w:r>
      <w:r w:rsidRPr="00D14CDC">
        <w:rPr>
          <w:rFonts w:cstheme="minorHAnsi"/>
        </w:rPr>
        <w:t>support the organisation’s intention to</w:t>
      </w:r>
      <w:r>
        <w:rPr>
          <w:rFonts w:cstheme="minorHAnsi"/>
        </w:rPr>
        <w:t xml:space="preserve"> </w:t>
      </w:r>
      <w:r w:rsidRPr="00D14CDC">
        <w:rPr>
          <w:rFonts w:cstheme="minorHAnsi"/>
        </w:rPr>
        <w:t>continue to be a high-performing institute.</w:t>
      </w:r>
    </w:p>
    <w:p w:rsidR="00D14CDC" w:rsidRPr="00D14CDC" w:rsidRDefault="00D14CDC" w:rsidP="00D14CDC">
      <w:pPr>
        <w:autoSpaceDE w:val="0"/>
        <w:autoSpaceDN w:val="0"/>
        <w:adjustRightInd w:val="0"/>
        <w:spacing w:after="0" w:line="240" w:lineRule="auto"/>
        <w:rPr>
          <w:rFonts w:cstheme="minorHAnsi"/>
        </w:rPr>
      </w:pPr>
      <w:r w:rsidRPr="00D14CDC">
        <w:rPr>
          <w:rFonts w:cstheme="minorHAnsi"/>
        </w:rPr>
        <w:lastRenderedPageBreak/>
        <w:t>Chisholm defines high performance</w:t>
      </w:r>
      <w:r>
        <w:rPr>
          <w:rFonts w:cstheme="minorHAnsi"/>
        </w:rPr>
        <w:t xml:space="preserve"> </w:t>
      </w:r>
      <w:r w:rsidRPr="00D14CDC">
        <w:rPr>
          <w:rFonts w:cstheme="minorHAnsi"/>
        </w:rPr>
        <w:t>as exceeding the expectations of</w:t>
      </w:r>
      <w:r>
        <w:rPr>
          <w:rFonts w:cstheme="minorHAnsi"/>
        </w:rPr>
        <w:t xml:space="preserve"> </w:t>
      </w:r>
      <w:r w:rsidRPr="00D14CDC">
        <w:rPr>
          <w:rFonts w:cstheme="minorHAnsi"/>
        </w:rPr>
        <w:t>its stakeholders, and evaluates its</w:t>
      </w:r>
      <w:r>
        <w:rPr>
          <w:rFonts w:cstheme="minorHAnsi"/>
        </w:rPr>
        <w:t xml:space="preserve"> </w:t>
      </w:r>
      <w:r w:rsidRPr="00D14CDC">
        <w:rPr>
          <w:rFonts w:cstheme="minorHAnsi"/>
        </w:rPr>
        <w:t>achievement using a set of student and</w:t>
      </w:r>
      <w:r>
        <w:rPr>
          <w:rFonts w:cstheme="minorHAnsi"/>
        </w:rPr>
        <w:t xml:space="preserve"> </w:t>
      </w:r>
      <w:r w:rsidRPr="00D14CDC">
        <w:rPr>
          <w:rFonts w:cstheme="minorHAnsi"/>
        </w:rPr>
        <w:t>employer satisfaction measures.</w:t>
      </w:r>
    </w:p>
    <w:p w:rsidR="00D14CDC" w:rsidRPr="00D14CDC" w:rsidRDefault="00D14CDC" w:rsidP="00D14CDC">
      <w:pPr>
        <w:autoSpaceDE w:val="0"/>
        <w:autoSpaceDN w:val="0"/>
        <w:adjustRightInd w:val="0"/>
        <w:spacing w:after="0" w:line="240" w:lineRule="auto"/>
        <w:rPr>
          <w:rFonts w:cstheme="minorHAnsi"/>
        </w:rPr>
      </w:pPr>
      <w:r w:rsidRPr="00D14CDC">
        <w:rPr>
          <w:rFonts w:cstheme="minorHAnsi"/>
        </w:rPr>
        <w:t>The evaluation of Chisholm’s</w:t>
      </w:r>
      <w:r>
        <w:rPr>
          <w:rFonts w:cstheme="minorHAnsi"/>
        </w:rPr>
        <w:t xml:space="preserve"> </w:t>
      </w:r>
      <w:r w:rsidRPr="00D14CDC">
        <w:rPr>
          <w:rFonts w:cstheme="minorHAnsi"/>
        </w:rPr>
        <w:t>contribution to Melbourne’s south</w:t>
      </w:r>
      <w:r>
        <w:rPr>
          <w:rFonts w:cstheme="minorHAnsi"/>
        </w:rPr>
        <w:t xml:space="preserve"> </w:t>
      </w:r>
      <w:r w:rsidRPr="00D14CDC">
        <w:rPr>
          <w:rFonts w:cstheme="minorHAnsi"/>
        </w:rPr>
        <w:t>eastern communities, in particular, will</w:t>
      </w:r>
      <w:r>
        <w:rPr>
          <w:rFonts w:cstheme="minorHAnsi"/>
        </w:rPr>
        <w:t xml:space="preserve"> </w:t>
      </w:r>
      <w:r w:rsidRPr="00D14CDC">
        <w:rPr>
          <w:rFonts w:cstheme="minorHAnsi"/>
        </w:rPr>
        <w:t>be more fully identified and applied</w:t>
      </w:r>
      <w:r>
        <w:rPr>
          <w:rFonts w:cstheme="minorHAnsi"/>
        </w:rPr>
        <w:t xml:space="preserve"> </w:t>
      </w:r>
      <w:r w:rsidRPr="00D14CDC">
        <w:rPr>
          <w:rFonts w:cstheme="minorHAnsi"/>
        </w:rPr>
        <w:t>throughout 2020 as part of the process</w:t>
      </w:r>
      <w:r>
        <w:rPr>
          <w:rFonts w:cstheme="minorHAnsi"/>
        </w:rPr>
        <w:t xml:space="preserve"> </w:t>
      </w:r>
      <w:r w:rsidRPr="00D14CDC">
        <w:rPr>
          <w:rFonts w:cstheme="minorHAnsi"/>
        </w:rPr>
        <w:t>to redefine the Institute’s vision and</w:t>
      </w:r>
      <w:r>
        <w:rPr>
          <w:rFonts w:cstheme="minorHAnsi"/>
        </w:rPr>
        <w:t xml:space="preserve"> </w:t>
      </w:r>
      <w:r w:rsidRPr="00D14CDC">
        <w:rPr>
          <w:rFonts w:cstheme="minorHAnsi"/>
        </w:rPr>
        <w:t>strategy into the next decade.</w:t>
      </w:r>
    </w:p>
    <w:p w:rsidR="00D14CDC" w:rsidRPr="00D14CDC" w:rsidRDefault="00D14CDC" w:rsidP="00D14CDC">
      <w:pPr>
        <w:pStyle w:val="NoSpacing"/>
        <w:rPr>
          <w:rFonts w:cstheme="minorHAnsi"/>
        </w:rPr>
      </w:pPr>
    </w:p>
    <w:p w:rsidR="00D14CDC" w:rsidRPr="00D14CDC" w:rsidRDefault="00D14CDC" w:rsidP="00D14CDC">
      <w:pPr>
        <w:pStyle w:val="Heading3"/>
      </w:pPr>
      <w:r w:rsidRPr="00D14CDC">
        <w:t xml:space="preserve">Education Plan </w:t>
      </w:r>
    </w:p>
    <w:p w:rsidR="00D14CDC" w:rsidRPr="00D14CDC" w:rsidRDefault="00D14CDC" w:rsidP="00D14CDC">
      <w:pPr>
        <w:pStyle w:val="NoSpacing"/>
        <w:rPr>
          <w:rFonts w:cstheme="minorHAnsi"/>
        </w:rPr>
      </w:pPr>
    </w:p>
    <w:p w:rsidR="00D14CDC" w:rsidRPr="00D14CDC" w:rsidRDefault="00D14CDC" w:rsidP="00D14CDC">
      <w:pPr>
        <w:autoSpaceDE w:val="0"/>
        <w:autoSpaceDN w:val="0"/>
        <w:adjustRightInd w:val="0"/>
        <w:spacing w:after="0" w:line="240" w:lineRule="auto"/>
        <w:rPr>
          <w:rFonts w:cstheme="minorHAnsi"/>
        </w:rPr>
      </w:pPr>
      <w:r w:rsidRPr="00D14CDC">
        <w:rPr>
          <w:rFonts w:cstheme="minorHAnsi"/>
        </w:rPr>
        <w:t>The Education Plan will provide the foundations to ensure that learning at</w:t>
      </w:r>
    </w:p>
    <w:p w:rsidR="00D14CDC" w:rsidRPr="00D14CDC" w:rsidRDefault="00D14CDC" w:rsidP="00D14CDC">
      <w:pPr>
        <w:autoSpaceDE w:val="0"/>
        <w:autoSpaceDN w:val="0"/>
        <w:adjustRightInd w:val="0"/>
        <w:spacing w:after="0" w:line="240" w:lineRule="auto"/>
        <w:rPr>
          <w:rFonts w:cstheme="minorHAnsi"/>
        </w:rPr>
      </w:pPr>
      <w:r w:rsidRPr="00D14CDC">
        <w:rPr>
          <w:rFonts w:cstheme="minorHAnsi"/>
        </w:rPr>
        <w:t>Chisholm is:</w:t>
      </w:r>
    </w:p>
    <w:p w:rsidR="00D14CDC" w:rsidRPr="00D14CDC" w:rsidRDefault="00D14CDC" w:rsidP="00925530">
      <w:pPr>
        <w:pStyle w:val="ListParagraph"/>
        <w:numPr>
          <w:ilvl w:val="0"/>
          <w:numId w:val="21"/>
        </w:numPr>
        <w:autoSpaceDE w:val="0"/>
        <w:autoSpaceDN w:val="0"/>
        <w:adjustRightInd w:val="0"/>
        <w:spacing w:after="0" w:line="240" w:lineRule="auto"/>
        <w:rPr>
          <w:rFonts w:cstheme="minorHAnsi"/>
        </w:rPr>
      </w:pPr>
      <w:r w:rsidRPr="00D14CDC">
        <w:rPr>
          <w:rFonts w:cstheme="minorHAnsi"/>
        </w:rPr>
        <w:t>Industry-led to meet the requirements of industry now and into the future</w:t>
      </w:r>
    </w:p>
    <w:p w:rsidR="00D14CDC" w:rsidRPr="00D14CDC" w:rsidRDefault="00D14CDC" w:rsidP="00925530">
      <w:pPr>
        <w:pStyle w:val="ListParagraph"/>
        <w:numPr>
          <w:ilvl w:val="0"/>
          <w:numId w:val="21"/>
        </w:numPr>
        <w:autoSpaceDE w:val="0"/>
        <w:autoSpaceDN w:val="0"/>
        <w:adjustRightInd w:val="0"/>
        <w:spacing w:after="0" w:line="240" w:lineRule="auto"/>
        <w:rPr>
          <w:rFonts w:cstheme="minorHAnsi"/>
        </w:rPr>
      </w:pPr>
      <w:r w:rsidRPr="00D14CDC">
        <w:rPr>
          <w:rFonts w:cstheme="minorHAnsi"/>
        </w:rPr>
        <w:t>Student-focused, where students can seamlessly move between virtual,</w:t>
      </w:r>
      <w:r>
        <w:rPr>
          <w:rFonts w:cstheme="minorHAnsi"/>
        </w:rPr>
        <w:t xml:space="preserve"> </w:t>
      </w:r>
      <w:r w:rsidRPr="00D14CDC">
        <w:rPr>
          <w:rFonts w:cstheme="minorHAnsi"/>
        </w:rPr>
        <w:t>physical and workplace environment.</w:t>
      </w:r>
    </w:p>
    <w:p w:rsidR="00D14CDC" w:rsidRPr="00D14CDC" w:rsidRDefault="00D14CDC" w:rsidP="00925530">
      <w:pPr>
        <w:pStyle w:val="ListParagraph"/>
        <w:numPr>
          <w:ilvl w:val="0"/>
          <w:numId w:val="22"/>
        </w:numPr>
        <w:autoSpaceDE w:val="0"/>
        <w:autoSpaceDN w:val="0"/>
        <w:adjustRightInd w:val="0"/>
        <w:spacing w:after="0" w:line="240" w:lineRule="auto"/>
        <w:rPr>
          <w:rFonts w:cstheme="minorHAnsi"/>
        </w:rPr>
      </w:pPr>
      <w:r w:rsidRPr="00D14CDC">
        <w:rPr>
          <w:rFonts w:cstheme="minorHAnsi"/>
        </w:rPr>
        <w:t>Technology-enabled with consistent standards and fit-for-purpose learning</w:t>
      </w:r>
      <w:r>
        <w:rPr>
          <w:rFonts w:cstheme="minorHAnsi"/>
        </w:rPr>
        <w:t xml:space="preserve"> </w:t>
      </w:r>
      <w:r w:rsidRPr="00D14CDC">
        <w:rPr>
          <w:rFonts w:cstheme="minorHAnsi"/>
        </w:rPr>
        <w:t>technologies</w:t>
      </w:r>
    </w:p>
    <w:p w:rsidR="00D14CDC" w:rsidRPr="00D14CDC" w:rsidRDefault="00D14CDC" w:rsidP="00925530">
      <w:pPr>
        <w:pStyle w:val="ListParagraph"/>
        <w:numPr>
          <w:ilvl w:val="0"/>
          <w:numId w:val="22"/>
        </w:numPr>
        <w:autoSpaceDE w:val="0"/>
        <w:autoSpaceDN w:val="0"/>
        <w:adjustRightInd w:val="0"/>
        <w:spacing w:after="0" w:line="240" w:lineRule="auto"/>
        <w:rPr>
          <w:rFonts w:cstheme="minorHAnsi"/>
        </w:rPr>
      </w:pPr>
      <w:r w:rsidRPr="00D14CDC">
        <w:rPr>
          <w:rFonts w:cstheme="minorHAnsi"/>
        </w:rPr>
        <w:t>Workforce-supported to guide our people in implementing interactive and</w:t>
      </w:r>
      <w:r>
        <w:rPr>
          <w:rFonts w:cstheme="minorHAnsi"/>
        </w:rPr>
        <w:t xml:space="preserve"> </w:t>
      </w:r>
      <w:r w:rsidRPr="00D14CDC">
        <w:rPr>
          <w:rFonts w:cstheme="minorHAnsi"/>
        </w:rPr>
        <w:t>engaging learning programs.</w:t>
      </w:r>
    </w:p>
    <w:p w:rsidR="00D14CDC" w:rsidRPr="00D14CDC" w:rsidRDefault="00D14CDC" w:rsidP="00D14CDC">
      <w:pPr>
        <w:pStyle w:val="NoSpacing"/>
        <w:rPr>
          <w:rFonts w:cstheme="minorHAnsi"/>
        </w:rPr>
      </w:pPr>
    </w:p>
    <w:p w:rsidR="00D14CDC" w:rsidRPr="00D14CDC" w:rsidRDefault="00D14CDC" w:rsidP="00D14CDC">
      <w:pPr>
        <w:pStyle w:val="NoSpacing"/>
        <w:rPr>
          <w:rFonts w:cstheme="minorHAnsi"/>
        </w:rPr>
      </w:pPr>
      <w:r w:rsidRPr="00D14CDC">
        <w:rPr>
          <w:rFonts w:cstheme="minorHAnsi"/>
        </w:rPr>
        <w:t>&lt;page 15&gt;</w:t>
      </w:r>
    </w:p>
    <w:p w:rsidR="00D14CDC" w:rsidRPr="00D14CDC" w:rsidRDefault="00D14CDC" w:rsidP="00D14CDC">
      <w:pPr>
        <w:pStyle w:val="NoSpacing"/>
        <w:rPr>
          <w:rFonts w:cstheme="minorHAnsi"/>
        </w:rPr>
      </w:pPr>
    </w:p>
    <w:p w:rsidR="00D14CDC" w:rsidRPr="00D14CDC" w:rsidRDefault="00D14CDC" w:rsidP="00D14CDC">
      <w:pPr>
        <w:pStyle w:val="Heading3"/>
      </w:pPr>
      <w:r w:rsidRPr="00D14CDC">
        <w:t>People Plan</w:t>
      </w:r>
    </w:p>
    <w:p w:rsidR="00D14CDC" w:rsidRPr="00D14CDC" w:rsidRDefault="00D14CDC" w:rsidP="00D14CDC">
      <w:pPr>
        <w:pStyle w:val="NoSpacing"/>
        <w:rPr>
          <w:rFonts w:cstheme="minorHAnsi"/>
        </w:rPr>
      </w:pPr>
    </w:p>
    <w:p w:rsidR="00D14CDC" w:rsidRPr="00D14CDC" w:rsidRDefault="00D14CDC" w:rsidP="00D14CDC">
      <w:pPr>
        <w:autoSpaceDE w:val="0"/>
        <w:autoSpaceDN w:val="0"/>
        <w:adjustRightInd w:val="0"/>
        <w:spacing w:after="0" w:line="240" w:lineRule="auto"/>
        <w:rPr>
          <w:rFonts w:cstheme="minorHAnsi"/>
        </w:rPr>
      </w:pPr>
      <w:r w:rsidRPr="00D14CDC">
        <w:rPr>
          <w:rFonts w:cstheme="minorHAnsi"/>
        </w:rPr>
        <w:t>The People Plan will attract, develop and support our people by ensuring</w:t>
      </w:r>
      <w:r>
        <w:rPr>
          <w:rFonts w:cstheme="minorHAnsi"/>
        </w:rPr>
        <w:t xml:space="preserve"> </w:t>
      </w:r>
      <w:r w:rsidRPr="00D14CDC">
        <w:rPr>
          <w:rFonts w:cstheme="minorHAnsi"/>
        </w:rPr>
        <w:t>that operations at Chisholm are:</w:t>
      </w:r>
    </w:p>
    <w:p w:rsidR="00D14CDC" w:rsidRPr="00D14CDC" w:rsidRDefault="00D14CDC" w:rsidP="00925530">
      <w:pPr>
        <w:pStyle w:val="ListParagraph"/>
        <w:numPr>
          <w:ilvl w:val="0"/>
          <w:numId w:val="23"/>
        </w:numPr>
        <w:autoSpaceDE w:val="0"/>
        <w:autoSpaceDN w:val="0"/>
        <w:adjustRightInd w:val="0"/>
        <w:spacing w:after="0" w:line="240" w:lineRule="auto"/>
        <w:rPr>
          <w:rFonts w:cstheme="minorHAnsi"/>
        </w:rPr>
      </w:pPr>
      <w:r w:rsidRPr="00D14CDC">
        <w:rPr>
          <w:rFonts w:cstheme="minorHAnsi"/>
        </w:rPr>
        <w:t>People-focused and values-driven, considering staff needs and concerns</w:t>
      </w:r>
    </w:p>
    <w:p w:rsidR="00D14CDC" w:rsidRPr="00D14CDC" w:rsidRDefault="00D14CDC" w:rsidP="00925530">
      <w:pPr>
        <w:pStyle w:val="ListParagraph"/>
        <w:numPr>
          <w:ilvl w:val="0"/>
          <w:numId w:val="23"/>
        </w:numPr>
        <w:autoSpaceDE w:val="0"/>
        <w:autoSpaceDN w:val="0"/>
        <w:adjustRightInd w:val="0"/>
        <w:spacing w:after="0" w:line="240" w:lineRule="auto"/>
        <w:rPr>
          <w:rFonts w:cstheme="minorHAnsi"/>
        </w:rPr>
      </w:pPr>
      <w:r w:rsidRPr="00D14CDC">
        <w:rPr>
          <w:rFonts w:cstheme="minorHAnsi"/>
        </w:rPr>
        <w:t>Environmentally and culturally aware, building a safe and respectful</w:t>
      </w:r>
      <w:r>
        <w:rPr>
          <w:rFonts w:cstheme="minorHAnsi"/>
        </w:rPr>
        <w:t xml:space="preserve"> </w:t>
      </w:r>
      <w:r w:rsidRPr="00D14CDC">
        <w:rPr>
          <w:rFonts w:cstheme="minorHAnsi"/>
        </w:rPr>
        <w:t>workplace of choice that attracts, retains and engages</w:t>
      </w:r>
    </w:p>
    <w:p w:rsidR="00D14CDC" w:rsidRPr="00D14CDC" w:rsidRDefault="00D14CDC" w:rsidP="00925530">
      <w:pPr>
        <w:pStyle w:val="ListParagraph"/>
        <w:numPr>
          <w:ilvl w:val="0"/>
          <w:numId w:val="24"/>
        </w:numPr>
        <w:autoSpaceDE w:val="0"/>
        <w:autoSpaceDN w:val="0"/>
        <w:adjustRightInd w:val="0"/>
        <w:spacing w:after="0" w:line="240" w:lineRule="auto"/>
        <w:rPr>
          <w:rFonts w:cstheme="minorHAnsi"/>
        </w:rPr>
      </w:pPr>
      <w:r w:rsidRPr="00D14CDC">
        <w:rPr>
          <w:rFonts w:cstheme="minorHAnsi"/>
        </w:rPr>
        <w:t>Growth-driven, developing and supporting our people to build their</w:t>
      </w:r>
      <w:r>
        <w:rPr>
          <w:rFonts w:cstheme="minorHAnsi"/>
        </w:rPr>
        <w:t xml:space="preserve"> </w:t>
      </w:r>
      <w:r w:rsidRPr="00D14CDC">
        <w:rPr>
          <w:rFonts w:cstheme="minorHAnsi"/>
        </w:rPr>
        <w:t>capacity and capability and expand their circle of influence</w:t>
      </w:r>
    </w:p>
    <w:p w:rsidR="00D14CDC" w:rsidRPr="00D14CDC" w:rsidRDefault="00D14CDC" w:rsidP="00925530">
      <w:pPr>
        <w:pStyle w:val="ListParagraph"/>
        <w:numPr>
          <w:ilvl w:val="0"/>
          <w:numId w:val="24"/>
        </w:numPr>
        <w:autoSpaceDE w:val="0"/>
        <w:autoSpaceDN w:val="0"/>
        <w:adjustRightInd w:val="0"/>
        <w:spacing w:after="0" w:line="240" w:lineRule="auto"/>
        <w:rPr>
          <w:rFonts w:cstheme="minorHAnsi"/>
        </w:rPr>
      </w:pPr>
      <w:r w:rsidRPr="00D14CDC">
        <w:rPr>
          <w:rFonts w:cstheme="minorHAnsi"/>
        </w:rPr>
        <w:t>Empowering, enabling our people to succeed in every way, both in and</w:t>
      </w:r>
      <w:r>
        <w:rPr>
          <w:rFonts w:cstheme="minorHAnsi"/>
        </w:rPr>
        <w:t xml:space="preserve"> </w:t>
      </w:r>
      <w:r w:rsidRPr="00D14CDC">
        <w:rPr>
          <w:rFonts w:cstheme="minorHAnsi"/>
        </w:rPr>
        <w:t>out of Chisholm.</w:t>
      </w:r>
    </w:p>
    <w:p w:rsidR="00D14CDC" w:rsidRPr="00D14CDC" w:rsidRDefault="00D14CDC" w:rsidP="00D14CDC">
      <w:pPr>
        <w:pStyle w:val="NoSpacing"/>
        <w:rPr>
          <w:rFonts w:cstheme="minorHAnsi"/>
        </w:rPr>
      </w:pPr>
    </w:p>
    <w:p w:rsidR="00D14CDC" w:rsidRPr="00D14CDC" w:rsidRDefault="00D14CDC" w:rsidP="00D14CDC">
      <w:pPr>
        <w:pStyle w:val="Heading3"/>
      </w:pPr>
      <w:r w:rsidRPr="00D14CDC">
        <w:t xml:space="preserve">Student Experience Plan </w:t>
      </w:r>
    </w:p>
    <w:p w:rsidR="00D14CDC" w:rsidRPr="00D14CDC" w:rsidRDefault="00D14CDC" w:rsidP="00D14CDC">
      <w:pPr>
        <w:pStyle w:val="NoSpacing"/>
        <w:rPr>
          <w:rFonts w:cstheme="minorHAnsi"/>
        </w:rPr>
      </w:pPr>
    </w:p>
    <w:p w:rsidR="00D14CDC" w:rsidRPr="00D14CDC" w:rsidRDefault="00D14CDC" w:rsidP="00D14CDC">
      <w:pPr>
        <w:autoSpaceDE w:val="0"/>
        <w:autoSpaceDN w:val="0"/>
        <w:adjustRightInd w:val="0"/>
        <w:spacing w:after="0" w:line="240" w:lineRule="auto"/>
        <w:rPr>
          <w:rFonts w:cstheme="minorHAnsi"/>
        </w:rPr>
      </w:pPr>
      <w:r w:rsidRPr="00D14CDC">
        <w:rPr>
          <w:rFonts w:cstheme="minorHAnsi"/>
        </w:rPr>
        <w:t>The Student Experience Plan will provide the guiding principles to ensure we strive</w:t>
      </w:r>
      <w:r w:rsidR="00D4088B">
        <w:rPr>
          <w:rFonts w:cstheme="minorHAnsi"/>
        </w:rPr>
        <w:t xml:space="preserve"> </w:t>
      </w:r>
      <w:r w:rsidRPr="00D14CDC">
        <w:rPr>
          <w:rFonts w:cstheme="minorHAnsi"/>
        </w:rPr>
        <w:t>for excellence in our service and experience to students which is:</w:t>
      </w:r>
    </w:p>
    <w:p w:rsidR="00D14CDC" w:rsidRPr="00D4088B" w:rsidRDefault="00D4088B" w:rsidP="00925530">
      <w:pPr>
        <w:pStyle w:val="ListParagraph"/>
        <w:numPr>
          <w:ilvl w:val="0"/>
          <w:numId w:val="25"/>
        </w:numPr>
        <w:autoSpaceDE w:val="0"/>
        <w:autoSpaceDN w:val="0"/>
        <w:adjustRightInd w:val="0"/>
        <w:spacing w:after="0" w:line="240" w:lineRule="auto"/>
        <w:rPr>
          <w:rFonts w:cstheme="minorHAnsi"/>
        </w:rPr>
      </w:pPr>
      <w:r>
        <w:rPr>
          <w:rFonts w:cstheme="minorHAnsi"/>
        </w:rPr>
        <w:t>S</w:t>
      </w:r>
      <w:r w:rsidR="00D14CDC" w:rsidRPr="00D4088B">
        <w:rPr>
          <w:rFonts w:cstheme="minorHAnsi"/>
        </w:rPr>
        <w:t>tudent centric and tailored to individual needs</w:t>
      </w:r>
    </w:p>
    <w:p w:rsidR="00D14CDC" w:rsidRPr="00D4088B" w:rsidRDefault="00D4088B" w:rsidP="00925530">
      <w:pPr>
        <w:pStyle w:val="ListParagraph"/>
        <w:numPr>
          <w:ilvl w:val="0"/>
          <w:numId w:val="25"/>
        </w:numPr>
        <w:autoSpaceDE w:val="0"/>
        <w:autoSpaceDN w:val="0"/>
        <w:adjustRightInd w:val="0"/>
        <w:spacing w:after="0" w:line="240" w:lineRule="auto"/>
        <w:rPr>
          <w:rFonts w:cstheme="minorHAnsi"/>
        </w:rPr>
      </w:pPr>
      <w:r>
        <w:rPr>
          <w:rFonts w:cstheme="minorHAnsi"/>
        </w:rPr>
        <w:t>S</w:t>
      </w:r>
      <w:r w:rsidR="00D14CDC" w:rsidRPr="00D4088B">
        <w:rPr>
          <w:rFonts w:cstheme="minorHAnsi"/>
        </w:rPr>
        <w:t>upporting the student through each stage of their journey</w:t>
      </w:r>
    </w:p>
    <w:p w:rsidR="00D14CDC" w:rsidRPr="00D4088B" w:rsidRDefault="00D4088B" w:rsidP="00925530">
      <w:pPr>
        <w:pStyle w:val="ListParagraph"/>
        <w:numPr>
          <w:ilvl w:val="0"/>
          <w:numId w:val="25"/>
        </w:numPr>
        <w:autoSpaceDE w:val="0"/>
        <w:autoSpaceDN w:val="0"/>
        <w:adjustRightInd w:val="0"/>
        <w:spacing w:after="0" w:line="240" w:lineRule="auto"/>
        <w:rPr>
          <w:rFonts w:cstheme="minorHAnsi"/>
        </w:rPr>
      </w:pPr>
      <w:r>
        <w:rPr>
          <w:rFonts w:cstheme="minorHAnsi"/>
        </w:rPr>
        <w:t>H</w:t>
      </w:r>
      <w:r w:rsidR="00D14CDC" w:rsidRPr="00D4088B">
        <w:rPr>
          <w:rFonts w:cstheme="minorHAnsi"/>
        </w:rPr>
        <w:t>elping students connect to the Chisholm community</w:t>
      </w:r>
    </w:p>
    <w:p w:rsidR="00D14CDC" w:rsidRPr="00D4088B" w:rsidRDefault="00D4088B" w:rsidP="00925530">
      <w:pPr>
        <w:pStyle w:val="ListParagraph"/>
        <w:numPr>
          <w:ilvl w:val="0"/>
          <w:numId w:val="25"/>
        </w:numPr>
        <w:autoSpaceDE w:val="0"/>
        <w:autoSpaceDN w:val="0"/>
        <w:adjustRightInd w:val="0"/>
        <w:spacing w:after="0" w:line="240" w:lineRule="auto"/>
        <w:rPr>
          <w:rFonts w:cstheme="minorHAnsi"/>
        </w:rPr>
      </w:pPr>
      <w:r>
        <w:rPr>
          <w:rFonts w:cstheme="minorHAnsi"/>
        </w:rPr>
        <w:t>O</w:t>
      </w:r>
      <w:r w:rsidR="00D14CDC" w:rsidRPr="00D4088B">
        <w:rPr>
          <w:rFonts w:cstheme="minorHAnsi"/>
        </w:rPr>
        <w:t>utcomes focused to support each student to achieve their goals]</w:t>
      </w:r>
    </w:p>
    <w:p w:rsidR="00D14CDC" w:rsidRPr="00D4088B" w:rsidRDefault="00D4088B" w:rsidP="00925530">
      <w:pPr>
        <w:pStyle w:val="ListParagraph"/>
        <w:numPr>
          <w:ilvl w:val="0"/>
          <w:numId w:val="25"/>
        </w:numPr>
        <w:autoSpaceDE w:val="0"/>
        <w:autoSpaceDN w:val="0"/>
        <w:adjustRightInd w:val="0"/>
        <w:spacing w:after="0" w:line="240" w:lineRule="auto"/>
        <w:rPr>
          <w:rFonts w:cstheme="minorHAnsi"/>
        </w:rPr>
      </w:pPr>
      <w:r>
        <w:rPr>
          <w:rFonts w:cstheme="minorHAnsi"/>
        </w:rPr>
        <w:t>R</w:t>
      </w:r>
      <w:r w:rsidR="00D14CDC" w:rsidRPr="00D4088B">
        <w:rPr>
          <w:rFonts w:cstheme="minorHAnsi"/>
        </w:rPr>
        <w:t>elevant and provides opportunities for students to develop technical and broader</w:t>
      </w:r>
      <w:r>
        <w:rPr>
          <w:rFonts w:cstheme="minorHAnsi"/>
        </w:rPr>
        <w:t xml:space="preserve"> </w:t>
      </w:r>
      <w:r w:rsidR="00D14CDC" w:rsidRPr="00D4088B">
        <w:rPr>
          <w:rFonts w:cstheme="minorHAnsi"/>
        </w:rPr>
        <w:t>employability skills</w:t>
      </w:r>
    </w:p>
    <w:p w:rsidR="00D14CDC" w:rsidRPr="00D14CDC" w:rsidRDefault="006B2929" w:rsidP="00925530">
      <w:pPr>
        <w:pStyle w:val="NoSpacing"/>
        <w:numPr>
          <w:ilvl w:val="0"/>
          <w:numId w:val="25"/>
        </w:numPr>
        <w:rPr>
          <w:rFonts w:cstheme="minorHAnsi"/>
        </w:rPr>
      </w:pPr>
      <w:r>
        <w:rPr>
          <w:rFonts w:cstheme="minorHAnsi"/>
        </w:rPr>
        <w:t>S</w:t>
      </w:r>
      <w:r w:rsidR="00D14CDC" w:rsidRPr="00D14CDC">
        <w:rPr>
          <w:rFonts w:cstheme="minorHAnsi"/>
        </w:rPr>
        <w:t>treamlined and efficient and adaptive to the changing world of education and work.</w:t>
      </w:r>
    </w:p>
    <w:p w:rsidR="00D14CDC" w:rsidRPr="00D14CDC" w:rsidRDefault="00D14CDC" w:rsidP="00D14CDC">
      <w:pPr>
        <w:pStyle w:val="NoSpacing"/>
        <w:rPr>
          <w:rFonts w:cstheme="minorHAnsi"/>
        </w:rPr>
      </w:pPr>
    </w:p>
    <w:p w:rsidR="00D14CDC" w:rsidRPr="00D14CDC" w:rsidRDefault="00D14CDC" w:rsidP="00D14CDC">
      <w:pPr>
        <w:pStyle w:val="Heading3"/>
      </w:pPr>
      <w:r w:rsidRPr="00D14CDC">
        <w:t xml:space="preserve">Commercial Plan </w:t>
      </w:r>
    </w:p>
    <w:p w:rsidR="00D14CDC" w:rsidRPr="00D14CDC" w:rsidRDefault="00D14CDC" w:rsidP="00D14CDC">
      <w:pPr>
        <w:pStyle w:val="NoSpacing"/>
        <w:rPr>
          <w:rFonts w:cstheme="minorHAnsi"/>
        </w:rPr>
      </w:pPr>
    </w:p>
    <w:p w:rsidR="00D14CDC" w:rsidRPr="00D14CDC" w:rsidRDefault="00D14CDC" w:rsidP="00D14CDC">
      <w:pPr>
        <w:autoSpaceDE w:val="0"/>
        <w:autoSpaceDN w:val="0"/>
        <w:adjustRightInd w:val="0"/>
        <w:spacing w:after="0" w:line="240" w:lineRule="auto"/>
        <w:rPr>
          <w:rFonts w:cstheme="minorHAnsi"/>
        </w:rPr>
      </w:pPr>
      <w:r w:rsidRPr="00D14CDC">
        <w:rPr>
          <w:rFonts w:cstheme="minorHAnsi"/>
        </w:rPr>
        <w:t>The Commercial Plan will ensure Chisholm’s growth and sustainability by driving</w:t>
      </w:r>
      <w:r w:rsidR="00D4088B">
        <w:rPr>
          <w:rFonts w:cstheme="minorHAnsi"/>
        </w:rPr>
        <w:t xml:space="preserve"> </w:t>
      </w:r>
      <w:r w:rsidRPr="00D14CDC">
        <w:rPr>
          <w:rFonts w:cstheme="minorHAnsi"/>
        </w:rPr>
        <w:t>commercial activities and partnerships that are:</w:t>
      </w:r>
    </w:p>
    <w:p w:rsidR="00D14CDC" w:rsidRPr="00D4088B" w:rsidRDefault="00D14CDC" w:rsidP="00925530">
      <w:pPr>
        <w:pStyle w:val="ListParagraph"/>
        <w:numPr>
          <w:ilvl w:val="0"/>
          <w:numId w:val="26"/>
        </w:numPr>
        <w:autoSpaceDE w:val="0"/>
        <w:autoSpaceDN w:val="0"/>
        <w:adjustRightInd w:val="0"/>
        <w:spacing w:after="0" w:line="240" w:lineRule="auto"/>
        <w:rPr>
          <w:rFonts w:cstheme="minorHAnsi"/>
        </w:rPr>
      </w:pPr>
      <w:r w:rsidRPr="00D4088B">
        <w:rPr>
          <w:rFonts w:cstheme="minorHAnsi"/>
        </w:rPr>
        <w:t>Customer-centric, focused on providing a positive customer experience</w:t>
      </w:r>
    </w:p>
    <w:p w:rsidR="00D14CDC" w:rsidRPr="00D4088B" w:rsidRDefault="00D14CDC" w:rsidP="00925530">
      <w:pPr>
        <w:pStyle w:val="ListParagraph"/>
        <w:numPr>
          <w:ilvl w:val="0"/>
          <w:numId w:val="26"/>
        </w:numPr>
        <w:autoSpaceDE w:val="0"/>
        <w:autoSpaceDN w:val="0"/>
        <w:adjustRightInd w:val="0"/>
        <w:spacing w:after="0" w:line="240" w:lineRule="auto"/>
        <w:rPr>
          <w:rFonts w:cstheme="minorHAnsi"/>
        </w:rPr>
      </w:pPr>
      <w:r w:rsidRPr="00D4088B">
        <w:rPr>
          <w:rFonts w:cstheme="minorHAnsi"/>
        </w:rPr>
        <w:t>Engaged, with an educational offering that matches our partners’ requirements</w:t>
      </w:r>
    </w:p>
    <w:p w:rsidR="00D14CDC" w:rsidRPr="00D4088B" w:rsidRDefault="00D14CDC" w:rsidP="00925530">
      <w:pPr>
        <w:pStyle w:val="ListParagraph"/>
        <w:numPr>
          <w:ilvl w:val="0"/>
          <w:numId w:val="26"/>
        </w:numPr>
        <w:autoSpaceDE w:val="0"/>
        <w:autoSpaceDN w:val="0"/>
        <w:adjustRightInd w:val="0"/>
        <w:spacing w:after="0" w:line="240" w:lineRule="auto"/>
        <w:rPr>
          <w:rFonts w:cstheme="minorHAnsi"/>
        </w:rPr>
      </w:pPr>
      <w:r w:rsidRPr="00D4088B">
        <w:rPr>
          <w:rFonts w:cstheme="minorHAnsi"/>
        </w:rPr>
        <w:t>Relationship-driven to ensure long-term, sustainable partnerships</w:t>
      </w:r>
    </w:p>
    <w:p w:rsidR="00D14CDC" w:rsidRPr="00D4088B" w:rsidRDefault="00D14CDC" w:rsidP="00925530">
      <w:pPr>
        <w:pStyle w:val="ListParagraph"/>
        <w:numPr>
          <w:ilvl w:val="0"/>
          <w:numId w:val="26"/>
        </w:numPr>
        <w:autoSpaceDE w:val="0"/>
        <w:autoSpaceDN w:val="0"/>
        <w:adjustRightInd w:val="0"/>
        <w:spacing w:after="0" w:line="240" w:lineRule="auto"/>
        <w:rPr>
          <w:rFonts w:cstheme="minorHAnsi"/>
        </w:rPr>
      </w:pPr>
      <w:r w:rsidRPr="00D4088B">
        <w:rPr>
          <w:rFonts w:cstheme="minorHAnsi"/>
        </w:rPr>
        <w:lastRenderedPageBreak/>
        <w:t>Relevant and responsive to customer and community needs</w:t>
      </w:r>
    </w:p>
    <w:p w:rsidR="00D14CDC" w:rsidRPr="00D4088B" w:rsidRDefault="00D14CDC" w:rsidP="00925530">
      <w:pPr>
        <w:pStyle w:val="ListParagraph"/>
        <w:numPr>
          <w:ilvl w:val="0"/>
          <w:numId w:val="26"/>
        </w:numPr>
        <w:autoSpaceDE w:val="0"/>
        <w:autoSpaceDN w:val="0"/>
        <w:adjustRightInd w:val="0"/>
        <w:spacing w:after="0" w:line="240" w:lineRule="auto"/>
        <w:rPr>
          <w:rFonts w:cstheme="minorHAnsi"/>
        </w:rPr>
      </w:pPr>
      <w:r w:rsidRPr="00D4088B">
        <w:rPr>
          <w:rFonts w:cstheme="minorHAnsi"/>
        </w:rPr>
        <w:t>Reputable, where we are recognised for quality and innovation</w:t>
      </w:r>
    </w:p>
    <w:p w:rsidR="00D14CDC" w:rsidRPr="00D4088B" w:rsidRDefault="00D14CDC" w:rsidP="00925530">
      <w:pPr>
        <w:pStyle w:val="ListParagraph"/>
        <w:numPr>
          <w:ilvl w:val="0"/>
          <w:numId w:val="26"/>
        </w:numPr>
        <w:autoSpaceDE w:val="0"/>
        <w:autoSpaceDN w:val="0"/>
        <w:adjustRightInd w:val="0"/>
        <w:spacing w:after="0" w:line="240" w:lineRule="auto"/>
        <w:rPr>
          <w:rFonts w:cstheme="minorHAnsi"/>
        </w:rPr>
      </w:pPr>
      <w:r w:rsidRPr="00D4088B">
        <w:rPr>
          <w:rFonts w:cstheme="minorHAnsi"/>
        </w:rPr>
        <w:t>Wide-reaching, owning the south-east of Melbourne, and growing our footprint</w:t>
      </w:r>
      <w:r w:rsidR="00D4088B">
        <w:rPr>
          <w:rFonts w:cstheme="minorHAnsi"/>
        </w:rPr>
        <w:t xml:space="preserve"> </w:t>
      </w:r>
      <w:r w:rsidRPr="00D4088B">
        <w:rPr>
          <w:rFonts w:cstheme="minorHAnsi"/>
        </w:rPr>
        <w:t>nationally and internationally.</w:t>
      </w:r>
    </w:p>
    <w:p w:rsidR="00D14CDC" w:rsidRPr="00D14CDC" w:rsidRDefault="00D14CDC" w:rsidP="00D14CDC">
      <w:pPr>
        <w:pStyle w:val="NoSpacing"/>
        <w:rPr>
          <w:rFonts w:cstheme="minorHAnsi"/>
        </w:rPr>
      </w:pPr>
    </w:p>
    <w:p w:rsidR="00D14CDC" w:rsidRPr="00D14CDC" w:rsidRDefault="00D14CDC" w:rsidP="00D14CDC">
      <w:pPr>
        <w:pStyle w:val="Heading3"/>
      </w:pPr>
      <w:r w:rsidRPr="00D14CDC">
        <w:t>Infrastructure and Information Technology</w:t>
      </w:r>
    </w:p>
    <w:p w:rsidR="00D14CDC" w:rsidRPr="00D14CDC" w:rsidRDefault="00D14CDC" w:rsidP="00D14CDC">
      <w:pPr>
        <w:pStyle w:val="NoSpacing"/>
        <w:rPr>
          <w:rFonts w:cstheme="minorHAnsi"/>
        </w:rPr>
      </w:pPr>
    </w:p>
    <w:p w:rsidR="00D14CDC" w:rsidRPr="00D14CDC" w:rsidRDefault="00D14CDC" w:rsidP="00D14CDC">
      <w:pPr>
        <w:autoSpaceDE w:val="0"/>
        <w:autoSpaceDN w:val="0"/>
        <w:adjustRightInd w:val="0"/>
        <w:spacing w:after="0" w:line="240" w:lineRule="auto"/>
        <w:rPr>
          <w:rFonts w:cstheme="minorHAnsi"/>
        </w:rPr>
      </w:pPr>
      <w:r w:rsidRPr="00D14CDC">
        <w:rPr>
          <w:rFonts w:cstheme="minorHAnsi"/>
        </w:rPr>
        <w:t>The Infrastructure and Information Technology pla</w:t>
      </w:r>
      <w:r w:rsidR="00D4088B">
        <w:rPr>
          <w:rFonts w:cstheme="minorHAnsi"/>
        </w:rPr>
        <w:t xml:space="preserve">n will identify the Institute’s </w:t>
      </w:r>
      <w:r w:rsidRPr="00D14CDC">
        <w:rPr>
          <w:rFonts w:cstheme="minorHAnsi"/>
        </w:rPr>
        <w:t>infrastructure and technology requirements to ensure Chisholm has:</w:t>
      </w:r>
    </w:p>
    <w:p w:rsidR="00D14CDC" w:rsidRPr="00D4088B" w:rsidRDefault="00D14CDC" w:rsidP="00925530">
      <w:pPr>
        <w:pStyle w:val="ListParagraph"/>
        <w:numPr>
          <w:ilvl w:val="0"/>
          <w:numId w:val="27"/>
        </w:numPr>
        <w:autoSpaceDE w:val="0"/>
        <w:autoSpaceDN w:val="0"/>
        <w:adjustRightInd w:val="0"/>
        <w:spacing w:after="0" w:line="240" w:lineRule="auto"/>
        <w:rPr>
          <w:rFonts w:cstheme="minorHAnsi"/>
        </w:rPr>
      </w:pPr>
      <w:r w:rsidRPr="00D4088B">
        <w:rPr>
          <w:rFonts w:cstheme="minorHAnsi"/>
        </w:rPr>
        <w:t>Fit for purpose facilities</w:t>
      </w:r>
    </w:p>
    <w:p w:rsidR="00D14CDC" w:rsidRPr="00D4088B" w:rsidRDefault="00D14CDC" w:rsidP="00925530">
      <w:pPr>
        <w:pStyle w:val="ListParagraph"/>
        <w:numPr>
          <w:ilvl w:val="0"/>
          <w:numId w:val="27"/>
        </w:numPr>
        <w:autoSpaceDE w:val="0"/>
        <w:autoSpaceDN w:val="0"/>
        <w:adjustRightInd w:val="0"/>
        <w:spacing w:after="0" w:line="240" w:lineRule="auto"/>
        <w:rPr>
          <w:rFonts w:cstheme="minorHAnsi"/>
        </w:rPr>
      </w:pPr>
      <w:r w:rsidRPr="00D4088B">
        <w:rPr>
          <w:rFonts w:cstheme="minorHAnsi"/>
        </w:rPr>
        <w:t>Safe and inviting spaces for staff and students</w:t>
      </w:r>
    </w:p>
    <w:p w:rsidR="00D14CDC" w:rsidRPr="00D4088B" w:rsidRDefault="00D14CDC" w:rsidP="00925530">
      <w:pPr>
        <w:pStyle w:val="ListParagraph"/>
        <w:numPr>
          <w:ilvl w:val="0"/>
          <w:numId w:val="27"/>
        </w:numPr>
        <w:autoSpaceDE w:val="0"/>
        <w:autoSpaceDN w:val="0"/>
        <w:adjustRightInd w:val="0"/>
        <w:spacing w:after="0" w:line="240" w:lineRule="auto"/>
        <w:rPr>
          <w:rFonts w:cstheme="minorHAnsi"/>
        </w:rPr>
      </w:pPr>
      <w:r w:rsidRPr="00D4088B">
        <w:rPr>
          <w:rFonts w:cstheme="minorHAnsi"/>
        </w:rPr>
        <w:t>Campuses that connect with industry and community</w:t>
      </w:r>
    </w:p>
    <w:p w:rsidR="00D14CDC" w:rsidRPr="00D4088B" w:rsidRDefault="00D14CDC" w:rsidP="00925530">
      <w:pPr>
        <w:pStyle w:val="ListParagraph"/>
        <w:numPr>
          <w:ilvl w:val="0"/>
          <w:numId w:val="27"/>
        </w:numPr>
        <w:autoSpaceDE w:val="0"/>
        <w:autoSpaceDN w:val="0"/>
        <w:adjustRightInd w:val="0"/>
        <w:spacing w:after="0" w:line="240" w:lineRule="auto"/>
        <w:rPr>
          <w:rFonts w:cstheme="minorHAnsi"/>
        </w:rPr>
      </w:pPr>
      <w:r w:rsidRPr="00D4088B">
        <w:rPr>
          <w:rFonts w:cstheme="minorHAnsi"/>
        </w:rPr>
        <w:t>An IT strategy to support strategic initiatives and business growth</w:t>
      </w:r>
    </w:p>
    <w:p w:rsidR="00D14CDC" w:rsidRPr="00D4088B" w:rsidRDefault="00D14CDC" w:rsidP="00925530">
      <w:pPr>
        <w:pStyle w:val="ListParagraph"/>
        <w:numPr>
          <w:ilvl w:val="0"/>
          <w:numId w:val="27"/>
        </w:numPr>
        <w:autoSpaceDE w:val="0"/>
        <w:autoSpaceDN w:val="0"/>
        <w:adjustRightInd w:val="0"/>
        <w:spacing w:after="0" w:line="240" w:lineRule="auto"/>
        <w:rPr>
          <w:rFonts w:cstheme="minorHAnsi"/>
        </w:rPr>
      </w:pPr>
      <w:r w:rsidRPr="00D4088B">
        <w:rPr>
          <w:rFonts w:cstheme="minorHAnsi"/>
        </w:rPr>
        <w:t>Connecting data and our core systems at the source enabling ease of access and</w:t>
      </w:r>
      <w:r w:rsidR="00D4088B">
        <w:rPr>
          <w:rFonts w:cstheme="minorHAnsi"/>
        </w:rPr>
        <w:t xml:space="preserve"> </w:t>
      </w:r>
      <w:r w:rsidRPr="00D4088B">
        <w:rPr>
          <w:rFonts w:cstheme="minorHAnsi"/>
        </w:rPr>
        <w:t>ease of use</w:t>
      </w:r>
    </w:p>
    <w:p w:rsidR="00D14CDC" w:rsidRPr="00D14CDC" w:rsidRDefault="00D14CDC" w:rsidP="00925530">
      <w:pPr>
        <w:pStyle w:val="NoSpacing"/>
        <w:numPr>
          <w:ilvl w:val="0"/>
          <w:numId w:val="27"/>
        </w:numPr>
        <w:rPr>
          <w:rFonts w:cstheme="minorHAnsi"/>
        </w:rPr>
      </w:pPr>
      <w:r w:rsidRPr="00D14CDC">
        <w:rPr>
          <w:rFonts w:cstheme="minorHAnsi"/>
        </w:rPr>
        <w:t>Technology enabled learning solutions to enhance the staff and student experience.</w:t>
      </w:r>
    </w:p>
    <w:p w:rsidR="00FD3A76" w:rsidRDefault="00FD3A76" w:rsidP="005942B8">
      <w:pPr>
        <w:pStyle w:val="NoSpacing"/>
      </w:pPr>
    </w:p>
    <w:p w:rsidR="00D14CDC" w:rsidRDefault="00D14CDC" w:rsidP="005942B8">
      <w:pPr>
        <w:pStyle w:val="NoSpacing"/>
      </w:pPr>
      <w:r>
        <w:t>&lt;page 16&gt;</w:t>
      </w:r>
    </w:p>
    <w:p w:rsidR="00F76FE1" w:rsidRDefault="00F76FE1" w:rsidP="005942B8">
      <w:pPr>
        <w:pStyle w:val="NoSpacing"/>
      </w:pPr>
    </w:p>
    <w:p w:rsidR="00F76FE1" w:rsidRDefault="00F76FE1" w:rsidP="004A75EA">
      <w:pPr>
        <w:pStyle w:val="Heading2"/>
      </w:pPr>
      <w:r>
        <w:t>Frankston Learning and Innovation Precinct</w:t>
      </w:r>
    </w:p>
    <w:p w:rsidR="00F76FE1" w:rsidRDefault="00F76FE1" w:rsidP="005942B8">
      <w:pPr>
        <w:pStyle w:val="NoSpacing"/>
      </w:pPr>
    </w:p>
    <w:p w:rsidR="00F76FE1" w:rsidRDefault="00F76FE1" w:rsidP="005942B8">
      <w:pPr>
        <w:pStyle w:val="NoSpacing"/>
      </w:pPr>
      <w:r>
        <w:t>October 8, 2019 marked the official opening of the state-of-the-art Frankston Learning and Innovation Precinct (FLIP), an $85 million redevelopment which transforms the delivery of TAFE courses in Melbourne’s South-East and beyond.</w:t>
      </w:r>
    </w:p>
    <w:p w:rsidR="00F76FE1" w:rsidRDefault="00F76FE1" w:rsidP="005942B8">
      <w:pPr>
        <w:pStyle w:val="NoSpacing"/>
      </w:pPr>
    </w:p>
    <w:p w:rsidR="00F76FE1" w:rsidRPr="00F76FE1" w:rsidRDefault="00F76FE1" w:rsidP="00F76FE1">
      <w:pPr>
        <w:autoSpaceDE w:val="0"/>
        <w:autoSpaceDN w:val="0"/>
        <w:adjustRightInd w:val="0"/>
        <w:spacing w:after="0" w:line="240" w:lineRule="auto"/>
        <w:rPr>
          <w:rFonts w:cstheme="minorHAnsi"/>
        </w:rPr>
      </w:pPr>
      <w:r w:rsidRPr="00F76FE1">
        <w:rPr>
          <w:rFonts w:cstheme="minorHAnsi"/>
        </w:rPr>
        <w:t>Officially opened by Premier Daniel</w:t>
      </w:r>
      <w:r>
        <w:rPr>
          <w:rFonts w:cstheme="minorHAnsi"/>
        </w:rPr>
        <w:t xml:space="preserve"> </w:t>
      </w:r>
      <w:r w:rsidRPr="00F76FE1">
        <w:rPr>
          <w:rFonts w:cstheme="minorHAnsi"/>
        </w:rPr>
        <w:t>Andrews, the Precinct was specifically</w:t>
      </w:r>
      <w:r>
        <w:rPr>
          <w:rFonts w:cstheme="minorHAnsi"/>
        </w:rPr>
        <w:t xml:space="preserve"> </w:t>
      </w:r>
      <w:r w:rsidRPr="00F76FE1">
        <w:rPr>
          <w:rFonts w:cstheme="minorHAnsi"/>
        </w:rPr>
        <w:t>designed to meet the changing training</w:t>
      </w:r>
      <w:r>
        <w:rPr>
          <w:rFonts w:cstheme="minorHAnsi"/>
        </w:rPr>
        <w:t xml:space="preserve"> </w:t>
      </w:r>
      <w:r w:rsidRPr="00F76FE1">
        <w:rPr>
          <w:rFonts w:cstheme="minorHAnsi"/>
        </w:rPr>
        <w:t>and education needs of the region,</w:t>
      </w:r>
      <w:r>
        <w:rPr>
          <w:rFonts w:cstheme="minorHAnsi"/>
        </w:rPr>
        <w:t xml:space="preserve"> </w:t>
      </w:r>
      <w:r w:rsidRPr="00F76FE1">
        <w:rPr>
          <w:rFonts w:cstheme="minorHAnsi"/>
        </w:rPr>
        <w:t>ensuring students have the skills they</w:t>
      </w:r>
      <w:r>
        <w:rPr>
          <w:rFonts w:cstheme="minorHAnsi"/>
        </w:rPr>
        <w:t xml:space="preserve"> </w:t>
      </w:r>
      <w:r w:rsidRPr="00F76FE1">
        <w:rPr>
          <w:rFonts w:cstheme="minorHAnsi"/>
        </w:rPr>
        <w:t>need to enter the workforce.</w:t>
      </w:r>
    </w:p>
    <w:p w:rsidR="004A75EA" w:rsidRDefault="004A75EA" w:rsidP="00F76FE1">
      <w:pPr>
        <w:autoSpaceDE w:val="0"/>
        <w:autoSpaceDN w:val="0"/>
        <w:adjustRightInd w:val="0"/>
        <w:spacing w:after="0" w:line="240" w:lineRule="auto"/>
        <w:rPr>
          <w:rFonts w:cstheme="minorHAnsi"/>
        </w:rPr>
      </w:pPr>
    </w:p>
    <w:p w:rsidR="00F76FE1" w:rsidRPr="00F76FE1" w:rsidRDefault="00F76FE1" w:rsidP="00F76FE1">
      <w:pPr>
        <w:autoSpaceDE w:val="0"/>
        <w:autoSpaceDN w:val="0"/>
        <w:adjustRightInd w:val="0"/>
        <w:spacing w:after="0" w:line="240" w:lineRule="auto"/>
        <w:rPr>
          <w:rFonts w:cstheme="minorHAnsi"/>
        </w:rPr>
      </w:pPr>
      <w:r w:rsidRPr="00F76FE1">
        <w:rPr>
          <w:rFonts w:cstheme="minorHAnsi"/>
        </w:rPr>
        <w:t>Consisting of two buildings, the Precinct</w:t>
      </w:r>
      <w:r>
        <w:rPr>
          <w:rFonts w:cstheme="minorHAnsi"/>
        </w:rPr>
        <w:t xml:space="preserve"> </w:t>
      </w:r>
      <w:r w:rsidRPr="00F76FE1">
        <w:rPr>
          <w:rFonts w:cstheme="minorHAnsi"/>
        </w:rPr>
        <w:t>has the capacity to train nearly 4,000</w:t>
      </w:r>
      <w:r>
        <w:rPr>
          <w:rFonts w:cstheme="minorHAnsi"/>
        </w:rPr>
        <w:t xml:space="preserve"> </w:t>
      </w:r>
      <w:r w:rsidRPr="00F76FE1">
        <w:rPr>
          <w:rFonts w:cstheme="minorHAnsi"/>
        </w:rPr>
        <w:t>students at one time.</w:t>
      </w:r>
    </w:p>
    <w:p w:rsidR="00F76FE1" w:rsidRPr="00F76FE1" w:rsidRDefault="00F76FE1" w:rsidP="00F76FE1">
      <w:pPr>
        <w:autoSpaceDE w:val="0"/>
        <w:autoSpaceDN w:val="0"/>
        <w:adjustRightInd w:val="0"/>
        <w:spacing w:after="0" w:line="240" w:lineRule="auto"/>
        <w:rPr>
          <w:rFonts w:cstheme="minorHAnsi"/>
        </w:rPr>
      </w:pPr>
      <w:r w:rsidRPr="00F76FE1">
        <w:rPr>
          <w:rFonts w:cstheme="minorHAnsi"/>
        </w:rPr>
        <w:t>Building A is dedicated to nursing and</w:t>
      </w:r>
      <w:r>
        <w:rPr>
          <w:rFonts w:cstheme="minorHAnsi"/>
        </w:rPr>
        <w:t xml:space="preserve"> </w:t>
      </w:r>
      <w:r w:rsidRPr="00F76FE1">
        <w:rPr>
          <w:rFonts w:cstheme="minorHAnsi"/>
        </w:rPr>
        <w:t>health, early childhood education,</w:t>
      </w:r>
      <w:r>
        <w:rPr>
          <w:rFonts w:cstheme="minorHAnsi"/>
        </w:rPr>
        <w:t xml:space="preserve"> </w:t>
      </w:r>
      <w:r w:rsidRPr="00F76FE1">
        <w:rPr>
          <w:rFonts w:cstheme="minorHAnsi"/>
        </w:rPr>
        <w:t>and hair, beauty and wellness. It</w:t>
      </w:r>
      <w:r>
        <w:rPr>
          <w:rFonts w:cstheme="minorHAnsi"/>
        </w:rPr>
        <w:t xml:space="preserve"> </w:t>
      </w:r>
      <w:r w:rsidRPr="00F76FE1">
        <w:rPr>
          <w:rFonts w:cstheme="minorHAnsi"/>
        </w:rPr>
        <w:t>includes model health wards and a</w:t>
      </w:r>
      <w:r>
        <w:rPr>
          <w:rFonts w:cstheme="minorHAnsi"/>
        </w:rPr>
        <w:t xml:space="preserve"> </w:t>
      </w:r>
      <w:r w:rsidRPr="00F76FE1">
        <w:rPr>
          <w:rFonts w:cstheme="minorHAnsi"/>
        </w:rPr>
        <w:t>fully-functional spa which replicate the</w:t>
      </w:r>
      <w:r>
        <w:rPr>
          <w:rFonts w:cstheme="minorHAnsi"/>
        </w:rPr>
        <w:t xml:space="preserve"> </w:t>
      </w:r>
      <w:r w:rsidRPr="00F76FE1">
        <w:rPr>
          <w:rFonts w:cstheme="minorHAnsi"/>
        </w:rPr>
        <w:t>modern workplace.</w:t>
      </w:r>
    </w:p>
    <w:p w:rsidR="004A75EA" w:rsidRDefault="004A75EA" w:rsidP="00F76FE1">
      <w:pPr>
        <w:autoSpaceDE w:val="0"/>
        <w:autoSpaceDN w:val="0"/>
        <w:adjustRightInd w:val="0"/>
        <w:spacing w:after="0" w:line="240" w:lineRule="auto"/>
        <w:rPr>
          <w:rFonts w:cstheme="minorHAnsi"/>
        </w:rPr>
      </w:pPr>
    </w:p>
    <w:p w:rsidR="00F76FE1" w:rsidRPr="00F76FE1" w:rsidRDefault="00F76FE1" w:rsidP="00F76FE1">
      <w:pPr>
        <w:autoSpaceDE w:val="0"/>
        <w:autoSpaceDN w:val="0"/>
        <w:adjustRightInd w:val="0"/>
        <w:spacing w:after="0" w:line="240" w:lineRule="auto"/>
        <w:rPr>
          <w:rFonts w:cstheme="minorHAnsi"/>
        </w:rPr>
      </w:pPr>
      <w:r w:rsidRPr="00F76FE1">
        <w:rPr>
          <w:rFonts w:cstheme="minorHAnsi"/>
        </w:rPr>
        <w:t>Building B recreates the real-world</w:t>
      </w:r>
      <w:r>
        <w:rPr>
          <w:rFonts w:cstheme="minorHAnsi"/>
        </w:rPr>
        <w:t xml:space="preserve"> </w:t>
      </w:r>
      <w:r w:rsidRPr="00F76FE1">
        <w:rPr>
          <w:rFonts w:cstheme="minorHAnsi"/>
        </w:rPr>
        <w:t>environment of technical trade sites for</w:t>
      </w:r>
      <w:r>
        <w:rPr>
          <w:rFonts w:cstheme="minorHAnsi"/>
        </w:rPr>
        <w:t xml:space="preserve"> </w:t>
      </w:r>
      <w:r w:rsidRPr="00F76FE1">
        <w:rPr>
          <w:rFonts w:cstheme="minorHAnsi"/>
        </w:rPr>
        <w:t>students enrolled in courses in building</w:t>
      </w:r>
      <w:r>
        <w:rPr>
          <w:rFonts w:cstheme="minorHAnsi"/>
        </w:rPr>
        <w:t xml:space="preserve"> </w:t>
      </w:r>
      <w:r w:rsidRPr="00F76FE1">
        <w:rPr>
          <w:rFonts w:cstheme="minorHAnsi"/>
        </w:rPr>
        <w:t>and construction, plumbing, electrical,</w:t>
      </w:r>
      <w:r>
        <w:rPr>
          <w:rFonts w:cstheme="minorHAnsi"/>
        </w:rPr>
        <w:t xml:space="preserve"> </w:t>
      </w:r>
      <w:r w:rsidRPr="00F76FE1">
        <w:rPr>
          <w:rFonts w:cstheme="minorHAnsi"/>
        </w:rPr>
        <w:t>engineering and electro technology.</w:t>
      </w:r>
    </w:p>
    <w:p w:rsidR="00F76FE1" w:rsidRDefault="00F76FE1" w:rsidP="00F76FE1">
      <w:pPr>
        <w:autoSpaceDE w:val="0"/>
        <w:autoSpaceDN w:val="0"/>
        <w:adjustRightInd w:val="0"/>
        <w:spacing w:after="0" w:line="240" w:lineRule="auto"/>
        <w:rPr>
          <w:rFonts w:cstheme="minorHAnsi"/>
        </w:rPr>
      </w:pPr>
      <w:r w:rsidRPr="00F76FE1">
        <w:rPr>
          <w:rFonts w:cstheme="minorHAnsi"/>
        </w:rPr>
        <w:t>Sustainability was also a key driver in</w:t>
      </w:r>
      <w:r>
        <w:rPr>
          <w:rFonts w:cstheme="minorHAnsi"/>
        </w:rPr>
        <w:t xml:space="preserve"> </w:t>
      </w:r>
      <w:r w:rsidRPr="00F76FE1">
        <w:rPr>
          <w:rFonts w:cstheme="minorHAnsi"/>
        </w:rPr>
        <w:t>the precinct’s design. The buildings are</w:t>
      </w:r>
      <w:r>
        <w:rPr>
          <w:rFonts w:cstheme="minorHAnsi"/>
        </w:rPr>
        <w:t xml:space="preserve"> </w:t>
      </w:r>
      <w:r w:rsidRPr="00F76FE1">
        <w:rPr>
          <w:rFonts w:cstheme="minorHAnsi"/>
        </w:rPr>
        <w:t>fitted with EcoSoft carpets made from</w:t>
      </w:r>
      <w:r>
        <w:rPr>
          <w:rFonts w:cstheme="minorHAnsi"/>
        </w:rPr>
        <w:t xml:space="preserve"> </w:t>
      </w:r>
      <w:r w:rsidRPr="00F76FE1">
        <w:rPr>
          <w:rFonts w:cstheme="minorHAnsi"/>
        </w:rPr>
        <w:t>400,000 recycled bottles which would</w:t>
      </w:r>
      <w:r>
        <w:rPr>
          <w:rFonts w:cstheme="minorHAnsi"/>
        </w:rPr>
        <w:t xml:space="preserve"> </w:t>
      </w:r>
      <w:r w:rsidRPr="00F76FE1">
        <w:rPr>
          <w:rFonts w:cstheme="minorHAnsi"/>
        </w:rPr>
        <w:t>have otherwise ended up in landfill.</w:t>
      </w:r>
    </w:p>
    <w:p w:rsidR="00F76FE1" w:rsidRPr="00F76FE1" w:rsidRDefault="00F76FE1" w:rsidP="00F76FE1">
      <w:pPr>
        <w:autoSpaceDE w:val="0"/>
        <w:autoSpaceDN w:val="0"/>
        <w:adjustRightInd w:val="0"/>
        <w:spacing w:after="0" w:line="240" w:lineRule="auto"/>
        <w:rPr>
          <w:rFonts w:cstheme="minorHAnsi"/>
        </w:rPr>
      </w:pPr>
      <w:r w:rsidRPr="00F76FE1">
        <w:rPr>
          <w:rFonts w:cstheme="minorHAnsi"/>
        </w:rPr>
        <w:t>Following on from the official opening,</w:t>
      </w:r>
      <w:r>
        <w:rPr>
          <w:rFonts w:cstheme="minorHAnsi"/>
        </w:rPr>
        <w:t xml:space="preserve"> </w:t>
      </w:r>
      <w:r w:rsidRPr="00F76FE1">
        <w:rPr>
          <w:rFonts w:cstheme="minorHAnsi"/>
        </w:rPr>
        <w:t>the community was invited to attend a</w:t>
      </w:r>
      <w:r>
        <w:rPr>
          <w:rFonts w:cstheme="minorHAnsi"/>
        </w:rPr>
        <w:t xml:space="preserve"> </w:t>
      </w:r>
      <w:r w:rsidRPr="00F76FE1">
        <w:rPr>
          <w:rFonts w:cstheme="minorHAnsi"/>
        </w:rPr>
        <w:t>dedicated Community Open Day event,</w:t>
      </w:r>
      <w:r>
        <w:rPr>
          <w:rFonts w:cstheme="minorHAnsi"/>
        </w:rPr>
        <w:t xml:space="preserve"> </w:t>
      </w:r>
      <w:r w:rsidRPr="00F76FE1">
        <w:rPr>
          <w:rFonts w:cstheme="minorHAnsi"/>
        </w:rPr>
        <w:t>which included guided tours of the</w:t>
      </w:r>
      <w:r>
        <w:rPr>
          <w:rFonts w:cstheme="minorHAnsi"/>
        </w:rPr>
        <w:t xml:space="preserve"> </w:t>
      </w:r>
      <w:r w:rsidRPr="00F76FE1">
        <w:rPr>
          <w:rFonts w:cstheme="minorHAnsi"/>
        </w:rPr>
        <w:t>Precinct.</w:t>
      </w:r>
    </w:p>
    <w:p w:rsidR="004A75EA" w:rsidRDefault="004A75EA" w:rsidP="00F76FE1">
      <w:pPr>
        <w:autoSpaceDE w:val="0"/>
        <w:autoSpaceDN w:val="0"/>
        <w:adjustRightInd w:val="0"/>
        <w:spacing w:after="0" w:line="240" w:lineRule="auto"/>
        <w:rPr>
          <w:rFonts w:cstheme="minorHAnsi"/>
        </w:rPr>
      </w:pPr>
    </w:p>
    <w:p w:rsidR="00F76FE1" w:rsidRPr="00F76FE1" w:rsidRDefault="00F76FE1" w:rsidP="00F76FE1">
      <w:pPr>
        <w:autoSpaceDE w:val="0"/>
        <w:autoSpaceDN w:val="0"/>
        <w:adjustRightInd w:val="0"/>
        <w:spacing w:after="0" w:line="240" w:lineRule="auto"/>
        <w:rPr>
          <w:rFonts w:cstheme="minorHAnsi"/>
        </w:rPr>
      </w:pPr>
      <w:r w:rsidRPr="00F76FE1">
        <w:rPr>
          <w:rFonts w:cstheme="minorHAnsi"/>
        </w:rPr>
        <w:t>Stage 2 of the Chisholm Frankston</w:t>
      </w:r>
      <w:r>
        <w:rPr>
          <w:rFonts w:cstheme="minorHAnsi"/>
        </w:rPr>
        <w:t xml:space="preserve"> </w:t>
      </w:r>
      <w:r w:rsidRPr="00F76FE1">
        <w:rPr>
          <w:rFonts w:cstheme="minorHAnsi"/>
        </w:rPr>
        <w:t>campus project will replace existing</w:t>
      </w:r>
      <w:r>
        <w:rPr>
          <w:rFonts w:cstheme="minorHAnsi"/>
        </w:rPr>
        <w:t xml:space="preserve"> </w:t>
      </w:r>
      <w:r w:rsidRPr="00F76FE1">
        <w:rPr>
          <w:rFonts w:cstheme="minorHAnsi"/>
        </w:rPr>
        <w:t>buildings C and E with a modern, cutting</w:t>
      </w:r>
      <w:r>
        <w:rPr>
          <w:rFonts w:cstheme="minorHAnsi"/>
        </w:rPr>
        <w:t xml:space="preserve"> </w:t>
      </w:r>
      <w:r w:rsidRPr="00F76FE1">
        <w:rPr>
          <w:rFonts w:cstheme="minorHAnsi"/>
        </w:rPr>
        <w:t>edge, multi-level learning facility.</w:t>
      </w:r>
    </w:p>
    <w:p w:rsidR="00FD3A76" w:rsidRDefault="00FD3A76" w:rsidP="005942B8">
      <w:pPr>
        <w:pStyle w:val="NoSpacing"/>
      </w:pPr>
    </w:p>
    <w:p w:rsidR="004A75EA" w:rsidRDefault="004A75EA" w:rsidP="005942B8">
      <w:pPr>
        <w:pStyle w:val="NoSpacing"/>
      </w:pPr>
      <w:r>
        <w:t>&lt;page 17&gt;</w:t>
      </w:r>
    </w:p>
    <w:p w:rsidR="004A75EA" w:rsidRDefault="004A75EA" w:rsidP="005942B8">
      <w:pPr>
        <w:pStyle w:val="NoSpacing"/>
      </w:pPr>
    </w:p>
    <w:p w:rsidR="004A75EA" w:rsidRDefault="004A75EA" w:rsidP="004A75EA">
      <w:pPr>
        <w:pStyle w:val="Heading2"/>
      </w:pPr>
      <w:r>
        <w:t>Mysa Salon and Spa at Chisholm</w:t>
      </w:r>
    </w:p>
    <w:p w:rsidR="004A75EA" w:rsidRDefault="004A75EA" w:rsidP="005942B8">
      <w:pPr>
        <w:pStyle w:val="NoSpacing"/>
      </w:pPr>
    </w:p>
    <w:p w:rsidR="004A75EA" w:rsidRPr="004A75EA" w:rsidRDefault="004A75EA" w:rsidP="004A75EA">
      <w:pPr>
        <w:autoSpaceDE w:val="0"/>
        <w:autoSpaceDN w:val="0"/>
        <w:adjustRightInd w:val="0"/>
        <w:spacing w:after="0" w:line="240" w:lineRule="auto"/>
        <w:rPr>
          <w:rFonts w:cstheme="minorHAnsi"/>
        </w:rPr>
      </w:pPr>
      <w:r w:rsidRPr="004A75EA">
        <w:rPr>
          <w:rFonts w:cstheme="minorHAnsi"/>
        </w:rPr>
        <w:t>As the learning experience for students</w:t>
      </w:r>
      <w:r>
        <w:rPr>
          <w:rFonts w:cstheme="minorHAnsi"/>
        </w:rPr>
        <w:t xml:space="preserve"> </w:t>
      </w:r>
      <w:r w:rsidRPr="004A75EA">
        <w:rPr>
          <w:rFonts w:cstheme="minorHAnsi"/>
        </w:rPr>
        <w:t>shifts to ensure that individual training</w:t>
      </w:r>
      <w:r>
        <w:rPr>
          <w:rFonts w:cstheme="minorHAnsi"/>
        </w:rPr>
        <w:t xml:space="preserve"> </w:t>
      </w:r>
      <w:r w:rsidRPr="004A75EA">
        <w:rPr>
          <w:rFonts w:cstheme="minorHAnsi"/>
        </w:rPr>
        <w:t>aligns with workplace requirements,</w:t>
      </w:r>
      <w:r>
        <w:rPr>
          <w:rFonts w:cstheme="minorHAnsi"/>
        </w:rPr>
        <w:t xml:space="preserve"> </w:t>
      </w:r>
      <w:r w:rsidRPr="004A75EA">
        <w:rPr>
          <w:rFonts w:cstheme="minorHAnsi"/>
        </w:rPr>
        <w:t>research highlights the need for more</w:t>
      </w:r>
      <w:r>
        <w:rPr>
          <w:rFonts w:cstheme="minorHAnsi"/>
        </w:rPr>
        <w:t xml:space="preserve"> </w:t>
      </w:r>
      <w:r w:rsidRPr="004A75EA">
        <w:rPr>
          <w:rFonts w:cstheme="minorHAnsi"/>
        </w:rPr>
        <w:t>exceptional work experiences, and</w:t>
      </w:r>
      <w:r>
        <w:rPr>
          <w:rFonts w:cstheme="minorHAnsi"/>
        </w:rPr>
        <w:t xml:space="preserve"> </w:t>
      </w:r>
      <w:r w:rsidRPr="004A75EA">
        <w:rPr>
          <w:rFonts w:cstheme="minorHAnsi"/>
        </w:rPr>
        <w:t>improved training of transferrable skills.</w:t>
      </w:r>
    </w:p>
    <w:p w:rsidR="004A75EA" w:rsidRDefault="004A75EA" w:rsidP="004A75EA">
      <w:pPr>
        <w:autoSpaceDE w:val="0"/>
        <w:autoSpaceDN w:val="0"/>
        <w:adjustRightInd w:val="0"/>
        <w:spacing w:after="0" w:line="240" w:lineRule="auto"/>
        <w:rPr>
          <w:rFonts w:cstheme="minorHAnsi"/>
        </w:rPr>
      </w:pPr>
    </w:p>
    <w:p w:rsidR="004A75EA" w:rsidRPr="004A75EA" w:rsidRDefault="004A75EA" w:rsidP="004A75EA">
      <w:pPr>
        <w:autoSpaceDE w:val="0"/>
        <w:autoSpaceDN w:val="0"/>
        <w:adjustRightInd w:val="0"/>
        <w:spacing w:after="0" w:line="240" w:lineRule="auto"/>
        <w:rPr>
          <w:rFonts w:cstheme="minorHAnsi"/>
        </w:rPr>
      </w:pPr>
      <w:r w:rsidRPr="004A75EA">
        <w:rPr>
          <w:rFonts w:cstheme="minorHAnsi"/>
        </w:rPr>
        <w:t>And it’s the education programs</w:t>
      </w:r>
      <w:r>
        <w:rPr>
          <w:rFonts w:cstheme="minorHAnsi"/>
        </w:rPr>
        <w:t xml:space="preserve"> </w:t>
      </w:r>
      <w:r w:rsidRPr="004A75EA">
        <w:rPr>
          <w:rFonts w:cstheme="minorHAnsi"/>
        </w:rPr>
        <w:t>delivered from the public-facing Mysa</w:t>
      </w:r>
      <w:r>
        <w:rPr>
          <w:rFonts w:cstheme="minorHAnsi"/>
        </w:rPr>
        <w:t xml:space="preserve"> </w:t>
      </w:r>
      <w:r w:rsidRPr="004A75EA">
        <w:rPr>
          <w:rFonts w:cstheme="minorHAnsi"/>
        </w:rPr>
        <w:t>Salon and Spa that will change the</w:t>
      </w:r>
      <w:r>
        <w:rPr>
          <w:rFonts w:cstheme="minorHAnsi"/>
        </w:rPr>
        <w:t xml:space="preserve"> </w:t>
      </w:r>
      <w:r w:rsidRPr="004A75EA">
        <w:rPr>
          <w:rFonts w:cstheme="minorHAnsi"/>
        </w:rPr>
        <w:t>game for the Hair and Beauty training</w:t>
      </w:r>
      <w:r>
        <w:rPr>
          <w:rFonts w:cstheme="minorHAnsi"/>
        </w:rPr>
        <w:t xml:space="preserve"> </w:t>
      </w:r>
      <w:r w:rsidRPr="004A75EA">
        <w:rPr>
          <w:rFonts w:cstheme="minorHAnsi"/>
        </w:rPr>
        <w:t>and education sector.</w:t>
      </w:r>
    </w:p>
    <w:p w:rsidR="004A75EA" w:rsidRPr="004A75EA" w:rsidRDefault="004A75EA" w:rsidP="004A75EA">
      <w:pPr>
        <w:autoSpaceDE w:val="0"/>
        <w:autoSpaceDN w:val="0"/>
        <w:adjustRightInd w:val="0"/>
        <w:spacing w:after="0" w:line="240" w:lineRule="auto"/>
        <w:rPr>
          <w:rFonts w:cstheme="minorHAnsi"/>
        </w:rPr>
      </w:pPr>
      <w:r w:rsidRPr="004A75EA">
        <w:rPr>
          <w:rFonts w:cstheme="minorHAnsi"/>
        </w:rPr>
        <w:t>The Mysa Salon and Spa was opened</w:t>
      </w:r>
      <w:r>
        <w:rPr>
          <w:rFonts w:cstheme="minorHAnsi"/>
        </w:rPr>
        <w:t xml:space="preserve"> </w:t>
      </w:r>
      <w:r w:rsidRPr="004A75EA">
        <w:rPr>
          <w:rFonts w:cstheme="minorHAnsi"/>
        </w:rPr>
        <w:t>in 2019, and is a dedicated wellness</w:t>
      </w:r>
      <w:r>
        <w:rPr>
          <w:rFonts w:cstheme="minorHAnsi"/>
        </w:rPr>
        <w:t xml:space="preserve"> </w:t>
      </w:r>
      <w:r w:rsidRPr="004A75EA">
        <w:rPr>
          <w:rFonts w:cstheme="minorHAnsi"/>
        </w:rPr>
        <w:t>space within the Frankston Learning and</w:t>
      </w:r>
      <w:r>
        <w:rPr>
          <w:rFonts w:cstheme="minorHAnsi"/>
        </w:rPr>
        <w:t xml:space="preserve"> </w:t>
      </w:r>
      <w:r w:rsidRPr="004A75EA">
        <w:rPr>
          <w:rFonts w:cstheme="minorHAnsi"/>
        </w:rPr>
        <w:t>Innovation Precinct that mirrors industry</w:t>
      </w:r>
      <w:r>
        <w:rPr>
          <w:rFonts w:cstheme="minorHAnsi"/>
        </w:rPr>
        <w:t xml:space="preserve"> </w:t>
      </w:r>
      <w:r w:rsidRPr="004A75EA">
        <w:rPr>
          <w:rFonts w:cstheme="minorHAnsi"/>
        </w:rPr>
        <w:t>settings and supports graduates of the</w:t>
      </w:r>
      <w:r>
        <w:rPr>
          <w:rFonts w:cstheme="minorHAnsi"/>
        </w:rPr>
        <w:t xml:space="preserve"> </w:t>
      </w:r>
      <w:r w:rsidRPr="004A75EA">
        <w:rPr>
          <w:rFonts w:cstheme="minorHAnsi"/>
        </w:rPr>
        <w:t>future with the most modern equipment,</w:t>
      </w:r>
      <w:r>
        <w:rPr>
          <w:rFonts w:cstheme="minorHAnsi"/>
        </w:rPr>
        <w:t xml:space="preserve"> </w:t>
      </w:r>
      <w:r w:rsidRPr="004A75EA">
        <w:rPr>
          <w:rFonts w:cstheme="minorHAnsi"/>
        </w:rPr>
        <w:t>and immersion in a salon and spa setting.</w:t>
      </w:r>
    </w:p>
    <w:p w:rsidR="004A75EA" w:rsidRPr="004A75EA" w:rsidRDefault="004A75EA" w:rsidP="004A75EA">
      <w:pPr>
        <w:autoSpaceDE w:val="0"/>
        <w:autoSpaceDN w:val="0"/>
        <w:adjustRightInd w:val="0"/>
        <w:spacing w:after="0" w:line="240" w:lineRule="auto"/>
        <w:rPr>
          <w:rFonts w:cstheme="minorHAnsi"/>
        </w:rPr>
      </w:pPr>
      <w:r w:rsidRPr="004A75EA">
        <w:rPr>
          <w:rFonts w:cstheme="minorHAnsi"/>
        </w:rPr>
        <w:t>With a 20-metre frontage onto Fletcher</w:t>
      </w:r>
      <w:r>
        <w:rPr>
          <w:rFonts w:cstheme="minorHAnsi"/>
        </w:rPr>
        <w:t xml:space="preserve"> </w:t>
      </w:r>
      <w:r w:rsidRPr="004A75EA">
        <w:rPr>
          <w:rFonts w:cstheme="minorHAnsi"/>
        </w:rPr>
        <w:t>Road, Mysa Salon and Spa will evolve</w:t>
      </w:r>
      <w:r>
        <w:rPr>
          <w:rFonts w:cstheme="minorHAnsi"/>
        </w:rPr>
        <w:t xml:space="preserve"> </w:t>
      </w:r>
      <w:r w:rsidRPr="004A75EA">
        <w:rPr>
          <w:rFonts w:cstheme="minorHAnsi"/>
        </w:rPr>
        <w:t>to become an entirely public-facing</w:t>
      </w:r>
      <w:r>
        <w:rPr>
          <w:rFonts w:cstheme="minorHAnsi"/>
        </w:rPr>
        <w:t xml:space="preserve"> </w:t>
      </w:r>
      <w:r w:rsidRPr="004A75EA">
        <w:rPr>
          <w:rFonts w:cstheme="minorHAnsi"/>
        </w:rPr>
        <w:t>business operation.</w:t>
      </w:r>
    </w:p>
    <w:p w:rsidR="004A75EA" w:rsidRDefault="004A75EA" w:rsidP="004A75EA">
      <w:pPr>
        <w:autoSpaceDE w:val="0"/>
        <w:autoSpaceDN w:val="0"/>
        <w:adjustRightInd w:val="0"/>
        <w:spacing w:after="0" w:line="240" w:lineRule="auto"/>
        <w:rPr>
          <w:rFonts w:cstheme="minorHAnsi"/>
        </w:rPr>
      </w:pPr>
    </w:p>
    <w:p w:rsidR="004A75EA" w:rsidRPr="004A75EA" w:rsidRDefault="004A75EA" w:rsidP="004A75EA">
      <w:pPr>
        <w:autoSpaceDE w:val="0"/>
        <w:autoSpaceDN w:val="0"/>
        <w:adjustRightInd w:val="0"/>
        <w:spacing w:after="0" w:line="240" w:lineRule="auto"/>
        <w:rPr>
          <w:rFonts w:cstheme="minorHAnsi"/>
        </w:rPr>
      </w:pPr>
      <w:r w:rsidRPr="004A75EA">
        <w:rPr>
          <w:rFonts w:cstheme="minorHAnsi"/>
        </w:rPr>
        <w:t>Offering a full suite of beauty, hair and</w:t>
      </w:r>
      <w:r>
        <w:rPr>
          <w:rFonts w:cstheme="minorHAnsi"/>
        </w:rPr>
        <w:t xml:space="preserve"> </w:t>
      </w:r>
      <w:r w:rsidRPr="004A75EA">
        <w:rPr>
          <w:rFonts w:cstheme="minorHAnsi"/>
        </w:rPr>
        <w:t>wellness services, Chisholm students,</w:t>
      </w:r>
      <w:r>
        <w:rPr>
          <w:rFonts w:cstheme="minorHAnsi"/>
        </w:rPr>
        <w:t xml:space="preserve"> </w:t>
      </w:r>
      <w:r w:rsidRPr="004A75EA">
        <w:rPr>
          <w:rFonts w:cstheme="minorHAnsi"/>
        </w:rPr>
        <w:t>apprentices and trainees will manage</w:t>
      </w:r>
      <w:r>
        <w:rPr>
          <w:rFonts w:cstheme="minorHAnsi"/>
        </w:rPr>
        <w:t xml:space="preserve"> </w:t>
      </w:r>
      <w:r w:rsidRPr="004A75EA">
        <w:rPr>
          <w:rFonts w:cstheme="minorHAnsi"/>
        </w:rPr>
        <w:t>the day-to-day operations of the</w:t>
      </w:r>
      <w:r>
        <w:rPr>
          <w:rFonts w:cstheme="minorHAnsi"/>
        </w:rPr>
        <w:t xml:space="preserve"> </w:t>
      </w:r>
      <w:r w:rsidRPr="004A75EA">
        <w:rPr>
          <w:rFonts w:cstheme="minorHAnsi"/>
        </w:rPr>
        <w:t>business. Through this experience,</w:t>
      </w:r>
      <w:r>
        <w:rPr>
          <w:rFonts w:cstheme="minorHAnsi"/>
        </w:rPr>
        <w:t xml:space="preserve"> </w:t>
      </w:r>
      <w:r w:rsidRPr="004A75EA">
        <w:rPr>
          <w:rFonts w:cstheme="minorHAnsi"/>
        </w:rPr>
        <w:t>they’ll receive extensive training in an</w:t>
      </w:r>
      <w:r>
        <w:rPr>
          <w:rFonts w:cstheme="minorHAnsi"/>
        </w:rPr>
        <w:t xml:space="preserve"> </w:t>
      </w:r>
      <w:r w:rsidRPr="004A75EA">
        <w:rPr>
          <w:rFonts w:cstheme="minorHAnsi"/>
        </w:rPr>
        <w:t>authentic workplace environment that</w:t>
      </w:r>
      <w:r>
        <w:rPr>
          <w:rFonts w:cstheme="minorHAnsi"/>
        </w:rPr>
        <w:t xml:space="preserve"> </w:t>
      </w:r>
      <w:r w:rsidRPr="004A75EA">
        <w:rPr>
          <w:rFonts w:cstheme="minorHAnsi"/>
        </w:rPr>
        <w:t>involves business awareness, customer</w:t>
      </w:r>
      <w:r>
        <w:rPr>
          <w:rFonts w:cstheme="minorHAnsi"/>
        </w:rPr>
        <w:t xml:space="preserve"> </w:t>
      </w:r>
      <w:r w:rsidRPr="004A75EA">
        <w:rPr>
          <w:rFonts w:cstheme="minorHAnsi"/>
        </w:rPr>
        <w:t>engagement, time management, and</w:t>
      </w:r>
      <w:r>
        <w:rPr>
          <w:rFonts w:cstheme="minorHAnsi"/>
        </w:rPr>
        <w:t xml:space="preserve"> </w:t>
      </w:r>
      <w:r w:rsidRPr="004A75EA">
        <w:rPr>
          <w:rFonts w:cstheme="minorHAnsi"/>
        </w:rPr>
        <w:t>peer-to-peer cooperation.</w:t>
      </w:r>
    </w:p>
    <w:p w:rsidR="004A75EA" w:rsidRDefault="004A75EA" w:rsidP="004A75EA">
      <w:pPr>
        <w:autoSpaceDE w:val="0"/>
        <w:autoSpaceDN w:val="0"/>
        <w:adjustRightInd w:val="0"/>
        <w:spacing w:after="0" w:line="240" w:lineRule="auto"/>
        <w:rPr>
          <w:rFonts w:cstheme="minorHAnsi"/>
        </w:rPr>
      </w:pPr>
    </w:p>
    <w:p w:rsidR="004A75EA" w:rsidRPr="004A75EA" w:rsidRDefault="004A75EA" w:rsidP="004A75EA">
      <w:pPr>
        <w:autoSpaceDE w:val="0"/>
        <w:autoSpaceDN w:val="0"/>
        <w:adjustRightInd w:val="0"/>
        <w:spacing w:after="0" w:line="240" w:lineRule="auto"/>
        <w:rPr>
          <w:rFonts w:cstheme="minorHAnsi"/>
        </w:rPr>
      </w:pPr>
      <w:r w:rsidRPr="004A75EA">
        <w:rPr>
          <w:rFonts w:cstheme="minorHAnsi"/>
        </w:rPr>
        <w:t>Research has shown that these</w:t>
      </w:r>
      <w:r>
        <w:rPr>
          <w:rFonts w:cstheme="minorHAnsi"/>
        </w:rPr>
        <w:t xml:space="preserve"> </w:t>
      </w:r>
      <w:r w:rsidRPr="004A75EA">
        <w:rPr>
          <w:rFonts w:cstheme="minorHAnsi"/>
        </w:rPr>
        <w:t>transferrable enterprise skills are a</w:t>
      </w:r>
      <w:r>
        <w:rPr>
          <w:rFonts w:cstheme="minorHAnsi"/>
        </w:rPr>
        <w:t xml:space="preserve"> </w:t>
      </w:r>
      <w:r w:rsidRPr="004A75EA">
        <w:rPr>
          <w:rFonts w:cstheme="minorHAnsi"/>
        </w:rPr>
        <w:t>powerful predictor of long-term job</w:t>
      </w:r>
      <w:r>
        <w:rPr>
          <w:rFonts w:cstheme="minorHAnsi"/>
        </w:rPr>
        <w:t xml:space="preserve"> </w:t>
      </w:r>
      <w:r w:rsidRPr="004A75EA">
        <w:rPr>
          <w:rFonts w:cstheme="minorHAnsi"/>
        </w:rPr>
        <w:t>success. Together with the industry</w:t>
      </w:r>
      <w:r>
        <w:rPr>
          <w:rFonts w:cstheme="minorHAnsi"/>
        </w:rPr>
        <w:t xml:space="preserve"> </w:t>
      </w:r>
      <w:r w:rsidRPr="004A75EA">
        <w:rPr>
          <w:rFonts w:cstheme="minorHAnsi"/>
        </w:rPr>
        <w:t>based</w:t>
      </w:r>
      <w:r>
        <w:rPr>
          <w:rFonts w:cstheme="minorHAnsi"/>
        </w:rPr>
        <w:t xml:space="preserve"> </w:t>
      </w:r>
      <w:r w:rsidRPr="004A75EA">
        <w:rPr>
          <w:rFonts w:cstheme="minorHAnsi"/>
        </w:rPr>
        <w:t>skill requirements for the Hair,</w:t>
      </w:r>
      <w:r>
        <w:rPr>
          <w:rFonts w:cstheme="minorHAnsi"/>
        </w:rPr>
        <w:t xml:space="preserve"> </w:t>
      </w:r>
      <w:r w:rsidRPr="004A75EA">
        <w:rPr>
          <w:rFonts w:cstheme="minorHAnsi"/>
        </w:rPr>
        <w:t>Beauty and Wellness sector, Chisholm</w:t>
      </w:r>
      <w:r>
        <w:rPr>
          <w:rFonts w:cstheme="minorHAnsi"/>
        </w:rPr>
        <w:t xml:space="preserve"> </w:t>
      </w:r>
      <w:r w:rsidRPr="004A75EA">
        <w:rPr>
          <w:rFonts w:cstheme="minorHAnsi"/>
        </w:rPr>
        <w:t>students will graduate with enterprise</w:t>
      </w:r>
      <w:r>
        <w:rPr>
          <w:rFonts w:cstheme="minorHAnsi"/>
        </w:rPr>
        <w:t xml:space="preserve"> </w:t>
      </w:r>
      <w:r w:rsidRPr="004A75EA">
        <w:rPr>
          <w:rFonts w:cstheme="minorHAnsi"/>
        </w:rPr>
        <w:t>knowledge gained through experience</w:t>
      </w:r>
      <w:r>
        <w:rPr>
          <w:rFonts w:cstheme="minorHAnsi"/>
        </w:rPr>
        <w:t xml:space="preserve"> </w:t>
      </w:r>
      <w:r w:rsidRPr="004A75EA">
        <w:rPr>
          <w:rFonts w:cstheme="minorHAnsi"/>
        </w:rPr>
        <w:t>in an industry environment. Skills such</w:t>
      </w:r>
      <w:r>
        <w:rPr>
          <w:rFonts w:cstheme="minorHAnsi"/>
        </w:rPr>
        <w:t xml:space="preserve"> </w:t>
      </w:r>
      <w:r w:rsidRPr="004A75EA">
        <w:rPr>
          <w:rFonts w:cstheme="minorHAnsi"/>
        </w:rPr>
        <w:t>as problem-solving, presentation,</w:t>
      </w:r>
      <w:r>
        <w:rPr>
          <w:rFonts w:cstheme="minorHAnsi"/>
        </w:rPr>
        <w:t xml:space="preserve"> </w:t>
      </w:r>
      <w:r w:rsidRPr="004A75EA">
        <w:rPr>
          <w:rFonts w:cstheme="minorHAnsi"/>
        </w:rPr>
        <w:t>communication, critical thinking, digital</w:t>
      </w:r>
      <w:r>
        <w:rPr>
          <w:rFonts w:cstheme="minorHAnsi"/>
        </w:rPr>
        <w:t xml:space="preserve"> </w:t>
      </w:r>
      <w:r w:rsidRPr="004A75EA">
        <w:rPr>
          <w:rFonts w:cstheme="minorHAnsi"/>
        </w:rPr>
        <w:t>literacy, creativity, teamwork and</w:t>
      </w:r>
      <w:r>
        <w:rPr>
          <w:rFonts w:cstheme="minorHAnsi"/>
        </w:rPr>
        <w:t xml:space="preserve"> </w:t>
      </w:r>
      <w:r w:rsidRPr="004A75EA">
        <w:rPr>
          <w:rFonts w:cstheme="minorHAnsi"/>
        </w:rPr>
        <w:t>financial literacy. The focus will be to</w:t>
      </w:r>
      <w:r>
        <w:rPr>
          <w:rFonts w:cstheme="minorHAnsi"/>
        </w:rPr>
        <w:t xml:space="preserve"> </w:t>
      </w:r>
      <w:r w:rsidRPr="004A75EA">
        <w:rPr>
          <w:rFonts w:cstheme="minorHAnsi"/>
        </w:rPr>
        <w:t>expand the delivery of training and</w:t>
      </w:r>
      <w:r>
        <w:rPr>
          <w:rFonts w:cstheme="minorHAnsi"/>
        </w:rPr>
        <w:t xml:space="preserve"> </w:t>
      </w:r>
      <w:r w:rsidRPr="004A75EA">
        <w:rPr>
          <w:rFonts w:cstheme="minorHAnsi"/>
        </w:rPr>
        <w:t>education program to ensure that all</w:t>
      </w:r>
      <w:r>
        <w:rPr>
          <w:rFonts w:cstheme="minorHAnsi"/>
        </w:rPr>
        <w:t xml:space="preserve"> </w:t>
      </w:r>
      <w:r w:rsidRPr="004A75EA">
        <w:rPr>
          <w:rFonts w:cstheme="minorHAnsi"/>
        </w:rPr>
        <w:t>student learners have the opportunity</w:t>
      </w:r>
      <w:r>
        <w:rPr>
          <w:rFonts w:cstheme="minorHAnsi"/>
        </w:rPr>
        <w:t xml:space="preserve"> </w:t>
      </w:r>
      <w:r w:rsidRPr="004A75EA">
        <w:rPr>
          <w:rFonts w:cstheme="minorHAnsi"/>
        </w:rPr>
        <w:t>to engage and develop the generic /</w:t>
      </w:r>
      <w:r>
        <w:rPr>
          <w:rFonts w:cstheme="minorHAnsi"/>
        </w:rPr>
        <w:t xml:space="preserve"> </w:t>
      </w:r>
      <w:r w:rsidRPr="004A75EA">
        <w:rPr>
          <w:rFonts w:cstheme="minorHAnsi"/>
        </w:rPr>
        <w:t>enterprise skills required by employers.</w:t>
      </w:r>
    </w:p>
    <w:p w:rsidR="004A75EA" w:rsidRDefault="004A75EA" w:rsidP="004A75EA">
      <w:pPr>
        <w:autoSpaceDE w:val="0"/>
        <w:autoSpaceDN w:val="0"/>
        <w:adjustRightInd w:val="0"/>
        <w:spacing w:after="0" w:line="240" w:lineRule="auto"/>
        <w:rPr>
          <w:rFonts w:cstheme="minorHAnsi"/>
        </w:rPr>
      </w:pPr>
    </w:p>
    <w:p w:rsidR="004A75EA" w:rsidRPr="004A75EA" w:rsidRDefault="004A75EA" w:rsidP="004A75EA">
      <w:pPr>
        <w:autoSpaceDE w:val="0"/>
        <w:autoSpaceDN w:val="0"/>
        <w:adjustRightInd w:val="0"/>
        <w:spacing w:after="0" w:line="240" w:lineRule="auto"/>
        <w:rPr>
          <w:rFonts w:cstheme="minorHAnsi"/>
        </w:rPr>
      </w:pPr>
      <w:r w:rsidRPr="004A75EA">
        <w:rPr>
          <w:rFonts w:cstheme="minorHAnsi"/>
        </w:rPr>
        <w:t>The engagement will be measured over</w:t>
      </w:r>
      <w:r>
        <w:rPr>
          <w:rFonts w:cstheme="minorHAnsi"/>
        </w:rPr>
        <w:t xml:space="preserve"> </w:t>
      </w:r>
      <w:r w:rsidRPr="004A75EA">
        <w:rPr>
          <w:rFonts w:cstheme="minorHAnsi"/>
        </w:rPr>
        <w:t>time and may be provided as a co</w:t>
      </w:r>
      <w:r>
        <w:rPr>
          <w:rFonts w:cstheme="minorHAnsi"/>
        </w:rPr>
        <w:t>-</w:t>
      </w:r>
      <w:r w:rsidRPr="004A75EA">
        <w:rPr>
          <w:rFonts w:cstheme="minorHAnsi"/>
        </w:rPr>
        <w:t>credential</w:t>
      </w:r>
      <w:r>
        <w:rPr>
          <w:rFonts w:cstheme="minorHAnsi"/>
        </w:rPr>
        <w:t xml:space="preserve"> </w:t>
      </w:r>
      <w:r w:rsidRPr="004A75EA">
        <w:rPr>
          <w:rFonts w:cstheme="minorHAnsi"/>
        </w:rPr>
        <w:t>on completion, giving learners</w:t>
      </w:r>
      <w:r>
        <w:rPr>
          <w:rFonts w:cstheme="minorHAnsi"/>
        </w:rPr>
        <w:t xml:space="preserve"> </w:t>
      </w:r>
      <w:r w:rsidRPr="004A75EA">
        <w:rPr>
          <w:rFonts w:cstheme="minorHAnsi"/>
        </w:rPr>
        <w:t>not only with their technical qualification</w:t>
      </w:r>
      <w:r>
        <w:rPr>
          <w:rFonts w:cstheme="minorHAnsi"/>
        </w:rPr>
        <w:t xml:space="preserve"> </w:t>
      </w:r>
      <w:r w:rsidRPr="004A75EA">
        <w:rPr>
          <w:rFonts w:cstheme="minorHAnsi"/>
        </w:rPr>
        <w:t>but also with evidence of their technical,</w:t>
      </w:r>
      <w:r>
        <w:rPr>
          <w:rFonts w:cstheme="minorHAnsi"/>
        </w:rPr>
        <w:t xml:space="preserve"> </w:t>
      </w:r>
      <w:r w:rsidRPr="004A75EA">
        <w:rPr>
          <w:rFonts w:cstheme="minorHAnsi"/>
        </w:rPr>
        <w:t>generic, and enterprise skills growth.</w:t>
      </w:r>
    </w:p>
    <w:p w:rsidR="004A75EA" w:rsidRDefault="004A75EA" w:rsidP="005942B8">
      <w:pPr>
        <w:pStyle w:val="NoSpacing"/>
      </w:pPr>
    </w:p>
    <w:p w:rsidR="004A75EA" w:rsidRDefault="004A75EA" w:rsidP="005942B8">
      <w:pPr>
        <w:pStyle w:val="NoSpacing"/>
      </w:pPr>
      <w:r>
        <w:t>&lt;page 18&gt;</w:t>
      </w:r>
    </w:p>
    <w:p w:rsidR="004A75EA" w:rsidRDefault="004A75EA" w:rsidP="005942B8">
      <w:pPr>
        <w:pStyle w:val="NoSpacing"/>
      </w:pPr>
    </w:p>
    <w:p w:rsidR="004A75EA" w:rsidRDefault="00A27FF0" w:rsidP="00A27FF0">
      <w:pPr>
        <w:pStyle w:val="Heading2"/>
      </w:pPr>
      <w:r>
        <w:t>Berwick Centre of Health</w:t>
      </w:r>
    </w:p>
    <w:p w:rsidR="00A27FF0" w:rsidRDefault="00A27FF0" w:rsidP="005942B8">
      <w:pPr>
        <w:pStyle w:val="NoSpacing"/>
      </w:pPr>
    </w:p>
    <w:p w:rsidR="00A27FF0" w:rsidRDefault="00A27FF0" w:rsidP="005942B8">
      <w:pPr>
        <w:pStyle w:val="NoSpacing"/>
      </w:pPr>
      <w:r>
        <w:t>The $15 million Berwick Centre for Health project was officially opened by the Minister for Training and Skills, and Minister for Higher Education, The Hon. Gayle Tierney in March 2019.</w:t>
      </w:r>
    </w:p>
    <w:p w:rsidR="00A27FF0" w:rsidRDefault="00A27FF0" w:rsidP="005942B8">
      <w:pPr>
        <w:pStyle w:val="NoSpacing"/>
      </w:pPr>
    </w:p>
    <w:p w:rsidR="00A27FF0" w:rsidRPr="00A27FF0" w:rsidRDefault="00A27FF0" w:rsidP="00A27FF0">
      <w:pPr>
        <w:autoSpaceDE w:val="0"/>
        <w:autoSpaceDN w:val="0"/>
        <w:adjustRightInd w:val="0"/>
        <w:spacing w:after="0" w:line="240" w:lineRule="auto"/>
        <w:rPr>
          <w:rFonts w:cstheme="minorHAnsi"/>
        </w:rPr>
      </w:pPr>
      <w:r w:rsidRPr="00A27FF0">
        <w:rPr>
          <w:rFonts w:cstheme="minorHAnsi"/>
        </w:rPr>
        <w:t>The purpose built Centre for Health</w:t>
      </w:r>
      <w:r>
        <w:rPr>
          <w:rFonts w:cstheme="minorHAnsi"/>
        </w:rPr>
        <w:t xml:space="preserve"> </w:t>
      </w:r>
      <w:r w:rsidRPr="00A27FF0">
        <w:rPr>
          <w:rFonts w:cstheme="minorHAnsi"/>
        </w:rPr>
        <w:t>is a dedicated teaching and simulation</w:t>
      </w:r>
      <w:r>
        <w:rPr>
          <w:rFonts w:cstheme="minorHAnsi"/>
        </w:rPr>
        <w:t xml:space="preserve"> </w:t>
      </w:r>
      <w:r w:rsidRPr="00A27FF0">
        <w:rPr>
          <w:rFonts w:cstheme="minorHAnsi"/>
        </w:rPr>
        <w:t>facility for students in Nursing, Community</w:t>
      </w:r>
      <w:r>
        <w:rPr>
          <w:rFonts w:cstheme="minorHAnsi"/>
        </w:rPr>
        <w:t xml:space="preserve"> </w:t>
      </w:r>
      <w:r w:rsidRPr="00A27FF0">
        <w:rPr>
          <w:rFonts w:cstheme="minorHAnsi"/>
        </w:rPr>
        <w:t>Services and Allied Health courses.</w:t>
      </w:r>
    </w:p>
    <w:p w:rsidR="00A27FF0" w:rsidRDefault="00A27FF0" w:rsidP="00A27FF0">
      <w:pPr>
        <w:autoSpaceDE w:val="0"/>
        <w:autoSpaceDN w:val="0"/>
        <w:adjustRightInd w:val="0"/>
        <w:spacing w:after="0" w:line="240" w:lineRule="auto"/>
        <w:rPr>
          <w:rFonts w:cstheme="minorHAnsi"/>
        </w:rPr>
      </w:pPr>
    </w:p>
    <w:p w:rsidR="00A27FF0" w:rsidRDefault="00A27FF0" w:rsidP="00A27FF0">
      <w:pPr>
        <w:autoSpaceDE w:val="0"/>
        <w:autoSpaceDN w:val="0"/>
        <w:adjustRightInd w:val="0"/>
        <w:spacing w:after="0" w:line="240" w:lineRule="auto"/>
        <w:rPr>
          <w:rFonts w:cstheme="minorHAnsi"/>
        </w:rPr>
      </w:pPr>
      <w:r w:rsidRPr="00A27FF0">
        <w:rPr>
          <w:rFonts w:cstheme="minorHAnsi"/>
        </w:rPr>
        <w:t>Incorporated into the State</w:t>
      </w:r>
      <w:r>
        <w:rPr>
          <w:rFonts w:cstheme="minorHAnsi"/>
        </w:rPr>
        <w:t xml:space="preserve"> </w:t>
      </w:r>
      <w:r w:rsidRPr="00A27FF0">
        <w:rPr>
          <w:rFonts w:cstheme="minorHAnsi"/>
        </w:rPr>
        <w:t>Government’s vision for the Berwick</w:t>
      </w:r>
      <w:r>
        <w:rPr>
          <w:rFonts w:cstheme="minorHAnsi"/>
        </w:rPr>
        <w:t xml:space="preserve"> </w:t>
      </w:r>
      <w:r w:rsidRPr="00A27FF0">
        <w:rPr>
          <w:rFonts w:cstheme="minorHAnsi"/>
        </w:rPr>
        <w:t>Health and Education Precinct, it</w:t>
      </w:r>
      <w:r>
        <w:rPr>
          <w:rFonts w:cstheme="minorHAnsi"/>
        </w:rPr>
        <w:t xml:space="preserve"> </w:t>
      </w:r>
      <w:r w:rsidRPr="00A27FF0">
        <w:rPr>
          <w:rFonts w:cstheme="minorHAnsi"/>
        </w:rPr>
        <w:t>complements the training partnership</w:t>
      </w:r>
      <w:r>
        <w:rPr>
          <w:rFonts w:cstheme="minorHAnsi"/>
        </w:rPr>
        <w:t xml:space="preserve"> </w:t>
      </w:r>
      <w:r w:rsidRPr="00A27FF0">
        <w:rPr>
          <w:rFonts w:cstheme="minorHAnsi"/>
        </w:rPr>
        <w:t>that Chisholm has with the nearby St</w:t>
      </w:r>
      <w:r>
        <w:rPr>
          <w:rFonts w:cstheme="minorHAnsi"/>
        </w:rPr>
        <w:t xml:space="preserve"> </w:t>
      </w:r>
      <w:r w:rsidRPr="00A27FF0">
        <w:rPr>
          <w:rFonts w:cstheme="minorHAnsi"/>
        </w:rPr>
        <w:t xml:space="preserve">John of God Hospital, </w:t>
      </w:r>
    </w:p>
    <w:p w:rsidR="00A27FF0" w:rsidRPr="00A27FF0" w:rsidRDefault="00A27FF0" w:rsidP="00A27FF0">
      <w:pPr>
        <w:autoSpaceDE w:val="0"/>
        <w:autoSpaceDN w:val="0"/>
        <w:adjustRightInd w:val="0"/>
        <w:spacing w:after="0" w:line="240" w:lineRule="auto"/>
        <w:rPr>
          <w:rFonts w:cstheme="minorHAnsi"/>
        </w:rPr>
      </w:pPr>
      <w:r w:rsidRPr="00A27FF0">
        <w:rPr>
          <w:rFonts w:cstheme="minorHAnsi"/>
        </w:rPr>
        <w:t>Specialist Centre</w:t>
      </w:r>
      <w:r>
        <w:rPr>
          <w:rFonts w:cstheme="minorHAnsi"/>
        </w:rPr>
        <w:t xml:space="preserve"> </w:t>
      </w:r>
      <w:r w:rsidRPr="00A27FF0">
        <w:rPr>
          <w:rFonts w:cstheme="minorHAnsi"/>
        </w:rPr>
        <w:t>and Casey Hospital.</w:t>
      </w:r>
    </w:p>
    <w:p w:rsidR="00A27FF0" w:rsidRPr="00A27FF0" w:rsidRDefault="00A27FF0" w:rsidP="00A27FF0">
      <w:pPr>
        <w:autoSpaceDE w:val="0"/>
        <w:autoSpaceDN w:val="0"/>
        <w:adjustRightInd w:val="0"/>
        <w:spacing w:after="0" w:line="240" w:lineRule="auto"/>
        <w:rPr>
          <w:rFonts w:cstheme="minorHAnsi"/>
        </w:rPr>
      </w:pPr>
      <w:r w:rsidRPr="00A27FF0">
        <w:rPr>
          <w:rFonts w:cstheme="minorHAnsi"/>
        </w:rPr>
        <w:t>Four replica hospital wards, each with</w:t>
      </w:r>
      <w:r>
        <w:rPr>
          <w:rFonts w:cstheme="minorHAnsi"/>
        </w:rPr>
        <w:t xml:space="preserve"> </w:t>
      </w:r>
      <w:r w:rsidRPr="00A27FF0">
        <w:rPr>
          <w:rFonts w:cstheme="minorHAnsi"/>
        </w:rPr>
        <w:t>six patient beds create a true-to-life</w:t>
      </w:r>
      <w:r>
        <w:rPr>
          <w:rFonts w:cstheme="minorHAnsi"/>
        </w:rPr>
        <w:t xml:space="preserve"> </w:t>
      </w:r>
      <w:r w:rsidRPr="00A27FF0">
        <w:rPr>
          <w:rFonts w:cstheme="minorHAnsi"/>
        </w:rPr>
        <w:t>simulated environment. 13 Specialised</w:t>
      </w:r>
      <w:r>
        <w:rPr>
          <w:rFonts w:cstheme="minorHAnsi"/>
        </w:rPr>
        <w:t xml:space="preserve"> </w:t>
      </w:r>
      <w:r w:rsidR="006B2929" w:rsidRPr="00A27FF0">
        <w:rPr>
          <w:rFonts w:cstheme="minorHAnsi"/>
        </w:rPr>
        <w:t>Lateral</w:t>
      </w:r>
      <w:r w:rsidRPr="00A27FF0">
        <w:rPr>
          <w:rFonts w:cstheme="minorHAnsi"/>
        </w:rPr>
        <w:t xml:space="preserve"> Simulation Mannequins can be</w:t>
      </w:r>
      <w:r>
        <w:rPr>
          <w:rFonts w:cstheme="minorHAnsi"/>
        </w:rPr>
        <w:t xml:space="preserve"> </w:t>
      </w:r>
      <w:r w:rsidRPr="00A27FF0">
        <w:rPr>
          <w:rFonts w:cstheme="minorHAnsi"/>
        </w:rPr>
        <w:t>programmed to respond to treatment</w:t>
      </w:r>
      <w:r>
        <w:rPr>
          <w:rFonts w:cstheme="minorHAnsi"/>
        </w:rPr>
        <w:t xml:space="preserve"> </w:t>
      </w:r>
      <w:r w:rsidRPr="00A27FF0">
        <w:rPr>
          <w:rFonts w:cstheme="minorHAnsi"/>
        </w:rPr>
        <w:t>and medication, explain their symptoms</w:t>
      </w:r>
      <w:r>
        <w:rPr>
          <w:rFonts w:cstheme="minorHAnsi"/>
        </w:rPr>
        <w:t xml:space="preserve"> </w:t>
      </w:r>
      <w:r w:rsidRPr="00A27FF0">
        <w:rPr>
          <w:rFonts w:cstheme="minorHAnsi"/>
        </w:rPr>
        <w:t>and use AI technology to engage in a</w:t>
      </w:r>
      <w:r>
        <w:rPr>
          <w:rFonts w:cstheme="minorHAnsi"/>
        </w:rPr>
        <w:t xml:space="preserve"> </w:t>
      </w:r>
      <w:r w:rsidRPr="00A27FF0">
        <w:rPr>
          <w:rFonts w:cstheme="minorHAnsi"/>
        </w:rPr>
        <w:t>real-time conversation.</w:t>
      </w:r>
    </w:p>
    <w:p w:rsidR="00A27FF0" w:rsidRPr="00A27FF0" w:rsidRDefault="00A27FF0" w:rsidP="00A27FF0">
      <w:pPr>
        <w:autoSpaceDE w:val="0"/>
        <w:autoSpaceDN w:val="0"/>
        <w:adjustRightInd w:val="0"/>
        <w:spacing w:after="0" w:line="240" w:lineRule="auto"/>
        <w:rPr>
          <w:rFonts w:cstheme="minorHAnsi"/>
        </w:rPr>
      </w:pPr>
      <w:r w:rsidRPr="00A27FF0">
        <w:rPr>
          <w:rFonts w:cstheme="minorHAnsi"/>
        </w:rPr>
        <w:t>The facility has a total of 30 beds</w:t>
      </w:r>
      <w:r>
        <w:rPr>
          <w:rFonts w:cstheme="minorHAnsi"/>
        </w:rPr>
        <w:t xml:space="preserve"> </w:t>
      </w:r>
      <w:r w:rsidRPr="00A27FF0">
        <w:rPr>
          <w:rFonts w:cstheme="minorHAnsi"/>
        </w:rPr>
        <w:t>throughout four model health wards,</w:t>
      </w:r>
      <w:r>
        <w:rPr>
          <w:rFonts w:cstheme="minorHAnsi"/>
        </w:rPr>
        <w:t xml:space="preserve"> </w:t>
      </w:r>
      <w:r w:rsidRPr="00A27FF0">
        <w:rPr>
          <w:rFonts w:cstheme="minorHAnsi"/>
        </w:rPr>
        <w:t>a simulated apartment, counselling</w:t>
      </w:r>
      <w:r>
        <w:rPr>
          <w:rFonts w:cstheme="minorHAnsi"/>
        </w:rPr>
        <w:t xml:space="preserve"> </w:t>
      </w:r>
      <w:r w:rsidRPr="00A27FF0">
        <w:rPr>
          <w:rFonts w:cstheme="minorHAnsi"/>
        </w:rPr>
        <w:t>suites, and two separate laboratories</w:t>
      </w:r>
      <w:r>
        <w:rPr>
          <w:rFonts w:cstheme="minorHAnsi"/>
        </w:rPr>
        <w:t xml:space="preserve"> </w:t>
      </w:r>
      <w:r w:rsidRPr="00A27FF0">
        <w:rPr>
          <w:rFonts w:cstheme="minorHAnsi"/>
        </w:rPr>
        <w:t>that connect to observation rooms.</w:t>
      </w:r>
      <w:r>
        <w:rPr>
          <w:rFonts w:cstheme="minorHAnsi"/>
        </w:rPr>
        <w:t xml:space="preserve"> </w:t>
      </w:r>
      <w:r w:rsidRPr="00A27FF0">
        <w:rPr>
          <w:rFonts w:cstheme="minorHAnsi"/>
        </w:rPr>
        <w:t>Other areas include 12 collaborative</w:t>
      </w:r>
      <w:r>
        <w:rPr>
          <w:rFonts w:cstheme="minorHAnsi"/>
        </w:rPr>
        <w:t xml:space="preserve"> </w:t>
      </w:r>
      <w:r w:rsidRPr="00A27FF0">
        <w:rPr>
          <w:rFonts w:cstheme="minorHAnsi"/>
        </w:rPr>
        <w:t>classrooms, informal learning commons,</w:t>
      </w:r>
      <w:r>
        <w:rPr>
          <w:rFonts w:cstheme="minorHAnsi"/>
        </w:rPr>
        <w:t xml:space="preserve"> </w:t>
      </w:r>
      <w:r w:rsidRPr="00A27FF0">
        <w:rPr>
          <w:rFonts w:cstheme="minorHAnsi"/>
        </w:rPr>
        <w:t>group study pods, and open plan staff</w:t>
      </w:r>
      <w:r>
        <w:rPr>
          <w:rFonts w:cstheme="minorHAnsi"/>
        </w:rPr>
        <w:t xml:space="preserve"> </w:t>
      </w:r>
      <w:r w:rsidRPr="00A27FF0">
        <w:rPr>
          <w:rFonts w:cstheme="minorHAnsi"/>
        </w:rPr>
        <w:t>workspaces.</w:t>
      </w:r>
    </w:p>
    <w:p w:rsidR="00A27FF0" w:rsidRDefault="00A27FF0" w:rsidP="00A27FF0">
      <w:pPr>
        <w:autoSpaceDE w:val="0"/>
        <w:autoSpaceDN w:val="0"/>
        <w:adjustRightInd w:val="0"/>
        <w:spacing w:after="0" w:line="240" w:lineRule="auto"/>
        <w:rPr>
          <w:rFonts w:cstheme="minorHAnsi"/>
        </w:rPr>
      </w:pPr>
    </w:p>
    <w:p w:rsidR="00A27FF0" w:rsidRPr="00A27FF0" w:rsidRDefault="00A27FF0" w:rsidP="00A27FF0">
      <w:pPr>
        <w:autoSpaceDE w:val="0"/>
        <w:autoSpaceDN w:val="0"/>
        <w:adjustRightInd w:val="0"/>
        <w:spacing w:after="0" w:line="240" w:lineRule="auto"/>
        <w:rPr>
          <w:rFonts w:cstheme="minorHAnsi"/>
        </w:rPr>
      </w:pPr>
      <w:r w:rsidRPr="00A27FF0">
        <w:rPr>
          <w:rFonts w:cstheme="minorHAnsi"/>
        </w:rPr>
        <w:t>The collaborative classrooms are</w:t>
      </w:r>
      <w:r>
        <w:rPr>
          <w:rFonts w:cstheme="minorHAnsi"/>
        </w:rPr>
        <w:t xml:space="preserve"> </w:t>
      </w:r>
      <w:r w:rsidRPr="00A27FF0">
        <w:rPr>
          <w:rFonts w:cstheme="minorHAnsi"/>
        </w:rPr>
        <w:t>furnished with fully flexible mobile</w:t>
      </w:r>
      <w:r>
        <w:rPr>
          <w:rFonts w:cstheme="minorHAnsi"/>
        </w:rPr>
        <w:t xml:space="preserve"> </w:t>
      </w:r>
      <w:r w:rsidRPr="00A27FF0">
        <w:rPr>
          <w:rFonts w:cstheme="minorHAnsi"/>
        </w:rPr>
        <w:t>furniture and mobile interactive Audio</w:t>
      </w:r>
      <w:r>
        <w:rPr>
          <w:rFonts w:cstheme="minorHAnsi"/>
        </w:rPr>
        <w:t xml:space="preserve"> </w:t>
      </w:r>
      <w:r w:rsidRPr="00A27FF0">
        <w:rPr>
          <w:rFonts w:cstheme="minorHAnsi"/>
        </w:rPr>
        <w:t>Visual screens, and are Chisholm’s</w:t>
      </w:r>
      <w:r>
        <w:rPr>
          <w:rFonts w:cstheme="minorHAnsi"/>
        </w:rPr>
        <w:t xml:space="preserve"> </w:t>
      </w:r>
      <w:r w:rsidRPr="00A27FF0">
        <w:rPr>
          <w:rFonts w:cstheme="minorHAnsi"/>
        </w:rPr>
        <w:t>first learning spaces to enable active</w:t>
      </w:r>
      <w:r>
        <w:rPr>
          <w:rFonts w:cstheme="minorHAnsi"/>
        </w:rPr>
        <w:t xml:space="preserve"> </w:t>
      </w:r>
      <w:r w:rsidRPr="00A27FF0">
        <w:rPr>
          <w:rFonts w:cstheme="minorHAnsi"/>
        </w:rPr>
        <w:t>and blended learning. The Berwick</w:t>
      </w:r>
      <w:r>
        <w:rPr>
          <w:rFonts w:cstheme="minorHAnsi"/>
        </w:rPr>
        <w:t xml:space="preserve"> </w:t>
      </w:r>
      <w:r w:rsidRPr="00A27FF0">
        <w:rPr>
          <w:rFonts w:cstheme="minorHAnsi"/>
        </w:rPr>
        <w:t>Centre for Health was the first of two</w:t>
      </w:r>
      <w:r>
        <w:rPr>
          <w:rFonts w:cstheme="minorHAnsi"/>
        </w:rPr>
        <w:t xml:space="preserve"> </w:t>
      </w:r>
      <w:r w:rsidRPr="00A27FF0">
        <w:rPr>
          <w:rFonts w:cstheme="minorHAnsi"/>
        </w:rPr>
        <w:t>developments redefining health delivery</w:t>
      </w:r>
      <w:r>
        <w:rPr>
          <w:rFonts w:cstheme="minorHAnsi"/>
        </w:rPr>
        <w:t xml:space="preserve"> </w:t>
      </w:r>
      <w:r w:rsidRPr="00A27FF0">
        <w:rPr>
          <w:rFonts w:cstheme="minorHAnsi"/>
        </w:rPr>
        <w:t xml:space="preserve">at </w:t>
      </w:r>
      <w:r w:rsidRPr="00A27FF0">
        <w:rPr>
          <w:rFonts w:cstheme="minorHAnsi"/>
        </w:rPr>
        <w:lastRenderedPageBreak/>
        <w:t>Chisholm, with a second facility</w:t>
      </w:r>
      <w:r>
        <w:rPr>
          <w:rFonts w:cstheme="minorHAnsi"/>
        </w:rPr>
        <w:t xml:space="preserve"> </w:t>
      </w:r>
      <w:r w:rsidRPr="00A27FF0">
        <w:rPr>
          <w:rFonts w:cstheme="minorHAnsi"/>
        </w:rPr>
        <w:t>completed mid-year at Chisholm’s</w:t>
      </w:r>
      <w:r>
        <w:rPr>
          <w:rFonts w:cstheme="minorHAnsi"/>
        </w:rPr>
        <w:t xml:space="preserve"> </w:t>
      </w:r>
      <w:r w:rsidRPr="00A27FF0">
        <w:rPr>
          <w:rFonts w:cstheme="minorHAnsi"/>
        </w:rPr>
        <w:t>Frankston campus as part of the</w:t>
      </w:r>
      <w:r>
        <w:rPr>
          <w:rFonts w:cstheme="minorHAnsi"/>
        </w:rPr>
        <w:t xml:space="preserve"> </w:t>
      </w:r>
      <w:r w:rsidRPr="00A27FF0">
        <w:rPr>
          <w:rFonts w:cstheme="minorHAnsi"/>
        </w:rPr>
        <w:t>Learning and Innovation Precinct.</w:t>
      </w:r>
    </w:p>
    <w:p w:rsidR="004A75EA" w:rsidRDefault="004A75EA" w:rsidP="005942B8">
      <w:pPr>
        <w:pStyle w:val="NoSpacing"/>
      </w:pPr>
    </w:p>
    <w:p w:rsidR="004A75EA" w:rsidRDefault="00A27FF0" w:rsidP="005942B8">
      <w:pPr>
        <w:pStyle w:val="NoSpacing"/>
      </w:pPr>
      <w:r>
        <w:t>&lt;page 19&gt;</w:t>
      </w:r>
    </w:p>
    <w:p w:rsidR="00A27FF0" w:rsidRDefault="00A27FF0" w:rsidP="005942B8">
      <w:pPr>
        <w:pStyle w:val="NoSpacing"/>
      </w:pPr>
    </w:p>
    <w:p w:rsidR="00A27FF0" w:rsidRDefault="00A27FF0" w:rsidP="00A27FF0">
      <w:pPr>
        <w:pStyle w:val="Heading2"/>
      </w:pPr>
      <w:r>
        <w:t>Casey Tech School</w:t>
      </w:r>
    </w:p>
    <w:p w:rsidR="00A27FF0" w:rsidRDefault="00A27FF0" w:rsidP="005942B8">
      <w:pPr>
        <w:pStyle w:val="NoSpacing"/>
      </w:pPr>
    </w:p>
    <w:p w:rsidR="00A27FF0" w:rsidRDefault="00A27FF0" w:rsidP="005942B8">
      <w:pPr>
        <w:pStyle w:val="NoSpacing"/>
      </w:pPr>
      <w:r>
        <w:t>In its inaugural year of operation, Casey Tech School, located at the Berwick Campus realised significant success in the delivery and reach of its courses, classes and professional development offerings.</w:t>
      </w:r>
    </w:p>
    <w:p w:rsidR="00A27FF0" w:rsidRDefault="00A27FF0" w:rsidP="005942B8">
      <w:pPr>
        <w:pStyle w:val="NoSpacing"/>
      </w:pPr>
    </w:p>
    <w:p w:rsidR="00A27FF0" w:rsidRPr="00A27FF0" w:rsidRDefault="00A27FF0" w:rsidP="00A27FF0">
      <w:pPr>
        <w:autoSpaceDE w:val="0"/>
        <w:autoSpaceDN w:val="0"/>
        <w:adjustRightInd w:val="0"/>
        <w:spacing w:after="0" w:line="240" w:lineRule="auto"/>
        <w:rPr>
          <w:rFonts w:cstheme="minorHAnsi"/>
        </w:rPr>
      </w:pPr>
      <w:r w:rsidRPr="00A27FF0">
        <w:rPr>
          <w:rFonts w:cstheme="minorHAnsi"/>
        </w:rPr>
        <w:t>Casey Tech School was designed to</w:t>
      </w:r>
      <w:r>
        <w:rPr>
          <w:rFonts w:cstheme="minorHAnsi"/>
        </w:rPr>
        <w:t xml:space="preserve"> </w:t>
      </w:r>
      <w:r w:rsidRPr="00A27FF0">
        <w:rPr>
          <w:rFonts w:cstheme="minorHAnsi"/>
        </w:rPr>
        <w:t>inspire and to connect young people</w:t>
      </w:r>
      <w:r>
        <w:rPr>
          <w:rFonts w:cstheme="minorHAnsi"/>
        </w:rPr>
        <w:t xml:space="preserve"> </w:t>
      </w:r>
      <w:r w:rsidRPr="00A27FF0">
        <w:rPr>
          <w:rFonts w:cstheme="minorHAnsi"/>
        </w:rPr>
        <w:t>to the future world of study and work</w:t>
      </w:r>
      <w:r>
        <w:rPr>
          <w:rFonts w:cstheme="minorHAnsi"/>
        </w:rPr>
        <w:t xml:space="preserve"> </w:t>
      </w:r>
      <w:r w:rsidRPr="00A27FF0">
        <w:rPr>
          <w:rFonts w:cstheme="minorHAnsi"/>
        </w:rPr>
        <w:t>in Melbourne’s South East. In its first</w:t>
      </w:r>
      <w:r>
        <w:rPr>
          <w:rFonts w:cstheme="minorHAnsi"/>
        </w:rPr>
        <w:t xml:space="preserve"> </w:t>
      </w:r>
      <w:r w:rsidRPr="00A27FF0">
        <w:rPr>
          <w:rFonts w:cstheme="minorHAnsi"/>
        </w:rPr>
        <w:t>full year of operations, the School’s</w:t>
      </w:r>
      <w:r>
        <w:rPr>
          <w:rFonts w:cstheme="minorHAnsi"/>
        </w:rPr>
        <w:t xml:space="preserve"> </w:t>
      </w:r>
      <w:r w:rsidRPr="00A27FF0">
        <w:rPr>
          <w:rFonts w:cstheme="minorHAnsi"/>
        </w:rPr>
        <w:t>advanced Science, Technology,</w:t>
      </w:r>
      <w:r>
        <w:rPr>
          <w:rFonts w:cstheme="minorHAnsi"/>
        </w:rPr>
        <w:t xml:space="preserve"> </w:t>
      </w:r>
      <w:r w:rsidRPr="00A27FF0">
        <w:rPr>
          <w:rFonts w:cstheme="minorHAnsi"/>
        </w:rPr>
        <w:t>Engineering, Arts, and Mathematics</w:t>
      </w:r>
      <w:r>
        <w:rPr>
          <w:rFonts w:cstheme="minorHAnsi"/>
        </w:rPr>
        <w:t xml:space="preserve"> </w:t>
      </w:r>
      <w:r w:rsidRPr="00A27FF0">
        <w:rPr>
          <w:rFonts w:cstheme="minorHAnsi"/>
        </w:rPr>
        <w:t>(STEAM) facilities and equipment were</w:t>
      </w:r>
      <w:r>
        <w:rPr>
          <w:rFonts w:cstheme="minorHAnsi"/>
        </w:rPr>
        <w:t xml:space="preserve"> </w:t>
      </w:r>
      <w:r w:rsidRPr="00A27FF0">
        <w:rPr>
          <w:rFonts w:cstheme="minorHAnsi"/>
        </w:rPr>
        <w:t>accessed by students from across</w:t>
      </w:r>
      <w:r>
        <w:rPr>
          <w:rFonts w:cstheme="minorHAnsi"/>
        </w:rPr>
        <w:t xml:space="preserve"> </w:t>
      </w:r>
      <w:r w:rsidRPr="00A27FF0">
        <w:rPr>
          <w:rFonts w:cstheme="minorHAnsi"/>
        </w:rPr>
        <w:t>the region. Learning programs were</w:t>
      </w:r>
      <w:r>
        <w:rPr>
          <w:rFonts w:cstheme="minorHAnsi"/>
        </w:rPr>
        <w:t xml:space="preserve"> </w:t>
      </w:r>
      <w:r w:rsidRPr="00A27FF0">
        <w:rPr>
          <w:rFonts w:cstheme="minorHAnsi"/>
        </w:rPr>
        <w:t>delivered to 5075 students aged</w:t>
      </w:r>
      <w:r>
        <w:rPr>
          <w:rFonts w:cstheme="minorHAnsi"/>
        </w:rPr>
        <w:t xml:space="preserve"> </w:t>
      </w:r>
      <w:r w:rsidRPr="00A27FF0">
        <w:rPr>
          <w:rFonts w:cstheme="minorHAnsi"/>
        </w:rPr>
        <w:t>between 12-18 years, from 23 secondary</w:t>
      </w:r>
      <w:r>
        <w:rPr>
          <w:rFonts w:cstheme="minorHAnsi"/>
        </w:rPr>
        <w:t xml:space="preserve"> </w:t>
      </w:r>
      <w:r w:rsidRPr="00A27FF0">
        <w:rPr>
          <w:rFonts w:cstheme="minorHAnsi"/>
        </w:rPr>
        <w:t>schools in the Casey region.</w:t>
      </w:r>
    </w:p>
    <w:p w:rsidR="00A27FF0" w:rsidRDefault="00A27FF0" w:rsidP="00A27FF0">
      <w:pPr>
        <w:autoSpaceDE w:val="0"/>
        <w:autoSpaceDN w:val="0"/>
        <w:adjustRightInd w:val="0"/>
        <w:spacing w:after="0" w:line="240" w:lineRule="auto"/>
        <w:rPr>
          <w:rFonts w:cstheme="minorHAnsi"/>
        </w:rPr>
      </w:pPr>
    </w:p>
    <w:p w:rsidR="00A27FF0" w:rsidRPr="00A27FF0" w:rsidRDefault="00A27FF0" w:rsidP="00A27FF0">
      <w:pPr>
        <w:autoSpaceDE w:val="0"/>
        <w:autoSpaceDN w:val="0"/>
        <w:adjustRightInd w:val="0"/>
        <w:spacing w:after="0" w:line="240" w:lineRule="auto"/>
        <w:rPr>
          <w:rFonts w:cstheme="minorHAnsi"/>
        </w:rPr>
      </w:pPr>
      <w:r w:rsidRPr="00A27FF0">
        <w:rPr>
          <w:rFonts w:cstheme="minorHAnsi"/>
        </w:rPr>
        <w:t>Additionally, Casey Tech School</w:t>
      </w:r>
      <w:r>
        <w:rPr>
          <w:rFonts w:cstheme="minorHAnsi"/>
        </w:rPr>
        <w:t xml:space="preserve"> </w:t>
      </w:r>
      <w:r w:rsidRPr="00A27FF0">
        <w:rPr>
          <w:rFonts w:cstheme="minorHAnsi"/>
        </w:rPr>
        <w:t>delivered free Professional</w:t>
      </w:r>
      <w:r>
        <w:rPr>
          <w:rFonts w:cstheme="minorHAnsi"/>
        </w:rPr>
        <w:t xml:space="preserve"> </w:t>
      </w:r>
      <w:r w:rsidRPr="00A27FF0">
        <w:rPr>
          <w:rFonts w:cstheme="minorHAnsi"/>
        </w:rPr>
        <w:t>Development programs to over 300</w:t>
      </w:r>
      <w:r>
        <w:rPr>
          <w:rFonts w:cstheme="minorHAnsi"/>
        </w:rPr>
        <w:t xml:space="preserve"> </w:t>
      </w:r>
      <w:r w:rsidRPr="00A27FF0">
        <w:rPr>
          <w:rFonts w:cstheme="minorHAnsi"/>
        </w:rPr>
        <w:t>primary, secondary and tertiary</w:t>
      </w:r>
      <w:r>
        <w:rPr>
          <w:rFonts w:cstheme="minorHAnsi"/>
        </w:rPr>
        <w:t xml:space="preserve"> </w:t>
      </w:r>
      <w:r w:rsidRPr="00A27FF0">
        <w:rPr>
          <w:rFonts w:cstheme="minorHAnsi"/>
        </w:rPr>
        <w:t>teachers. The School’s value to the</w:t>
      </w:r>
      <w:r>
        <w:rPr>
          <w:rFonts w:cstheme="minorHAnsi"/>
        </w:rPr>
        <w:t xml:space="preserve"> </w:t>
      </w:r>
      <w:r w:rsidRPr="00A27FF0">
        <w:rPr>
          <w:rFonts w:cstheme="minorHAnsi"/>
        </w:rPr>
        <w:t>community was also embedded as</w:t>
      </w:r>
      <w:r>
        <w:rPr>
          <w:rFonts w:cstheme="minorHAnsi"/>
        </w:rPr>
        <w:t xml:space="preserve"> </w:t>
      </w:r>
      <w:r w:rsidRPr="00A27FF0">
        <w:rPr>
          <w:rFonts w:cstheme="minorHAnsi"/>
        </w:rPr>
        <w:t>more than 180 hours of free learning</w:t>
      </w:r>
      <w:r>
        <w:rPr>
          <w:rFonts w:cstheme="minorHAnsi"/>
        </w:rPr>
        <w:t xml:space="preserve"> </w:t>
      </w:r>
      <w:r w:rsidRPr="00A27FF0">
        <w:rPr>
          <w:rFonts w:cstheme="minorHAnsi"/>
        </w:rPr>
        <w:t>programs were delivered to members of</w:t>
      </w:r>
      <w:r>
        <w:rPr>
          <w:rFonts w:cstheme="minorHAnsi"/>
        </w:rPr>
        <w:t xml:space="preserve"> </w:t>
      </w:r>
      <w:r w:rsidRPr="00A27FF0">
        <w:rPr>
          <w:rFonts w:cstheme="minorHAnsi"/>
        </w:rPr>
        <w:t>the public including children, teenagers,</w:t>
      </w:r>
      <w:r>
        <w:rPr>
          <w:rFonts w:cstheme="minorHAnsi"/>
        </w:rPr>
        <w:t xml:space="preserve"> </w:t>
      </w:r>
      <w:r w:rsidRPr="00A27FF0">
        <w:rPr>
          <w:rFonts w:cstheme="minorHAnsi"/>
        </w:rPr>
        <w:t>adults, and elderly groups.</w:t>
      </w:r>
    </w:p>
    <w:p w:rsidR="00A27FF0" w:rsidRDefault="00A27FF0" w:rsidP="00A27FF0">
      <w:pPr>
        <w:autoSpaceDE w:val="0"/>
        <w:autoSpaceDN w:val="0"/>
        <w:adjustRightInd w:val="0"/>
        <w:spacing w:after="0" w:line="240" w:lineRule="auto"/>
        <w:rPr>
          <w:rFonts w:cstheme="minorHAnsi"/>
        </w:rPr>
      </w:pPr>
    </w:p>
    <w:p w:rsidR="00A27FF0" w:rsidRPr="00A27FF0" w:rsidRDefault="00A27FF0" w:rsidP="00A27FF0">
      <w:pPr>
        <w:autoSpaceDE w:val="0"/>
        <w:autoSpaceDN w:val="0"/>
        <w:adjustRightInd w:val="0"/>
        <w:spacing w:after="0" w:line="240" w:lineRule="auto"/>
        <w:rPr>
          <w:rFonts w:cstheme="minorHAnsi"/>
        </w:rPr>
      </w:pPr>
      <w:r w:rsidRPr="00A27FF0">
        <w:rPr>
          <w:rFonts w:cstheme="minorHAnsi"/>
        </w:rPr>
        <w:t>Casey Tech School’s professional and</w:t>
      </w:r>
      <w:r>
        <w:rPr>
          <w:rFonts w:cstheme="minorHAnsi"/>
        </w:rPr>
        <w:t xml:space="preserve"> </w:t>
      </w:r>
      <w:r w:rsidRPr="00A27FF0">
        <w:rPr>
          <w:rFonts w:cstheme="minorHAnsi"/>
        </w:rPr>
        <w:t>teaching staff are very appreciative of</w:t>
      </w:r>
      <w:r>
        <w:rPr>
          <w:rFonts w:cstheme="minorHAnsi"/>
        </w:rPr>
        <w:t xml:space="preserve"> </w:t>
      </w:r>
      <w:r w:rsidRPr="00A27FF0">
        <w:rPr>
          <w:rFonts w:cstheme="minorHAnsi"/>
        </w:rPr>
        <w:t>the governance and support provided</w:t>
      </w:r>
      <w:r>
        <w:rPr>
          <w:rFonts w:cstheme="minorHAnsi"/>
        </w:rPr>
        <w:t xml:space="preserve"> </w:t>
      </w:r>
      <w:r w:rsidRPr="00A27FF0">
        <w:rPr>
          <w:rFonts w:cstheme="minorHAnsi"/>
        </w:rPr>
        <w:t>by Chisholm Institute and the Victorian</w:t>
      </w:r>
      <w:r>
        <w:rPr>
          <w:rFonts w:cstheme="minorHAnsi"/>
        </w:rPr>
        <w:t xml:space="preserve"> </w:t>
      </w:r>
      <w:r w:rsidRPr="00A27FF0">
        <w:rPr>
          <w:rFonts w:cstheme="minorHAnsi"/>
        </w:rPr>
        <w:t>Government Department of Education.</w:t>
      </w:r>
    </w:p>
    <w:p w:rsidR="00A27FF0" w:rsidRPr="00A27FF0" w:rsidRDefault="00A27FF0" w:rsidP="00A27FF0">
      <w:pPr>
        <w:autoSpaceDE w:val="0"/>
        <w:autoSpaceDN w:val="0"/>
        <w:adjustRightInd w:val="0"/>
        <w:spacing w:after="0" w:line="240" w:lineRule="auto"/>
        <w:rPr>
          <w:rFonts w:cstheme="minorHAnsi"/>
        </w:rPr>
      </w:pPr>
      <w:r w:rsidRPr="00A27FF0">
        <w:rPr>
          <w:rFonts w:cstheme="minorHAnsi"/>
        </w:rPr>
        <w:t>Also recognised is the ongoing</w:t>
      </w:r>
      <w:r>
        <w:rPr>
          <w:rFonts w:cstheme="minorHAnsi"/>
        </w:rPr>
        <w:t xml:space="preserve"> </w:t>
      </w:r>
      <w:r w:rsidRPr="00A27FF0">
        <w:rPr>
          <w:rFonts w:cstheme="minorHAnsi"/>
        </w:rPr>
        <w:t>expertise of the many industry and</w:t>
      </w:r>
      <w:r>
        <w:rPr>
          <w:rFonts w:cstheme="minorHAnsi"/>
        </w:rPr>
        <w:t xml:space="preserve"> </w:t>
      </w:r>
      <w:r w:rsidRPr="00A27FF0">
        <w:rPr>
          <w:rFonts w:cstheme="minorHAnsi"/>
        </w:rPr>
        <w:t>community partners who assist with the</w:t>
      </w:r>
      <w:r>
        <w:rPr>
          <w:rFonts w:cstheme="minorHAnsi"/>
        </w:rPr>
        <w:t xml:space="preserve"> </w:t>
      </w:r>
      <w:r w:rsidRPr="00A27FF0">
        <w:rPr>
          <w:rFonts w:cstheme="minorHAnsi"/>
        </w:rPr>
        <w:t>development and authentic alignment</w:t>
      </w:r>
      <w:r>
        <w:rPr>
          <w:rFonts w:cstheme="minorHAnsi"/>
        </w:rPr>
        <w:t xml:space="preserve"> </w:t>
      </w:r>
      <w:r w:rsidRPr="00A27FF0">
        <w:rPr>
          <w:rFonts w:cstheme="minorHAnsi"/>
        </w:rPr>
        <w:t>of Casey Tech’s curriculum programs to</w:t>
      </w:r>
      <w:r>
        <w:rPr>
          <w:rFonts w:cstheme="minorHAnsi"/>
        </w:rPr>
        <w:t xml:space="preserve"> </w:t>
      </w:r>
      <w:r w:rsidRPr="00A27FF0">
        <w:rPr>
          <w:rFonts w:cstheme="minorHAnsi"/>
        </w:rPr>
        <w:t>meet the demands of the existing and</w:t>
      </w:r>
      <w:r>
        <w:rPr>
          <w:rFonts w:cstheme="minorHAnsi"/>
        </w:rPr>
        <w:t xml:space="preserve"> </w:t>
      </w:r>
      <w:r w:rsidRPr="00A27FF0">
        <w:rPr>
          <w:rFonts w:cstheme="minorHAnsi"/>
        </w:rPr>
        <w:t>future worlds of work in the region.</w:t>
      </w:r>
    </w:p>
    <w:p w:rsidR="004A75EA" w:rsidRDefault="004A75EA" w:rsidP="005942B8">
      <w:pPr>
        <w:pStyle w:val="NoSpacing"/>
      </w:pPr>
    </w:p>
    <w:p w:rsidR="004A75EA" w:rsidRDefault="00A27FF0" w:rsidP="005942B8">
      <w:pPr>
        <w:pStyle w:val="NoSpacing"/>
      </w:pPr>
      <w:r>
        <w:t>&lt;page 20&gt;</w:t>
      </w:r>
    </w:p>
    <w:p w:rsidR="00A27FF0" w:rsidRDefault="00A27FF0" w:rsidP="005942B8">
      <w:pPr>
        <w:pStyle w:val="NoSpacing"/>
      </w:pPr>
    </w:p>
    <w:p w:rsidR="00A27FF0" w:rsidRDefault="00A27FF0" w:rsidP="006B2929">
      <w:pPr>
        <w:pStyle w:val="Heading2"/>
      </w:pPr>
      <w:r>
        <w:t>Apprenticeship Hub</w:t>
      </w:r>
    </w:p>
    <w:p w:rsidR="00A27FF0" w:rsidRDefault="00A27FF0" w:rsidP="005942B8">
      <w:pPr>
        <w:pStyle w:val="NoSpacing"/>
      </w:pPr>
    </w:p>
    <w:p w:rsidR="00A27FF0" w:rsidRDefault="00A27FF0" w:rsidP="005942B8">
      <w:pPr>
        <w:pStyle w:val="NoSpacing"/>
      </w:pPr>
      <w:r>
        <w:t>The Apprenticeship Hub became fully operational in October 2019 following extensive research and planning.</w:t>
      </w:r>
    </w:p>
    <w:p w:rsidR="00A27FF0" w:rsidRDefault="00A27FF0" w:rsidP="005942B8">
      <w:pPr>
        <w:pStyle w:val="NoSpacing"/>
      </w:pPr>
    </w:p>
    <w:p w:rsidR="00A27FF0" w:rsidRPr="00A27FF0" w:rsidRDefault="00A27FF0" w:rsidP="00A27FF0">
      <w:pPr>
        <w:autoSpaceDE w:val="0"/>
        <w:autoSpaceDN w:val="0"/>
        <w:adjustRightInd w:val="0"/>
        <w:spacing w:after="0" w:line="240" w:lineRule="auto"/>
        <w:rPr>
          <w:rFonts w:cstheme="minorHAnsi"/>
        </w:rPr>
      </w:pPr>
      <w:r w:rsidRPr="00A27FF0">
        <w:rPr>
          <w:rFonts w:cstheme="minorHAnsi"/>
        </w:rPr>
        <w:t>The Hub was designed to streamline the</w:t>
      </w:r>
      <w:r>
        <w:rPr>
          <w:rFonts w:cstheme="minorHAnsi"/>
        </w:rPr>
        <w:t xml:space="preserve"> </w:t>
      </w:r>
      <w:r w:rsidRPr="00A27FF0">
        <w:rPr>
          <w:rFonts w:cstheme="minorHAnsi"/>
        </w:rPr>
        <w:t>process for all stakeholders throughout</w:t>
      </w:r>
      <w:r>
        <w:rPr>
          <w:rFonts w:cstheme="minorHAnsi"/>
        </w:rPr>
        <w:t xml:space="preserve"> </w:t>
      </w:r>
      <w:r w:rsidRPr="00A27FF0">
        <w:rPr>
          <w:rFonts w:cstheme="minorHAnsi"/>
        </w:rPr>
        <w:t>the apprenticeship journey, with the</w:t>
      </w:r>
      <w:r>
        <w:rPr>
          <w:rFonts w:cstheme="minorHAnsi"/>
        </w:rPr>
        <w:t xml:space="preserve"> </w:t>
      </w:r>
      <w:r w:rsidRPr="00A27FF0">
        <w:rPr>
          <w:rFonts w:cstheme="minorHAnsi"/>
        </w:rPr>
        <w:t>creation of a single point of contact for</w:t>
      </w:r>
      <w:r>
        <w:rPr>
          <w:rFonts w:cstheme="minorHAnsi"/>
        </w:rPr>
        <w:t xml:space="preserve"> </w:t>
      </w:r>
      <w:r w:rsidRPr="00A27FF0">
        <w:rPr>
          <w:rFonts w:cstheme="minorHAnsi"/>
        </w:rPr>
        <w:t>apprentices and employers, resulting in</w:t>
      </w:r>
      <w:r>
        <w:rPr>
          <w:rFonts w:cstheme="minorHAnsi"/>
        </w:rPr>
        <w:t xml:space="preserve"> </w:t>
      </w:r>
      <w:r w:rsidRPr="00A27FF0">
        <w:rPr>
          <w:rFonts w:cstheme="minorHAnsi"/>
        </w:rPr>
        <w:t>an improved customer experience.</w:t>
      </w:r>
    </w:p>
    <w:p w:rsidR="00A27FF0" w:rsidRDefault="00A27FF0" w:rsidP="00A27FF0">
      <w:pPr>
        <w:autoSpaceDE w:val="0"/>
        <w:autoSpaceDN w:val="0"/>
        <w:adjustRightInd w:val="0"/>
        <w:spacing w:after="0" w:line="240" w:lineRule="auto"/>
        <w:rPr>
          <w:rFonts w:cstheme="minorHAnsi"/>
        </w:rPr>
      </w:pPr>
    </w:p>
    <w:p w:rsidR="00A27FF0" w:rsidRPr="00A27FF0" w:rsidRDefault="00A27FF0" w:rsidP="00A27FF0">
      <w:pPr>
        <w:autoSpaceDE w:val="0"/>
        <w:autoSpaceDN w:val="0"/>
        <w:adjustRightInd w:val="0"/>
        <w:spacing w:after="0" w:line="240" w:lineRule="auto"/>
        <w:rPr>
          <w:rFonts w:cstheme="minorHAnsi"/>
        </w:rPr>
      </w:pPr>
      <w:r w:rsidRPr="00A27FF0">
        <w:rPr>
          <w:rFonts w:cstheme="minorHAnsi"/>
        </w:rPr>
        <w:t>An investment of more than $1 million</w:t>
      </w:r>
      <w:r>
        <w:rPr>
          <w:rFonts w:cstheme="minorHAnsi"/>
        </w:rPr>
        <w:t xml:space="preserve"> </w:t>
      </w:r>
      <w:r w:rsidRPr="00A27FF0">
        <w:rPr>
          <w:rFonts w:cstheme="minorHAnsi"/>
        </w:rPr>
        <w:t>included new IT infrastructure and</w:t>
      </w:r>
      <w:r>
        <w:rPr>
          <w:rFonts w:cstheme="minorHAnsi"/>
        </w:rPr>
        <w:t xml:space="preserve"> </w:t>
      </w:r>
      <w:r w:rsidRPr="00A27FF0">
        <w:rPr>
          <w:rFonts w:cstheme="minorHAnsi"/>
        </w:rPr>
        <w:t>software, and the Hub is staffed by</w:t>
      </w:r>
      <w:r>
        <w:rPr>
          <w:rFonts w:cstheme="minorHAnsi"/>
        </w:rPr>
        <w:t xml:space="preserve"> </w:t>
      </w:r>
      <w:r w:rsidRPr="00A27FF0">
        <w:rPr>
          <w:rFonts w:cstheme="minorHAnsi"/>
        </w:rPr>
        <w:t>a specialist team of Enrolment and</w:t>
      </w:r>
      <w:r>
        <w:rPr>
          <w:rFonts w:cstheme="minorHAnsi"/>
        </w:rPr>
        <w:t xml:space="preserve"> </w:t>
      </w:r>
      <w:r w:rsidRPr="00A27FF0">
        <w:rPr>
          <w:rFonts w:cstheme="minorHAnsi"/>
        </w:rPr>
        <w:t>Compliance Officers, and Employer</w:t>
      </w:r>
      <w:r>
        <w:rPr>
          <w:rFonts w:cstheme="minorHAnsi"/>
        </w:rPr>
        <w:t xml:space="preserve"> </w:t>
      </w:r>
      <w:r w:rsidRPr="00A27FF0">
        <w:rPr>
          <w:rFonts w:cstheme="minorHAnsi"/>
        </w:rPr>
        <w:t>and Industry Liaison Officers who</w:t>
      </w:r>
      <w:r>
        <w:rPr>
          <w:rFonts w:cstheme="minorHAnsi"/>
        </w:rPr>
        <w:t xml:space="preserve"> </w:t>
      </w:r>
      <w:r w:rsidRPr="00A27FF0">
        <w:rPr>
          <w:rFonts w:cstheme="minorHAnsi"/>
        </w:rPr>
        <w:t>provide account management that</w:t>
      </w:r>
      <w:r>
        <w:rPr>
          <w:rFonts w:cstheme="minorHAnsi"/>
        </w:rPr>
        <w:t xml:space="preserve"> </w:t>
      </w:r>
      <w:r w:rsidRPr="00A27FF0">
        <w:rPr>
          <w:rFonts w:cstheme="minorHAnsi"/>
        </w:rPr>
        <w:t>reinforces trust, confidence, consistency,</w:t>
      </w:r>
      <w:r>
        <w:rPr>
          <w:rFonts w:cstheme="minorHAnsi"/>
        </w:rPr>
        <w:t xml:space="preserve"> </w:t>
      </w:r>
      <w:r w:rsidRPr="00A27FF0">
        <w:rPr>
          <w:rFonts w:cstheme="minorHAnsi"/>
        </w:rPr>
        <w:t>and delivery of useful and timely</w:t>
      </w:r>
      <w:r>
        <w:rPr>
          <w:rFonts w:cstheme="minorHAnsi"/>
        </w:rPr>
        <w:t xml:space="preserve"> </w:t>
      </w:r>
      <w:r w:rsidRPr="00A27FF0">
        <w:rPr>
          <w:rFonts w:cstheme="minorHAnsi"/>
        </w:rPr>
        <w:t>communications.</w:t>
      </w:r>
    </w:p>
    <w:p w:rsidR="00A27FF0" w:rsidRDefault="00A27FF0" w:rsidP="00A27FF0">
      <w:pPr>
        <w:autoSpaceDE w:val="0"/>
        <w:autoSpaceDN w:val="0"/>
        <w:adjustRightInd w:val="0"/>
        <w:spacing w:after="0" w:line="240" w:lineRule="auto"/>
        <w:rPr>
          <w:rFonts w:cstheme="minorHAnsi"/>
        </w:rPr>
      </w:pPr>
    </w:p>
    <w:p w:rsidR="00A27FF0" w:rsidRPr="00A27FF0" w:rsidRDefault="00A27FF0" w:rsidP="00A27FF0">
      <w:pPr>
        <w:autoSpaceDE w:val="0"/>
        <w:autoSpaceDN w:val="0"/>
        <w:adjustRightInd w:val="0"/>
        <w:spacing w:after="0" w:line="240" w:lineRule="auto"/>
        <w:rPr>
          <w:rFonts w:cstheme="minorHAnsi"/>
        </w:rPr>
      </w:pPr>
      <w:r w:rsidRPr="00A27FF0">
        <w:rPr>
          <w:rFonts w:cstheme="minorHAnsi"/>
        </w:rPr>
        <w:t>The Hub also processes first-year</w:t>
      </w:r>
      <w:r>
        <w:rPr>
          <w:rFonts w:cstheme="minorHAnsi"/>
        </w:rPr>
        <w:t xml:space="preserve"> </w:t>
      </w:r>
      <w:r w:rsidRPr="00A27FF0">
        <w:rPr>
          <w:rFonts w:cstheme="minorHAnsi"/>
        </w:rPr>
        <w:t>apprentice enrolments, handles all</w:t>
      </w:r>
      <w:r>
        <w:rPr>
          <w:rFonts w:cstheme="minorHAnsi"/>
        </w:rPr>
        <w:t xml:space="preserve"> </w:t>
      </w:r>
      <w:r w:rsidRPr="00A27FF0">
        <w:rPr>
          <w:rFonts w:cstheme="minorHAnsi"/>
        </w:rPr>
        <w:t>apprenticeship and employer enquiries,</w:t>
      </w:r>
      <w:r>
        <w:rPr>
          <w:rFonts w:cstheme="minorHAnsi"/>
        </w:rPr>
        <w:t xml:space="preserve"> </w:t>
      </w:r>
      <w:r w:rsidRPr="00A27FF0">
        <w:rPr>
          <w:rFonts w:cstheme="minorHAnsi"/>
        </w:rPr>
        <w:t>and liaises with the AASN (Australian</w:t>
      </w:r>
      <w:r>
        <w:rPr>
          <w:rFonts w:cstheme="minorHAnsi"/>
        </w:rPr>
        <w:t xml:space="preserve"> </w:t>
      </w:r>
      <w:r w:rsidRPr="00A27FF0">
        <w:rPr>
          <w:rFonts w:cstheme="minorHAnsi"/>
        </w:rPr>
        <w:t>Apprenticeship Support Network)</w:t>
      </w:r>
      <w:r>
        <w:rPr>
          <w:rFonts w:cstheme="minorHAnsi"/>
        </w:rPr>
        <w:t xml:space="preserve"> </w:t>
      </w:r>
      <w:r w:rsidRPr="00A27FF0">
        <w:rPr>
          <w:rFonts w:cstheme="minorHAnsi"/>
        </w:rPr>
        <w:t>where required.</w:t>
      </w:r>
    </w:p>
    <w:p w:rsidR="00A27FF0" w:rsidRPr="00A27FF0" w:rsidRDefault="00A27FF0" w:rsidP="00A27FF0">
      <w:pPr>
        <w:autoSpaceDE w:val="0"/>
        <w:autoSpaceDN w:val="0"/>
        <w:adjustRightInd w:val="0"/>
        <w:spacing w:after="0" w:line="240" w:lineRule="auto"/>
        <w:rPr>
          <w:rFonts w:cstheme="minorHAnsi"/>
        </w:rPr>
      </w:pPr>
      <w:r w:rsidRPr="00A27FF0">
        <w:rPr>
          <w:rFonts w:cstheme="minorHAnsi"/>
        </w:rPr>
        <w:t>As an effective one-stop-shop for</w:t>
      </w:r>
      <w:r>
        <w:rPr>
          <w:rFonts w:cstheme="minorHAnsi"/>
        </w:rPr>
        <w:t xml:space="preserve"> </w:t>
      </w:r>
      <w:r w:rsidRPr="00A27FF0">
        <w:rPr>
          <w:rFonts w:cstheme="minorHAnsi"/>
        </w:rPr>
        <w:t>enquiries, DELTA applications,</w:t>
      </w:r>
      <w:r>
        <w:rPr>
          <w:rFonts w:cstheme="minorHAnsi"/>
        </w:rPr>
        <w:t xml:space="preserve"> </w:t>
      </w:r>
      <w:r w:rsidRPr="00A27FF0">
        <w:rPr>
          <w:rFonts w:cstheme="minorHAnsi"/>
        </w:rPr>
        <w:t>and processes, implementation of</w:t>
      </w:r>
      <w:r>
        <w:rPr>
          <w:rFonts w:cstheme="minorHAnsi"/>
        </w:rPr>
        <w:t xml:space="preserve"> </w:t>
      </w:r>
      <w:r w:rsidRPr="00A27FF0">
        <w:rPr>
          <w:rFonts w:cstheme="minorHAnsi"/>
        </w:rPr>
        <w:t>training plans, it will become the</w:t>
      </w:r>
      <w:r>
        <w:rPr>
          <w:rFonts w:cstheme="minorHAnsi"/>
        </w:rPr>
        <w:t xml:space="preserve"> </w:t>
      </w:r>
      <w:r w:rsidRPr="00A27FF0">
        <w:rPr>
          <w:rFonts w:cstheme="minorHAnsi"/>
        </w:rPr>
        <w:t>gateway for apprentices to access the</w:t>
      </w:r>
      <w:r>
        <w:rPr>
          <w:rFonts w:cstheme="minorHAnsi"/>
        </w:rPr>
        <w:t xml:space="preserve"> </w:t>
      </w:r>
      <w:r w:rsidRPr="00A27FF0">
        <w:rPr>
          <w:rFonts w:cstheme="minorHAnsi"/>
        </w:rPr>
        <w:t>wide range of information and services</w:t>
      </w:r>
      <w:r>
        <w:rPr>
          <w:rFonts w:cstheme="minorHAnsi"/>
        </w:rPr>
        <w:t xml:space="preserve"> </w:t>
      </w:r>
      <w:r w:rsidRPr="00A27FF0">
        <w:rPr>
          <w:rFonts w:cstheme="minorHAnsi"/>
        </w:rPr>
        <w:t>they have available to them throughout</w:t>
      </w:r>
      <w:r>
        <w:rPr>
          <w:rFonts w:cstheme="minorHAnsi"/>
        </w:rPr>
        <w:t xml:space="preserve"> </w:t>
      </w:r>
      <w:r w:rsidRPr="00A27FF0">
        <w:rPr>
          <w:rFonts w:cstheme="minorHAnsi"/>
        </w:rPr>
        <w:t>their training.</w:t>
      </w:r>
    </w:p>
    <w:p w:rsidR="00A27FF0" w:rsidRDefault="00A27FF0" w:rsidP="00A27FF0">
      <w:pPr>
        <w:autoSpaceDE w:val="0"/>
        <w:autoSpaceDN w:val="0"/>
        <w:adjustRightInd w:val="0"/>
        <w:spacing w:after="0" w:line="240" w:lineRule="auto"/>
        <w:rPr>
          <w:rFonts w:cstheme="minorHAnsi"/>
        </w:rPr>
      </w:pPr>
    </w:p>
    <w:p w:rsidR="00A27FF0" w:rsidRPr="00A27FF0" w:rsidRDefault="00A27FF0" w:rsidP="00A27FF0">
      <w:pPr>
        <w:autoSpaceDE w:val="0"/>
        <w:autoSpaceDN w:val="0"/>
        <w:adjustRightInd w:val="0"/>
        <w:spacing w:after="0" w:line="240" w:lineRule="auto"/>
        <w:rPr>
          <w:rFonts w:cstheme="minorHAnsi"/>
        </w:rPr>
      </w:pPr>
      <w:r w:rsidRPr="00A27FF0">
        <w:rPr>
          <w:rFonts w:cstheme="minorHAnsi"/>
        </w:rPr>
        <w:lastRenderedPageBreak/>
        <w:t>The Hub works closely with delivery</w:t>
      </w:r>
      <w:r>
        <w:rPr>
          <w:rFonts w:cstheme="minorHAnsi"/>
        </w:rPr>
        <w:t xml:space="preserve"> </w:t>
      </w:r>
      <w:r w:rsidRPr="00A27FF0">
        <w:rPr>
          <w:rFonts w:cstheme="minorHAnsi"/>
        </w:rPr>
        <w:t>areas to ensure they’re able to focus on</w:t>
      </w:r>
      <w:r>
        <w:rPr>
          <w:rFonts w:cstheme="minorHAnsi"/>
        </w:rPr>
        <w:t xml:space="preserve"> </w:t>
      </w:r>
      <w:r w:rsidRPr="00A27FF0">
        <w:rPr>
          <w:rFonts w:cstheme="minorHAnsi"/>
        </w:rPr>
        <w:t>quality training. Departmental benefits</w:t>
      </w:r>
      <w:r>
        <w:rPr>
          <w:rFonts w:cstheme="minorHAnsi"/>
        </w:rPr>
        <w:t xml:space="preserve"> </w:t>
      </w:r>
      <w:r w:rsidRPr="00A27FF0">
        <w:rPr>
          <w:rFonts w:cstheme="minorHAnsi"/>
        </w:rPr>
        <w:t>include improved compliance, improved</w:t>
      </w:r>
      <w:r>
        <w:rPr>
          <w:rFonts w:cstheme="minorHAnsi"/>
        </w:rPr>
        <w:t xml:space="preserve"> </w:t>
      </w:r>
      <w:r w:rsidRPr="00A27FF0">
        <w:rPr>
          <w:rFonts w:cstheme="minorHAnsi"/>
        </w:rPr>
        <w:t>student experience, less administrative</w:t>
      </w:r>
      <w:r>
        <w:rPr>
          <w:rFonts w:cstheme="minorHAnsi"/>
        </w:rPr>
        <w:t xml:space="preserve"> </w:t>
      </w:r>
      <w:r w:rsidRPr="00A27FF0">
        <w:rPr>
          <w:rFonts w:cstheme="minorHAnsi"/>
        </w:rPr>
        <w:t>burden and more time for departments</w:t>
      </w:r>
      <w:r>
        <w:rPr>
          <w:rFonts w:cstheme="minorHAnsi"/>
        </w:rPr>
        <w:t xml:space="preserve"> </w:t>
      </w:r>
      <w:r w:rsidRPr="00A27FF0">
        <w:rPr>
          <w:rFonts w:cstheme="minorHAnsi"/>
        </w:rPr>
        <w:t>to focus on core business and delivery.</w:t>
      </w:r>
    </w:p>
    <w:p w:rsidR="00A27FF0" w:rsidRDefault="00A27FF0" w:rsidP="00A27FF0">
      <w:pPr>
        <w:autoSpaceDE w:val="0"/>
        <w:autoSpaceDN w:val="0"/>
        <w:adjustRightInd w:val="0"/>
        <w:spacing w:after="0" w:line="240" w:lineRule="auto"/>
        <w:rPr>
          <w:rFonts w:cstheme="minorHAnsi"/>
        </w:rPr>
      </w:pPr>
    </w:p>
    <w:p w:rsidR="00A27FF0" w:rsidRPr="00A27FF0" w:rsidRDefault="00A27FF0" w:rsidP="00A27FF0">
      <w:pPr>
        <w:autoSpaceDE w:val="0"/>
        <w:autoSpaceDN w:val="0"/>
        <w:adjustRightInd w:val="0"/>
        <w:spacing w:after="0" w:line="240" w:lineRule="auto"/>
        <w:rPr>
          <w:rFonts w:cstheme="minorHAnsi"/>
        </w:rPr>
      </w:pPr>
      <w:r w:rsidRPr="00A27FF0">
        <w:rPr>
          <w:rFonts w:cstheme="minorHAnsi"/>
        </w:rPr>
        <w:t>More than 200 apprentices’ enrolments</w:t>
      </w:r>
      <w:r>
        <w:rPr>
          <w:rFonts w:cstheme="minorHAnsi"/>
        </w:rPr>
        <w:t xml:space="preserve"> </w:t>
      </w:r>
      <w:r w:rsidRPr="00A27FF0">
        <w:rPr>
          <w:rFonts w:cstheme="minorHAnsi"/>
        </w:rPr>
        <w:t>were processed in October – December</w:t>
      </w:r>
      <w:r>
        <w:rPr>
          <w:rFonts w:cstheme="minorHAnsi"/>
        </w:rPr>
        <w:t xml:space="preserve"> </w:t>
      </w:r>
      <w:r w:rsidRPr="00A27FF0">
        <w:rPr>
          <w:rFonts w:cstheme="minorHAnsi"/>
        </w:rPr>
        <w:t>2019.</w:t>
      </w:r>
    </w:p>
    <w:p w:rsidR="00A27FF0" w:rsidRDefault="00A27FF0" w:rsidP="005942B8">
      <w:pPr>
        <w:pStyle w:val="NoSpacing"/>
      </w:pPr>
    </w:p>
    <w:p w:rsidR="00A27FF0" w:rsidRDefault="00A27FF0" w:rsidP="005942B8">
      <w:pPr>
        <w:pStyle w:val="NoSpacing"/>
      </w:pPr>
      <w:r>
        <w:t>&lt;page 21&gt;</w:t>
      </w:r>
    </w:p>
    <w:p w:rsidR="00A27FF0" w:rsidRDefault="00A27FF0" w:rsidP="005942B8">
      <w:pPr>
        <w:pStyle w:val="NoSpacing"/>
      </w:pPr>
    </w:p>
    <w:p w:rsidR="00A27FF0" w:rsidRDefault="00A27FF0" w:rsidP="001F62F7">
      <w:pPr>
        <w:pStyle w:val="Heading2"/>
      </w:pPr>
      <w:r>
        <w:t xml:space="preserve">Chisholm Skills and Jobs Centre </w:t>
      </w:r>
    </w:p>
    <w:p w:rsidR="00A27FF0" w:rsidRDefault="00A27FF0" w:rsidP="005942B8">
      <w:pPr>
        <w:pStyle w:val="NoSpacing"/>
      </w:pPr>
    </w:p>
    <w:p w:rsidR="00A27FF0" w:rsidRDefault="00A27FF0" w:rsidP="005942B8">
      <w:pPr>
        <w:pStyle w:val="NoSpacing"/>
      </w:pPr>
      <w:r>
        <w:t>The Chisholm Skills and Jobs Centre’s fourth year of operations in 2019 was an outstanding success for Chisholm and the wider south east Melbourne community.</w:t>
      </w:r>
    </w:p>
    <w:p w:rsidR="00A27FF0" w:rsidRDefault="00A27FF0" w:rsidP="005942B8">
      <w:pPr>
        <w:pStyle w:val="NoSpacing"/>
      </w:pPr>
    </w:p>
    <w:p w:rsidR="00A27FF0" w:rsidRDefault="00A27FF0" w:rsidP="005942B8">
      <w:pPr>
        <w:pStyle w:val="NoSpacing"/>
      </w:pPr>
      <w:r>
        <w:t>During 2019 the CSJC supported more than six thousand individuals in job readiness and career planning, and connected more than 500 job opportunities created by business with local job seekers.</w:t>
      </w:r>
    </w:p>
    <w:p w:rsidR="00A27FF0" w:rsidRDefault="00A27FF0" w:rsidP="005942B8">
      <w:pPr>
        <w:pStyle w:val="NoSpacing"/>
      </w:pPr>
    </w:p>
    <w:p w:rsidR="001F62F7" w:rsidRPr="001F62F7" w:rsidRDefault="001F62F7" w:rsidP="001F62F7">
      <w:pPr>
        <w:autoSpaceDE w:val="0"/>
        <w:autoSpaceDN w:val="0"/>
        <w:adjustRightInd w:val="0"/>
        <w:spacing w:after="0" w:line="240" w:lineRule="auto"/>
        <w:rPr>
          <w:rFonts w:cstheme="minorHAnsi"/>
        </w:rPr>
      </w:pPr>
      <w:r w:rsidRPr="001F62F7">
        <w:rPr>
          <w:rFonts w:cstheme="minorHAnsi"/>
        </w:rPr>
        <w:t>The Centre also provides support for</w:t>
      </w:r>
      <w:r>
        <w:rPr>
          <w:rFonts w:cstheme="minorHAnsi"/>
        </w:rPr>
        <w:t xml:space="preserve"> </w:t>
      </w:r>
      <w:r w:rsidRPr="001F62F7">
        <w:rPr>
          <w:rFonts w:cstheme="minorHAnsi"/>
        </w:rPr>
        <w:t>Chisholm students seeking employment</w:t>
      </w:r>
      <w:r>
        <w:rPr>
          <w:rFonts w:cstheme="minorHAnsi"/>
        </w:rPr>
        <w:t xml:space="preserve"> </w:t>
      </w:r>
      <w:r w:rsidRPr="001F62F7">
        <w:rPr>
          <w:rFonts w:cstheme="minorHAnsi"/>
        </w:rPr>
        <w:t>or wanting to maximise their job options</w:t>
      </w:r>
      <w:r>
        <w:rPr>
          <w:rFonts w:cstheme="minorHAnsi"/>
        </w:rPr>
        <w:t xml:space="preserve"> </w:t>
      </w:r>
      <w:r w:rsidRPr="001F62F7">
        <w:rPr>
          <w:rFonts w:cstheme="minorHAnsi"/>
        </w:rPr>
        <w:t>after course completion. Beyond the</w:t>
      </w:r>
      <w:r>
        <w:rPr>
          <w:rFonts w:cstheme="minorHAnsi"/>
        </w:rPr>
        <w:t xml:space="preserve"> </w:t>
      </w:r>
      <w:r w:rsidRPr="001F62F7">
        <w:rPr>
          <w:rFonts w:cstheme="minorHAnsi"/>
        </w:rPr>
        <w:t>connection with jobs seekers and</w:t>
      </w:r>
      <w:r>
        <w:rPr>
          <w:rFonts w:cstheme="minorHAnsi"/>
        </w:rPr>
        <w:t xml:space="preserve"> </w:t>
      </w:r>
      <w:r w:rsidRPr="001F62F7">
        <w:rPr>
          <w:rFonts w:cstheme="minorHAnsi"/>
        </w:rPr>
        <w:t>employers the CSJC engages with</w:t>
      </w:r>
      <w:r>
        <w:rPr>
          <w:rFonts w:cstheme="minorHAnsi"/>
        </w:rPr>
        <w:t xml:space="preserve"> </w:t>
      </w:r>
      <w:r w:rsidRPr="001F62F7">
        <w:rPr>
          <w:rFonts w:cstheme="minorHAnsi"/>
        </w:rPr>
        <w:t>organisations throughout the Greater</w:t>
      </w:r>
      <w:r>
        <w:rPr>
          <w:rFonts w:cstheme="minorHAnsi"/>
        </w:rPr>
        <w:t xml:space="preserve"> </w:t>
      </w:r>
      <w:r w:rsidRPr="001F62F7">
        <w:rPr>
          <w:rFonts w:cstheme="minorHAnsi"/>
        </w:rPr>
        <w:t>Dandenong area to integrate and support</w:t>
      </w:r>
      <w:r>
        <w:rPr>
          <w:rFonts w:cstheme="minorHAnsi"/>
        </w:rPr>
        <w:t xml:space="preserve"> </w:t>
      </w:r>
      <w:r w:rsidRPr="001F62F7">
        <w:rPr>
          <w:rFonts w:cstheme="minorHAnsi"/>
        </w:rPr>
        <w:t>new arrivals and ESL job seekers, as</w:t>
      </w:r>
      <w:r>
        <w:rPr>
          <w:rFonts w:cstheme="minorHAnsi"/>
        </w:rPr>
        <w:t xml:space="preserve"> </w:t>
      </w:r>
      <w:r w:rsidRPr="001F62F7">
        <w:rPr>
          <w:rFonts w:cstheme="minorHAnsi"/>
        </w:rPr>
        <w:t>well as providing on-site training for</w:t>
      </w:r>
      <w:r>
        <w:rPr>
          <w:rFonts w:cstheme="minorHAnsi"/>
        </w:rPr>
        <w:t xml:space="preserve"> </w:t>
      </w:r>
      <w:r w:rsidRPr="001F62F7">
        <w:rPr>
          <w:rFonts w:cstheme="minorHAnsi"/>
        </w:rPr>
        <w:t>employees of local businesses.</w:t>
      </w:r>
    </w:p>
    <w:p w:rsidR="001F62F7" w:rsidRDefault="001F62F7" w:rsidP="001F62F7">
      <w:pPr>
        <w:autoSpaceDE w:val="0"/>
        <w:autoSpaceDN w:val="0"/>
        <w:adjustRightInd w:val="0"/>
        <w:spacing w:after="0" w:line="240" w:lineRule="auto"/>
        <w:rPr>
          <w:rFonts w:cstheme="minorHAnsi"/>
        </w:rPr>
      </w:pPr>
    </w:p>
    <w:p w:rsidR="001F62F7" w:rsidRDefault="001F62F7" w:rsidP="001F62F7">
      <w:pPr>
        <w:autoSpaceDE w:val="0"/>
        <w:autoSpaceDN w:val="0"/>
        <w:adjustRightInd w:val="0"/>
        <w:spacing w:after="0" w:line="240" w:lineRule="auto"/>
        <w:rPr>
          <w:rFonts w:cstheme="minorHAnsi"/>
        </w:rPr>
      </w:pPr>
      <w:r w:rsidRPr="001F62F7">
        <w:rPr>
          <w:rFonts w:cstheme="minorHAnsi"/>
        </w:rPr>
        <w:t>In 2019 CSJC created partnerships</w:t>
      </w:r>
      <w:r>
        <w:rPr>
          <w:rFonts w:cstheme="minorHAnsi"/>
        </w:rPr>
        <w:t xml:space="preserve"> </w:t>
      </w:r>
      <w:r w:rsidRPr="001F62F7">
        <w:rPr>
          <w:rFonts w:cstheme="minorHAnsi"/>
        </w:rPr>
        <w:t>which incorporated vocational training</w:t>
      </w:r>
      <w:r>
        <w:rPr>
          <w:rFonts w:cstheme="minorHAnsi"/>
        </w:rPr>
        <w:t xml:space="preserve"> </w:t>
      </w:r>
      <w:r w:rsidRPr="001F62F7">
        <w:rPr>
          <w:rFonts w:cstheme="minorHAnsi"/>
        </w:rPr>
        <w:t>in welding and civil construction</w:t>
      </w:r>
      <w:r>
        <w:rPr>
          <w:rFonts w:cstheme="minorHAnsi"/>
        </w:rPr>
        <w:t xml:space="preserve"> </w:t>
      </w:r>
      <w:r w:rsidRPr="001F62F7">
        <w:rPr>
          <w:rFonts w:cstheme="minorHAnsi"/>
        </w:rPr>
        <w:t>complemented with the delivery of job</w:t>
      </w:r>
      <w:r>
        <w:rPr>
          <w:rFonts w:cstheme="minorHAnsi"/>
        </w:rPr>
        <w:t xml:space="preserve"> </w:t>
      </w:r>
      <w:r w:rsidRPr="001F62F7">
        <w:rPr>
          <w:rFonts w:cstheme="minorHAnsi"/>
        </w:rPr>
        <w:t>readiness coaching with organisations</w:t>
      </w:r>
      <w:r>
        <w:rPr>
          <w:rFonts w:cstheme="minorHAnsi"/>
        </w:rPr>
        <w:t xml:space="preserve"> </w:t>
      </w:r>
      <w:r w:rsidRPr="001F62F7">
        <w:rPr>
          <w:rFonts w:cstheme="minorHAnsi"/>
        </w:rPr>
        <w:t>such as the Department of Justice</w:t>
      </w:r>
      <w:r>
        <w:rPr>
          <w:rFonts w:cstheme="minorHAnsi"/>
        </w:rPr>
        <w:t xml:space="preserve"> </w:t>
      </w:r>
      <w:r w:rsidRPr="001F62F7">
        <w:rPr>
          <w:rFonts w:cstheme="minorHAnsi"/>
        </w:rPr>
        <w:t>(DoJ) and the Civil Contractors</w:t>
      </w:r>
      <w:r>
        <w:rPr>
          <w:rFonts w:cstheme="minorHAnsi"/>
        </w:rPr>
        <w:t xml:space="preserve"> Federation (CCF). </w:t>
      </w:r>
    </w:p>
    <w:p w:rsidR="001F62F7" w:rsidRDefault="001F62F7" w:rsidP="001F62F7">
      <w:pPr>
        <w:autoSpaceDE w:val="0"/>
        <w:autoSpaceDN w:val="0"/>
        <w:adjustRightInd w:val="0"/>
        <w:spacing w:after="0" w:line="240" w:lineRule="auto"/>
        <w:rPr>
          <w:rFonts w:cstheme="minorHAnsi"/>
        </w:rPr>
      </w:pPr>
    </w:p>
    <w:p w:rsidR="001F62F7" w:rsidRPr="001F62F7" w:rsidRDefault="001F62F7" w:rsidP="001F62F7">
      <w:pPr>
        <w:autoSpaceDE w:val="0"/>
        <w:autoSpaceDN w:val="0"/>
        <w:adjustRightInd w:val="0"/>
        <w:spacing w:after="0" w:line="240" w:lineRule="auto"/>
        <w:rPr>
          <w:rFonts w:cstheme="minorHAnsi"/>
        </w:rPr>
      </w:pPr>
      <w:r w:rsidRPr="001F62F7">
        <w:rPr>
          <w:rFonts w:cstheme="minorHAnsi"/>
        </w:rPr>
        <w:t>“An Introduction to Trades Day,” was</w:t>
      </w:r>
      <w:r>
        <w:rPr>
          <w:rFonts w:cstheme="minorHAnsi"/>
        </w:rPr>
        <w:t xml:space="preserve"> </w:t>
      </w:r>
      <w:r w:rsidRPr="001F62F7">
        <w:rPr>
          <w:rFonts w:cstheme="minorHAnsi"/>
        </w:rPr>
        <w:t>also piloted with Mission Australia to</w:t>
      </w:r>
      <w:r>
        <w:rPr>
          <w:rFonts w:cstheme="minorHAnsi"/>
        </w:rPr>
        <w:t xml:space="preserve"> </w:t>
      </w:r>
      <w:r w:rsidRPr="001F62F7">
        <w:rPr>
          <w:rFonts w:cstheme="minorHAnsi"/>
        </w:rPr>
        <w:t>support young former offenders from the</w:t>
      </w:r>
      <w:r>
        <w:rPr>
          <w:rFonts w:cstheme="minorHAnsi"/>
        </w:rPr>
        <w:t xml:space="preserve"> </w:t>
      </w:r>
      <w:r w:rsidRPr="001F62F7">
        <w:rPr>
          <w:rFonts w:cstheme="minorHAnsi"/>
        </w:rPr>
        <w:t>DOJ experience participating in a pre</w:t>
      </w:r>
      <w:r>
        <w:rPr>
          <w:rFonts w:cstheme="minorHAnsi"/>
        </w:rPr>
        <w:t>-</w:t>
      </w:r>
      <w:r w:rsidRPr="001F62F7">
        <w:rPr>
          <w:rFonts w:cstheme="minorHAnsi"/>
        </w:rPr>
        <w:t>apprenticeship</w:t>
      </w:r>
      <w:r>
        <w:rPr>
          <w:rFonts w:cstheme="minorHAnsi"/>
        </w:rPr>
        <w:t xml:space="preserve"> </w:t>
      </w:r>
      <w:r w:rsidRPr="001F62F7">
        <w:rPr>
          <w:rFonts w:cstheme="minorHAnsi"/>
        </w:rPr>
        <w:t>class across the Auto,</w:t>
      </w:r>
      <w:r>
        <w:rPr>
          <w:rFonts w:cstheme="minorHAnsi"/>
        </w:rPr>
        <w:t xml:space="preserve"> </w:t>
      </w:r>
      <w:r w:rsidRPr="001F62F7">
        <w:rPr>
          <w:rFonts w:cstheme="minorHAnsi"/>
        </w:rPr>
        <w:t>Carpentry and Plumbing trades.</w:t>
      </w:r>
      <w:r>
        <w:rPr>
          <w:rFonts w:cstheme="minorHAnsi"/>
        </w:rPr>
        <w:t xml:space="preserve"> </w:t>
      </w:r>
      <w:r w:rsidRPr="001F62F7">
        <w:rPr>
          <w:rFonts w:cstheme="minorHAnsi"/>
        </w:rPr>
        <w:t>In 2020, this program will now be part</w:t>
      </w:r>
      <w:r>
        <w:rPr>
          <w:rFonts w:cstheme="minorHAnsi"/>
        </w:rPr>
        <w:t xml:space="preserve"> </w:t>
      </w:r>
      <w:r w:rsidRPr="001F62F7">
        <w:rPr>
          <w:rFonts w:cstheme="minorHAnsi"/>
        </w:rPr>
        <w:t>of the Mission Australia program for</w:t>
      </w:r>
      <w:r>
        <w:rPr>
          <w:rFonts w:cstheme="minorHAnsi"/>
        </w:rPr>
        <w:t xml:space="preserve"> </w:t>
      </w:r>
      <w:r w:rsidRPr="001F62F7">
        <w:rPr>
          <w:rFonts w:cstheme="minorHAnsi"/>
        </w:rPr>
        <w:t>DoJ former offenders.</w:t>
      </w:r>
    </w:p>
    <w:p w:rsidR="001F62F7" w:rsidRDefault="001F62F7" w:rsidP="001F62F7">
      <w:pPr>
        <w:autoSpaceDE w:val="0"/>
        <w:autoSpaceDN w:val="0"/>
        <w:adjustRightInd w:val="0"/>
        <w:spacing w:after="0" w:line="240" w:lineRule="auto"/>
        <w:rPr>
          <w:rFonts w:cstheme="minorHAnsi"/>
        </w:rPr>
      </w:pPr>
    </w:p>
    <w:p w:rsidR="001F62F7" w:rsidRPr="001F62F7" w:rsidRDefault="001F62F7" w:rsidP="001F62F7">
      <w:pPr>
        <w:autoSpaceDE w:val="0"/>
        <w:autoSpaceDN w:val="0"/>
        <w:adjustRightInd w:val="0"/>
        <w:spacing w:after="0" w:line="240" w:lineRule="auto"/>
        <w:rPr>
          <w:rFonts w:cstheme="minorHAnsi"/>
        </w:rPr>
      </w:pPr>
      <w:r w:rsidRPr="001F62F7">
        <w:rPr>
          <w:rFonts w:cstheme="minorHAnsi"/>
        </w:rPr>
        <w:t>Groomed to Go, a registered not</w:t>
      </w:r>
      <w:r>
        <w:rPr>
          <w:rFonts w:cstheme="minorHAnsi"/>
        </w:rPr>
        <w:t>-</w:t>
      </w:r>
      <w:r w:rsidRPr="001F62F7">
        <w:rPr>
          <w:rFonts w:cstheme="minorHAnsi"/>
        </w:rPr>
        <w:t>for-profit and volunteer – based</w:t>
      </w:r>
      <w:r>
        <w:rPr>
          <w:rFonts w:cstheme="minorHAnsi"/>
        </w:rPr>
        <w:t xml:space="preserve"> </w:t>
      </w:r>
      <w:r w:rsidRPr="001F62F7">
        <w:rPr>
          <w:rFonts w:cstheme="minorHAnsi"/>
        </w:rPr>
        <w:t>organisation that financially solely</w:t>
      </w:r>
      <w:r>
        <w:rPr>
          <w:rFonts w:cstheme="minorHAnsi"/>
        </w:rPr>
        <w:t xml:space="preserve"> </w:t>
      </w:r>
      <w:r w:rsidRPr="001F62F7">
        <w:rPr>
          <w:rFonts w:cstheme="minorHAnsi"/>
        </w:rPr>
        <w:t>relies on fundraising events, community</w:t>
      </w:r>
      <w:r>
        <w:rPr>
          <w:rFonts w:cstheme="minorHAnsi"/>
        </w:rPr>
        <w:t xml:space="preserve"> </w:t>
      </w:r>
      <w:r w:rsidRPr="001F62F7">
        <w:rPr>
          <w:rFonts w:cstheme="minorHAnsi"/>
        </w:rPr>
        <w:t>support, personal and corporate</w:t>
      </w:r>
      <w:r>
        <w:rPr>
          <w:rFonts w:cstheme="minorHAnsi"/>
        </w:rPr>
        <w:t xml:space="preserve"> </w:t>
      </w:r>
      <w:r w:rsidRPr="001F62F7">
        <w:rPr>
          <w:rFonts w:cstheme="minorHAnsi"/>
        </w:rPr>
        <w:t>donations and grants, opened a pop</w:t>
      </w:r>
      <w:r>
        <w:rPr>
          <w:rFonts w:cstheme="minorHAnsi"/>
        </w:rPr>
        <w:t xml:space="preserve"> </w:t>
      </w:r>
      <w:r w:rsidRPr="001F62F7">
        <w:rPr>
          <w:rFonts w:cstheme="minorHAnsi"/>
        </w:rPr>
        <w:t>up store at the Chisholm Skills and</w:t>
      </w:r>
      <w:r>
        <w:rPr>
          <w:rFonts w:cstheme="minorHAnsi"/>
        </w:rPr>
        <w:t xml:space="preserve"> </w:t>
      </w:r>
      <w:r w:rsidRPr="001F62F7">
        <w:rPr>
          <w:rFonts w:cstheme="minorHAnsi"/>
        </w:rPr>
        <w:t>Jobs Centre.</w:t>
      </w:r>
    </w:p>
    <w:p w:rsidR="001F62F7" w:rsidRDefault="001F62F7" w:rsidP="001F62F7">
      <w:pPr>
        <w:autoSpaceDE w:val="0"/>
        <w:autoSpaceDN w:val="0"/>
        <w:adjustRightInd w:val="0"/>
        <w:spacing w:after="0" w:line="240" w:lineRule="auto"/>
        <w:rPr>
          <w:rFonts w:cstheme="minorHAnsi"/>
        </w:rPr>
      </w:pPr>
    </w:p>
    <w:p w:rsidR="001F62F7" w:rsidRDefault="001F62F7" w:rsidP="001F62F7">
      <w:pPr>
        <w:autoSpaceDE w:val="0"/>
        <w:autoSpaceDN w:val="0"/>
        <w:adjustRightInd w:val="0"/>
        <w:spacing w:after="0" w:line="240" w:lineRule="auto"/>
        <w:rPr>
          <w:rFonts w:cstheme="minorHAnsi"/>
        </w:rPr>
      </w:pPr>
      <w:r w:rsidRPr="001F62F7">
        <w:rPr>
          <w:rFonts w:cstheme="minorHAnsi"/>
        </w:rPr>
        <w:t>Partnerships in 2019 include:</w:t>
      </w:r>
    </w:p>
    <w:p w:rsidR="001F62F7" w:rsidRPr="001F62F7" w:rsidRDefault="001F62F7" w:rsidP="001F62F7">
      <w:pPr>
        <w:autoSpaceDE w:val="0"/>
        <w:autoSpaceDN w:val="0"/>
        <w:adjustRightInd w:val="0"/>
        <w:spacing w:after="0" w:line="240" w:lineRule="auto"/>
        <w:rPr>
          <w:rFonts w:cstheme="minorHAnsi"/>
        </w:rPr>
      </w:pPr>
    </w:p>
    <w:p w:rsidR="001F62F7" w:rsidRPr="001F62F7" w:rsidRDefault="001F62F7" w:rsidP="00925530">
      <w:pPr>
        <w:pStyle w:val="ListParagraph"/>
        <w:numPr>
          <w:ilvl w:val="0"/>
          <w:numId w:val="28"/>
        </w:numPr>
        <w:autoSpaceDE w:val="0"/>
        <w:autoSpaceDN w:val="0"/>
        <w:adjustRightInd w:val="0"/>
        <w:spacing w:after="0" w:line="240" w:lineRule="auto"/>
        <w:rPr>
          <w:rFonts w:cstheme="minorHAnsi"/>
        </w:rPr>
      </w:pPr>
      <w:r w:rsidRPr="001F62F7">
        <w:rPr>
          <w:rFonts w:cstheme="minorHAnsi"/>
        </w:rPr>
        <w:t>Career Counselling Australia</w:t>
      </w:r>
    </w:p>
    <w:p w:rsidR="001F62F7" w:rsidRPr="001F62F7" w:rsidRDefault="001F62F7" w:rsidP="00925530">
      <w:pPr>
        <w:pStyle w:val="ListParagraph"/>
        <w:numPr>
          <w:ilvl w:val="0"/>
          <w:numId w:val="28"/>
        </w:numPr>
        <w:autoSpaceDE w:val="0"/>
        <w:autoSpaceDN w:val="0"/>
        <w:adjustRightInd w:val="0"/>
        <w:spacing w:after="0" w:line="240" w:lineRule="auto"/>
        <w:rPr>
          <w:rFonts w:cstheme="minorHAnsi"/>
        </w:rPr>
      </w:pPr>
      <w:r w:rsidRPr="001F62F7">
        <w:rPr>
          <w:rFonts w:cstheme="minorHAnsi"/>
        </w:rPr>
        <w:t>State Government Victoria, Justice</w:t>
      </w:r>
      <w:r>
        <w:rPr>
          <w:rFonts w:cstheme="minorHAnsi"/>
        </w:rPr>
        <w:t xml:space="preserve"> </w:t>
      </w:r>
      <w:r w:rsidRPr="001F62F7">
        <w:rPr>
          <w:rFonts w:cstheme="minorHAnsi"/>
        </w:rPr>
        <w:t>and Community Safety</w:t>
      </w:r>
    </w:p>
    <w:p w:rsidR="001F62F7" w:rsidRPr="001F62F7" w:rsidRDefault="001F62F7" w:rsidP="00925530">
      <w:pPr>
        <w:pStyle w:val="ListParagraph"/>
        <w:numPr>
          <w:ilvl w:val="0"/>
          <w:numId w:val="28"/>
        </w:numPr>
        <w:autoSpaceDE w:val="0"/>
        <w:autoSpaceDN w:val="0"/>
        <w:adjustRightInd w:val="0"/>
        <w:spacing w:after="0" w:line="240" w:lineRule="auto"/>
        <w:rPr>
          <w:rFonts w:cstheme="minorHAnsi"/>
        </w:rPr>
      </w:pPr>
      <w:r w:rsidRPr="001F62F7">
        <w:rPr>
          <w:rFonts w:cstheme="minorHAnsi"/>
        </w:rPr>
        <w:t>Helping Young People Achieve</w:t>
      </w:r>
    </w:p>
    <w:p w:rsidR="001F62F7" w:rsidRPr="001F62F7" w:rsidRDefault="001F62F7" w:rsidP="00925530">
      <w:pPr>
        <w:pStyle w:val="ListParagraph"/>
        <w:numPr>
          <w:ilvl w:val="0"/>
          <w:numId w:val="28"/>
        </w:numPr>
        <w:autoSpaceDE w:val="0"/>
        <w:autoSpaceDN w:val="0"/>
        <w:adjustRightInd w:val="0"/>
        <w:spacing w:after="0" w:line="240" w:lineRule="auto"/>
        <w:rPr>
          <w:rFonts w:cstheme="minorHAnsi"/>
        </w:rPr>
      </w:pPr>
      <w:r w:rsidRPr="001F62F7">
        <w:rPr>
          <w:rFonts w:cstheme="minorHAnsi"/>
        </w:rPr>
        <w:t>Job Prospects</w:t>
      </w:r>
    </w:p>
    <w:p w:rsidR="001F62F7" w:rsidRPr="001F62F7" w:rsidRDefault="001F62F7" w:rsidP="00925530">
      <w:pPr>
        <w:pStyle w:val="ListParagraph"/>
        <w:numPr>
          <w:ilvl w:val="0"/>
          <w:numId w:val="28"/>
        </w:numPr>
        <w:autoSpaceDE w:val="0"/>
        <w:autoSpaceDN w:val="0"/>
        <w:adjustRightInd w:val="0"/>
        <w:spacing w:after="0" w:line="240" w:lineRule="auto"/>
        <w:rPr>
          <w:rFonts w:cstheme="minorHAnsi"/>
        </w:rPr>
      </w:pPr>
      <w:r w:rsidRPr="001F62F7">
        <w:rPr>
          <w:rFonts w:cstheme="minorHAnsi"/>
        </w:rPr>
        <w:t>Mission Australia</w:t>
      </w:r>
    </w:p>
    <w:p w:rsidR="001F62F7" w:rsidRPr="001F62F7" w:rsidRDefault="001F62F7" w:rsidP="00925530">
      <w:pPr>
        <w:pStyle w:val="ListParagraph"/>
        <w:numPr>
          <w:ilvl w:val="0"/>
          <w:numId w:val="28"/>
        </w:numPr>
        <w:autoSpaceDE w:val="0"/>
        <w:autoSpaceDN w:val="0"/>
        <w:adjustRightInd w:val="0"/>
        <w:spacing w:after="0" w:line="240" w:lineRule="auto"/>
        <w:rPr>
          <w:rFonts w:cstheme="minorHAnsi"/>
        </w:rPr>
      </w:pPr>
      <w:r w:rsidRPr="001F62F7">
        <w:rPr>
          <w:rFonts w:cstheme="minorHAnsi"/>
        </w:rPr>
        <w:t>Civil Contractors Federation</w:t>
      </w:r>
    </w:p>
    <w:p w:rsidR="00A27FF0" w:rsidRPr="001F62F7" w:rsidRDefault="001F62F7" w:rsidP="00925530">
      <w:pPr>
        <w:pStyle w:val="NoSpacing"/>
        <w:numPr>
          <w:ilvl w:val="0"/>
          <w:numId w:val="28"/>
        </w:numPr>
        <w:rPr>
          <w:rFonts w:cstheme="minorHAnsi"/>
        </w:rPr>
      </w:pPr>
      <w:r w:rsidRPr="001F62F7">
        <w:rPr>
          <w:rFonts w:cstheme="minorHAnsi"/>
        </w:rPr>
        <w:t>Groomed to Go Inc.</w:t>
      </w:r>
    </w:p>
    <w:p w:rsidR="00A27FF0" w:rsidRDefault="00A27FF0" w:rsidP="005942B8">
      <w:pPr>
        <w:pStyle w:val="NoSpacing"/>
      </w:pPr>
    </w:p>
    <w:p w:rsidR="00A27FF0" w:rsidRDefault="001F62F7" w:rsidP="005942B8">
      <w:pPr>
        <w:pStyle w:val="NoSpacing"/>
      </w:pPr>
      <w:r>
        <w:t>In 2019, CSJC achieved the following:</w:t>
      </w:r>
    </w:p>
    <w:p w:rsidR="001F62F7" w:rsidRDefault="001F62F7" w:rsidP="005942B8">
      <w:pPr>
        <w:pStyle w:val="NoSpacing"/>
      </w:pPr>
    </w:p>
    <w:p w:rsidR="001F62F7" w:rsidRDefault="001F62F7" w:rsidP="005942B8">
      <w:pPr>
        <w:pStyle w:val="NoSpacing"/>
      </w:pPr>
      <w:r>
        <w:t>Generated more than $100K revenue for Chisholm Institute</w:t>
      </w:r>
    </w:p>
    <w:p w:rsidR="001F62F7" w:rsidRDefault="001F62F7" w:rsidP="005942B8">
      <w:pPr>
        <w:pStyle w:val="NoSpacing"/>
      </w:pPr>
      <w:r>
        <w:t>Recruited 43 employees for SERCO</w:t>
      </w:r>
    </w:p>
    <w:p w:rsidR="001F62F7" w:rsidRDefault="001F62F7" w:rsidP="005942B8">
      <w:pPr>
        <w:pStyle w:val="NoSpacing"/>
      </w:pPr>
      <w:r>
        <w:t>Coached more than 1000 Chisholm students in job readiness</w:t>
      </w:r>
    </w:p>
    <w:p w:rsidR="001F62F7" w:rsidRDefault="001F62F7" w:rsidP="005942B8">
      <w:pPr>
        <w:pStyle w:val="NoSpacing"/>
      </w:pPr>
      <w:r>
        <w:t>Engaged with 6370 clients – an increase of 17% on previous year</w:t>
      </w:r>
    </w:p>
    <w:p w:rsidR="001F62F7" w:rsidRDefault="001F62F7" w:rsidP="005942B8">
      <w:pPr>
        <w:pStyle w:val="NoSpacing"/>
      </w:pPr>
      <w:r>
        <w:lastRenderedPageBreak/>
        <w:t>Presented more than 605 hours of job-ready workshops – an increase of 15% from 2018</w:t>
      </w:r>
    </w:p>
    <w:p w:rsidR="001F62F7" w:rsidRDefault="001F62F7" w:rsidP="005942B8">
      <w:pPr>
        <w:pStyle w:val="NoSpacing"/>
      </w:pPr>
      <w:r>
        <w:t>Delivered 1340 hours of individual career counselling support</w:t>
      </w:r>
    </w:p>
    <w:p w:rsidR="001F62F7" w:rsidRDefault="001F62F7" w:rsidP="005942B8">
      <w:pPr>
        <w:pStyle w:val="NoSpacing"/>
      </w:pPr>
      <w:r>
        <w:t>Facilitated 41 employer briefing sessions – an increase of 109% from 2018</w:t>
      </w:r>
    </w:p>
    <w:p w:rsidR="001F62F7" w:rsidRDefault="001F62F7" w:rsidP="005942B8">
      <w:pPr>
        <w:pStyle w:val="NoSpacing"/>
      </w:pPr>
    </w:p>
    <w:p w:rsidR="001F62F7" w:rsidRDefault="001F62F7" w:rsidP="005942B8">
      <w:pPr>
        <w:pStyle w:val="NoSpacing"/>
      </w:pPr>
      <w:r>
        <w:t>&lt;page 22&gt;</w:t>
      </w:r>
    </w:p>
    <w:p w:rsidR="001F62F7" w:rsidRDefault="001F62F7" w:rsidP="005942B8">
      <w:pPr>
        <w:pStyle w:val="NoSpacing"/>
      </w:pPr>
    </w:p>
    <w:p w:rsidR="001F62F7" w:rsidRDefault="001F62F7" w:rsidP="001F62F7">
      <w:pPr>
        <w:pStyle w:val="Heading2"/>
      </w:pPr>
      <w:r>
        <w:t>Student Support and Engagement</w:t>
      </w:r>
    </w:p>
    <w:p w:rsidR="001F62F7" w:rsidRDefault="001F62F7" w:rsidP="005942B8">
      <w:pPr>
        <w:pStyle w:val="NoSpacing"/>
      </w:pPr>
    </w:p>
    <w:p w:rsidR="001F62F7" w:rsidRDefault="001F62F7" w:rsidP="005942B8">
      <w:pPr>
        <w:pStyle w:val="NoSpacing"/>
      </w:pPr>
      <w:r>
        <w:t>Student Support and Engagement delivered a wrap-around support model in 2019, to help students to achieve their study goals, engage in student life, balance their wellbeing needs and enhance their employability and career readiness.</w:t>
      </w:r>
    </w:p>
    <w:p w:rsidR="001F62F7" w:rsidRDefault="001F62F7" w:rsidP="005942B8">
      <w:pPr>
        <w:pStyle w:val="NoSpacing"/>
      </w:pPr>
    </w:p>
    <w:p w:rsidR="001F62F7" w:rsidRPr="001F62F7" w:rsidRDefault="001F62F7" w:rsidP="001F62F7">
      <w:pPr>
        <w:autoSpaceDE w:val="0"/>
        <w:autoSpaceDN w:val="0"/>
        <w:adjustRightInd w:val="0"/>
        <w:spacing w:after="0" w:line="240" w:lineRule="auto"/>
        <w:rPr>
          <w:rFonts w:cstheme="minorHAnsi"/>
        </w:rPr>
      </w:pPr>
      <w:r w:rsidRPr="001F62F7">
        <w:rPr>
          <w:rFonts w:cstheme="minorHAnsi"/>
        </w:rPr>
        <w:t>Service offerings were diverse to</w:t>
      </w:r>
      <w:r>
        <w:rPr>
          <w:rFonts w:cstheme="minorHAnsi"/>
        </w:rPr>
        <w:t xml:space="preserve"> </w:t>
      </w:r>
      <w:r w:rsidRPr="001F62F7">
        <w:rPr>
          <w:rFonts w:cstheme="minorHAnsi"/>
        </w:rPr>
        <w:t>meet the breadth of student needs,</w:t>
      </w:r>
      <w:r>
        <w:rPr>
          <w:rFonts w:cstheme="minorHAnsi"/>
        </w:rPr>
        <w:t xml:space="preserve"> </w:t>
      </w:r>
      <w:r w:rsidRPr="001F62F7">
        <w:rPr>
          <w:rFonts w:cstheme="minorHAnsi"/>
        </w:rPr>
        <w:t>encourage awareness of the various</w:t>
      </w:r>
      <w:r>
        <w:rPr>
          <w:rFonts w:cstheme="minorHAnsi"/>
        </w:rPr>
        <w:t xml:space="preserve"> </w:t>
      </w:r>
      <w:r w:rsidRPr="001F62F7">
        <w:rPr>
          <w:rFonts w:cstheme="minorHAnsi"/>
        </w:rPr>
        <w:t>supports available, and to create</w:t>
      </w:r>
      <w:r>
        <w:rPr>
          <w:rFonts w:cstheme="minorHAnsi"/>
        </w:rPr>
        <w:t xml:space="preserve"> </w:t>
      </w:r>
      <w:r w:rsidRPr="001F62F7">
        <w:rPr>
          <w:rFonts w:cstheme="minorHAnsi"/>
        </w:rPr>
        <w:t>frequent, easy-to-access opportunities</w:t>
      </w:r>
      <w:r>
        <w:rPr>
          <w:rFonts w:cstheme="minorHAnsi"/>
        </w:rPr>
        <w:t xml:space="preserve"> </w:t>
      </w:r>
      <w:r w:rsidRPr="001F62F7">
        <w:rPr>
          <w:rFonts w:cstheme="minorHAnsi"/>
        </w:rPr>
        <w:t>for engagement.</w:t>
      </w:r>
    </w:p>
    <w:p w:rsidR="001F62F7" w:rsidRDefault="001F62F7" w:rsidP="001F62F7">
      <w:pPr>
        <w:autoSpaceDE w:val="0"/>
        <w:autoSpaceDN w:val="0"/>
        <w:adjustRightInd w:val="0"/>
        <w:spacing w:after="0" w:line="240" w:lineRule="auto"/>
        <w:rPr>
          <w:rFonts w:cstheme="minorHAnsi"/>
        </w:rPr>
      </w:pPr>
    </w:p>
    <w:p w:rsidR="001F62F7" w:rsidRPr="001F62F7" w:rsidRDefault="001F62F7" w:rsidP="001F62F7">
      <w:pPr>
        <w:autoSpaceDE w:val="0"/>
        <w:autoSpaceDN w:val="0"/>
        <w:adjustRightInd w:val="0"/>
        <w:spacing w:after="0" w:line="240" w:lineRule="auto"/>
        <w:rPr>
          <w:rFonts w:cstheme="minorHAnsi"/>
        </w:rPr>
      </w:pPr>
      <w:r w:rsidRPr="001F62F7">
        <w:rPr>
          <w:rFonts w:cstheme="minorHAnsi"/>
        </w:rPr>
        <w:t>Social connectedness is a crucial driver</w:t>
      </w:r>
      <w:r>
        <w:rPr>
          <w:rFonts w:cstheme="minorHAnsi"/>
        </w:rPr>
        <w:t xml:space="preserve"> </w:t>
      </w:r>
      <w:r w:rsidRPr="001F62F7">
        <w:rPr>
          <w:rFonts w:cstheme="minorHAnsi"/>
        </w:rPr>
        <w:t>of student engagement and retention,</w:t>
      </w:r>
      <w:r>
        <w:rPr>
          <w:rFonts w:cstheme="minorHAnsi"/>
        </w:rPr>
        <w:t xml:space="preserve"> </w:t>
      </w:r>
      <w:r w:rsidRPr="001F62F7">
        <w:rPr>
          <w:rFonts w:cstheme="minorHAnsi"/>
        </w:rPr>
        <w:t>and is at the centre of everything we</w:t>
      </w:r>
      <w:r>
        <w:rPr>
          <w:rFonts w:cstheme="minorHAnsi"/>
        </w:rPr>
        <w:t xml:space="preserve"> </w:t>
      </w:r>
      <w:r w:rsidRPr="001F62F7">
        <w:rPr>
          <w:rFonts w:cstheme="minorHAnsi"/>
        </w:rPr>
        <w:t>do as part of our Student Life activity.</w:t>
      </w:r>
      <w:r>
        <w:rPr>
          <w:rFonts w:cstheme="minorHAnsi"/>
        </w:rPr>
        <w:t xml:space="preserve"> </w:t>
      </w:r>
      <w:r w:rsidRPr="001F62F7">
        <w:rPr>
          <w:rFonts w:cstheme="minorHAnsi"/>
        </w:rPr>
        <w:t>More than 9000 students participated</w:t>
      </w:r>
      <w:r>
        <w:rPr>
          <w:rFonts w:cstheme="minorHAnsi"/>
        </w:rPr>
        <w:t xml:space="preserve"> </w:t>
      </w:r>
      <w:r w:rsidRPr="001F62F7">
        <w:rPr>
          <w:rFonts w:cstheme="minorHAnsi"/>
        </w:rPr>
        <w:t>in 125 events and activities throughout</w:t>
      </w:r>
      <w:r>
        <w:rPr>
          <w:rFonts w:cstheme="minorHAnsi"/>
        </w:rPr>
        <w:t xml:space="preserve"> </w:t>
      </w:r>
      <w:r w:rsidRPr="001F62F7">
        <w:rPr>
          <w:rFonts w:cstheme="minorHAnsi"/>
        </w:rPr>
        <w:t>the year, including Orientation Week,</w:t>
      </w:r>
      <w:r>
        <w:rPr>
          <w:rFonts w:cstheme="minorHAnsi"/>
        </w:rPr>
        <w:t xml:space="preserve"> </w:t>
      </w:r>
      <w:r w:rsidRPr="001F62F7">
        <w:rPr>
          <w:rFonts w:cstheme="minorHAnsi"/>
        </w:rPr>
        <w:t>R U OK Day, Harmony Week, and</w:t>
      </w:r>
      <w:r>
        <w:rPr>
          <w:rFonts w:cstheme="minorHAnsi"/>
        </w:rPr>
        <w:t xml:space="preserve"> </w:t>
      </w:r>
      <w:r w:rsidRPr="001F62F7">
        <w:rPr>
          <w:rFonts w:cstheme="minorHAnsi"/>
        </w:rPr>
        <w:t>Check-In events. We expanded social</w:t>
      </w:r>
      <w:r>
        <w:rPr>
          <w:rFonts w:cstheme="minorHAnsi"/>
        </w:rPr>
        <w:t xml:space="preserve"> </w:t>
      </w:r>
      <w:r w:rsidRPr="001F62F7">
        <w:rPr>
          <w:rFonts w:cstheme="minorHAnsi"/>
        </w:rPr>
        <w:t>club offerings following the successful</w:t>
      </w:r>
      <w:r>
        <w:rPr>
          <w:rFonts w:cstheme="minorHAnsi"/>
        </w:rPr>
        <w:t xml:space="preserve"> </w:t>
      </w:r>
      <w:r w:rsidRPr="001F62F7">
        <w:rPr>
          <w:rFonts w:cstheme="minorHAnsi"/>
        </w:rPr>
        <w:t>pilot in 2018. We launched a Trips and</w:t>
      </w:r>
      <w:r>
        <w:rPr>
          <w:rFonts w:cstheme="minorHAnsi"/>
        </w:rPr>
        <w:t xml:space="preserve"> </w:t>
      </w:r>
      <w:r w:rsidRPr="001F62F7">
        <w:rPr>
          <w:rFonts w:cstheme="minorHAnsi"/>
        </w:rPr>
        <w:t>Tours initiative, providing students with</w:t>
      </w:r>
      <w:r>
        <w:rPr>
          <w:rFonts w:cstheme="minorHAnsi"/>
        </w:rPr>
        <w:t xml:space="preserve"> </w:t>
      </w:r>
      <w:r w:rsidRPr="001F62F7">
        <w:rPr>
          <w:rFonts w:cstheme="minorHAnsi"/>
        </w:rPr>
        <w:t>the opportunity to attend off-campus</w:t>
      </w:r>
      <w:r>
        <w:rPr>
          <w:rFonts w:cstheme="minorHAnsi"/>
        </w:rPr>
        <w:t xml:space="preserve"> </w:t>
      </w:r>
      <w:r w:rsidRPr="001F62F7">
        <w:rPr>
          <w:rFonts w:cstheme="minorHAnsi"/>
        </w:rPr>
        <w:t>activities at a reduced cost. As part of</w:t>
      </w:r>
      <w:r>
        <w:rPr>
          <w:rFonts w:cstheme="minorHAnsi"/>
        </w:rPr>
        <w:t xml:space="preserve"> </w:t>
      </w:r>
      <w:r w:rsidRPr="001F62F7">
        <w:rPr>
          <w:rFonts w:cstheme="minorHAnsi"/>
        </w:rPr>
        <w:t>the focus on social connectedness, we</w:t>
      </w:r>
      <w:r>
        <w:rPr>
          <w:rFonts w:cstheme="minorHAnsi"/>
        </w:rPr>
        <w:t xml:space="preserve"> </w:t>
      </w:r>
      <w:r w:rsidRPr="001F62F7">
        <w:rPr>
          <w:rFonts w:cstheme="minorHAnsi"/>
        </w:rPr>
        <w:t>introduced peer-to-peer engagement</w:t>
      </w:r>
      <w:r>
        <w:rPr>
          <w:rFonts w:cstheme="minorHAnsi"/>
        </w:rPr>
        <w:t xml:space="preserve"> </w:t>
      </w:r>
      <w:r w:rsidRPr="001F62F7">
        <w:rPr>
          <w:rFonts w:cstheme="minorHAnsi"/>
        </w:rPr>
        <w:t>activity through the Student</w:t>
      </w:r>
      <w:r>
        <w:rPr>
          <w:rFonts w:cstheme="minorHAnsi"/>
        </w:rPr>
        <w:t xml:space="preserve"> </w:t>
      </w:r>
      <w:r w:rsidRPr="001F62F7">
        <w:rPr>
          <w:rFonts w:cstheme="minorHAnsi"/>
        </w:rPr>
        <w:t>Ambassador program, running fun and</w:t>
      </w:r>
      <w:r>
        <w:rPr>
          <w:rFonts w:cstheme="minorHAnsi"/>
        </w:rPr>
        <w:t xml:space="preserve"> </w:t>
      </w:r>
      <w:r w:rsidRPr="001F62F7">
        <w:rPr>
          <w:rFonts w:cstheme="minorHAnsi"/>
        </w:rPr>
        <w:t>engaging pop-ups to raise awareness</w:t>
      </w:r>
      <w:r>
        <w:rPr>
          <w:rFonts w:cstheme="minorHAnsi"/>
        </w:rPr>
        <w:t xml:space="preserve"> </w:t>
      </w:r>
      <w:r w:rsidRPr="001F62F7">
        <w:rPr>
          <w:rFonts w:cstheme="minorHAnsi"/>
        </w:rPr>
        <w:t>of support networks and services, and</w:t>
      </w:r>
      <w:r>
        <w:rPr>
          <w:rFonts w:cstheme="minorHAnsi"/>
        </w:rPr>
        <w:t xml:space="preserve"> </w:t>
      </w:r>
      <w:r w:rsidRPr="001F62F7">
        <w:rPr>
          <w:rFonts w:cstheme="minorHAnsi"/>
        </w:rPr>
        <w:t>encouraged students to connect.</w:t>
      </w:r>
    </w:p>
    <w:p w:rsidR="001F62F7" w:rsidRDefault="001F62F7" w:rsidP="001F62F7">
      <w:pPr>
        <w:autoSpaceDE w:val="0"/>
        <w:autoSpaceDN w:val="0"/>
        <w:adjustRightInd w:val="0"/>
        <w:spacing w:after="0" w:line="240" w:lineRule="auto"/>
        <w:rPr>
          <w:rFonts w:cstheme="minorHAnsi"/>
        </w:rPr>
      </w:pPr>
    </w:p>
    <w:p w:rsidR="001F62F7" w:rsidRPr="001F62F7" w:rsidRDefault="001F62F7" w:rsidP="001F62F7">
      <w:pPr>
        <w:autoSpaceDE w:val="0"/>
        <w:autoSpaceDN w:val="0"/>
        <w:adjustRightInd w:val="0"/>
        <w:spacing w:after="0" w:line="240" w:lineRule="auto"/>
        <w:rPr>
          <w:rFonts w:cstheme="minorHAnsi"/>
        </w:rPr>
      </w:pPr>
      <w:r w:rsidRPr="001F62F7">
        <w:rPr>
          <w:rFonts w:cstheme="minorHAnsi"/>
        </w:rPr>
        <w:t>Workshops and in-class sessions were</w:t>
      </w:r>
      <w:r>
        <w:rPr>
          <w:rFonts w:cstheme="minorHAnsi"/>
        </w:rPr>
        <w:t xml:space="preserve"> </w:t>
      </w:r>
      <w:r w:rsidRPr="001F62F7">
        <w:rPr>
          <w:rFonts w:cstheme="minorHAnsi"/>
        </w:rPr>
        <w:t>extended in 2019, taking a holistic</w:t>
      </w:r>
      <w:r>
        <w:rPr>
          <w:rFonts w:cstheme="minorHAnsi"/>
        </w:rPr>
        <w:t xml:space="preserve"> </w:t>
      </w:r>
      <w:r w:rsidRPr="001F62F7">
        <w:rPr>
          <w:rFonts w:cstheme="minorHAnsi"/>
        </w:rPr>
        <w:t>approach to offerings, focusing on all</w:t>
      </w:r>
      <w:r>
        <w:rPr>
          <w:rFonts w:cstheme="minorHAnsi"/>
        </w:rPr>
        <w:t xml:space="preserve"> </w:t>
      </w:r>
      <w:r w:rsidRPr="001F62F7">
        <w:rPr>
          <w:rFonts w:cstheme="minorHAnsi"/>
        </w:rPr>
        <w:t>aspects of student life. Two hundred</w:t>
      </w:r>
      <w:r>
        <w:rPr>
          <w:rFonts w:cstheme="minorHAnsi"/>
        </w:rPr>
        <w:t xml:space="preserve"> </w:t>
      </w:r>
      <w:r w:rsidRPr="001F62F7">
        <w:rPr>
          <w:rFonts w:cstheme="minorHAnsi"/>
        </w:rPr>
        <w:t>sixty-three workshops were delivered</w:t>
      </w:r>
      <w:r>
        <w:rPr>
          <w:rFonts w:cstheme="minorHAnsi"/>
        </w:rPr>
        <w:t xml:space="preserve"> </w:t>
      </w:r>
      <w:r w:rsidRPr="001F62F7">
        <w:rPr>
          <w:rFonts w:cstheme="minorHAnsi"/>
        </w:rPr>
        <w:t>in 2019, reaching over 4881 students.</w:t>
      </w:r>
      <w:r>
        <w:rPr>
          <w:rFonts w:cstheme="minorHAnsi"/>
        </w:rPr>
        <w:t xml:space="preserve"> </w:t>
      </w:r>
      <w:r w:rsidRPr="001F62F7">
        <w:rPr>
          <w:rFonts w:cstheme="minorHAnsi"/>
        </w:rPr>
        <w:t>Themes included the delivery of the</w:t>
      </w:r>
      <w:r>
        <w:rPr>
          <w:rFonts w:cstheme="minorHAnsi"/>
        </w:rPr>
        <w:t xml:space="preserve"> </w:t>
      </w:r>
      <w:r w:rsidRPr="001F62F7">
        <w:rPr>
          <w:rFonts w:cstheme="minorHAnsi"/>
        </w:rPr>
        <w:t>three-step career program, budget</w:t>
      </w:r>
      <w:r>
        <w:rPr>
          <w:rFonts w:cstheme="minorHAnsi"/>
        </w:rPr>
        <w:t xml:space="preserve"> </w:t>
      </w:r>
      <w:r w:rsidRPr="001F62F7">
        <w:rPr>
          <w:rFonts w:cstheme="minorHAnsi"/>
        </w:rPr>
        <w:t>management, Aboriginal and Torres</w:t>
      </w:r>
      <w:r>
        <w:rPr>
          <w:rFonts w:cstheme="minorHAnsi"/>
        </w:rPr>
        <w:t xml:space="preserve"> </w:t>
      </w:r>
      <w:r w:rsidRPr="001F62F7">
        <w:rPr>
          <w:rFonts w:cstheme="minorHAnsi"/>
        </w:rPr>
        <w:t>Strait Islander cultural safety, academic</w:t>
      </w:r>
      <w:r>
        <w:rPr>
          <w:rFonts w:cstheme="minorHAnsi"/>
        </w:rPr>
        <w:t xml:space="preserve"> </w:t>
      </w:r>
      <w:r w:rsidRPr="001F62F7">
        <w:rPr>
          <w:rFonts w:cstheme="minorHAnsi"/>
        </w:rPr>
        <w:t>support through Information Literacy</w:t>
      </w:r>
      <w:r>
        <w:rPr>
          <w:rFonts w:cstheme="minorHAnsi"/>
        </w:rPr>
        <w:t xml:space="preserve"> </w:t>
      </w:r>
      <w:r w:rsidRPr="001F62F7">
        <w:rPr>
          <w:rFonts w:cstheme="minorHAnsi"/>
        </w:rPr>
        <w:t>sessions, stress and time management,</w:t>
      </w:r>
      <w:r>
        <w:rPr>
          <w:rFonts w:cstheme="minorHAnsi"/>
        </w:rPr>
        <w:t xml:space="preserve"> </w:t>
      </w:r>
      <w:r w:rsidRPr="001F62F7">
        <w:rPr>
          <w:rFonts w:cstheme="minorHAnsi"/>
        </w:rPr>
        <w:t>resilience, and mindfulness. The</w:t>
      </w:r>
      <w:r>
        <w:rPr>
          <w:rFonts w:cstheme="minorHAnsi"/>
        </w:rPr>
        <w:t xml:space="preserve"> </w:t>
      </w:r>
      <w:r w:rsidRPr="001F62F7">
        <w:rPr>
          <w:rFonts w:cstheme="minorHAnsi"/>
        </w:rPr>
        <w:t>careers team also delivered a live</w:t>
      </w:r>
      <w:r>
        <w:rPr>
          <w:rFonts w:cstheme="minorHAnsi"/>
        </w:rPr>
        <w:t xml:space="preserve"> </w:t>
      </w:r>
      <w:r w:rsidRPr="001F62F7">
        <w:rPr>
          <w:rFonts w:cstheme="minorHAnsi"/>
        </w:rPr>
        <w:t>Q&amp;A session to offshore students in</w:t>
      </w:r>
      <w:r>
        <w:rPr>
          <w:rFonts w:cstheme="minorHAnsi"/>
        </w:rPr>
        <w:t xml:space="preserve"> </w:t>
      </w:r>
      <w:r w:rsidRPr="001F62F7">
        <w:rPr>
          <w:rFonts w:cstheme="minorHAnsi"/>
        </w:rPr>
        <w:t>Vietnam, providing pathways and career</w:t>
      </w:r>
      <w:r>
        <w:rPr>
          <w:rFonts w:cstheme="minorHAnsi"/>
        </w:rPr>
        <w:t xml:space="preserve"> </w:t>
      </w:r>
      <w:r w:rsidRPr="001F62F7">
        <w:rPr>
          <w:rFonts w:cstheme="minorHAnsi"/>
        </w:rPr>
        <w:t>readiness information.</w:t>
      </w:r>
    </w:p>
    <w:p w:rsidR="001F62F7" w:rsidRDefault="001F62F7" w:rsidP="001F62F7">
      <w:pPr>
        <w:autoSpaceDE w:val="0"/>
        <w:autoSpaceDN w:val="0"/>
        <w:adjustRightInd w:val="0"/>
        <w:spacing w:after="0" w:line="240" w:lineRule="auto"/>
        <w:rPr>
          <w:rFonts w:cstheme="minorHAnsi"/>
        </w:rPr>
      </w:pPr>
    </w:p>
    <w:p w:rsidR="001F62F7" w:rsidRPr="001F62F7" w:rsidRDefault="001F62F7" w:rsidP="001F62F7">
      <w:pPr>
        <w:autoSpaceDE w:val="0"/>
        <w:autoSpaceDN w:val="0"/>
        <w:adjustRightInd w:val="0"/>
        <w:spacing w:after="0" w:line="240" w:lineRule="auto"/>
        <w:rPr>
          <w:rFonts w:cstheme="minorHAnsi"/>
        </w:rPr>
      </w:pPr>
      <w:r w:rsidRPr="001F62F7">
        <w:rPr>
          <w:rFonts w:cstheme="minorHAnsi"/>
        </w:rPr>
        <w:t>The introduction of Free TAFE in 2019</w:t>
      </w:r>
      <w:r>
        <w:rPr>
          <w:rFonts w:cstheme="minorHAnsi"/>
        </w:rPr>
        <w:t xml:space="preserve"> </w:t>
      </w:r>
      <w:r w:rsidRPr="001F62F7">
        <w:rPr>
          <w:rFonts w:cstheme="minorHAnsi"/>
        </w:rPr>
        <w:t>saw a significant increase in student</w:t>
      </w:r>
      <w:r>
        <w:rPr>
          <w:rFonts w:cstheme="minorHAnsi"/>
        </w:rPr>
        <w:t xml:space="preserve"> </w:t>
      </w:r>
      <w:r w:rsidRPr="001F62F7">
        <w:rPr>
          <w:rFonts w:cstheme="minorHAnsi"/>
        </w:rPr>
        <w:t>numbers, which listed the demand</w:t>
      </w:r>
      <w:r>
        <w:rPr>
          <w:rFonts w:cstheme="minorHAnsi"/>
        </w:rPr>
        <w:t xml:space="preserve"> </w:t>
      </w:r>
      <w:r w:rsidRPr="001F62F7">
        <w:rPr>
          <w:rFonts w:cstheme="minorHAnsi"/>
        </w:rPr>
        <w:t>on services but an unexpected and</w:t>
      </w:r>
      <w:r>
        <w:rPr>
          <w:rFonts w:cstheme="minorHAnsi"/>
        </w:rPr>
        <w:t xml:space="preserve"> </w:t>
      </w:r>
      <w:r w:rsidRPr="001F62F7">
        <w:rPr>
          <w:rFonts w:cstheme="minorHAnsi"/>
        </w:rPr>
        <w:t>dramatic increase in the percentage</w:t>
      </w:r>
      <w:r>
        <w:rPr>
          <w:rFonts w:cstheme="minorHAnsi"/>
        </w:rPr>
        <w:t xml:space="preserve"> </w:t>
      </w:r>
      <w:r w:rsidRPr="001F62F7">
        <w:rPr>
          <w:rFonts w:cstheme="minorHAnsi"/>
        </w:rPr>
        <w:t>of students needing support. Personal</w:t>
      </w:r>
      <w:r>
        <w:rPr>
          <w:rFonts w:cstheme="minorHAnsi"/>
        </w:rPr>
        <w:t xml:space="preserve"> </w:t>
      </w:r>
      <w:r w:rsidRPr="001F62F7">
        <w:rPr>
          <w:rFonts w:cstheme="minorHAnsi"/>
        </w:rPr>
        <w:t>Counselling services were in extreme</w:t>
      </w:r>
      <w:r>
        <w:rPr>
          <w:rFonts w:cstheme="minorHAnsi"/>
        </w:rPr>
        <w:t xml:space="preserve"> </w:t>
      </w:r>
      <w:r w:rsidRPr="001F62F7">
        <w:rPr>
          <w:rFonts w:cstheme="minorHAnsi"/>
        </w:rPr>
        <w:t>need, with a 189% increase in</w:t>
      </w:r>
      <w:r>
        <w:rPr>
          <w:rFonts w:cstheme="minorHAnsi"/>
        </w:rPr>
        <w:t xml:space="preserve"> </w:t>
      </w:r>
      <w:r w:rsidRPr="001F62F7">
        <w:rPr>
          <w:rFonts w:cstheme="minorHAnsi"/>
        </w:rPr>
        <w:t>comparison to 2018. There was also</w:t>
      </w:r>
      <w:r>
        <w:rPr>
          <w:rFonts w:cstheme="minorHAnsi"/>
        </w:rPr>
        <w:t xml:space="preserve"> </w:t>
      </w:r>
      <w:r w:rsidRPr="001F62F7">
        <w:rPr>
          <w:rFonts w:cstheme="minorHAnsi"/>
        </w:rPr>
        <w:t>a significant increase in students</w:t>
      </w:r>
      <w:r>
        <w:rPr>
          <w:rFonts w:cstheme="minorHAnsi"/>
        </w:rPr>
        <w:t xml:space="preserve"> </w:t>
      </w:r>
      <w:r w:rsidRPr="001F62F7">
        <w:rPr>
          <w:rFonts w:cstheme="minorHAnsi"/>
        </w:rPr>
        <w:t>presenting in crisis, e.g. suicidal ideation,</w:t>
      </w:r>
      <w:r>
        <w:rPr>
          <w:rFonts w:cstheme="minorHAnsi"/>
        </w:rPr>
        <w:t xml:space="preserve"> </w:t>
      </w:r>
      <w:r w:rsidRPr="001F62F7">
        <w:rPr>
          <w:rFonts w:cstheme="minorHAnsi"/>
        </w:rPr>
        <w:t>homelessness, and severe financial</w:t>
      </w:r>
      <w:r>
        <w:rPr>
          <w:rFonts w:cstheme="minorHAnsi"/>
        </w:rPr>
        <w:t xml:space="preserve"> </w:t>
      </w:r>
      <w:r w:rsidRPr="001F62F7">
        <w:rPr>
          <w:rFonts w:cstheme="minorHAnsi"/>
        </w:rPr>
        <w:t>hardship. Response to demand was</w:t>
      </w:r>
      <w:r>
        <w:rPr>
          <w:rFonts w:cstheme="minorHAnsi"/>
        </w:rPr>
        <w:t xml:space="preserve"> </w:t>
      </w:r>
      <w:r w:rsidRPr="001F62F7">
        <w:rPr>
          <w:rFonts w:cstheme="minorHAnsi"/>
        </w:rPr>
        <w:t>swift with the creation of a dedicated</w:t>
      </w:r>
      <w:r>
        <w:rPr>
          <w:rFonts w:cstheme="minorHAnsi"/>
        </w:rPr>
        <w:t xml:space="preserve"> </w:t>
      </w:r>
      <w:r w:rsidRPr="001F62F7">
        <w:rPr>
          <w:rFonts w:cstheme="minorHAnsi"/>
        </w:rPr>
        <w:t>Emergency Relief initiative. The</w:t>
      </w:r>
      <w:r>
        <w:rPr>
          <w:rFonts w:cstheme="minorHAnsi"/>
        </w:rPr>
        <w:t xml:space="preserve"> </w:t>
      </w:r>
      <w:r w:rsidRPr="001F62F7">
        <w:rPr>
          <w:rFonts w:cstheme="minorHAnsi"/>
        </w:rPr>
        <w:t>initiative’s focus was on students in crisis</w:t>
      </w:r>
      <w:r>
        <w:rPr>
          <w:rFonts w:cstheme="minorHAnsi"/>
        </w:rPr>
        <w:t xml:space="preserve"> </w:t>
      </w:r>
      <w:r w:rsidRPr="001F62F7">
        <w:rPr>
          <w:rFonts w:cstheme="minorHAnsi"/>
        </w:rPr>
        <w:t>and the immediate supply of resources</w:t>
      </w:r>
      <w:r>
        <w:rPr>
          <w:rFonts w:cstheme="minorHAnsi"/>
        </w:rPr>
        <w:t xml:space="preserve"> </w:t>
      </w:r>
      <w:r w:rsidRPr="001F62F7">
        <w:rPr>
          <w:rFonts w:cstheme="minorHAnsi"/>
        </w:rPr>
        <w:t>to help for 24-hours while external</w:t>
      </w:r>
      <w:r>
        <w:rPr>
          <w:rFonts w:cstheme="minorHAnsi"/>
        </w:rPr>
        <w:t xml:space="preserve"> </w:t>
      </w:r>
      <w:r w:rsidRPr="001F62F7">
        <w:rPr>
          <w:rFonts w:cstheme="minorHAnsi"/>
        </w:rPr>
        <w:t>agencies could be engaged. Instant</w:t>
      </w:r>
      <w:r>
        <w:rPr>
          <w:rFonts w:cstheme="minorHAnsi"/>
        </w:rPr>
        <w:t xml:space="preserve"> </w:t>
      </w:r>
      <w:r w:rsidRPr="001F62F7">
        <w:rPr>
          <w:rFonts w:cstheme="minorHAnsi"/>
        </w:rPr>
        <w:t>support included vouchers for food,</w:t>
      </w:r>
      <w:r>
        <w:rPr>
          <w:rFonts w:cstheme="minorHAnsi"/>
        </w:rPr>
        <w:t xml:space="preserve"> </w:t>
      </w:r>
      <w:r w:rsidRPr="001F62F7">
        <w:rPr>
          <w:rFonts w:cstheme="minorHAnsi"/>
        </w:rPr>
        <w:t>personal hygiene items, and transport.</w:t>
      </w:r>
    </w:p>
    <w:p w:rsidR="001F62F7" w:rsidRDefault="001F62F7" w:rsidP="001F62F7">
      <w:pPr>
        <w:autoSpaceDE w:val="0"/>
        <w:autoSpaceDN w:val="0"/>
        <w:adjustRightInd w:val="0"/>
        <w:spacing w:after="0" w:line="240" w:lineRule="auto"/>
        <w:rPr>
          <w:rFonts w:cstheme="minorHAnsi"/>
        </w:rPr>
      </w:pPr>
    </w:p>
    <w:p w:rsidR="001F62F7" w:rsidRPr="001F62F7" w:rsidRDefault="001F62F7" w:rsidP="001F62F7">
      <w:pPr>
        <w:autoSpaceDE w:val="0"/>
        <w:autoSpaceDN w:val="0"/>
        <w:adjustRightInd w:val="0"/>
        <w:spacing w:after="0" w:line="240" w:lineRule="auto"/>
        <w:rPr>
          <w:rFonts w:cstheme="minorHAnsi"/>
        </w:rPr>
      </w:pPr>
      <w:r w:rsidRPr="001F62F7">
        <w:rPr>
          <w:rFonts w:cstheme="minorHAnsi"/>
        </w:rPr>
        <w:t>Individual support remains a central</w:t>
      </w:r>
      <w:r>
        <w:rPr>
          <w:rFonts w:cstheme="minorHAnsi"/>
        </w:rPr>
        <w:t xml:space="preserve"> </w:t>
      </w:r>
      <w:r w:rsidRPr="001F62F7">
        <w:rPr>
          <w:rFonts w:cstheme="minorHAnsi"/>
        </w:rPr>
        <w:t>component of our service model,</w:t>
      </w:r>
      <w:r>
        <w:rPr>
          <w:rFonts w:cstheme="minorHAnsi"/>
        </w:rPr>
        <w:t xml:space="preserve"> </w:t>
      </w:r>
      <w:r w:rsidRPr="001F62F7">
        <w:rPr>
          <w:rFonts w:cstheme="minorHAnsi"/>
        </w:rPr>
        <w:t>providing one-on-one individual support</w:t>
      </w:r>
      <w:r>
        <w:rPr>
          <w:rFonts w:cstheme="minorHAnsi"/>
        </w:rPr>
        <w:t xml:space="preserve"> </w:t>
      </w:r>
      <w:r w:rsidRPr="001F62F7">
        <w:rPr>
          <w:rFonts w:cstheme="minorHAnsi"/>
        </w:rPr>
        <w:t>to students through a range of services</w:t>
      </w:r>
      <w:r>
        <w:rPr>
          <w:rFonts w:cstheme="minorHAnsi"/>
        </w:rPr>
        <w:t xml:space="preserve"> </w:t>
      </w:r>
      <w:r w:rsidRPr="001F62F7">
        <w:rPr>
          <w:rFonts w:cstheme="minorHAnsi"/>
        </w:rPr>
        <w:t>including Careers and Employability,</w:t>
      </w:r>
      <w:r>
        <w:rPr>
          <w:rFonts w:cstheme="minorHAnsi"/>
        </w:rPr>
        <w:t xml:space="preserve"> </w:t>
      </w:r>
      <w:r w:rsidRPr="001F62F7">
        <w:rPr>
          <w:rFonts w:cstheme="minorHAnsi"/>
        </w:rPr>
        <w:t>Equitable Learning and Disability</w:t>
      </w:r>
      <w:r>
        <w:rPr>
          <w:rFonts w:cstheme="minorHAnsi"/>
        </w:rPr>
        <w:t xml:space="preserve"> </w:t>
      </w:r>
      <w:r w:rsidRPr="001F62F7">
        <w:rPr>
          <w:rFonts w:cstheme="minorHAnsi"/>
        </w:rPr>
        <w:t>Support, Indigenous Engagement, and</w:t>
      </w:r>
      <w:r>
        <w:rPr>
          <w:rFonts w:cstheme="minorHAnsi"/>
        </w:rPr>
        <w:t xml:space="preserve"> </w:t>
      </w:r>
      <w:r w:rsidRPr="001F62F7">
        <w:rPr>
          <w:rFonts w:cstheme="minorHAnsi"/>
        </w:rPr>
        <w:t>Personal Counselling. The Engagement</w:t>
      </w:r>
      <w:r>
        <w:rPr>
          <w:rFonts w:cstheme="minorHAnsi"/>
        </w:rPr>
        <w:t xml:space="preserve"> </w:t>
      </w:r>
      <w:r w:rsidRPr="001F62F7">
        <w:rPr>
          <w:rFonts w:cstheme="minorHAnsi"/>
        </w:rPr>
        <w:t>portfolio provided 9,179 individual</w:t>
      </w:r>
      <w:r>
        <w:rPr>
          <w:rFonts w:cstheme="minorHAnsi"/>
        </w:rPr>
        <w:t xml:space="preserve"> </w:t>
      </w:r>
      <w:r w:rsidRPr="001F62F7">
        <w:rPr>
          <w:rFonts w:cstheme="minorHAnsi"/>
        </w:rPr>
        <w:t>support interactions in 2019, an increase</w:t>
      </w:r>
      <w:r>
        <w:rPr>
          <w:rFonts w:cstheme="minorHAnsi"/>
        </w:rPr>
        <w:t xml:space="preserve"> </w:t>
      </w:r>
      <w:r w:rsidRPr="001F62F7">
        <w:rPr>
          <w:rFonts w:cstheme="minorHAnsi"/>
        </w:rPr>
        <w:t>of 129% from 2018. This increase was</w:t>
      </w:r>
      <w:r>
        <w:rPr>
          <w:rFonts w:cstheme="minorHAnsi"/>
        </w:rPr>
        <w:t xml:space="preserve"> </w:t>
      </w:r>
      <w:r w:rsidRPr="001F62F7">
        <w:rPr>
          <w:rFonts w:cstheme="minorHAnsi"/>
        </w:rPr>
        <w:t>also due to the launch of the Financial</w:t>
      </w:r>
      <w:r>
        <w:rPr>
          <w:rFonts w:cstheme="minorHAnsi"/>
        </w:rPr>
        <w:t xml:space="preserve"> </w:t>
      </w:r>
      <w:r w:rsidRPr="001F62F7">
        <w:rPr>
          <w:rFonts w:cstheme="minorHAnsi"/>
        </w:rPr>
        <w:t>Capability service, providing education</w:t>
      </w:r>
      <w:r>
        <w:rPr>
          <w:rFonts w:cstheme="minorHAnsi"/>
        </w:rPr>
        <w:t xml:space="preserve"> </w:t>
      </w:r>
      <w:r w:rsidRPr="001F62F7">
        <w:rPr>
          <w:rFonts w:cstheme="minorHAnsi"/>
        </w:rPr>
        <w:t>in budget management, debt, external</w:t>
      </w:r>
      <w:r>
        <w:rPr>
          <w:rFonts w:cstheme="minorHAnsi"/>
        </w:rPr>
        <w:t xml:space="preserve"> </w:t>
      </w:r>
      <w:r w:rsidRPr="001F62F7">
        <w:rPr>
          <w:rFonts w:cstheme="minorHAnsi"/>
        </w:rPr>
        <w:t>assistance, and general money</w:t>
      </w:r>
      <w:r>
        <w:rPr>
          <w:rFonts w:cstheme="minorHAnsi"/>
        </w:rPr>
        <w:t xml:space="preserve"> </w:t>
      </w:r>
      <w:r w:rsidRPr="001F62F7">
        <w:rPr>
          <w:rFonts w:cstheme="minorHAnsi"/>
        </w:rPr>
        <w:t>management. The Financial Capability</w:t>
      </w:r>
      <w:r>
        <w:rPr>
          <w:rFonts w:cstheme="minorHAnsi"/>
        </w:rPr>
        <w:t xml:space="preserve"> </w:t>
      </w:r>
      <w:r w:rsidRPr="001F62F7">
        <w:rPr>
          <w:rFonts w:cstheme="minorHAnsi"/>
        </w:rPr>
        <w:t>service was delivered across class</w:t>
      </w:r>
      <w:r>
        <w:rPr>
          <w:rFonts w:cstheme="minorHAnsi"/>
        </w:rPr>
        <w:t xml:space="preserve"> </w:t>
      </w:r>
      <w:r w:rsidRPr="001F62F7">
        <w:rPr>
          <w:rFonts w:cstheme="minorHAnsi"/>
        </w:rPr>
        <w:t>workshops, individual support, and</w:t>
      </w:r>
      <w:r>
        <w:rPr>
          <w:rFonts w:cstheme="minorHAnsi"/>
        </w:rPr>
        <w:t xml:space="preserve"> </w:t>
      </w:r>
      <w:r w:rsidRPr="001F62F7">
        <w:rPr>
          <w:rFonts w:cstheme="minorHAnsi"/>
        </w:rPr>
        <w:t>lunchtime information sessions with</w:t>
      </w:r>
      <w:r>
        <w:rPr>
          <w:rFonts w:cstheme="minorHAnsi"/>
        </w:rPr>
        <w:t xml:space="preserve"> </w:t>
      </w:r>
      <w:r w:rsidRPr="001F62F7">
        <w:rPr>
          <w:rFonts w:cstheme="minorHAnsi"/>
        </w:rPr>
        <w:t>more than 520 students engaged.</w:t>
      </w:r>
    </w:p>
    <w:p w:rsidR="001F62F7" w:rsidRDefault="001F62F7" w:rsidP="005942B8">
      <w:pPr>
        <w:pStyle w:val="NoSpacing"/>
      </w:pPr>
    </w:p>
    <w:p w:rsidR="00933493" w:rsidRDefault="00933493" w:rsidP="005942B8">
      <w:pPr>
        <w:pStyle w:val="NoSpacing"/>
      </w:pPr>
      <w:r>
        <w:t>&lt;page 23&gt;</w:t>
      </w:r>
    </w:p>
    <w:p w:rsidR="00933493" w:rsidRDefault="00933493" w:rsidP="005942B8">
      <w:pPr>
        <w:pStyle w:val="NoSpacing"/>
      </w:pPr>
    </w:p>
    <w:p w:rsidR="00933493" w:rsidRDefault="00933493" w:rsidP="00933493">
      <w:pPr>
        <w:pStyle w:val="Heading2"/>
      </w:pPr>
      <w:r>
        <w:t>Foundation College</w:t>
      </w:r>
    </w:p>
    <w:p w:rsidR="00933493" w:rsidRDefault="00933493" w:rsidP="005942B8">
      <w:pPr>
        <w:pStyle w:val="NoSpacing"/>
      </w:pPr>
    </w:p>
    <w:p w:rsidR="00933493" w:rsidRDefault="00933493" w:rsidP="00933493">
      <w:pPr>
        <w:pStyle w:val="Heading3"/>
      </w:pPr>
      <w:r>
        <w:t xml:space="preserve">Academic Learning Skills Unit </w:t>
      </w:r>
    </w:p>
    <w:p w:rsidR="001F62F7" w:rsidRDefault="001F62F7" w:rsidP="005942B8">
      <w:pPr>
        <w:pStyle w:val="NoSpacing"/>
      </w:pPr>
    </w:p>
    <w:p w:rsidR="00933493" w:rsidRPr="00933493" w:rsidRDefault="00933493" w:rsidP="00933493">
      <w:pPr>
        <w:autoSpaceDE w:val="0"/>
        <w:autoSpaceDN w:val="0"/>
        <w:adjustRightInd w:val="0"/>
        <w:spacing w:after="0" w:line="240" w:lineRule="auto"/>
        <w:rPr>
          <w:rFonts w:cstheme="minorHAnsi"/>
        </w:rPr>
      </w:pPr>
      <w:r w:rsidRPr="00933493">
        <w:rPr>
          <w:rFonts w:cstheme="minorHAnsi"/>
        </w:rPr>
        <w:t>The Academic Learning Skills Unit</w:t>
      </w:r>
      <w:r w:rsidR="00FE76E2">
        <w:rPr>
          <w:rFonts w:cstheme="minorHAnsi"/>
        </w:rPr>
        <w:t xml:space="preserve"> </w:t>
      </w:r>
      <w:r w:rsidRPr="00933493">
        <w:rPr>
          <w:rFonts w:cstheme="minorHAnsi"/>
        </w:rPr>
        <w:t>supports all Chisholm students to</w:t>
      </w:r>
      <w:r w:rsidR="00FE76E2">
        <w:rPr>
          <w:rFonts w:cstheme="minorHAnsi"/>
        </w:rPr>
        <w:t xml:space="preserve"> </w:t>
      </w:r>
      <w:r w:rsidRPr="00933493">
        <w:rPr>
          <w:rFonts w:cstheme="minorHAnsi"/>
        </w:rPr>
        <w:t>develop key language, literacy and</w:t>
      </w:r>
      <w:r w:rsidR="00FE76E2">
        <w:rPr>
          <w:rFonts w:cstheme="minorHAnsi"/>
        </w:rPr>
        <w:t xml:space="preserve"> </w:t>
      </w:r>
      <w:r w:rsidRPr="00933493">
        <w:rPr>
          <w:rFonts w:cstheme="minorHAnsi"/>
        </w:rPr>
        <w:t>numeracy skills. In 2019, LLN specialists</w:t>
      </w:r>
      <w:r w:rsidR="00FE76E2">
        <w:rPr>
          <w:rFonts w:cstheme="minorHAnsi"/>
        </w:rPr>
        <w:t xml:space="preserve"> </w:t>
      </w:r>
      <w:r w:rsidRPr="00933493">
        <w:rPr>
          <w:rFonts w:cstheme="minorHAnsi"/>
        </w:rPr>
        <w:t>worked across Dandenong, Frankston</w:t>
      </w:r>
      <w:r w:rsidR="00FE76E2">
        <w:rPr>
          <w:rFonts w:cstheme="minorHAnsi"/>
        </w:rPr>
        <w:t xml:space="preserve"> </w:t>
      </w:r>
      <w:r w:rsidRPr="00933493">
        <w:rPr>
          <w:rFonts w:cstheme="minorHAnsi"/>
        </w:rPr>
        <w:t>and Berwick campuses to support</w:t>
      </w:r>
      <w:r w:rsidR="00FE76E2">
        <w:rPr>
          <w:rFonts w:cstheme="minorHAnsi"/>
        </w:rPr>
        <w:t xml:space="preserve"> </w:t>
      </w:r>
      <w:r w:rsidRPr="00933493">
        <w:rPr>
          <w:rFonts w:cstheme="minorHAnsi"/>
        </w:rPr>
        <w:t>students in libraries through a drop-in</w:t>
      </w:r>
      <w:r w:rsidR="00FE76E2">
        <w:rPr>
          <w:rFonts w:cstheme="minorHAnsi"/>
        </w:rPr>
        <w:t xml:space="preserve"> </w:t>
      </w:r>
      <w:r w:rsidRPr="00933493">
        <w:rPr>
          <w:rFonts w:cstheme="minorHAnsi"/>
        </w:rPr>
        <w:t>service and via email, embedded LLN</w:t>
      </w:r>
      <w:r w:rsidR="00FE76E2">
        <w:rPr>
          <w:rFonts w:cstheme="minorHAnsi"/>
        </w:rPr>
        <w:t xml:space="preserve"> </w:t>
      </w:r>
      <w:r w:rsidRPr="00933493">
        <w:rPr>
          <w:rFonts w:cstheme="minorHAnsi"/>
        </w:rPr>
        <w:t>programs in vocational courses, support</w:t>
      </w:r>
      <w:r w:rsidR="00FE76E2">
        <w:rPr>
          <w:rFonts w:cstheme="minorHAnsi"/>
        </w:rPr>
        <w:t xml:space="preserve"> </w:t>
      </w:r>
      <w:r w:rsidRPr="00933493">
        <w:rPr>
          <w:rFonts w:cstheme="minorHAnsi"/>
        </w:rPr>
        <w:t>students transitioning from EAL programs</w:t>
      </w:r>
      <w:r w:rsidR="00FE76E2">
        <w:rPr>
          <w:rFonts w:cstheme="minorHAnsi"/>
        </w:rPr>
        <w:t xml:space="preserve"> </w:t>
      </w:r>
      <w:r w:rsidRPr="00933493">
        <w:rPr>
          <w:rFonts w:cstheme="minorHAnsi"/>
        </w:rPr>
        <w:t>into vocational through the BKSB</w:t>
      </w:r>
      <w:r w:rsidR="00FE76E2">
        <w:rPr>
          <w:rFonts w:cstheme="minorHAnsi"/>
        </w:rPr>
        <w:t xml:space="preserve"> </w:t>
      </w:r>
      <w:r w:rsidRPr="00933493">
        <w:rPr>
          <w:rFonts w:cstheme="minorHAnsi"/>
        </w:rPr>
        <w:t>preparation program and develop LLN</w:t>
      </w:r>
      <w:r w:rsidR="00FE76E2">
        <w:rPr>
          <w:rFonts w:cstheme="minorHAnsi"/>
        </w:rPr>
        <w:t xml:space="preserve"> </w:t>
      </w:r>
      <w:r w:rsidRPr="00933493">
        <w:rPr>
          <w:rFonts w:cstheme="minorHAnsi"/>
        </w:rPr>
        <w:t>Resources which are accessed through</w:t>
      </w:r>
      <w:r w:rsidR="00FE76E2">
        <w:rPr>
          <w:rFonts w:cstheme="minorHAnsi"/>
        </w:rPr>
        <w:t xml:space="preserve"> </w:t>
      </w:r>
      <w:r w:rsidRPr="00933493">
        <w:rPr>
          <w:rFonts w:cstheme="minorHAnsi"/>
        </w:rPr>
        <w:t>the Chisholm website and are aimed at</w:t>
      </w:r>
      <w:r w:rsidR="00FE76E2">
        <w:rPr>
          <w:rFonts w:cstheme="minorHAnsi"/>
        </w:rPr>
        <w:t xml:space="preserve"> </w:t>
      </w:r>
      <w:r w:rsidRPr="00933493">
        <w:rPr>
          <w:rFonts w:cstheme="minorHAnsi"/>
        </w:rPr>
        <w:t>providing a revision of key skills.</w:t>
      </w:r>
    </w:p>
    <w:p w:rsidR="00FE76E2" w:rsidRDefault="00FE76E2" w:rsidP="00933493">
      <w:pPr>
        <w:autoSpaceDE w:val="0"/>
        <w:autoSpaceDN w:val="0"/>
        <w:adjustRightInd w:val="0"/>
        <w:spacing w:after="0" w:line="240" w:lineRule="auto"/>
        <w:rPr>
          <w:rFonts w:cstheme="minorHAnsi"/>
        </w:rPr>
      </w:pPr>
    </w:p>
    <w:p w:rsidR="00933493" w:rsidRPr="00933493" w:rsidRDefault="00933493" w:rsidP="00933493">
      <w:pPr>
        <w:autoSpaceDE w:val="0"/>
        <w:autoSpaceDN w:val="0"/>
        <w:adjustRightInd w:val="0"/>
        <w:spacing w:after="0" w:line="240" w:lineRule="auto"/>
        <w:rPr>
          <w:rFonts w:cstheme="minorHAnsi"/>
        </w:rPr>
      </w:pPr>
      <w:r w:rsidRPr="00933493">
        <w:rPr>
          <w:rFonts w:cstheme="minorHAnsi"/>
        </w:rPr>
        <w:t>The academic skills support in libraries</w:t>
      </w:r>
      <w:r w:rsidR="00FE76E2">
        <w:rPr>
          <w:rFonts w:cstheme="minorHAnsi"/>
        </w:rPr>
        <w:t xml:space="preserve"> </w:t>
      </w:r>
      <w:r w:rsidRPr="00933493">
        <w:rPr>
          <w:rFonts w:cstheme="minorHAnsi"/>
        </w:rPr>
        <w:t>is a service staffed by qualified teachers</w:t>
      </w:r>
      <w:r w:rsidR="00FE76E2">
        <w:rPr>
          <w:rFonts w:cstheme="minorHAnsi"/>
        </w:rPr>
        <w:t xml:space="preserve"> </w:t>
      </w:r>
      <w:r w:rsidRPr="00933493">
        <w:rPr>
          <w:rFonts w:cstheme="minorHAnsi"/>
        </w:rPr>
        <w:t>experienced in providing LLN skills</w:t>
      </w:r>
      <w:r w:rsidR="00FE76E2">
        <w:rPr>
          <w:rFonts w:cstheme="minorHAnsi"/>
        </w:rPr>
        <w:t xml:space="preserve"> </w:t>
      </w:r>
      <w:r w:rsidRPr="00933493">
        <w:rPr>
          <w:rFonts w:cstheme="minorHAnsi"/>
        </w:rPr>
        <w:t xml:space="preserve">support to students. It operates </w:t>
      </w:r>
      <w:r w:rsidR="00FE76E2">
        <w:rPr>
          <w:rFonts w:cstheme="minorHAnsi"/>
        </w:rPr>
        <w:t xml:space="preserve">in </w:t>
      </w:r>
      <w:r w:rsidRPr="00933493">
        <w:rPr>
          <w:rFonts w:cstheme="minorHAnsi"/>
        </w:rPr>
        <w:t>Berwick, Dandenong and Frankston</w:t>
      </w:r>
      <w:r>
        <w:rPr>
          <w:rFonts w:cstheme="minorHAnsi"/>
        </w:rPr>
        <w:t xml:space="preserve"> </w:t>
      </w:r>
      <w:r w:rsidRPr="00933493">
        <w:rPr>
          <w:rFonts w:cstheme="minorHAnsi"/>
        </w:rPr>
        <w:t>campuses for approximately three hours</w:t>
      </w:r>
      <w:r>
        <w:rPr>
          <w:rFonts w:cstheme="minorHAnsi"/>
        </w:rPr>
        <w:t xml:space="preserve"> </w:t>
      </w:r>
      <w:r w:rsidRPr="00933493">
        <w:rPr>
          <w:rFonts w:cstheme="minorHAnsi"/>
        </w:rPr>
        <w:t>per day, five days a week per campus.</w:t>
      </w:r>
      <w:r>
        <w:rPr>
          <w:rFonts w:cstheme="minorHAnsi"/>
        </w:rPr>
        <w:t xml:space="preserve"> </w:t>
      </w:r>
      <w:r w:rsidRPr="00933493">
        <w:rPr>
          <w:rFonts w:cstheme="minorHAnsi"/>
        </w:rPr>
        <w:t>More than 1000 students accessed this</w:t>
      </w:r>
      <w:r>
        <w:rPr>
          <w:rFonts w:cstheme="minorHAnsi"/>
        </w:rPr>
        <w:t xml:space="preserve"> </w:t>
      </w:r>
      <w:r w:rsidRPr="00933493">
        <w:rPr>
          <w:rFonts w:cstheme="minorHAnsi"/>
        </w:rPr>
        <w:t>support in 2019.</w:t>
      </w:r>
    </w:p>
    <w:p w:rsidR="00FE76E2" w:rsidRDefault="00FE76E2" w:rsidP="00933493">
      <w:pPr>
        <w:autoSpaceDE w:val="0"/>
        <w:autoSpaceDN w:val="0"/>
        <w:adjustRightInd w:val="0"/>
        <w:spacing w:after="0" w:line="240" w:lineRule="auto"/>
        <w:rPr>
          <w:rFonts w:cstheme="minorHAnsi"/>
        </w:rPr>
      </w:pPr>
    </w:p>
    <w:p w:rsidR="00933493" w:rsidRPr="00933493" w:rsidRDefault="00933493" w:rsidP="00933493">
      <w:pPr>
        <w:autoSpaceDE w:val="0"/>
        <w:autoSpaceDN w:val="0"/>
        <w:adjustRightInd w:val="0"/>
        <w:spacing w:after="0" w:line="240" w:lineRule="auto"/>
        <w:rPr>
          <w:rFonts w:cstheme="minorHAnsi"/>
        </w:rPr>
      </w:pPr>
      <w:r w:rsidRPr="00933493">
        <w:rPr>
          <w:rFonts w:cstheme="minorHAnsi"/>
        </w:rPr>
        <w:t>The embedded program brings an LLN</w:t>
      </w:r>
      <w:r>
        <w:rPr>
          <w:rFonts w:cstheme="minorHAnsi"/>
        </w:rPr>
        <w:t xml:space="preserve"> </w:t>
      </w:r>
      <w:r w:rsidRPr="00933493">
        <w:rPr>
          <w:rFonts w:cstheme="minorHAnsi"/>
        </w:rPr>
        <w:t>teacher into vocational classrooms</w:t>
      </w:r>
      <w:r>
        <w:rPr>
          <w:rFonts w:cstheme="minorHAnsi"/>
        </w:rPr>
        <w:t xml:space="preserve"> </w:t>
      </w:r>
      <w:r w:rsidRPr="00933493">
        <w:rPr>
          <w:rFonts w:cstheme="minorHAnsi"/>
        </w:rPr>
        <w:t>to support students in a co-delivery</w:t>
      </w:r>
      <w:r>
        <w:rPr>
          <w:rFonts w:cstheme="minorHAnsi"/>
        </w:rPr>
        <w:t xml:space="preserve"> </w:t>
      </w:r>
      <w:r w:rsidRPr="00933493">
        <w:rPr>
          <w:rFonts w:cstheme="minorHAnsi"/>
        </w:rPr>
        <w:t>model. The co-delivery model is based</w:t>
      </w:r>
      <w:r>
        <w:rPr>
          <w:rFonts w:cstheme="minorHAnsi"/>
        </w:rPr>
        <w:t xml:space="preserve"> </w:t>
      </w:r>
      <w:r w:rsidRPr="00933493">
        <w:rPr>
          <w:rFonts w:cstheme="minorHAnsi"/>
        </w:rPr>
        <w:t>on educational principles aimed at</w:t>
      </w:r>
      <w:r>
        <w:rPr>
          <w:rFonts w:cstheme="minorHAnsi"/>
        </w:rPr>
        <w:t xml:space="preserve"> </w:t>
      </w:r>
      <w:r w:rsidRPr="00933493">
        <w:rPr>
          <w:rFonts w:cstheme="minorHAnsi"/>
        </w:rPr>
        <w:t>supporting students, as well as ongoing</w:t>
      </w:r>
      <w:r>
        <w:rPr>
          <w:rFonts w:cstheme="minorHAnsi"/>
        </w:rPr>
        <w:t xml:space="preserve"> </w:t>
      </w:r>
      <w:r w:rsidRPr="00933493">
        <w:rPr>
          <w:rFonts w:cstheme="minorHAnsi"/>
        </w:rPr>
        <w:t>development of all staff in supporting</w:t>
      </w:r>
      <w:r>
        <w:rPr>
          <w:rFonts w:cstheme="minorHAnsi"/>
        </w:rPr>
        <w:t xml:space="preserve"> </w:t>
      </w:r>
      <w:r w:rsidRPr="00933493">
        <w:rPr>
          <w:rFonts w:cstheme="minorHAnsi"/>
        </w:rPr>
        <w:t>LLN needs. 2019 co-delivery models</w:t>
      </w:r>
      <w:r>
        <w:rPr>
          <w:rFonts w:cstheme="minorHAnsi"/>
        </w:rPr>
        <w:t xml:space="preserve"> </w:t>
      </w:r>
      <w:r w:rsidRPr="00933493">
        <w:rPr>
          <w:rFonts w:cstheme="minorHAnsi"/>
        </w:rPr>
        <w:t>are operating across areas such as</w:t>
      </w:r>
      <w:r>
        <w:rPr>
          <w:rFonts w:cstheme="minorHAnsi"/>
        </w:rPr>
        <w:t xml:space="preserve"> </w:t>
      </w:r>
      <w:r w:rsidRPr="00933493">
        <w:rPr>
          <w:rFonts w:cstheme="minorHAnsi"/>
        </w:rPr>
        <w:t>Plumbing, Early Childhood Education,</w:t>
      </w:r>
      <w:r>
        <w:rPr>
          <w:rFonts w:cstheme="minorHAnsi"/>
        </w:rPr>
        <w:t xml:space="preserve"> </w:t>
      </w:r>
      <w:r w:rsidRPr="00933493">
        <w:rPr>
          <w:rFonts w:cstheme="minorHAnsi"/>
        </w:rPr>
        <w:t>Community Services, Hair and Beauty,</w:t>
      </w:r>
      <w:r>
        <w:rPr>
          <w:rFonts w:cstheme="minorHAnsi"/>
        </w:rPr>
        <w:t xml:space="preserve"> </w:t>
      </w:r>
      <w:r w:rsidRPr="00933493">
        <w:rPr>
          <w:rFonts w:cstheme="minorHAnsi"/>
        </w:rPr>
        <w:t>Cyber Security and Education Support.</w:t>
      </w:r>
      <w:r>
        <w:rPr>
          <w:rFonts w:cstheme="minorHAnsi"/>
        </w:rPr>
        <w:t xml:space="preserve"> </w:t>
      </w:r>
      <w:r w:rsidRPr="00933493">
        <w:rPr>
          <w:rFonts w:cstheme="minorHAnsi"/>
        </w:rPr>
        <w:t>The co-delivery model enhances</w:t>
      </w:r>
      <w:r>
        <w:rPr>
          <w:rFonts w:cstheme="minorHAnsi"/>
        </w:rPr>
        <w:t xml:space="preserve"> </w:t>
      </w:r>
      <w:r w:rsidRPr="00933493">
        <w:rPr>
          <w:rFonts w:cstheme="minorHAnsi"/>
        </w:rPr>
        <w:t>student support and enhances</w:t>
      </w:r>
      <w:r>
        <w:rPr>
          <w:rFonts w:cstheme="minorHAnsi"/>
        </w:rPr>
        <w:t xml:space="preserve"> </w:t>
      </w:r>
      <w:r w:rsidRPr="00933493">
        <w:rPr>
          <w:rFonts w:cstheme="minorHAnsi"/>
        </w:rPr>
        <w:t>inclusive practices in many ways,</w:t>
      </w:r>
      <w:r>
        <w:rPr>
          <w:rFonts w:cstheme="minorHAnsi"/>
        </w:rPr>
        <w:t xml:space="preserve"> </w:t>
      </w:r>
      <w:r w:rsidRPr="00933493">
        <w:rPr>
          <w:rFonts w:cstheme="minorHAnsi"/>
        </w:rPr>
        <w:t>including provision of a specialist</w:t>
      </w:r>
      <w:r>
        <w:rPr>
          <w:rFonts w:cstheme="minorHAnsi"/>
        </w:rPr>
        <w:t xml:space="preserve"> </w:t>
      </w:r>
      <w:r w:rsidRPr="00933493">
        <w:rPr>
          <w:rFonts w:cstheme="minorHAnsi"/>
        </w:rPr>
        <w:t>literacy/numeracy teacher in a timely</w:t>
      </w:r>
      <w:r>
        <w:rPr>
          <w:rFonts w:cstheme="minorHAnsi"/>
        </w:rPr>
        <w:t xml:space="preserve"> </w:t>
      </w:r>
      <w:r w:rsidRPr="00933493">
        <w:rPr>
          <w:rFonts w:cstheme="minorHAnsi"/>
        </w:rPr>
        <w:t>manner, opportunities to address</w:t>
      </w:r>
      <w:r>
        <w:rPr>
          <w:rFonts w:cstheme="minorHAnsi"/>
        </w:rPr>
        <w:t xml:space="preserve"> </w:t>
      </w:r>
      <w:r w:rsidRPr="00933493">
        <w:rPr>
          <w:rFonts w:cstheme="minorHAnsi"/>
        </w:rPr>
        <w:t>whole class and individual needs and</w:t>
      </w:r>
      <w:r>
        <w:rPr>
          <w:rFonts w:cstheme="minorHAnsi"/>
        </w:rPr>
        <w:t xml:space="preserve"> </w:t>
      </w:r>
      <w:r w:rsidRPr="00933493">
        <w:rPr>
          <w:rFonts w:cstheme="minorHAnsi"/>
        </w:rPr>
        <w:t>contextualisation of the LLN delivery.</w:t>
      </w:r>
    </w:p>
    <w:p w:rsidR="001F62F7" w:rsidRDefault="001F62F7" w:rsidP="005942B8">
      <w:pPr>
        <w:pStyle w:val="NoSpacing"/>
      </w:pPr>
    </w:p>
    <w:p w:rsidR="00933493" w:rsidRDefault="00933493" w:rsidP="00933493">
      <w:pPr>
        <w:pStyle w:val="Heading3"/>
      </w:pPr>
      <w:r>
        <w:t xml:space="preserve">Community Collaboration </w:t>
      </w:r>
    </w:p>
    <w:p w:rsidR="00933493" w:rsidRPr="00933493" w:rsidRDefault="00933493" w:rsidP="005942B8">
      <w:pPr>
        <w:pStyle w:val="NoSpacing"/>
        <w:rPr>
          <w:rFonts w:cstheme="minorHAnsi"/>
        </w:rPr>
      </w:pPr>
    </w:p>
    <w:p w:rsidR="00933493" w:rsidRPr="00933493" w:rsidRDefault="00933493" w:rsidP="00933493">
      <w:pPr>
        <w:autoSpaceDE w:val="0"/>
        <w:autoSpaceDN w:val="0"/>
        <w:adjustRightInd w:val="0"/>
        <w:spacing w:after="0" w:line="240" w:lineRule="auto"/>
        <w:rPr>
          <w:rFonts w:cstheme="minorHAnsi"/>
        </w:rPr>
      </w:pPr>
      <w:r w:rsidRPr="00933493">
        <w:rPr>
          <w:rFonts w:cstheme="minorHAnsi"/>
        </w:rPr>
        <w:t>Chisholm Institute collaborates</w:t>
      </w:r>
      <w:r>
        <w:rPr>
          <w:rFonts w:cstheme="minorHAnsi"/>
        </w:rPr>
        <w:t xml:space="preserve"> </w:t>
      </w:r>
      <w:r w:rsidRPr="00933493">
        <w:rPr>
          <w:rFonts w:cstheme="minorHAnsi"/>
        </w:rPr>
        <w:t>with Learn Locals, Community</w:t>
      </w:r>
      <w:r>
        <w:rPr>
          <w:rFonts w:cstheme="minorHAnsi"/>
        </w:rPr>
        <w:t xml:space="preserve"> </w:t>
      </w:r>
      <w:r w:rsidRPr="00933493">
        <w:rPr>
          <w:rFonts w:cstheme="minorHAnsi"/>
        </w:rPr>
        <w:t>and Neighbourhood Houses,</w:t>
      </w:r>
      <w:r>
        <w:rPr>
          <w:rFonts w:cstheme="minorHAnsi"/>
        </w:rPr>
        <w:t xml:space="preserve"> </w:t>
      </w:r>
      <w:r w:rsidRPr="00933493">
        <w:rPr>
          <w:rFonts w:cstheme="minorHAnsi"/>
        </w:rPr>
        <w:t>Culturally and Linguistically</w:t>
      </w:r>
      <w:r>
        <w:rPr>
          <w:rFonts w:cstheme="minorHAnsi"/>
        </w:rPr>
        <w:t xml:space="preserve"> </w:t>
      </w:r>
      <w:r w:rsidRPr="00933493">
        <w:rPr>
          <w:rFonts w:cstheme="minorHAnsi"/>
        </w:rPr>
        <w:t>Diverse (CALD) communities</w:t>
      </w:r>
      <w:r>
        <w:rPr>
          <w:rFonts w:cstheme="minorHAnsi"/>
        </w:rPr>
        <w:t xml:space="preserve"> </w:t>
      </w:r>
      <w:r w:rsidRPr="00933493">
        <w:rPr>
          <w:rFonts w:cstheme="minorHAnsi"/>
        </w:rPr>
        <w:t>and agencies, youth, health,</w:t>
      </w:r>
      <w:r>
        <w:rPr>
          <w:rFonts w:cstheme="minorHAnsi"/>
        </w:rPr>
        <w:t xml:space="preserve"> </w:t>
      </w:r>
      <w:r w:rsidRPr="00933493">
        <w:rPr>
          <w:rFonts w:cstheme="minorHAnsi"/>
        </w:rPr>
        <w:t>education, multicultural,</w:t>
      </w:r>
      <w:r>
        <w:rPr>
          <w:rFonts w:cstheme="minorHAnsi"/>
        </w:rPr>
        <w:t xml:space="preserve"> </w:t>
      </w:r>
      <w:r w:rsidRPr="00933493">
        <w:rPr>
          <w:rFonts w:cstheme="minorHAnsi"/>
        </w:rPr>
        <w:t>settlement, employment and</w:t>
      </w:r>
      <w:r>
        <w:rPr>
          <w:rFonts w:cstheme="minorHAnsi"/>
        </w:rPr>
        <w:t xml:space="preserve"> </w:t>
      </w:r>
      <w:r w:rsidRPr="00933493">
        <w:rPr>
          <w:rFonts w:cstheme="minorHAnsi"/>
        </w:rPr>
        <w:t>other community services</w:t>
      </w:r>
      <w:r>
        <w:rPr>
          <w:rFonts w:cstheme="minorHAnsi"/>
        </w:rPr>
        <w:t xml:space="preserve"> </w:t>
      </w:r>
      <w:r w:rsidRPr="00933493">
        <w:rPr>
          <w:rFonts w:cstheme="minorHAnsi"/>
        </w:rPr>
        <w:t>and organisations. Examples</w:t>
      </w:r>
      <w:r>
        <w:rPr>
          <w:rFonts w:cstheme="minorHAnsi"/>
        </w:rPr>
        <w:t xml:space="preserve"> </w:t>
      </w:r>
      <w:r w:rsidRPr="00933493">
        <w:rPr>
          <w:rFonts w:cstheme="minorHAnsi"/>
        </w:rPr>
        <w:t>include Monash Multicultural &amp;</w:t>
      </w:r>
      <w:r>
        <w:rPr>
          <w:rFonts w:cstheme="minorHAnsi"/>
        </w:rPr>
        <w:t xml:space="preserve"> </w:t>
      </w:r>
      <w:r w:rsidRPr="00933493">
        <w:rPr>
          <w:rFonts w:cstheme="minorHAnsi"/>
        </w:rPr>
        <w:t>Settlement Services Network</w:t>
      </w:r>
      <w:r>
        <w:rPr>
          <w:rFonts w:cstheme="minorHAnsi"/>
        </w:rPr>
        <w:t xml:space="preserve"> </w:t>
      </w:r>
      <w:r w:rsidRPr="00933493">
        <w:rPr>
          <w:rFonts w:cstheme="minorHAnsi"/>
        </w:rPr>
        <w:t>(MMSSN), SER Settlement</w:t>
      </w:r>
      <w:r>
        <w:rPr>
          <w:rFonts w:cstheme="minorHAnsi"/>
        </w:rPr>
        <w:t xml:space="preserve"> </w:t>
      </w:r>
      <w:r w:rsidRPr="00933493">
        <w:rPr>
          <w:rFonts w:cstheme="minorHAnsi"/>
        </w:rPr>
        <w:t>Planning Committee, Employment</w:t>
      </w:r>
      <w:r>
        <w:rPr>
          <w:rFonts w:cstheme="minorHAnsi"/>
        </w:rPr>
        <w:t xml:space="preserve"> </w:t>
      </w:r>
      <w:r w:rsidRPr="00933493">
        <w:rPr>
          <w:rFonts w:cstheme="minorHAnsi"/>
        </w:rPr>
        <w:t>Network Meetings across the</w:t>
      </w:r>
      <w:r>
        <w:rPr>
          <w:rFonts w:cstheme="minorHAnsi"/>
        </w:rPr>
        <w:t xml:space="preserve"> </w:t>
      </w:r>
      <w:r w:rsidRPr="00933493">
        <w:rPr>
          <w:rFonts w:cstheme="minorHAnsi"/>
        </w:rPr>
        <w:t>southeast and Peninsula, Greater</w:t>
      </w:r>
      <w:r>
        <w:rPr>
          <w:rFonts w:cstheme="minorHAnsi"/>
        </w:rPr>
        <w:t xml:space="preserve"> </w:t>
      </w:r>
      <w:r w:rsidRPr="00933493">
        <w:rPr>
          <w:rFonts w:cstheme="minorHAnsi"/>
        </w:rPr>
        <w:t>Dandenong Youth Network,</w:t>
      </w:r>
      <w:r>
        <w:rPr>
          <w:rFonts w:cstheme="minorHAnsi"/>
        </w:rPr>
        <w:t xml:space="preserve"> </w:t>
      </w:r>
      <w:r w:rsidRPr="00933493">
        <w:rPr>
          <w:rFonts w:cstheme="minorHAnsi"/>
        </w:rPr>
        <w:t>SE CALD Network, South East</w:t>
      </w:r>
      <w:r>
        <w:rPr>
          <w:rFonts w:cstheme="minorHAnsi"/>
        </w:rPr>
        <w:t xml:space="preserve"> </w:t>
      </w:r>
      <w:r w:rsidRPr="00933493">
        <w:rPr>
          <w:rFonts w:cstheme="minorHAnsi"/>
        </w:rPr>
        <w:t>Flexible Learning Network and</w:t>
      </w:r>
      <w:r>
        <w:rPr>
          <w:rFonts w:cstheme="minorHAnsi"/>
        </w:rPr>
        <w:t xml:space="preserve"> </w:t>
      </w:r>
      <w:r w:rsidRPr="00933493">
        <w:rPr>
          <w:rFonts w:cstheme="minorHAnsi"/>
        </w:rPr>
        <w:t>Mornington Peninsula Flexible</w:t>
      </w:r>
      <w:r>
        <w:rPr>
          <w:rFonts w:cstheme="minorHAnsi"/>
        </w:rPr>
        <w:t xml:space="preserve"> </w:t>
      </w:r>
      <w:r w:rsidRPr="00933493">
        <w:rPr>
          <w:rFonts w:cstheme="minorHAnsi"/>
        </w:rPr>
        <w:t>Learning Network. This activity</w:t>
      </w:r>
      <w:r>
        <w:rPr>
          <w:rFonts w:cstheme="minorHAnsi"/>
        </w:rPr>
        <w:t xml:space="preserve"> </w:t>
      </w:r>
      <w:r w:rsidRPr="00933493">
        <w:rPr>
          <w:rFonts w:cstheme="minorHAnsi"/>
        </w:rPr>
        <w:t>supports understanding around</w:t>
      </w:r>
      <w:r>
        <w:rPr>
          <w:rFonts w:cstheme="minorHAnsi"/>
        </w:rPr>
        <w:t xml:space="preserve"> </w:t>
      </w:r>
      <w:r w:rsidRPr="00933493">
        <w:rPr>
          <w:rFonts w:cstheme="minorHAnsi"/>
        </w:rPr>
        <w:t>the barriers to education and</w:t>
      </w:r>
      <w:r>
        <w:rPr>
          <w:rFonts w:cstheme="minorHAnsi"/>
        </w:rPr>
        <w:t xml:space="preserve"> </w:t>
      </w:r>
      <w:r w:rsidRPr="00933493">
        <w:rPr>
          <w:rFonts w:cstheme="minorHAnsi"/>
        </w:rPr>
        <w:t>employment access, as well as</w:t>
      </w:r>
      <w:r>
        <w:rPr>
          <w:rFonts w:cstheme="minorHAnsi"/>
        </w:rPr>
        <w:t xml:space="preserve"> </w:t>
      </w:r>
      <w:r w:rsidRPr="00933493">
        <w:rPr>
          <w:rFonts w:cstheme="minorHAnsi"/>
        </w:rPr>
        <w:t>the dynamic support needs of</w:t>
      </w:r>
      <w:r>
        <w:rPr>
          <w:rFonts w:cstheme="minorHAnsi"/>
        </w:rPr>
        <w:t xml:space="preserve"> </w:t>
      </w:r>
      <w:r w:rsidRPr="00933493">
        <w:rPr>
          <w:rFonts w:cstheme="minorHAnsi"/>
        </w:rPr>
        <w:t>those engaging.</w:t>
      </w:r>
    </w:p>
    <w:p w:rsidR="00A27FF0" w:rsidRDefault="00A27FF0" w:rsidP="005942B8">
      <w:pPr>
        <w:pStyle w:val="NoSpacing"/>
      </w:pPr>
    </w:p>
    <w:p w:rsidR="00FE76E2" w:rsidRDefault="00FE76E2" w:rsidP="00FE76E2">
      <w:pPr>
        <w:pStyle w:val="Heading3"/>
      </w:pPr>
      <w:r>
        <w:t>Youth Connections</w:t>
      </w:r>
    </w:p>
    <w:p w:rsidR="00FE76E2" w:rsidRDefault="00FE76E2" w:rsidP="005942B8">
      <w:pPr>
        <w:pStyle w:val="NoSpacing"/>
      </w:pPr>
    </w:p>
    <w:p w:rsidR="00FE76E2" w:rsidRPr="00FE76E2" w:rsidRDefault="00FE76E2" w:rsidP="00FE76E2">
      <w:pPr>
        <w:autoSpaceDE w:val="0"/>
        <w:autoSpaceDN w:val="0"/>
        <w:adjustRightInd w:val="0"/>
        <w:spacing w:after="0" w:line="240" w:lineRule="auto"/>
        <w:rPr>
          <w:rFonts w:cstheme="minorHAnsi"/>
        </w:rPr>
      </w:pPr>
      <w:r w:rsidRPr="00FE76E2">
        <w:rPr>
          <w:rFonts w:cstheme="minorHAnsi"/>
        </w:rPr>
        <w:t>RECONNECT networks also</w:t>
      </w:r>
      <w:r>
        <w:rPr>
          <w:rFonts w:cstheme="minorHAnsi"/>
        </w:rPr>
        <w:t xml:space="preserve"> </w:t>
      </w:r>
      <w:r w:rsidRPr="00FE76E2">
        <w:rPr>
          <w:rFonts w:cstheme="minorHAnsi"/>
        </w:rPr>
        <w:t>continue to build relationships</w:t>
      </w:r>
      <w:r>
        <w:rPr>
          <w:rFonts w:cstheme="minorHAnsi"/>
        </w:rPr>
        <w:t xml:space="preserve"> </w:t>
      </w:r>
      <w:r w:rsidRPr="00FE76E2">
        <w:rPr>
          <w:rFonts w:cstheme="minorHAnsi"/>
        </w:rPr>
        <w:t>with youth, justice and community</w:t>
      </w:r>
      <w:r>
        <w:rPr>
          <w:rFonts w:cstheme="minorHAnsi"/>
        </w:rPr>
        <w:t xml:space="preserve"> </w:t>
      </w:r>
      <w:r w:rsidRPr="00FE76E2">
        <w:rPr>
          <w:rFonts w:cstheme="minorHAnsi"/>
        </w:rPr>
        <w:t>networks throughout the South</w:t>
      </w:r>
      <w:r>
        <w:rPr>
          <w:rFonts w:cstheme="minorHAnsi"/>
        </w:rPr>
        <w:t xml:space="preserve"> </w:t>
      </w:r>
      <w:r w:rsidRPr="00FE76E2">
        <w:rPr>
          <w:rFonts w:cstheme="minorHAnsi"/>
        </w:rPr>
        <w:t>East and Peninsula. Through the</w:t>
      </w:r>
      <w:r>
        <w:rPr>
          <w:rFonts w:cstheme="minorHAnsi"/>
        </w:rPr>
        <w:t xml:space="preserve"> r</w:t>
      </w:r>
      <w:r w:rsidRPr="00FE76E2">
        <w:rPr>
          <w:rFonts w:cstheme="minorHAnsi"/>
        </w:rPr>
        <w:t>econnect program, high needs</w:t>
      </w:r>
      <w:r>
        <w:rPr>
          <w:rFonts w:cstheme="minorHAnsi"/>
        </w:rPr>
        <w:t xml:space="preserve"> </w:t>
      </w:r>
      <w:r w:rsidRPr="00FE76E2">
        <w:rPr>
          <w:rFonts w:cstheme="minorHAnsi"/>
        </w:rPr>
        <w:t>learners have been supported to</w:t>
      </w:r>
      <w:r>
        <w:rPr>
          <w:rFonts w:cstheme="minorHAnsi"/>
        </w:rPr>
        <w:t xml:space="preserve"> </w:t>
      </w:r>
      <w:r w:rsidRPr="00FE76E2">
        <w:rPr>
          <w:rFonts w:cstheme="minorHAnsi"/>
        </w:rPr>
        <w:t>engage with and stay in education.</w:t>
      </w:r>
      <w:r>
        <w:rPr>
          <w:rFonts w:cstheme="minorHAnsi"/>
        </w:rPr>
        <w:t xml:space="preserve"> </w:t>
      </w:r>
      <w:r w:rsidRPr="00FE76E2">
        <w:rPr>
          <w:rFonts w:cstheme="minorHAnsi"/>
        </w:rPr>
        <w:t>As well as help with literacy</w:t>
      </w:r>
      <w:r>
        <w:rPr>
          <w:rFonts w:cstheme="minorHAnsi"/>
        </w:rPr>
        <w:t xml:space="preserve"> </w:t>
      </w:r>
      <w:r w:rsidRPr="00FE76E2">
        <w:rPr>
          <w:rFonts w:cstheme="minorHAnsi"/>
        </w:rPr>
        <w:t>and numeracy and study skills,</w:t>
      </w:r>
      <w:r>
        <w:rPr>
          <w:rFonts w:cstheme="minorHAnsi"/>
        </w:rPr>
        <w:t xml:space="preserve"> </w:t>
      </w:r>
      <w:r w:rsidRPr="00FE76E2">
        <w:rPr>
          <w:rFonts w:cstheme="minorHAnsi"/>
        </w:rPr>
        <w:t>the program provides specialist</w:t>
      </w:r>
      <w:r>
        <w:rPr>
          <w:rFonts w:cstheme="minorHAnsi"/>
        </w:rPr>
        <w:t xml:space="preserve"> </w:t>
      </w:r>
      <w:r w:rsidRPr="00FE76E2">
        <w:rPr>
          <w:rFonts w:cstheme="minorHAnsi"/>
        </w:rPr>
        <w:t>support services in health, personal</w:t>
      </w:r>
      <w:r>
        <w:rPr>
          <w:rFonts w:cstheme="minorHAnsi"/>
        </w:rPr>
        <w:t xml:space="preserve"> </w:t>
      </w:r>
      <w:r w:rsidRPr="00FE76E2">
        <w:rPr>
          <w:rFonts w:cstheme="minorHAnsi"/>
        </w:rPr>
        <w:t>relationships, mentoring and</w:t>
      </w:r>
      <w:r>
        <w:rPr>
          <w:rFonts w:cstheme="minorHAnsi"/>
        </w:rPr>
        <w:t xml:space="preserve"> </w:t>
      </w:r>
      <w:r w:rsidRPr="00FE76E2">
        <w:rPr>
          <w:rFonts w:cstheme="minorHAnsi"/>
        </w:rPr>
        <w:t>accommodation, connecting with</w:t>
      </w:r>
      <w:r>
        <w:rPr>
          <w:rFonts w:cstheme="minorHAnsi"/>
        </w:rPr>
        <w:t xml:space="preserve"> </w:t>
      </w:r>
      <w:r w:rsidRPr="00FE76E2">
        <w:rPr>
          <w:rFonts w:cstheme="minorHAnsi"/>
        </w:rPr>
        <w:t>external services and programs,</w:t>
      </w:r>
      <w:r>
        <w:rPr>
          <w:rFonts w:cstheme="minorHAnsi"/>
        </w:rPr>
        <w:t xml:space="preserve"> </w:t>
      </w:r>
      <w:r w:rsidRPr="00FE76E2">
        <w:rPr>
          <w:rFonts w:cstheme="minorHAnsi"/>
        </w:rPr>
        <w:t>such as Centre for Multicultural</w:t>
      </w:r>
      <w:r>
        <w:rPr>
          <w:rFonts w:cstheme="minorHAnsi"/>
        </w:rPr>
        <w:t xml:space="preserve"> </w:t>
      </w:r>
      <w:r w:rsidRPr="00FE76E2">
        <w:rPr>
          <w:rFonts w:cstheme="minorHAnsi"/>
        </w:rPr>
        <w:t>youth (CMY), SMRC, and Mission</w:t>
      </w:r>
      <w:r>
        <w:rPr>
          <w:rFonts w:cstheme="minorHAnsi"/>
        </w:rPr>
        <w:t xml:space="preserve"> </w:t>
      </w:r>
      <w:r w:rsidRPr="00FE76E2">
        <w:rPr>
          <w:rFonts w:cstheme="minorHAnsi"/>
        </w:rPr>
        <w:t>Australia. All clients are exited</w:t>
      </w:r>
      <w:r>
        <w:rPr>
          <w:rFonts w:cstheme="minorHAnsi"/>
        </w:rPr>
        <w:t xml:space="preserve"> </w:t>
      </w:r>
      <w:r w:rsidRPr="00FE76E2">
        <w:rPr>
          <w:rFonts w:cstheme="minorHAnsi"/>
        </w:rPr>
        <w:t>through referral to the Chisholm</w:t>
      </w:r>
      <w:r>
        <w:rPr>
          <w:rFonts w:cstheme="minorHAnsi"/>
        </w:rPr>
        <w:t xml:space="preserve"> </w:t>
      </w:r>
      <w:r w:rsidRPr="00FE76E2">
        <w:rPr>
          <w:rFonts w:cstheme="minorHAnsi"/>
        </w:rPr>
        <w:t>Jobs and Skills Centre.</w:t>
      </w:r>
    </w:p>
    <w:p w:rsidR="00FE76E2" w:rsidRDefault="00FE76E2" w:rsidP="005942B8">
      <w:pPr>
        <w:pStyle w:val="NoSpacing"/>
      </w:pPr>
    </w:p>
    <w:p w:rsidR="00FE76E2" w:rsidRDefault="00FE76E2" w:rsidP="00FE76E2">
      <w:pPr>
        <w:pStyle w:val="Heading3"/>
      </w:pPr>
      <w:r>
        <w:lastRenderedPageBreak/>
        <w:t>Beyond the Classroom</w:t>
      </w:r>
    </w:p>
    <w:p w:rsidR="00FE76E2" w:rsidRDefault="00FE76E2" w:rsidP="00FE76E2">
      <w:pPr>
        <w:pStyle w:val="Heading3"/>
      </w:pPr>
    </w:p>
    <w:p w:rsidR="00FE76E2" w:rsidRPr="00FE76E2" w:rsidRDefault="00FE76E2" w:rsidP="00FE76E2">
      <w:pPr>
        <w:autoSpaceDE w:val="0"/>
        <w:autoSpaceDN w:val="0"/>
        <w:adjustRightInd w:val="0"/>
        <w:spacing w:after="0" w:line="240" w:lineRule="auto"/>
        <w:rPr>
          <w:rFonts w:cstheme="minorHAnsi"/>
        </w:rPr>
      </w:pPr>
      <w:r w:rsidRPr="00FE76E2">
        <w:rPr>
          <w:rFonts w:cstheme="minorHAnsi"/>
        </w:rPr>
        <w:t>Chisholm partnered with the South East</w:t>
      </w:r>
      <w:r>
        <w:rPr>
          <w:rFonts w:cstheme="minorHAnsi"/>
        </w:rPr>
        <w:t xml:space="preserve"> </w:t>
      </w:r>
      <w:r w:rsidRPr="00FE76E2">
        <w:rPr>
          <w:rFonts w:cstheme="minorHAnsi"/>
        </w:rPr>
        <w:t>Local Learn and Employment Network</w:t>
      </w:r>
      <w:r>
        <w:rPr>
          <w:rFonts w:cstheme="minorHAnsi"/>
        </w:rPr>
        <w:t xml:space="preserve"> </w:t>
      </w:r>
      <w:r w:rsidRPr="00FE76E2">
        <w:rPr>
          <w:rFonts w:cstheme="minorHAnsi"/>
        </w:rPr>
        <w:t>(SELLEN) to host the Fabulous Futures</w:t>
      </w:r>
      <w:r>
        <w:rPr>
          <w:rFonts w:cstheme="minorHAnsi"/>
        </w:rPr>
        <w:t xml:space="preserve"> </w:t>
      </w:r>
      <w:r w:rsidRPr="00FE76E2">
        <w:rPr>
          <w:rFonts w:cstheme="minorHAnsi"/>
        </w:rPr>
        <w:t>Careers Event. The event was hosted to</w:t>
      </w:r>
      <w:r>
        <w:rPr>
          <w:rFonts w:cstheme="minorHAnsi"/>
        </w:rPr>
        <w:t xml:space="preserve"> </w:t>
      </w:r>
      <w:r w:rsidRPr="00FE76E2">
        <w:rPr>
          <w:rFonts w:cstheme="minorHAnsi"/>
        </w:rPr>
        <w:t>support students studying at Foundation</w:t>
      </w:r>
      <w:r>
        <w:rPr>
          <w:rFonts w:cstheme="minorHAnsi"/>
        </w:rPr>
        <w:t xml:space="preserve"> </w:t>
      </w:r>
      <w:r w:rsidRPr="00FE76E2">
        <w:rPr>
          <w:rFonts w:cstheme="minorHAnsi"/>
        </w:rPr>
        <w:t>College. The event provided them</w:t>
      </w:r>
      <w:r>
        <w:rPr>
          <w:rFonts w:cstheme="minorHAnsi"/>
        </w:rPr>
        <w:t xml:space="preserve"> </w:t>
      </w:r>
      <w:r w:rsidRPr="00FE76E2">
        <w:rPr>
          <w:rFonts w:cstheme="minorHAnsi"/>
        </w:rPr>
        <w:t>with information on industry trends,</w:t>
      </w:r>
      <w:r>
        <w:rPr>
          <w:rFonts w:cstheme="minorHAnsi"/>
        </w:rPr>
        <w:t xml:space="preserve"> </w:t>
      </w:r>
      <w:r w:rsidRPr="00FE76E2">
        <w:rPr>
          <w:rFonts w:cstheme="minorHAnsi"/>
        </w:rPr>
        <w:t>employment opportunities in the South</w:t>
      </w:r>
      <w:r>
        <w:rPr>
          <w:rFonts w:cstheme="minorHAnsi"/>
        </w:rPr>
        <w:t xml:space="preserve"> </w:t>
      </w:r>
      <w:r w:rsidRPr="00FE76E2">
        <w:rPr>
          <w:rFonts w:cstheme="minorHAnsi"/>
        </w:rPr>
        <w:t>East, and connected them to one of the</w:t>
      </w:r>
      <w:r>
        <w:rPr>
          <w:rFonts w:cstheme="minorHAnsi"/>
        </w:rPr>
        <w:t xml:space="preserve"> </w:t>
      </w:r>
      <w:r w:rsidRPr="00FE76E2">
        <w:rPr>
          <w:rFonts w:cstheme="minorHAnsi"/>
        </w:rPr>
        <w:t>61 agencies that support individuals with</w:t>
      </w:r>
      <w:r>
        <w:rPr>
          <w:rFonts w:cstheme="minorHAnsi"/>
        </w:rPr>
        <w:t xml:space="preserve"> </w:t>
      </w:r>
      <w:r w:rsidRPr="00FE76E2">
        <w:rPr>
          <w:rFonts w:cstheme="minorHAnsi"/>
        </w:rPr>
        <w:t>finding employment.</w:t>
      </w:r>
    </w:p>
    <w:p w:rsidR="00FE76E2" w:rsidRDefault="00FE76E2" w:rsidP="00FE76E2">
      <w:pPr>
        <w:autoSpaceDE w:val="0"/>
        <w:autoSpaceDN w:val="0"/>
        <w:adjustRightInd w:val="0"/>
        <w:spacing w:after="0" w:line="240" w:lineRule="auto"/>
        <w:rPr>
          <w:rFonts w:cstheme="minorHAnsi"/>
        </w:rPr>
      </w:pPr>
    </w:p>
    <w:p w:rsidR="00FE76E2" w:rsidRDefault="00FE76E2" w:rsidP="00FE76E2">
      <w:pPr>
        <w:autoSpaceDE w:val="0"/>
        <w:autoSpaceDN w:val="0"/>
        <w:adjustRightInd w:val="0"/>
        <w:spacing w:after="0" w:line="240" w:lineRule="auto"/>
        <w:rPr>
          <w:rFonts w:cstheme="minorHAnsi"/>
        </w:rPr>
      </w:pPr>
      <w:r w:rsidRPr="00FE76E2">
        <w:rPr>
          <w:rFonts w:cstheme="minorHAnsi"/>
        </w:rPr>
        <w:t>More than 250 students participated in</w:t>
      </w:r>
      <w:r>
        <w:rPr>
          <w:rFonts w:cstheme="minorHAnsi"/>
        </w:rPr>
        <w:t xml:space="preserve"> </w:t>
      </w:r>
      <w:r w:rsidRPr="00FE76E2">
        <w:rPr>
          <w:rFonts w:cstheme="minorHAnsi"/>
        </w:rPr>
        <w:t>the seminar from across all campuses</w:t>
      </w:r>
      <w:r>
        <w:rPr>
          <w:rFonts w:cstheme="minorHAnsi"/>
        </w:rPr>
        <w:t xml:space="preserve"> </w:t>
      </w:r>
      <w:r w:rsidRPr="00FE76E2">
        <w:rPr>
          <w:rFonts w:cstheme="minorHAnsi"/>
        </w:rPr>
        <w:t>and there was an opportunity to talk</w:t>
      </w:r>
      <w:r>
        <w:rPr>
          <w:rFonts w:cstheme="minorHAnsi"/>
        </w:rPr>
        <w:t xml:space="preserve"> </w:t>
      </w:r>
      <w:r w:rsidRPr="00FE76E2">
        <w:rPr>
          <w:rFonts w:cstheme="minorHAnsi"/>
        </w:rPr>
        <w:t>to Chisholm delivery areas about</w:t>
      </w:r>
      <w:r>
        <w:rPr>
          <w:rFonts w:cstheme="minorHAnsi"/>
        </w:rPr>
        <w:t xml:space="preserve"> </w:t>
      </w:r>
      <w:r w:rsidRPr="00FE76E2">
        <w:rPr>
          <w:rFonts w:cstheme="minorHAnsi"/>
        </w:rPr>
        <w:t>further study.</w:t>
      </w:r>
    </w:p>
    <w:p w:rsidR="00FE76E2" w:rsidRPr="00FE76E2" w:rsidRDefault="00FE76E2" w:rsidP="00FE76E2">
      <w:pPr>
        <w:autoSpaceDE w:val="0"/>
        <w:autoSpaceDN w:val="0"/>
        <w:adjustRightInd w:val="0"/>
        <w:spacing w:after="0" w:line="240" w:lineRule="auto"/>
        <w:rPr>
          <w:rFonts w:cstheme="minorHAnsi"/>
        </w:rPr>
      </w:pPr>
      <w:r w:rsidRPr="00FE76E2">
        <w:rPr>
          <w:rFonts w:cstheme="minorHAnsi"/>
        </w:rPr>
        <w:t>In March, a new fire safety program was</w:t>
      </w:r>
      <w:r>
        <w:rPr>
          <w:rFonts w:cstheme="minorHAnsi"/>
        </w:rPr>
        <w:t xml:space="preserve"> </w:t>
      </w:r>
      <w:r w:rsidRPr="00FE76E2">
        <w:rPr>
          <w:rFonts w:cstheme="minorHAnsi"/>
        </w:rPr>
        <w:t>launched for the Institute’s culturally</w:t>
      </w:r>
      <w:r>
        <w:rPr>
          <w:rFonts w:cstheme="minorHAnsi"/>
        </w:rPr>
        <w:t xml:space="preserve"> </w:t>
      </w:r>
      <w:r w:rsidRPr="00FE76E2">
        <w:rPr>
          <w:rFonts w:cstheme="minorHAnsi"/>
        </w:rPr>
        <w:t>diverse student cohort as part of its</w:t>
      </w:r>
      <w:r>
        <w:rPr>
          <w:rFonts w:cstheme="minorHAnsi"/>
        </w:rPr>
        <w:t xml:space="preserve"> </w:t>
      </w:r>
      <w:r w:rsidRPr="00FE76E2">
        <w:rPr>
          <w:rFonts w:cstheme="minorHAnsi"/>
        </w:rPr>
        <w:t>commitment to serve the growing southeast</w:t>
      </w:r>
      <w:r>
        <w:rPr>
          <w:rFonts w:cstheme="minorHAnsi"/>
        </w:rPr>
        <w:t xml:space="preserve"> </w:t>
      </w:r>
      <w:r w:rsidRPr="00FE76E2">
        <w:rPr>
          <w:rFonts w:cstheme="minorHAnsi"/>
        </w:rPr>
        <w:t>communities of Melbourne. The</w:t>
      </w:r>
      <w:r>
        <w:rPr>
          <w:rFonts w:cstheme="minorHAnsi"/>
        </w:rPr>
        <w:t xml:space="preserve"> </w:t>
      </w:r>
      <w:r w:rsidRPr="00FE76E2">
        <w:rPr>
          <w:rFonts w:cstheme="minorHAnsi"/>
        </w:rPr>
        <w:t>Fired Up! English program, a partnership</w:t>
      </w:r>
      <w:r>
        <w:rPr>
          <w:rFonts w:cstheme="minorHAnsi"/>
        </w:rPr>
        <w:t xml:space="preserve"> </w:t>
      </w:r>
      <w:r w:rsidRPr="00FE76E2">
        <w:rPr>
          <w:rFonts w:cstheme="minorHAnsi"/>
        </w:rPr>
        <w:t>with the Country Fire Authority (CFA),</w:t>
      </w:r>
      <w:r>
        <w:rPr>
          <w:rFonts w:cstheme="minorHAnsi"/>
        </w:rPr>
        <w:t xml:space="preserve"> </w:t>
      </w:r>
      <w:r w:rsidRPr="00FE76E2">
        <w:rPr>
          <w:rFonts w:cstheme="minorHAnsi"/>
        </w:rPr>
        <w:t>was inaugurated at the Dandenong</w:t>
      </w:r>
      <w:r>
        <w:rPr>
          <w:rFonts w:cstheme="minorHAnsi"/>
        </w:rPr>
        <w:t xml:space="preserve"> </w:t>
      </w:r>
      <w:r w:rsidRPr="00FE76E2">
        <w:rPr>
          <w:rFonts w:cstheme="minorHAnsi"/>
        </w:rPr>
        <w:t>Campus in an activity day for over 600</w:t>
      </w:r>
      <w:r>
        <w:rPr>
          <w:rFonts w:cstheme="minorHAnsi"/>
        </w:rPr>
        <w:t xml:space="preserve"> </w:t>
      </w:r>
      <w:r w:rsidRPr="00FE76E2">
        <w:rPr>
          <w:rFonts w:cstheme="minorHAnsi"/>
        </w:rPr>
        <w:t>students from Chisholm campuses</w:t>
      </w:r>
      <w:r>
        <w:rPr>
          <w:rFonts w:cstheme="minorHAnsi"/>
        </w:rPr>
        <w:t xml:space="preserve"> </w:t>
      </w:r>
      <w:r w:rsidRPr="00FE76E2">
        <w:rPr>
          <w:rFonts w:cstheme="minorHAnsi"/>
        </w:rPr>
        <w:t>across the region.</w:t>
      </w:r>
    </w:p>
    <w:p w:rsidR="00FE76E2" w:rsidRDefault="00FE76E2" w:rsidP="00FE76E2">
      <w:pPr>
        <w:autoSpaceDE w:val="0"/>
        <w:autoSpaceDN w:val="0"/>
        <w:adjustRightInd w:val="0"/>
        <w:spacing w:after="0" w:line="240" w:lineRule="auto"/>
        <w:rPr>
          <w:rFonts w:cstheme="minorHAnsi"/>
        </w:rPr>
      </w:pPr>
    </w:p>
    <w:p w:rsidR="00FE76E2" w:rsidRPr="00FE76E2" w:rsidRDefault="00FE76E2" w:rsidP="00FE76E2">
      <w:pPr>
        <w:autoSpaceDE w:val="0"/>
        <w:autoSpaceDN w:val="0"/>
        <w:adjustRightInd w:val="0"/>
        <w:spacing w:after="0" w:line="240" w:lineRule="auto"/>
        <w:rPr>
          <w:rFonts w:cstheme="minorHAnsi"/>
        </w:rPr>
      </w:pPr>
      <w:r w:rsidRPr="00FE76E2">
        <w:rPr>
          <w:rFonts w:cstheme="minorHAnsi"/>
        </w:rPr>
        <w:t>The Fired Up! English program supports</w:t>
      </w:r>
      <w:r>
        <w:rPr>
          <w:rFonts w:cstheme="minorHAnsi"/>
        </w:rPr>
        <w:t xml:space="preserve"> </w:t>
      </w:r>
      <w:r w:rsidRPr="00FE76E2">
        <w:rPr>
          <w:rFonts w:cstheme="minorHAnsi"/>
        </w:rPr>
        <w:t>English as Additional Language (EAL)</w:t>
      </w:r>
      <w:r>
        <w:rPr>
          <w:rFonts w:cstheme="minorHAnsi"/>
        </w:rPr>
        <w:t xml:space="preserve"> </w:t>
      </w:r>
      <w:r w:rsidRPr="00FE76E2">
        <w:rPr>
          <w:rFonts w:cstheme="minorHAnsi"/>
        </w:rPr>
        <w:t>students and participants in the Adult</w:t>
      </w:r>
      <w:r>
        <w:rPr>
          <w:rFonts w:cstheme="minorHAnsi"/>
        </w:rPr>
        <w:t xml:space="preserve"> </w:t>
      </w:r>
      <w:r w:rsidRPr="00FE76E2">
        <w:rPr>
          <w:rFonts w:cstheme="minorHAnsi"/>
        </w:rPr>
        <w:t>Migrant English Program (AMEP). Many</w:t>
      </w:r>
      <w:r>
        <w:rPr>
          <w:rFonts w:cstheme="minorHAnsi"/>
        </w:rPr>
        <w:t xml:space="preserve"> </w:t>
      </w:r>
      <w:r w:rsidRPr="00FE76E2">
        <w:rPr>
          <w:rFonts w:cstheme="minorHAnsi"/>
        </w:rPr>
        <w:t>of the students are new arrivals to</w:t>
      </w:r>
      <w:r>
        <w:rPr>
          <w:rFonts w:cstheme="minorHAnsi"/>
        </w:rPr>
        <w:t xml:space="preserve"> </w:t>
      </w:r>
      <w:r w:rsidRPr="00FE76E2">
        <w:rPr>
          <w:rFonts w:cstheme="minorHAnsi"/>
        </w:rPr>
        <w:t>Australia, and the program has been</w:t>
      </w:r>
      <w:r>
        <w:rPr>
          <w:rFonts w:cstheme="minorHAnsi"/>
        </w:rPr>
        <w:t xml:space="preserve"> </w:t>
      </w:r>
      <w:r w:rsidRPr="00FE76E2">
        <w:rPr>
          <w:rFonts w:cstheme="minorHAnsi"/>
        </w:rPr>
        <w:t>designed to introduce them to fire safety</w:t>
      </w:r>
      <w:r>
        <w:rPr>
          <w:rFonts w:cstheme="minorHAnsi"/>
        </w:rPr>
        <w:t xml:space="preserve"> </w:t>
      </w:r>
      <w:r w:rsidRPr="00FE76E2">
        <w:rPr>
          <w:rFonts w:cstheme="minorHAnsi"/>
        </w:rPr>
        <w:t>protocols and raise awareness about its</w:t>
      </w:r>
      <w:r>
        <w:rPr>
          <w:rFonts w:cstheme="minorHAnsi"/>
        </w:rPr>
        <w:t xml:space="preserve"> </w:t>
      </w:r>
      <w:r w:rsidRPr="00FE76E2">
        <w:rPr>
          <w:rFonts w:cstheme="minorHAnsi"/>
        </w:rPr>
        <w:t>importance to the community.</w:t>
      </w:r>
    </w:p>
    <w:p w:rsidR="00FE76E2" w:rsidRDefault="00FE76E2" w:rsidP="005942B8">
      <w:pPr>
        <w:pStyle w:val="NoSpacing"/>
      </w:pPr>
    </w:p>
    <w:p w:rsidR="00FE76E2" w:rsidRDefault="00FE76E2" w:rsidP="00FE76E2">
      <w:pPr>
        <w:pStyle w:val="Heading3"/>
      </w:pPr>
      <w:r>
        <w:t>Adult Migrant English Program</w:t>
      </w:r>
    </w:p>
    <w:p w:rsidR="00FE76E2" w:rsidRDefault="00FE76E2" w:rsidP="005942B8">
      <w:pPr>
        <w:pStyle w:val="NoSpacing"/>
      </w:pPr>
    </w:p>
    <w:p w:rsidR="00FE76E2" w:rsidRPr="00FE76E2" w:rsidRDefault="00FE76E2" w:rsidP="00FE76E2">
      <w:pPr>
        <w:autoSpaceDE w:val="0"/>
        <w:autoSpaceDN w:val="0"/>
        <w:adjustRightInd w:val="0"/>
        <w:spacing w:after="0" w:line="240" w:lineRule="auto"/>
        <w:rPr>
          <w:rFonts w:cstheme="minorHAnsi"/>
        </w:rPr>
      </w:pPr>
      <w:r w:rsidRPr="00FE76E2">
        <w:rPr>
          <w:rFonts w:cstheme="minorHAnsi"/>
        </w:rPr>
        <w:t>In 2019, new relationships developed</w:t>
      </w:r>
      <w:r>
        <w:rPr>
          <w:rFonts w:cstheme="minorHAnsi"/>
        </w:rPr>
        <w:t xml:space="preserve"> </w:t>
      </w:r>
      <w:r w:rsidRPr="00FE76E2">
        <w:rPr>
          <w:rFonts w:cstheme="minorHAnsi"/>
        </w:rPr>
        <w:t>through the Adult Migrant English</w:t>
      </w:r>
      <w:r>
        <w:rPr>
          <w:rFonts w:cstheme="minorHAnsi"/>
        </w:rPr>
        <w:t xml:space="preserve"> </w:t>
      </w:r>
      <w:r w:rsidRPr="00FE76E2">
        <w:rPr>
          <w:rFonts w:cstheme="minorHAnsi"/>
        </w:rPr>
        <w:t>Program (AMEP) have continued</w:t>
      </w:r>
      <w:r>
        <w:rPr>
          <w:rFonts w:cstheme="minorHAnsi"/>
        </w:rPr>
        <w:t xml:space="preserve"> </w:t>
      </w:r>
      <w:r w:rsidRPr="00FE76E2">
        <w:rPr>
          <w:rFonts w:cstheme="minorHAnsi"/>
        </w:rPr>
        <w:t>to grow to support new arrivals</w:t>
      </w:r>
      <w:r>
        <w:rPr>
          <w:rFonts w:cstheme="minorHAnsi"/>
        </w:rPr>
        <w:t xml:space="preserve"> </w:t>
      </w:r>
      <w:r w:rsidRPr="00FE76E2">
        <w:rPr>
          <w:rFonts w:cstheme="minorHAnsi"/>
        </w:rPr>
        <w:t>in particular asylum seeker and</w:t>
      </w:r>
      <w:r>
        <w:rPr>
          <w:rFonts w:cstheme="minorHAnsi"/>
        </w:rPr>
        <w:t xml:space="preserve"> </w:t>
      </w:r>
      <w:r w:rsidRPr="00FE76E2">
        <w:rPr>
          <w:rFonts w:cstheme="minorHAnsi"/>
        </w:rPr>
        <w:t>settlement support agencies such as</w:t>
      </w:r>
      <w:r>
        <w:rPr>
          <w:rFonts w:cstheme="minorHAnsi"/>
        </w:rPr>
        <w:t xml:space="preserve"> </w:t>
      </w:r>
      <w:r w:rsidRPr="00FE76E2">
        <w:rPr>
          <w:rFonts w:cstheme="minorHAnsi"/>
        </w:rPr>
        <w:t>the Asylum Seeker Resource Centre</w:t>
      </w:r>
      <w:r>
        <w:rPr>
          <w:rFonts w:cstheme="minorHAnsi"/>
        </w:rPr>
        <w:t xml:space="preserve"> </w:t>
      </w:r>
      <w:r w:rsidRPr="00FE76E2">
        <w:rPr>
          <w:rFonts w:cstheme="minorHAnsi"/>
        </w:rPr>
        <w:t>(ASRC), Southern Migrant Refugee</w:t>
      </w:r>
      <w:r>
        <w:rPr>
          <w:rFonts w:cstheme="minorHAnsi"/>
        </w:rPr>
        <w:t xml:space="preserve"> </w:t>
      </w:r>
      <w:r w:rsidRPr="00FE76E2">
        <w:rPr>
          <w:rFonts w:cstheme="minorHAnsi"/>
        </w:rPr>
        <w:t>Centre (SMRC) and Humanitarian</w:t>
      </w:r>
      <w:r>
        <w:rPr>
          <w:rFonts w:cstheme="minorHAnsi"/>
        </w:rPr>
        <w:t xml:space="preserve"> </w:t>
      </w:r>
      <w:r w:rsidRPr="00FE76E2">
        <w:rPr>
          <w:rFonts w:cstheme="minorHAnsi"/>
        </w:rPr>
        <w:t>Settlement Program</w:t>
      </w:r>
      <w:r>
        <w:rPr>
          <w:rFonts w:cstheme="minorHAnsi"/>
        </w:rPr>
        <w:t xml:space="preserve"> </w:t>
      </w:r>
      <w:r w:rsidRPr="00FE76E2">
        <w:rPr>
          <w:rFonts w:cstheme="minorHAnsi"/>
        </w:rPr>
        <w:t>(HSP) providers.</w:t>
      </w:r>
    </w:p>
    <w:p w:rsidR="00FE76E2" w:rsidRDefault="00FE76E2" w:rsidP="00FE76E2">
      <w:pPr>
        <w:autoSpaceDE w:val="0"/>
        <w:autoSpaceDN w:val="0"/>
        <w:adjustRightInd w:val="0"/>
        <w:spacing w:after="0" w:line="240" w:lineRule="auto"/>
        <w:rPr>
          <w:rFonts w:cstheme="minorHAnsi"/>
        </w:rPr>
      </w:pPr>
    </w:p>
    <w:p w:rsidR="00FE76E2" w:rsidRPr="00FE76E2" w:rsidRDefault="00FE76E2" w:rsidP="00FE76E2">
      <w:pPr>
        <w:autoSpaceDE w:val="0"/>
        <w:autoSpaceDN w:val="0"/>
        <w:adjustRightInd w:val="0"/>
        <w:spacing w:after="0" w:line="240" w:lineRule="auto"/>
        <w:rPr>
          <w:rFonts w:cstheme="minorHAnsi"/>
        </w:rPr>
      </w:pPr>
      <w:r w:rsidRPr="00FE76E2">
        <w:rPr>
          <w:rFonts w:cstheme="minorHAnsi"/>
        </w:rPr>
        <w:t>Chisholm, in partnership with Learn</w:t>
      </w:r>
      <w:r>
        <w:rPr>
          <w:rFonts w:cstheme="minorHAnsi"/>
        </w:rPr>
        <w:t xml:space="preserve"> </w:t>
      </w:r>
      <w:r w:rsidRPr="00FE76E2">
        <w:rPr>
          <w:rFonts w:cstheme="minorHAnsi"/>
        </w:rPr>
        <w:t>Locals, delivers AMEP offsite at</w:t>
      </w:r>
      <w:r>
        <w:rPr>
          <w:rFonts w:cstheme="minorHAnsi"/>
        </w:rPr>
        <w:t xml:space="preserve"> </w:t>
      </w:r>
      <w:r w:rsidRPr="00FE76E2">
        <w:rPr>
          <w:rFonts w:cstheme="minorHAnsi"/>
        </w:rPr>
        <w:t>various locations. As the sole provider</w:t>
      </w:r>
      <w:r>
        <w:rPr>
          <w:rFonts w:cstheme="minorHAnsi"/>
        </w:rPr>
        <w:t xml:space="preserve"> </w:t>
      </w:r>
      <w:r w:rsidRPr="00FE76E2">
        <w:rPr>
          <w:rFonts w:cstheme="minorHAnsi"/>
        </w:rPr>
        <w:t>of the Adult Migrant English Program</w:t>
      </w:r>
      <w:r>
        <w:rPr>
          <w:rFonts w:cstheme="minorHAnsi"/>
        </w:rPr>
        <w:t xml:space="preserve"> </w:t>
      </w:r>
      <w:r w:rsidRPr="00FE76E2">
        <w:rPr>
          <w:rFonts w:cstheme="minorHAnsi"/>
        </w:rPr>
        <w:t>(AMEP) in Melbourne’s south east and</w:t>
      </w:r>
      <w:r>
        <w:rPr>
          <w:rFonts w:cstheme="minorHAnsi"/>
        </w:rPr>
        <w:t xml:space="preserve"> </w:t>
      </w:r>
      <w:r w:rsidRPr="00FE76E2">
        <w:rPr>
          <w:rFonts w:cstheme="minorHAnsi"/>
        </w:rPr>
        <w:t>peninsula region, we delivered AMEP</w:t>
      </w:r>
      <w:r>
        <w:rPr>
          <w:rFonts w:cstheme="minorHAnsi"/>
        </w:rPr>
        <w:t xml:space="preserve"> </w:t>
      </w:r>
      <w:r w:rsidRPr="00FE76E2">
        <w:rPr>
          <w:rFonts w:cstheme="minorHAnsi"/>
        </w:rPr>
        <w:t>classes at 10 locations and saw 5,507</w:t>
      </w:r>
      <w:r>
        <w:rPr>
          <w:rFonts w:cstheme="minorHAnsi"/>
        </w:rPr>
        <w:t xml:space="preserve"> </w:t>
      </w:r>
      <w:r w:rsidRPr="00FE76E2">
        <w:rPr>
          <w:rFonts w:cstheme="minorHAnsi"/>
        </w:rPr>
        <w:t>enrolments in our EAL courses under</w:t>
      </w:r>
      <w:r>
        <w:rPr>
          <w:rFonts w:cstheme="minorHAnsi"/>
        </w:rPr>
        <w:t xml:space="preserve"> </w:t>
      </w:r>
      <w:r w:rsidRPr="00FE76E2">
        <w:rPr>
          <w:rFonts w:cstheme="minorHAnsi"/>
        </w:rPr>
        <w:t>the AMEP funding stream.</w:t>
      </w:r>
      <w:r>
        <w:rPr>
          <w:rFonts w:cstheme="minorHAnsi"/>
        </w:rPr>
        <w:t xml:space="preserve"> </w:t>
      </w:r>
      <w:r w:rsidRPr="00FE76E2">
        <w:rPr>
          <w:rFonts w:cstheme="minorHAnsi"/>
        </w:rPr>
        <w:t>This supports an initial transition</w:t>
      </w:r>
      <w:r>
        <w:rPr>
          <w:rFonts w:cstheme="minorHAnsi"/>
        </w:rPr>
        <w:t xml:space="preserve"> </w:t>
      </w:r>
      <w:r w:rsidRPr="00FE76E2">
        <w:rPr>
          <w:rFonts w:cstheme="minorHAnsi"/>
        </w:rPr>
        <w:t>from pre-to-accredited training. Once</w:t>
      </w:r>
      <w:r>
        <w:rPr>
          <w:rFonts w:cstheme="minorHAnsi"/>
        </w:rPr>
        <w:t xml:space="preserve"> </w:t>
      </w:r>
      <w:r w:rsidRPr="00FE76E2">
        <w:rPr>
          <w:rFonts w:cstheme="minorHAnsi"/>
        </w:rPr>
        <w:t>students have addressed primary</w:t>
      </w:r>
      <w:r>
        <w:rPr>
          <w:rFonts w:cstheme="minorHAnsi"/>
        </w:rPr>
        <w:t xml:space="preserve"> </w:t>
      </w:r>
      <w:r w:rsidRPr="00FE76E2">
        <w:rPr>
          <w:rFonts w:cstheme="minorHAnsi"/>
        </w:rPr>
        <w:t>settlement needs they can then</w:t>
      </w:r>
      <w:r>
        <w:rPr>
          <w:rFonts w:cstheme="minorHAnsi"/>
        </w:rPr>
        <w:t xml:space="preserve"> </w:t>
      </w:r>
      <w:r w:rsidRPr="00FE76E2">
        <w:rPr>
          <w:rFonts w:cstheme="minorHAnsi"/>
        </w:rPr>
        <w:t>pathway to Chisholm campuses for the</w:t>
      </w:r>
      <w:r>
        <w:rPr>
          <w:rFonts w:cstheme="minorHAnsi"/>
        </w:rPr>
        <w:t xml:space="preserve"> </w:t>
      </w:r>
      <w:r w:rsidRPr="00FE76E2">
        <w:rPr>
          <w:rFonts w:cstheme="minorHAnsi"/>
        </w:rPr>
        <w:t>AMEP and foundation skills building</w:t>
      </w:r>
      <w:r>
        <w:rPr>
          <w:rFonts w:cstheme="minorHAnsi"/>
        </w:rPr>
        <w:t xml:space="preserve"> </w:t>
      </w:r>
      <w:r w:rsidRPr="00FE76E2">
        <w:rPr>
          <w:rFonts w:cstheme="minorHAnsi"/>
        </w:rPr>
        <w:t>programs including those focussing on</w:t>
      </w:r>
      <w:r>
        <w:rPr>
          <w:rFonts w:cstheme="minorHAnsi"/>
        </w:rPr>
        <w:t xml:space="preserve"> </w:t>
      </w:r>
      <w:r w:rsidRPr="00FE76E2">
        <w:rPr>
          <w:rFonts w:cstheme="minorHAnsi"/>
        </w:rPr>
        <w:t>social and employment development.</w:t>
      </w:r>
    </w:p>
    <w:p w:rsidR="00FE76E2" w:rsidRDefault="00FE76E2" w:rsidP="00FE76E2">
      <w:pPr>
        <w:autoSpaceDE w:val="0"/>
        <w:autoSpaceDN w:val="0"/>
        <w:adjustRightInd w:val="0"/>
        <w:spacing w:after="0" w:line="240" w:lineRule="auto"/>
        <w:rPr>
          <w:rFonts w:cstheme="minorHAnsi"/>
        </w:rPr>
      </w:pPr>
    </w:p>
    <w:p w:rsidR="00FE76E2" w:rsidRPr="00FE76E2" w:rsidRDefault="00FE76E2" w:rsidP="00FE76E2">
      <w:pPr>
        <w:autoSpaceDE w:val="0"/>
        <w:autoSpaceDN w:val="0"/>
        <w:adjustRightInd w:val="0"/>
        <w:spacing w:after="0" w:line="240" w:lineRule="auto"/>
        <w:rPr>
          <w:rFonts w:cstheme="minorHAnsi"/>
        </w:rPr>
      </w:pPr>
      <w:r w:rsidRPr="00FE76E2">
        <w:rPr>
          <w:rFonts w:cstheme="minorHAnsi"/>
        </w:rPr>
        <w:t>In 2019 CALD AMEP graduates, wh</w:t>
      </w:r>
      <w:r>
        <w:rPr>
          <w:rFonts w:cstheme="minorHAnsi"/>
        </w:rPr>
        <w:t xml:space="preserve">o </w:t>
      </w:r>
      <w:r w:rsidRPr="00FE76E2">
        <w:rPr>
          <w:rFonts w:cstheme="minorHAnsi"/>
        </w:rPr>
        <w:t>could afford to pay the concession</w:t>
      </w:r>
      <w:r>
        <w:rPr>
          <w:rFonts w:cstheme="minorHAnsi"/>
        </w:rPr>
        <w:t xml:space="preserve"> </w:t>
      </w:r>
      <w:r w:rsidRPr="00FE76E2">
        <w:rPr>
          <w:rFonts w:cstheme="minorHAnsi"/>
        </w:rPr>
        <w:t>rates, sought pathway services and</w:t>
      </w:r>
      <w:r>
        <w:rPr>
          <w:rFonts w:cstheme="minorHAnsi"/>
        </w:rPr>
        <w:t xml:space="preserve"> </w:t>
      </w:r>
      <w:r w:rsidRPr="00FE76E2">
        <w:rPr>
          <w:rFonts w:cstheme="minorHAnsi"/>
        </w:rPr>
        <w:t>access to Skills First delivery. Others</w:t>
      </w:r>
      <w:r>
        <w:rPr>
          <w:rFonts w:cstheme="minorHAnsi"/>
        </w:rPr>
        <w:t xml:space="preserve"> </w:t>
      </w:r>
      <w:r w:rsidRPr="00FE76E2">
        <w:rPr>
          <w:rFonts w:cstheme="minorHAnsi"/>
        </w:rPr>
        <w:t>who are unable to participate in</w:t>
      </w:r>
      <w:r>
        <w:rPr>
          <w:rFonts w:cstheme="minorHAnsi"/>
        </w:rPr>
        <w:t xml:space="preserve"> </w:t>
      </w:r>
      <w:r w:rsidRPr="00FE76E2">
        <w:rPr>
          <w:rFonts w:cstheme="minorHAnsi"/>
        </w:rPr>
        <w:t>vocational pathways are referred to</w:t>
      </w:r>
      <w:r>
        <w:rPr>
          <w:rFonts w:cstheme="minorHAnsi"/>
        </w:rPr>
        <w:t xml:space="preserve"> </w:t>
      </w:r>
      <w:r w:rsidRPr="00FE76E2">
        <w:rPr>
          <w:rFonts w:cstheme="minorHAnsi"/>
        </w:rPr>
        <w:t>conversational English classes and pre</w:t>
      </w:r>
      <w:r>
        <w:rPr>
          <w:rFonts w:cstheme="minorHAnsi"/>
        </w:rPr>
        <w:t xml:space="preserve"> </w:t>
      </w:r>
      <w:r w:rsidRPr="00FE76E2">
        <w:rPr>
          <w:rFonts w:cstheme="minorHAnsi"/>
        </w:rPr>
        <w:t>accredited training offered by Learn</w:t>
      </w:r>
      <w:r>
        <w:rPr>
          <w:rFonts w:cstheme="minorHAnsi"/>
        </w:rPr>
        <w:t xml:space="preserve"> </w:t>
      </w:r>
      <w:r w:rsidRPr="00FE76E2">
        <w:rPr>
          <w:rFonts w:cstheme="minorHAnsi"/>
        </w:rPr>
        <w:t>Local and community organisations.</w:t>
      </w:r>
    </w:p>
    <w:p w:rsidR="00FE76E2" w:rsidRDefault="00FE76E2" w:rsidP="00FE76E2">
      <w:pPr>
        <w:autoSpaceDE w:val="0"/>
        <w:autoSpaceDN w:val="0"/>
        <w:adjustRightInd w:val="0"/>
        <w:spacing w:after="0" w:line="240" w:lineRule="auto"/>
        <w:rPr>
          <w:rFonts w:cstheme="minorHAnsi"/>
        </w:rPr>
      </w:pPr>
    </w:p>
    <w:p w:rsidR="00FE76E2" w:rsidRPr="00FE76E2" w:rsidRDefault="00FE76E2" w:rsidP="00FE76E2">
      <w:pPr>
        <w:autoSpaceDE w:val="0"/>
        <w:autoSpaceDN w:val="0"/>
        <w:adjustRightInd w:val="0"/>
        <w:spacing w:after="0" w:line="240" w:lineRule="auto"/>
        <w:rPr>
          <w:rFonts w:cstheme="minorHAnsi"/>
        </w:rPr>
      </w:pPr>
      <w:r w:rsidRPr="00FE76E2">
        <w:rPr>
          <w:rFonts w:cstheme="minorHAnsi"/>
        </w:rPr>
        <w:t>Dandenong Neighbourhood House</w:t>
      </w:r>
      <w:r>
        <w:rPr>
          <w:rFonts w:cstheme="minorHAnsi"/>
        </w:rPr>
        <w:t xml:space="preserve"> </w:t>
      </w:r>
      <w:r w:rsidRPr="00FE76E2">
        <w:rPr>
          <w:rFonts w:cstheme="minorHAnsi"/>
        </w:rPr>
        <w:t>currently delivers pre-accredited</w:t>
      </w:r>
      <w:r>
        <w:rPr>
          <w:rFonts w:cstheme="minorHAnsi"/>
        </w:rPr>
        <w:t xml:space="preserve"> </w:t>
      </w:r>
      <w:r w:rsidRPr="00FE76E2">
        <w:rPr>
          <w:rFonts w:cstheme="minorHAnsi"/>
        </w:rPr>
        <w:t>training at the Dandenong campus</w:t>
      </w:r>
      <w:r>
        <w:rPr>
          <w:rFonts w:cstheme="minorHAnsi"/>
        </w:rPr>
        <w:t xml:space="preserve"> </w:t>
      </w:r>
      <w:r w:rsidRPr="00FE76E2">
        <w:rPr>
          <w:rFonts w:cstheme="minorHAnsi"/>
        </w:rPr>
        <w:t>of Chisholm. Access to this service</w:t>
      </w:r>
      <w:r>
        <w:rPr>
          <w:rFonts w:cstheme="minorHAnsi"/>
        </w:rPr>
        <w:t xml:space="preserve"> </w:t>
      </w:r>
      <w:r w:rsidRPr="00FE76E2">
        <w:rPr>
          <w:rFonts w:cstheme="minorHAnsi"/>
        </w:rPr>
        <w:t>is for potential Skills First students</w:t>
      </w:r>
      <w:r>
        <w:rPr>
          <w:rFonts w:cstheme="minorHAnsi"/>
        </w:rPr>
        <w:t xml:space="preserve"> </w:t>
      </w:r>
      <w:r w:rsidRPr="00FE76E2">
        <w:rPr>
          <w:rFonts w:cstheme="minorHAnsi"/>
        </w:rPr>
        <w:t>transitioning from AMEP who need</w:t>
      </w:r>
      <w:r>
        <w:rPr>
          <w:rFonts w:cstheme="minorHAnsi"/>
        </w:rPr>
        <w:t xml:space="preserve"> </w:t>
      </w:r>
      <w:r w:rsidRPr="00FE76E2">
        <w:rPr>
          <w:rFonts w:cstheme="minorHAnsi"/>
        </w:rPr>
        <w:t>to accrue savings to pay for their</w:t>
      </w:r>
      <w:r>
        <w:rPr>
          <w:rFonts w:cstheme="minorHAnsi"/>
        </w:rPr>
        <w:t xml:space="preserve"> </w:t>
      </w:r>
      <w:r w:rsidRPr="00FE76E2">
        <w:rPr>
          <w:rFonts w:cstheme="minorHAnsi"/>
        </w:rPr>
        <w:t>student loan or Skills First concession</w:t>
      </w:r>
      <w:r>
        <w:rPr>
          <w:rFonts w:cstheme="minorHAnsi"/>
        </w:rPr>
        <w:t xml:space="preserve"> </w:t>
      </w:r>
      <w:r w:rsidRPr="00FE76E2">
        <w:rPr>
          <w:rFonts w:cstheme="minorHAnsi"/>
        </w:rPr>
        <w:t>fees, as well as potential AMEP</w:t>
      </w:r>
      <w:r>
        <w:rPr>
          <w:rFonts w:cstheme="minorHAnsi"/>
        </w:rPr>
        <w:t xml:space="preserve"> </w:t>
      </w:r>
      <w:r w:rsidRPr="00FE76E2">
        <w:rPr>
          <w:rFonts w:cstheme="minorHAnsi"/>
        </w:rPr>
        <w:t>students awaiting eligibility. This</w:t>
      </w:r>
      <w:r>
        <w:rPr>
          <w:rFonts w:cstheme="minorHAnsi"/>
        </w:rPr>
        <w:t xml:space="preserve"> </w:t>
      </w:r>
      <w:r w:rsidRPr="00FE76E2">
        <w:rPr>
          <w:rFonts w:cstheme="minorHAnsi"/>
        </w:rPr>
        <w:t>program bridges the gap between</w:t>
      </w:r>
      <w:r>
        <w:rPr>
          <w:rFonts w:cstheme="minorHAnsi"/>
        </w:rPr>
        <w:t xml:space="preserve"> </w:t>
      </w:r>
      <w:r w:rsidRPr="00FE76E2">
        <w:rPr>
          <w:rFonts w:cstheme="minorHAnsi"/>
        </w:rPr>
        <w:t>funding streams allowing uninterrupted</w:t>
      </w:r>
      <w:r>
        <w:rPr>
          <w:rFonts w:cstheme="minorHAnsi"/>
        </w:rPr>
        <w:t xml:space="preserve"> </w:t>
      </w:r>
      <w:r w:rsidRPr="00FE76E2">
        <w:rPr>
          <w:rFonts w:cstheme="minorHAnsi"/>
        </w:rPr>
        <w:t>LLN progress.</w:t>
      </w:r>
    </w:p>
    <w:p w:rsidR="00FE76E2" w:rsidRDefault="00FE76E2" w:rsidP="005942B8">
      <w:pPr>
        <w:pStyle w:val="NoSpacing"/>
      </w:pPr>
    </w:p>
    <w:p w:rsidR="00FE76E2" w:rsidRDefault="00FE76E2" w:rsidP="005942B8">
      <w:pPr>
        <w:pStyle w:val="NoSpacing"/>
      </w:pPr>
      <w:r>
        <w:t>&lt;page 25&gt;</w:t>
      </w:r>
    </w:p>
    <w:p w:rsidR="00FE76E2" w:rsidRDefault="00FE76E2" w:rsidP="005942B8">
      <w:pPr>
        <w:pStyle w:val="NoSpacing"/>
      </w:pPr>
    </w:p>
    <w:p w:rsidR="00FE76E2" w:rsidRPr="00E34DBE" w:rsidRDefault="00E34DBE" w:rsidP="00E34DBE">
      <w:pPr>
        <w:pStyle w:val="Heading2"/>
      </w:pPr>
      <w:r w:rsidRPr="00E34DBE">
        <w:lastRenderedPageBreak/>
        <w:t xml:space="preserve">Caroline Chisholm Education Foundation </w:t>
      </w:r>
    </w:p>
    <w:p w:rsidR="00E34DBE" w:rsidRPr="00E34DBE" w:rsidRDefault="00E34DBE" w:rsidP="005942B8">
      <w:pPr>
        <w:pStyle w:val="NoSpacing"/>
        <w:rPr>
          <w:rFonts w:cstheme="minorHAnsi"/>
        </w:rPr>
      </w:pPr>
    </w:p>
    <w:p w:rsidR="00E34DBE" w:rsidRPr="00E34DBE" w:rsidRDefault="00E34DBE" w:rsidP="00E34DBE">
      <w:pPr>
        <w:pStyle w:val="Heading3"/>
      </w:pPr>
      <w:r w:rsidRPr="00E34DBE">
        <w:t>Overview</w:t>
      </w:r>
    </w:p>
    <w:p w:rsidR="00E34DBE" w:rsidRPr="00E34DBE" w:rsidRDefault="00E34DBE" w:rsidP="005942B8">
      <w:pPr>
        <w:pStyle w:val="NoSpacing"/>
        <w:rPr>
          <w:rFonts w:cstheme="minorHAnsi"/>
        </w:rPr>
      </w:pPr>
    </w:p>
    <w:p w:rsidR="00E34DBE" w:rsidRPr="00E34DBE" w:rsidRDefault="00E34DBE" w:rsidP="00E34DBE">
      <w:pPr>
        <w:autoSpaceDE w:val="0"/>
        <w:autoSpaceDN w:val="0"/>
        <w:adjustRightInd w:val="0"/>
        <w:spacing w:after="0" w:line="240" w:lineRule="auto"/>
        <w:rPr>
          <w:rFonts w:cstheme="minorHAnsi"/>
        </w:rPr>
      </w:pPr>
      <w:r w:rsidRPr="00E34DBE">
        <w:rPr>
          <w:rFonts w:cstheme="minorHAnsi"/>
        </w:rPr>
        <w:t>The mission of the Caroline Chisholm</w:t>
      </w:r>
      <w:r>
        <w:rPr>
          <w:rFonts w:cstheme="minorHAnsi"/>
        </w:rPr>
        <w:t xml:space="preserve"> </w:t>
      </w:r>
      <w:r w:rsidRPr="00E34DBE">
        <w:rPr>
          <w:rFonts w:cstheme="minorHAnsi"/>
        </w:rPr>
        <w:t>Education Foundation (CCEF) is to help</w:t>
      </w:r>
      <w:r>
        <w:rPr>
          <w:rFonts w:cstheme="minorHAnsi"/>
        </w:rPr>
        <w:t xml:space="preserve"> </w:t>
      </w:r>
      <w:r w:rsidRPr="00E34DBE">
        <w:rPr>
          <w:rFonts w:cstheme="minorHAnsi"/>
        </w:rPr>
        <w:t>students in financial hardship receive</w:t>
      </w:r>
      <w:r>
        <w:rPr>
          <w:rFonts w:cstheme="minorHAnsi"/>
        </w:rPr>
        <w:t xml:space="preserve"> </w:t>
      </w:r>
      <w:r w:rsidRPr="00E34DBE">
        <w:rPr>
          <w:rFonts w:cstheme="minorHAnsi"/>
        </w:rPr>
        <w:t>a high quality, vocational educational</w:t>
      </w:r>
      <w:r>
        <w:rPr>
          <w:rFonts w:cstheme="minorHAnsi"/>
        </w:rPr>
        <w:t xml:space="preserve"> </w:t>
      </w:r>
      <w:r w:rsidRPr="00E34DBE">
        <w:rPr>
          <w:rFonts w:cstheme="minorHAnsi"/>
        </w:rPr>
        <w:t>qualification.</w:t>
      </w:r>
    </w:p>
    <w:p w:rsidR="00E34DBE" w:rsidRDefault="00E34DBE" w:rsidP="00E34DBE">
      <w:pPr>
        <w:autoSpaceDE w:val="0"/>
        <w:autoSpaceDN w:val="0"/>
        <w:adjustRightInd w:val="0"/>
        <w:spacing w:after="0" w:line="240" w:lineRule="auto"/>
        <w:rPr>
          <w:rFonts w:cstheme="minorHAnsi"/>
        </w:rPr>
      </w:pPr>
    </w:p>
    <w:p w:rsidR="00E34DBE" w:rsidRPr="00E34DBE" w:rsidRDefault="00E34DBE" w:rsidP="00E34DBE">
      <w:pPr>
        <w:autoSpaceDE w:val="0"/>
        <w:autoSpaceDN w:val="0"/>
        <w:adjustRightInd w:val="0"/>
        <w:spacing w:after="0" w:line="240" w:lineRule="auto"/>
        <w:rPr>
          <w:rFonts w:cstheme="minorHAnsi"/>
        </w:rPr>
      </w:pPr>
      <w:r w:rsidRPr="00E34DBE">
        <w:rPr>
          <w:rFonts w:cstheme="minorHAnsi"/>
        </w:rPr>
        <w:t>The CCEF scholarships enable students</w:t>
      </w:r>
      <w:r>
        <w:rPr>
          <w:rFonts w:cstheme="minorHAnsi"/>
        </w:rPr>
        <w:t xml:space="preserve"> </w:t>
      </w:r>
      <w:r w:rsidRPr="00E34DBE">
        <w:rPr>
          <w:rFonts w:cstheme="minorHAnsi"/>
        </w:rPr>
        <w:t>who are experiencing personal</w:t>
      </w:r>
      <w:r>
        <w:rPr>
          <w:rFonts w:cstheme="minorHAnsi"/>
        </w:rPr>
        <w:t xml:space="preserve"> </w:t>
      </w:r>
      <w:r w:rsidRPr="00E34DBE">
        <w:rPr>
          <w:rFonts w:cstheme="minorHAnsi"/>
        </w:rPr>
        <w:t>hardship in their life obtain a rewarding</w:t>
      </w:r>
      <w:r>
        <w:rPr>
          <w:rFonts w:cstheme="minorHAnsi"/>
        </w:rPr>
        <w:t xml:space="preserve"> </w:t>
      </w:r>
      <w:r w:rsidRPr="00E34DBE">
        <w:rPr>
          <w:rFonts w:cstheme="minorHAnsi"/>
        </w:rPr>
        <w:t>outcome which is one step closer to</w:t>
      </w:r>
      <w:r>
        <w:rPr>
          <w:rFonts w:cstheme="minorHAnsi"/>
        </w:rPr>
        <w:t xml:space="preserve"> </w:t>
      </w:r>
      <w:r w:rsidRPr="00E34DBE">
        <w:rPr>
          <w:rFonts w:cstheme="minorHAnsi"/>
        </w:rPr>
        <w:t>making positive changes for their future</w:t>
      </w:r>
      <w:r>
        <w:rPr>
          <w:rFonts w:cstheme="minorHAnsi"/>
        </w:rPr>
        <w:t xml:space="preserve"> </w:t>
      </w:r>
      <w:r w:rsidRPr="00E34DBE">
        <w:rPr>
          <w:rFonts w:cstheme="minorHAnsi"/>
        </w:rPr>
        <w:t>education or employment opportunities.</w:t>
      </w:r>
      <w:r>
        <w:rPr>
          <w:rFonts w:cstheme="minorHAnsi"/>
        </w:rPr>
        <w:t xml:space="preserve"> </w:t>
      </w:r>
      <w:r w:rsidRPr="00E34DBE">
        <w:rPr>
          <w:rFonts w:cstheme="minorHAnsi"/>
        </w:rPr>
        <w:t>Students are able to build their self</w:t>
      </w:r>
      <w:r>
        <w:rPr>
          <w:rFonts w:cstheme="minorHAnsi"/>
        </w:rPr>
        <w:t>-</w:t>
      </w:r>
      <w:r w:rsidRPr="00E34DBE">
        <w:rPr>
          <w:rFonts w:cstheme="minorHAnsi"/>
        </w:rPr>
        <w:t>esteem</w:t>
      </w:r>
      <w:r>
        <w:rPr>
          <w:rFonts w:cstheme="minorHAnsi"/>
        </w:rPr>
        <w:t xml:space="preserve"> </w:t>
      </w:r>
      <w:r w:rsidRPr="00E34DBE">
        <w:rPr>
          <w:rFonts w:cstheme="minorHAnsi"/>
        </w:rPr>
        <w:t>and self-worth, providing</w:t>
      </w:r>
      <w:r>
        <w:rPr>
          <w:rFonts w:cstheme="minorHAnsi"/>
        </w:rPr>
        <w:t xml:space="preserve"> </w:t>
      </w:r>
      <w:r w:rsidRPr="00E34DBE">
        <w:rPr>
          <w:rFonts w:cstheme="minorHAnsi"/>
        </w:rPr>
        <w:t>meaningful role models for family and</w:t>
      </w:r>
      <w:r>
        <w:rPr>
          <w:rFonts w:cstheme="minorHAnsi"/>
        </w:rPr>
        <w:t xml:space="preserve"> </w:t>
      </w:r>
      <w:r w:rsidRPr="00E34DBE">
        <w:rPr>
          <w:rFonts w:cstheme="minorHAnsi"/>
        </w:rPr>
        <w:t>community.</w:t>
      </w:r>
    </w:p>
    <w:p w:rsidR="00E34DBE" w:rsidRDefault="00E34DBE" w:rsidP="00E34DBE">
      <w:pPr>
        <w:autoSpaceDE w:val="0"/>
        <w:autoSpaceDN w:val="0"/>
        <w:adjustRightInd w:val="0"/>
        <w:spacing w:after="0" w:line="240" w:lineRule="auto"/>
        <w:rPr>
          <w:rFonts w:cstheme="minorHAnsi"/>
        </w:rPr>
      </w:pPr>
    </w:p>
    <w:p w:rsidR="00E34DBE" w:rsidRPr="00E34DBE" w:rsidRDefault="00E34DBE" w:rsidP="00E34DBE">
      <w:pPr>
        <w:autoSpaceDE w:val="0"/>
        <w:autoSpaceDN w:val="0"/>
        <w:adjustRightInd w:val="0"/>
        <w:spacing w:after="0" w:line="240" w:lineRule="auto"/>
        <w:rPr>
          <w:rFonts w:cstheme="minorHAnsi"/>
        </w:rPr>
      </w:pPr>
      <w:r w:rsidRPr="00E34DBE">
        <w:rPr>
          <w:rFonts w:cstheme="minorHAnsi"/>
        </w:rPr>
        <w:t>The CCEF was established in 2007 and</w:t>
      </w:r>
      <w:r>
        <w:rPr>
          <w:rFonts w:cstheme="minorHAnsi"/>
        </w:rPr>
        <w:t xml:space="preserve"> </w:t>
      </w:r>
      <w:r w:rsidRPr="00E34DBE">
        <w:rPr>
          <w:rFonts w:cstheme="minorHAnsi"/>
        </w:rPr>
        <w:t>is an independent charitable entity. It is</w:t>
      </w:r>
      <w:r>
        <w:rPr>
          <w:rFonts w:cstheme="minorHAnsi"/>
        </w:rPr>
        <w:t xml:space="preserve"> </w:t>
      </w:r>
      <w:r w:rsidRPr="00E34DBE">
        <w:rPr>
          <w:rFonts w:cstheme="minorHAnsi"/>
        </w:rPr>
        <w:t>a registered charity with the Australian</w:t>
      </w:r>
      <w:r>
        <w:rPr>
          <w:rFonts w:cstheme="minorHAnsi"/>
        </w:rPr>
        <w:t xml:space="preserve"> </w:t>
      </w:r>
      <w:r w:rsidRPr="00E34DBE">
        <w:rPr>
          <w:rFonts w:cstheme="minorHAnsi"/>
        </w:rPr>
        <w:t>Charities and Not for Profits Commission,</w:t>
      </w:r>
      <w:r>
        <w:rPr>
          <w:rFonts w:cstheme="minorHAnsi"/>
        </w:rPr>
        <w:t xml:space="preserve"> </w:t>
      </w:r>
      <w:r w:rsidRPr="00E34DBE">
        <w:rPr>
          <w:rFonts w:cstheme="minorHAnsi"/>
        </w:rPr>
        <w:t>and is a deductible gift recipient.</w:t>
      </w:r>
    </w:p>
    <w:p w:rsidR="00E34DBE" w:rsidRPr="00E34DBE" w:rsidRDefault="00E34DBE" w:rsidP="00E34DBE">
      <w:pPr>
        <w:autoSpaceDE w:val="0"/>
        <w:autoSpaceDN w:val="0"/>
        <w:adjustRightInd w:val="0"/>
        <w:spacing w:after="0" w:line="240" w:lineRule="auto"/>
        <w:rPr>
          <w:rFonts w:cstheme="minorHAnsi"/>
        </w:rPr>
      </w:pPr>
      <w:r w:rsidRPr="00E34DBE">
        <w:rPr>
          <w:rFonts w:cstheme="minorHAnsi"/>
        </w:rPr>
        <w:t>Chisholm provides the administrative</w:t>
      </w:r>
      <w:r>
        <w:rPr>
          <w:rFonts w:cstheme="minorHAnsi"/>
        </w:rPr>
        <w:t xml:space="preserve"> </w:t>
      </w:r>
      <w:r w:rsidRPr="00E34DBE">
        <w:rPr>
          <w:rFonts w:cstheme="minorHAnsi"/>
        </w:rPr>
        <w:t>costs of the CCEF which allows 100</w:t>
      </w:r>
      <w:r>
        <w:rPr>
          <w:rFonts w:cstheme="minorHAnsi"/>
        </w:rPr>
        <w:t xml:space="preserve"> </w:t>
      </w:r>
      <w:r w:rsidRPr="00E34DBE">
        <w:rPr>
          <w:rFonts w:cstheme="minorHAnsi"/>
        </w:rPr>
        <w:t>per cent of the funds received through</w:t>
      </w:r>
      <w:r>
        <w:rPr>
          <w:rFonts w:cstheme="minorHAnsi"/>
        </w:rPr>
        <w:t xml:space="preserve"> </w:t>
      </w:r>
      <w:r w:rsidRPr="00E34DBE">
        <w:rPr>
          <w:rFonts w:cstheme="minorHAnsi"/>
        </w:rPr>
        <w:t>donation to be allocated to student</w:t>
      </w:r>
      <w:r>
        <w:rPr>
          <w:rFonts w:cstheme="minorHAnsi"/>
        </w:rPr>
        <w:t xml:space="preserve"> </w:t>
      </w:r>
      <w:r w:rsidRPr="00E34DBE">
        <w:rPr>
          <w:rFonts w:cstheme="minorHAnsi"/>
        </w:rPr>
        <w:t>scholarships. Since the establishment of</w:t>
      </w:r>
      <w:r>
        <w:rPr>
          <w:rFonts w:cstheme="minorHAnsi"/>
        </w:rPr>
        <w:t xml:space="preserve"> </w:t>
      </w:r>
      <w:r w:rsidRPr="00E34DBE">
        <w:rPr>
          <w:rFonts w:cstheme="minorHAnsi"/>
        </w:rPr>
        <w:t>the Foundation over 2,000 scholarships</w:t>
      </w:r>
      <w:r>
        <w:rPr>
          <w:rFonts w:cstheme="minorHAnsi"/>
        </w:rPr>
        <w:t xml:space="preserve"> </w:t>
      </w:r>
      <w:r w:rsidRPr="00E34DBE">
        <w:rPr>
          <w:rFonts w:cstheme="minorHAnsi"/>
        </w:rPr>
        <w:t>have been granted at a cost of over</w:t>
      </w:r>
      <w:r>
        <w:rPr>
          <w:rFonts w:cstheme="minorHAnsi"/>
        </w:rPr>
        <w:t xml:space="preserve"> </w:t>
      </w:r>
      <w:r w:rsidRPr="00E34DBE">
        <w:rPr>
          <w:rFonts w:cstheme="minorHAnsi"/>
        </w:rPr>
        <w:t>$2 million.</w:t>
      </w:r>
    </w:p>
    <w:p w:rsidR="00E34DBE" w:rsidRDefault="00E34DBE" w:rsidP="00E34DBE">
      <w:pPr>
        <w:autoSpaceDE w:val="0"/>
        <w:autoSpaceDN w:val="0"/>
        <w:adjustRightInd w:val="0"/>
        <w:spacing w:after="0" w:line="240" w:lineRule="auto"/>
        <w:rPr>
          <w:rFonts w:cstheme="minorHAnsi"/>
        </w:rPr>
      </w:pPr>
    </w:p>
    <w:p w:rsidR="00E34DBE" w:rsidRPr="00E34DBE" w:rsidRDefault="00E34DBE" w:rsidP="00E34DBE">
      <w:pPr>
        <w:autoSpaceDE w:val="0"/>
        <w:autoSpaceDN w:val="0"/>
        <w:adjustRightInd w:val="0"/>
        <w:spacing w:after="0" w:line="240" w:lineRule="auto"/>
        <w:rPr>
          <w:rFonts w:cstheme="minorHAnsi"/>
        </w:rPr>
      </w:pPr>
      <w:r w:rsidRPr="00E34DBE">
        <w:rPr>
          <w:rFonts w:cstheme="minorHAnsi"/>
        </w:rPr>
        <w:t>Over $100,000 was raised through grant</w:t>
      </w:r>
      <w:r>
        <w:rPr>
          <w:rFonts w:cstheme="minorHAnsi"/>
        </w:rPr>
        <w:t xml:space="preserve"> </w:t>
      </w:r>
      <w:r w:rsidRPr="00E34DBE">
        <w:rPr>
          <w:rFonts w:cstheme="minorHAnsi"/>
        </w:rPr>
        <w:t>submission and another $67,000 from</w:t>
      </w:r>
      <w:r>
        <w:rPr>
          <w:rFonts w:cstheme="minorHAnsi"/>
        </w:rPr>
        <w:t xml:space="preserve"> </w:t>
      </w:r>
      <w:r w:rsidRPr="00E34DBE">
        <w:rPr>
          <w:rFonts w:cstheme="minorHAnsi"/>
        </w:rPr>
        <w:t>the annual charity golf day. Individua</w:t>
      </w:r>
      <w:r>
        <w:rPr>
          <w:rFonts w:cstheme="minorHAnsi"/>
        </w:rPr>
        <w:t xml:space="preserve">l </w:t>
      </w:r>
      <w:r w:rsidRPr="00E34DBE">
        <w:rPr>
          <w:rFonts w:cstheme="minorHAnsi"/>
        </w:rPr>
        <w:t>and company donations also helped</w:t>
      </w:r>
      <w:r>
        <w:rPr>
          <w:rFonts w:cstheme="minorHAnsi"/>
        </w:rPr>
        <w:t xml:space="preserve"> </w:t>
      </w:r>
      <w:r w:rsidRPr="00E34DBE">
        <w:rPr>
          <w:rFonts w:cstheme="minorHAnsi"/>
        </w:rPr>
        <w:t>the Foundation exceed the budgeted</w:t>
      </w:r>
      <w:r>
        <w:rPr>
          <w:rFonts w:cstheme="minorHAnsi"/>
        </w:rPr>
        <w:t xml:space="preserve"> </w:t>
      </w:r>
      <w:r w:rsidRPr="00E34DBE">
        <w:rPr>
          <w:rFonts w:cstheme="minorHAnsi"/>
        </w:rPr>
        <w:t>revenue for 2019.</w:t>
      </w:r>
    </w:p>
    <w:p w:rsidR="00E34DBE" w:rsidRPr="00E34DBE" w:rsidRDefault="00E34DBE" w:rsidP="00E34DBE">
      <w:pPr>
        <w:pStyle w:val="NoSpacing"/>
        <w:rPr>
          <w:rFonts w:cstheme="minorHAnsi"/>
        </w:rPr>
      </w:pPr>
    </w:p>
    <w:p w:rsidR="00E34DBE" w:rsidRPr="00E34DBE" w:rsidRDefault="00E34DBE" w:rsidP="00E34DBE">
      <w:pPr>
        <w:pStyle w:val="Heading3"/>
      </w:pPr>
      <w:r w:rsidRPr="00E34DBE">
        <w:t>Governance</w:t>
      </w:r>
    </w:p>
    <w:p w:rsidR="00E34DBE" w:rsidRPr="00E34DBE" w:rsidRDefault="00E34DBE" w:rsidP="00E34DBE">
      <w:pPr>
        <w:pStyle w:val="NoSpacing"/>
        <w:rPr>
          <w:rFonts w:cstheme="minorHAnsi"/>
        </w:rPr>
      </w:pPr>
    </w:p>
    <w:p w:rsidR="00E34DBE" w:rsidRPr="00E34DBE" w:rsidRDefault="00E34DBE" w:rsidP="00E34DBE">
      <w:pPr>
        <w:autoSpaceDE w:val="0"/>
        <w:autoSpaceDN w:val="0"/>
        <w:adjustRightInd w:val="0"/>
        <w:spacing w:after="0" w:line="240" w:lineRule="auto"/>
        <w:rPr>
          <w:rFonts w:cstheme="minorHAnsi"/>
        </w:rPr>
      </w:pPr>
      <w:r w:rsidRPr="00E34DBE">
        <w:rPr>
          <w:rFonts w:cstheme="minorHAnsi"/>
        </w:rPr>
        <w:t>Members of the Board of Trustees are</w:t>
      </w:r>
      <w:r>
        <w:rPr>
          <w:rFonts w:cstheme="minorHAnsi"/>
        </w:rPr>
        <w:t xml:space="preserve"> </w:t>
      </w:r>
      <w:r w:rsidRPr="00E34DBE">
        <w:rPr>
          <w:rFonts w:cstheme="minorHAnsi"/>
        </w:rPr>
        <w:t>all volunteers, with many members</w:t>
      </w:r>
      <w:r>
        <w:rPr>
          <w:rFonts w:cstheme="minorHAnsi"/>
        </w:rPr>
        <w:t xml:space="preserve"> </w:t>
      </w:r>
      <w:r w:rsidRPr="00E34DBE">
        <w:rPr>
          <w:rFonts w:cstheme="minorHAnsi"/>
        </w:rPr>
        <w:t>previously or presently holding positions</w:t>
      </w:r>
      <w:r>
        <w:rPr>
          <w:rFonts w:cstheme="minorHAnsi"/>
        </w:rPr>
        <w:t xml:space="preserve"> </w:t>
      </w:r>
      <w:r w:rsidRPr="00E34DBE">
        <w:rPr>
          <w:rFonts w:cstheme="minorHAnsi"/>
        </w:rPr>
        <w:t>in companies at senior management,</w:t>
      </w:r>
      <w:r>
        <w:rPr>
          <w:rFonts w:cstheme="minorHAnsi"/>
        </w:rPr>
        <w:t xml:space="preserve"> </w:t>
      </w:r>
      <w:r w:rsidRPr="00E34DBE">
        <w:rPr>
          <w:rFonts w:cstheme="minorHAnsi"/>
        </w:rPr>
        <w:t>CEO and board level.</w:t>
      </w:r>
    </w:p>
    <w:p w:rsidR="00E34DBE" w:rsidRDefault="00E34DBE" w:rsidP="00E34DBE">
      <w:pPr>
        <w:autoSpaceDE w:val="0"/>
        <w:autoSpaceDN w:val="0"/>
        <w:adjustRightInd w:val="0"/>
        <w:spacing w:after="0" w:line="240" w:lineRule="auto"/>
        <w:rPr>
          <w:rFonts w:cstheme="minorHAnsi"/>
        </w:rPr>
      </w:pPr>
    </w:p>
    <w:p w:rsidR="00E34DBE" w:rsidRPr="00E34DBE" w:rsidRDefault="00E34DBE" w:rsidP="00E34DBE">
      <w:pPr>
        <w:autoSpaceDE w:val="0"/>
        <w:autoSpaceDN w:val="0"/>
        <w:adjustRightInd w:val="0"/>
        <w:spacing w:after="0" w:line="240" w:lineRule="auto"/>
        <w:rPr>
          <w:rFonts w:cstheme="minorHAnsi"/>
        </w:rPr>
      </w:pPr>
      <w:r w:rsidRPr="00E34DBE">
        <w:rPr>
          <w:rFonts w:cstheme="minorHAnsi"/>
        </w:rPr>
        <w:t>In 2019, the foundation’s Board of</w:t>
      </w:r>
      <w:r>
        <w:rPr>
          <w:rFonts w:cstheme="minorHAnsi"/>
        </w:rPr>
        <w:t xml:space="preserve"> </w:t>
      </w:r>
      <w:r w:rsidRPr="00E34DBE">
        <w:rPr>
          <w:rFonts w:cstheme="minorHAnsi"/>
        </w:rPr>
        <w:t>Trustees included:</w:t>
      </w:r>
    </w:p>
    <w:p w:rsidR="00E34DBE" w:rsidRPr="00E34DBE" w:rsidRDefault="00E34DBE" w:rsidP="00925530">
      <w:pPr>
        <w:pStyle w:val="ListParagraph"/>
        <w:numPr>
          <w:ilvl w:val="0"/>
          <w:numId w:val="29"/>
        </w:numPr>
        <w:autoSpaceDE w:val="0"/>
        <w:autoSpaceDN w:val="0"/>
        <w:adjustRightInd w:val="0"/>
        <w:spacing w:after="0" w:line="240" w:lineRule="auto"/>
        <w:rPr>
          <w:rFonts w:cstheme="minorHAnsi"/>
        </w:rPr>
      </w:pPr>
      <w:r w:rsidRPr="00E34DBE">
        <w:rPr>
          <w:rFonts w:cstheme="minorHAnsi"/>
        </w:rPr>
        <w:t>David Willersdorf (Chair)</w:t>
      </w:r>
    </w:p>
    <w:p w:rsidR="00E34DBE" w:rsidRPr="00E34DBE" w:rsidRDefault="00E34DBE" w:rsidP="00925530">
      <w:pPr>
        <w:pStyle w:val="ListParagraph"/>
        <w:numPr>
          <w:ilvl w:val="0"/>
          <w:numId w:val="29"/>
        </w:numPr>
        <w:autoSpaceDE w:val="0"/>
        <w:autoSpaceDN w:val="0"/>
        <w:adjustRightInd w:val="0"/>
        <w:spacing w:after="0" w:line="240" w:lineRule="auto"/>
        <w:rPr>
          <w:rFonts w:cstheme="minorHAnsi"/>
        </w:rPr>
      </w:pPr>
      <w:r w:rsidRPr="00E34DBE">
        <w:rPr>
          <w:rFonts w:cstheme="minorHAnsi"/>
        </w:rPr>
        <w:t>David Mann AM (Chisholm Board)</w:t>
      </w:r>
    </w:p>
    <w:p w:rsidR="00E34DBE" w:rsidRPr="00E34DBE" w:rsidRDefault="00E34DBE" w:rsidP="00925530">
      <w:pPr>
        <w:pStyle w:val="ListParagraph"/>
        <w:numPr>
          <w:ilvl w:val="0"/>
          <w:numId w:val="29"/>
        </w:numPr>
        <w:autoSpaceDE w:val="0"/>
        <w:autoSpaceDN w:val="0"/>
        <w:adjustRightInd w:val="0"/>
        <w:spacing w:after="0" w:line="240" w:lineRule="auto"/>
        <w:rPr>
          <w:rFonts w:cstheme="minorHAnsi"/>
        </w:rPr>
      </w:pPr>
      <w:r w:rsidRPr="00E34DBE">
        <w:rPr>
          <w:rFonts w:cstheme="minorHAnsi"/>
        </w:rPr>
        <w:t>Aleksandar Vasiljevic OAM</w:t>
      </w:r>
    </w:p>
    <w:p w:rsidR="00E34DBE" w:rsidRPr="00E34DBE" w:rsidRDefault="00E34DBE" w:rsidP="00925530">
      <w:pPr>
        <w:pStyle w:val="ListParagraph"/>
        <w:numPr>
          <w:ilvl w:val="0"/>
          <w:numId w:val="29"/>
        </w:numPr>
        <w:autoSpaceDE w:val="0"/>
        <w:autoSpaceDN w:val="0"/>
        <w:adjustRightInd w:val="0"/>
        <w:spacing w:after="0" w:line="240" w:lineRule="auto"/>
        <w:rPr>
          <w:rFonts w:cstheme="minorHAnsi"/>
        </w:rPr>
      </w:pPr>
      <w:r w:rsidRPr="00E34DBE">
        <w:rPr>
          <w:rFonts w:cstheme="minorHAnsi"/>
        </w:rPr>
        <w:t>Robert Hill APM</w:t>
      </w:r>
    </w:p>
    <w:p w:rsidR="00E34DBE" w:rsidRPr="00E34DBE" w:rsidRDefault="00E34DBE" w:rsidP="00925530">
      <w:pPr>
        <w:pStyle w:val="ListParagraph"/>
        <w:numPr>
          <w:ilvl w:val="0"/>
          <w:numId w:val="29"/>
        </w:numPr>
        <w:autoSpaceDE w:val="0"/>
        <w:autoSpaceDN w:val="0"/>
        <w:adjustRightInd w:val="0"/>
        <w:spacing w:after="0" w:line="240" w:lineRule="auto"/>
        <w:rPr>
          <w:rFonts w:cstheme="minorHAnsi"/>
        </w:rPr>
      </w:pPr>
      <w:r w:rsidRPr="00E34DBE">
        <w:rPr>
          <w:rFonts w:cstheme="minorHAnsi"/>
        </w:rPr>
        <w:t>Ian Predl AM</w:t>
      </w:r>
    </w:p>
    <w:p w:rsidR="00E34DBE" w:rsidRPr="00E34DBE" w:rsidRDefault="00E34DBE" w:rsidP="00925530">
      <w:pPr>
        <w:pStyle w:val="ListParagraph"/>
        <w:numPr>
          <w:ilvl w:val="0"/>
          <w:numId w:val="29"/>
        </w:numPr>
        <w:autoSpaceDE w:val="0"/>
        <w:autoSpaceDN w:val="0"/>
        <w:adjustRightInd w:val="0"/>
        <w:spacing w:after="0" w:line="240" w:lineRule="auto"/>
        <w:rPr>
          <w:rFonts w:cstheme="minorHAnsi"/>
        </w:rPr>
      </w:pPr>
      <w:r w:rsidRPr="00E34DBE">
        <w:rPr>
          <w:rFonts w:cstheme="minorHAnsi"/>
        </w:rPr>
        <w:t>Billie Stapleton (from 1 October 2019)</w:t>
      </w:r>
    </w:p>
    <w:p w:rsidR="00E34DBE" w:rsidRPr="00E34DBE" w:rsidRDefault="00E34DBE" w:rsidP="00925530">
      <w:pPr>
        <w:pStyle w:val="ListParagraph"/>
        <w:numPr>
          <w:ilvl w:val="0"/>
          <w:numId w:val="29"/>
        </w:numPr>
        <w:autoSpaceDE w:val="0"/>
        <w:autoSpaceDN w:val="0"/>
        <w:adjustRightInd w:val="0"/>
        <w:spacing w:after="0" w:line="240" w:lineRule="auto"/>
        <w:rPr>
          <w:rFonts w:cstheme="minorHAnsi"/>
        </w:rPr>
      </w:pPr>
      <w:r w:rsidRPr="00E34DBE">
        <w:rPr>
          <w:rFonts w:cstheme="minorHAnsi"/>
        </w:rPr>
        <w:t>Madonna Walters (from 1 October</w:t>
      </w:r>
      <w:r>
        <w:rPr>
          <w:rFonts w:cstheme="minorHAnsi"/>
        </w:rPr>
        <w:t xml:space="preserve"> </w:t>
      </w:r>
      <w:r w:rsidRPr="00E34DBE">
        <w:rPr>
          <w:rFonts w:cstheme="minorHAnsi"/>
        </w:rPr>
        <w:t>2019 to 13 December 2019)</w:t>
      </w:r>
    </w:p>
    <w:p w:rsidR="00E34DBE" w:rsidRPr="00E34DBE" w:rsidRDefault="00E34DBE" w:rsidP="00925530">
      <w:pPr>
        <w:pStyle w:val="ListParagraph"/>
        <w:numPr>
          <w:ilvl w:val="0"/>
          <w:numId w:val="29"/>
        </w:numPr>
        <w:autoSpaceDE w:val="0"/>
        <w:autoSpaceDN w:val="0"/>
        <w:adjustRightInd w:val="0"/>
        <w:spacing w:after="0" w:line="240" w:lineRule="auto"/>
        <w:rPr>
          <w:rFonts w:cstheme="minorHAnsi"/>
        </w:rPr>
      </w:pPr>
      <w:r w:rsidRPr="00E34DBE">
        <w:rPr>
          <w:rFonts w:cstheme="minorHAnsi"/>
        </w:rPr>
        <w:t>Stephen Varty (CEO of Chisholm, from 8 April 2019)</w:t>
      </w:r>
    </w:p>
    <w:p w:rsidR="00E34DBE" w:rsidRPr="00E34DBE" w:rsidRDefault="00E34DBE" w:rsidP="00925530">
      <w:pPr>
        <w:pStyle w:val="ListParagraph"/>
        <w:numPr>
          <w:ilvl w:val="0"/>
          <w:numId w:val="29"/>
        </w:numPr>
        <w:autoSpaceDE w:val="0"/>
        <w:autoSpaceDN w:val="0"/>
        <w:adjustRightInd w:val="0"/>
        <w:spacing w:after="0" w:line="240" w:lineRule="auto"/>
        <w:rPr>
          <w:rFonts w:cstheme="minorHAnsi"/>
        </w:rPr>
      </w:pPr>
      <w:r w:rsidRPr="00E34DBE">
        <w:rPr>
          <w:rFonts w:cstheme="minorHAnsi"/>
        </w:rPr>
        <w:t>Jane Mclennan (from 8 April 2019)</w:t>
      </w:r>
    </w:p>
    <w:p w:rsidR="00E34DBE" w:rsidRPr="00E34DBE" w:rsidRDefault="00E34DBE" w:rsidP="00925530">
      <w:pPr>
        <w:pStyle w:val="NoSpacing"/>
        <w:numPr>
          <w:ilvl w:val="0"/>
          <w:numId w:val="29"/>
        </w:numPr>
        <w:rPr>
          <w:rFonts w:cstheme="minorHAnsi"/>
        </w:rPr>
      </w:pPr>
      <w:r w:rsidRPr="00E34DBE">
        <w:rPr>
          <w:rFonts w:cstheme="minorHAnsi"/>
        </w:rPr>
        <w:t>Trish Wilson (from 1 March 2019).</w:t>
      </w:r>
    </w:p>
    <w:p w:rsidR="00FE76E2" w:rsidRDefault="00FE76E2" w:rsidP="005942B8">
      <w:pPr>
        <w:pStyle w:val="NoSpacing"/>
      </w:pPr>
    </w:p>
    <w:p w:rsidR="00E34DBE" w:rsidRDefault="00E34DBE" w:rsidP="00E34DBE">
      <w:pPr>
        <w:pStyle w:val="Heading2"/>
      </w:pPr>
      <w:r>
        <w:t>Achievements for 2019</w:t>
      </w:r>
    </w:p>
    <w:p w:rsidR="00E34DBE" w:rsidRDefault="00E34DBE" w:rsidP="005942B8">
      <w:pPr>
        <w:pStyle w:val="NoSpacing"/>
      </w:pPr>
    </w:p>
    <w:p w:rsidR="00E34DBE" w:rsidRDefault="00E34DBE" w:rsidP="005942B8">
      <w:pPr>
        <w:pStyle w:val="NoSpacing"/>
      </w:pPr>
      <w:r>
        <w:t>Number of scholarships awarded</w:t>
      </w:r>
    </w:p>
    <w:p w:rsidR="006B2929" w:rsidRDefault="006B2929" w:rsidP="005942B8">
      <w:pPr>
        <w:pStyle w:val="NoSpacing"/>
      </w:pPr>
    </w:p>
    <w:p w:rsidR="00E34DBE" w:rsidRDefault="00E34DBE" w:rsidP="005942B8">
      <w:pPr>
        <w:pStyle w:val="NoSpacing"/>
      </w:pPr>
      <w:r>
        <w:t>2019</w:t>
      </w:r>
      <w:r>
        <w:tab/>
        <w:t>346</w:t>
      </w:r>
    </w:p>
    <w:p w:rsidR="00E34DBE" w:rsidRDefault="00E34DBE" w:rsidP="005942B8">
      <w:pPr>
        <w:pStyle w:val="NoSpacing"/>
      </w:pPr>
      <w:r>
        <w:t>2018</w:t>
      </w:r>
      <w:r>
        <w:tab/>
        <w:t>402</w:t>
      </w:r>
    </w:p>
    <w:p w:rsidR="00E34DBE" w:rsidRDefault="00E34DBE" w:rsidP="005942B8">
      <w:pPr>
        <w:pStyle w:val="NoSpacing"/>
      </w:pPr>
    </w:p>
    <w:p w:rsidR="00E34DBE" w:rsidRDefault="00E34DBE" w:rsidP="005942B8">
      <w:pPr>
        <w:pStyle w:val="NoSpacing"/>
      </w:pPr>
      <w:r>
        <w:t>Funding provided to scholarship recipients</w:t>
      </w:r>
    </w:p>
    <w:p w:rsidR="00E34DBE" w:rsidRDefault="00E34DBE" w:rsidP="005942B8">
      <w:pPr>
        <w:pStyle w:val="NoSpacing"/>
      </w:pPr>
    </w:p>
    <w:p w:rsidR="00E34DBE" w:rsidRDefault="00E34DBE" w:rsidP="005942B8">
      <w:pPr>
        <w:pStyle w:val="NoSpacing"/>
      </w:pPr>
      <w:r>
        <w:t>2019</w:t>
      </w:r>
      <w:r>
        <w:tab/>
        <w:t>$212,056</w:t>
      </w:r>
    </w:p>
    <w:p w:rsidR="00E34DBE" w:rsidRDefault="00E34DBE" w:rsidP="005942B8">
      <w:pPr>
        <w:pStyle w:val="NoSpacing"/>
      </w:pPr>
      <w:r>
        <w:t>2018</w:t>
      </w:r>
      <w:r>
        <w:tab/>
        <w:t>$283,439</w:t>
      </w:r>
    </w:p>
    <w:p w:rsidR="00E34DBE" w:rsidRDefault="00E34DBE" w:rsidP="005942B8">
      <w:pPr>
        <w:pStyle w:val="NoSpacing"/>
      </w:pPr>
    </w:p>
    <w:p w:rsidR="00E34DBE" w:rsidRDefault="00E34DBE" w:rsidP="005942B8">
      <w:pPr>
        <w:pStyle w:val="NoSpacing"/>
      </w:pPr>
      <w:r>
        <w:t xml:space="preserve">Donations and fundraising </w:t>
      </w:r>
    </w:p>
    <w:p w:rsidR="00E34DBE" w:rsidRDefault="00E34DBE" w:rsidP="005942B8">
      <w:pPr>
        <w:pStyle w:val="NoSpacing"/>
      </w:pPr>
    </w:p>
    <w:p w:rsidR="00E34DBE" w:rsidRDefault="00E34DBE" w:rsidP="005942B8">
      <w:pPr>
        <w:pStyle w:val="NoSpacing"/>
      </w:pPr>
      <w:r>
        <w:t>2019</w:t>
      </w:r>
      <w:r>
        <w:tab/>
        <w:t>$331,476</w:t>
      </w:r>
    </w:p>
    <w:p w:rsidR="00E34DBE" w:rsidRDefault="00E34DBE" w:rsidP="005942B8">
      <w:pPr>
        <w:pStyle w:val="NoSpacing"/>
      </w:pPr>
      <w:r>
        <w:t>2018</w:t>
      </w:r>
      <w:r>
        <w:tab/>
        <w:t>$361,599</w:t>
      </w:r>
    </w:p>
    <w:p w:rsidR="00E34DBE" w:rsidRDefault="00E34DBE" w:rsidP="005942B8">
      <w:pPr>
        <w:pStyle w:val="NoSpacing"/>
      </w:pPr>
    </w:p>
    <w:p w:rsidR="00E34DBE" w:rsidRDefault="00E34DBE" w:rsidP="00E34DBE">
      <w:pPr>
        <w:pStyle w:val="Heading3"/>
      </w:pPr>
      <w:r>
        <w:t>From dream to reality</w:t>
      </w:r>
    </w:p>
    <w:p w:rsidR="00E34DBE" w:rsidRPr="00E34DBE" w:rsidRDefault="00E34DBE" w:rsidP="005942B8">
      <w:pPr>
        <w:pStyle w:val="NoSpacing"/>
        <w:rPr>
          <w:rFonts w:cstheme="minorHAnsi"/>
        </w:rPr>
      </w:pPr>
    </w:p>
    <w:p w:rsidR="00E34DBE" w:rsidRPr="00E34DBE" w:rsidRDefault="00E34DBE" w:rsidP="00E34DBE">
      <w:pPr>
        <w:autoSpaceDE w:val="0"/>
        <w:autoSpaceDN w:val="0"/>
        <w:adjustRightInd w:val="0"/>
        <w:spacing w:after="0" w:line="240" w:lineRule="auto"/>
        <w:rPr>
          <w:rFonts w:cstheme="minorHAnsi"/>
        </w:rPr>
      </w:pPr>
      <w:r w:rsidRPr="00E34DBE">
        <w:rPr>
          <w:rFonts w:cstheme="minorHAnsi"/>
        </w:rPr>
        <w:t>Sinead Boss was awarded a Caroline Chisholm Education</w:t>
      </w:r>
      <w:r>
        <w:rPr>
          <w:rFonts w:cstheme="minorHAnsi"/>
        </w:rPr>
        <w:t xml:space="preserve"> </w:t>
      </w:r>
      <w:r w:rsidRPr="00E34DBE">
        <w:rPr>
          <w:rFonts w:cstheme="minorHAnsi"/>
        </w:rPr>
        <w:t>Foundation Scholarship in June 2018 to support her</w:t>
      </w:r>
      <w:r>
        <w:rPr>
          <w:rFonts w:cstheme="minorHAnsi"/>
        </w:rPr>
        <w:t xml:space="preserve"> </w:t>
      </w:r>
      <w:r w:rsidRPr="00E34DBE">
        <w:rPr>
          <w:rFonts w:cstheme="minorHAnsi"/>
        </w:rPr>
        <w:t>studies in the Diploma of Screen and Media.</w:t>
      </w:r>
    </w:p>
    <w:p w:rsidR="00E34DBE" w:rsidRDefault="00E34DBE" w:rsidP="00E34DBE">
      <w:pPr>
        <w:autoSpaceDE w:val="0"/>
        <w:autoSpaceDN w:val="0"/>
        <w:adjustRightInd w:val="0"/>
        <w:spacing w:after="0" w:line="240" w:lineRule="auto"/>
        <w:rPr>
          <w:rFonts w:cstheme="minorHAnsi"/>
        </w:rPr>
      </w:pPr>
    </w:p>
    <w:p w:rsidR="00E34DBE" w:rsidRPr="00E34DBE" w:rsidRDefault="00E34DBE" w:rsidP="00E34DBE">
      <w:pPr>
        <w:autoSpaceDE w:val="0"/>
        <w:autoSpaceDN w:val="0"/>
        <w:adjustRightInd w:val="0"/>
        <w:spacing w:after="0" w:line="240" w:lineRule="auto"/>
        <w:rPr>
          <w:rFonts w:cstheme="minorHAnsi"/>
        </w:rPr>
      </w:pPr>
      <w:r w:rsidRPr="00E34DBE">
        <w:rPr>
          <w:rFonts w:cstheme="minorHAnsi"/>
        </w:rPr>
        <w:t>In Sinead’s own words, the course was her dream and her</w:t>
      </w:r>
      <w:r>
        <w:rPr>
          <w:rFonts w:cstheme="minorHAnsi"/>
        </w:rPr>
        <w:t xml:space="preserve"> </w:t>
      </w:r>
      <w:r w:rsidRPr="00E34DBE">
        <w:rPr>
          <w:rFonts w:cstheme="minorHAnsi"/>
        </w:rPr>
        <w:t>passion but she was unable to afford the $2000 cost of</w:t>
      </w:r>
      <w:r>
        <w:rPr>
          <w:rFonts w:cstheme="minorHAnsi"/>
        </w:rPr>
        <w:t xml:space="preserve"> </w:t>
      </w:r>
      <w:r w:rsidRPr="00E34DBE">
        <w:rPr>
          <w:rFonts w:cstheme="minorHAnsi"/>
        </w:rPr>
        <w:t>the materials and tools. Sinead’s application for a CCEF</w:t>
      </w:r>
      <w:r>
        <w:rPr>
          <w:rFonts w:cstheme="minorHAnsi"/>
        </w:rPr>
        <w:t xml:space="preserve"> </w:t>
      </w:r>
      <w:r w:rsidRPr="00E34DBE">
        <w:rPr>
          <w:rFonts w:cstheme="minorHAnsi"/>
        </w:rPr>
        <w:t>Scholarship was successful and in June2019, Sinead was</w:t>
      </w:r>
      <w:r>
        <w:rPr>
          <w:rFonts w:cstheme="minorHAnsi"/>
        </w:rPr>
        <w:t xml:space="preserve"> </w:t>
      </w:r>
      <w:r w:rsidRPr="00E34DBE">
        <w:rPr>
          <w:rFonts w:cstheme="minorHAnsi"/>
        </w:rPr>
        <w:t>selected as Chisholm’s Vocational Student of the Year.</w:t>
      </w:r>
      <w:r>
        <w:rPr>
          <w:rFonts w:cstheme="minorHAnsi"/>
        </w:rPr>
        <w:t xml:space="preserve"> </w:t>
      </w:r>
      <w:r w:rsidRPr="00E34DBE">
        <w:rPr>
          <w:rFonts w:cstheme="minorHAnsi"/>
        </w:rPr>
        <w:t>In accepting her award, Sinead expressed her sincere</w:t>
      </w:r>
      <w:r>
        <w:rPr>
          <w:rFonts w:cstheme="minorHAnsi"/>
        </w:rPr>
        <w:t xml:space="preserve"> </w:t>
      </w:r>
      <w:r w:rsidRPr="00E34DBE">
        <w:rPr>
          <w:rFonts w:cstheme="minorHAnsi"/>
        </w:rPr>
        <w:t>thanks to the Caroline Chisholm Education Foundation</w:t>
      </w:r>
      <w:r>
        <w:rPr>
          <w:rFonts w:cstheme="minorHAnsi"/>
        </w:rPr>
        <w:t xml:space="preserve"> </w:t>
      </w:r>
      <w:r w:rsidRPr="00E34DBE">
        <w:rPr>
          <w:rFonts w:cstheme="minorHAnsi"/>
        </w:rPr>
        <w:t>and its donors.</w:t>
      </w:r>
    </w:p>
    <w:p w:rsidR="00FE76E2" w:rsidRDefault="00FE76E2" w:rsidP="005942B8">
      <w:pPr>
        <w:pStyle w:val="NoSpacing"/>
      </w:pPr>
    </w:p>
    <w:p w:rsidR="00E34DBE" w:rsidRDefault="00E34DBE" w:rsidP="005942B8">
      <w:pPr>
        <w:pStyle w:val="NoSpacing"/>
      </w:pPr>
      <w:r>
        <w:t>&lt;page 26&gt;</w:t>
      </w:r>
    </w:p>
    <w:p w:rsidR="00E34DBE" w:rsidRDefault="00E34DBE" w:rsidP="005942B8">
      <w:pPr>
        <w:pStyle w:val="NoSpacing"/>
      </w:pPr>
    </w:p>
    <w:p w:rsidR="007E442C" w:rsidRDefault="007E442C" w:rsidP="007E442C">
      <w:pPr>
        <w:pStyle w:val="Heading2"/>
      </w:pPr>
      <w:r>
        <w:t>Work Health, Safety and Wellbeing</w:t>
      </w:r>
    </w:p>
    <w:p w:rsidR="007E442C" w:rsidRDefault="007E442C" w:rsidP="005942B8">
      <w:pPr>
        <w:pStyle w:val="NoSpacing"/>
      </w:pPr>
    </w:p>
    <w:p w:rsidR="007E442C" w:rsidRPr="007E442C" w:rsidRDefault="007E442C" w:rsidP="007E442C">
      <w:pPr>
        <w:autoSpaceDE w:val="0"/>
        <w:autoSpaceDN w:val="0"/>
        <w:adjustRightInd w:val="0"/>
        <w:spacing w:after="0" w:line="240" w:lineRule="auto"/>
        <w:rPr>
          <w:rFonts w:cstheme="minorHAnsi"/>
        </w:rPr>
      </w:pPr>
      <w:r w:rsidRPr="007E442C">
        <w:rPr>
          <w:rFonts w:cstheme="minorHAnsi"/>
        </w:rPr>
        <w:t>As a Workplace of Choice, we are</w:t>
      </w:r>
      <w:r>
        <w:rPr>
          <w:rFonts w:cstheme="minorHAnsi"/>
        </w:rPr>
        <w:t xml:space="preserve"> </w:t>
      </w:r>
      <w:r w:rsidRPr="007E442C">
        <w:rPr>
          <w:rFonts w:cstheme="minorHAnsi"/>
        </w:rPr>
        <w:t>dedicated to providing a healthy and</w:t>
      </w:r>
      <w:r>
        <w:rPr>
          <w:rFonts w:cstheme="minorHAnsi"/>
        </w:rPr>
        <w:t xml:space="preserve"> </w:t>
      </w:r>
      <w:r w:rsidRPr="007E442C">
        <w:rPr>
          <w:rFonts w:cstheme="minorHAnsi"/>
        </w:rPr>
        <w:t>safe environment for staff, students,</w:t>
      </w:r>
      <w:r>
        <w:rPr>
          <w:rFonts w:cstheme="minorHAnsi"/>
        </w:rPr>
        <w:t xml:space="preserve"> </w:t>
      </w:r>
      <w:r w:rsidRPr="007E442C">
        <w:rPr>
          <w:rFonts w:cstheme="minorHAnsi"/>
        </w:rPr>
        <w:t>visitors and contractors.</w:t>
      </w:r>
    </w:p>
    <w:p w:rsidR="007E442C" w:rsidRDefault="007E442C" w:rsidP="007E442C">
      <w:pPr>
        <w:autoSpaceDE w:val="0"/>
        <w:autoSpaceDN w:val="0"/>
        <w:adjustRightInd w:val="0"/>
        <w:spacing w:after="0" w:line="240" w:lineRule="auto"/>
        <w:rPr>
          <w:rFonts w:cstheme="minorHAnsi"/>
        </w:rPr>
      </w:pPr>
    </w:p>
    <w:p w:rsidR="007E442C" w:rsidRPr="007E442C" w:rsidRDefault="007E442C" w:rsidP="007E442C">
      <w:pPr>
        <w:autoSpaceDE w:val="0"/>
        <w:autoSpaceDN w:val="0"/>
        <w:adjustRightInd w:val="0"/>
        <w:spacing w:after="0" w:line="240" w:lineRule="auto"/>
        <w:rPr>
          <w:rFonts w:cstheme="minorHAnsi"/>
        </w:rPr>
      </w:pPr>
      <w:r w:rsidRPr="007E442C">
        <w:rPr>
          <w:rFonts w:cstheme="minorHAnsi"/>
        </w:rPr>
        <w:t>We consider workplace injuries to be</w:t>
      </w:r>
      <w:r>
        <w:rPr>
          <w:rFonts w:cstheme="minorHAnsi"/>
        </w:rPr>
        <w:t xml:space="preserve"> </w:t>
      </w:r>
      <w:r w:rsidRPr="007E442C">
        <w:rPr>
          <w:rFonts w:cstheme="minorHAnsi"/>
        </w:rPr>
        <w:t>preventable and strive to ensure that</w:t>
      </w:r>
      <w:r>
        <w:rPr>
          <w:rFonts w:cstheme="minorHAnsi"/>
        </w:rPr>
        <w:t xml:space="preserve"> </w:t>
      </w:r>
      <w:r w:rsidRPr="007E442C">
        <w:rPr>
          <w:rFonts w:cstheme="minorHAnsi"/>
        </w:rPr>
        <w:t>best practice Workplace Health Safety</w:t>
      </w:r>
      <w:r>
        <w:rPr>
          <w:rFonts w:cstheme="minorHAnsi"/>
        </w:rPr>
        <w:t xml:space="preserve"> </w:t>
      </w:r>
      <w:r w:rsidRPr="007E442C">
        <w:rPr>
          <w:rFonts w:cstheme="minorHAnsi"/>
        </w:rPr>
        <w:t>and Wellbeing (HSW) systems that focus</w:t>
      </w:r>
      <w:r>
        <w:rPr>
          <w:rFonts w:cstheme="minorHAnsi"/>
        </w:rPr>
        <w:t xml:space="preserve"> </w:t>
      </w:r>
      <w:r w:rsidRPr="007E442C">
        <w:rPr>
          <w:rFonts w:cstheme="minorHAnsi"/>
        </w:rPr>
        <w:t>on wellbeing and people capability</w:t>
      </w:r>
      <w:r>
        <w:rPr>
          <w:rFonts w:cstheme="minorHAnsi"/>
        </w:rPr>
        <w:t xml:space="preserve"> </w:t>
      </w:r>
      <w:r w:rsidRPr="007E442C">
        <w:rPr>
          <w:rFonts w:cstheme="minorHAnsi"/>
        </w:rPr>
        <w:t>are integrated into business area</w:t>
      </w:r>
      <w:r>
        <w:rPr>
          <w:rFonts w:cstheme="minorHAnsi"/>
        </w:rPr>
        <w:t xml:space="preserve"> </w:t>
      </w:r>
      <w:r w:rsidRPr="007E442C">
        <w:rPr>
          <w:rFonts w:cstheme="minorHAnsi"/>
        </w:rPr>
        <w:t>operations.</w:t>
      </w:r>
    </w:p>
    <w:p w:rsidR="007E442C" w:rsidRDefault="007E442C" w:rsidP="007E442C">
      <w:pPr>
        <w:autoSpaceDE w:val="0"/>
        <w:autoSpaceDN w:val="0"/>
        <w:adjustRightInd w:val="0"/>
        <w:spacing w:after="0" w:line="240" w:lineRule="auto"/>
        <w:rPr>
          <w:rFonts w:cstheme="minorHAnsi"/>
        </w:rPr>
      </w:pPr>
    </w:p>
    <w:p w:rsidR="007E442C" w:rsidRPr="007E442C" w:rsidRDefault="007E442C" w:rsidP="007E442C">
      <w:pPr>
        <w:autoSpaceDE w:val="0"/>
        <w:autoSpaceDN w:val="0"/>
        <w:adjustRightInd w:val="0"/>
        <w:spacing w:after="0" w:line="240" w:lineRule="auto"/>
        <w:rPr>
          <w:rFonts w:cstheme="minorHAnsi"/>
        </w:rPr>
      </w:pPr>
      <w:r w:rsidRPr="007E442C">
        <w:rPr>
          <w:rFonts w:cstheme="minorHAnsi"/>
        </w:rPr>
        <w:t>HSW is a key priority and this</w:t>
      </w:r>
      <w:r>
        <w:rPr>
          <w:rFonts w:cstheme="minorHAnsi"/>
        </w:rPr>
        <w:t xml:space="preserve"> </w:t>
      </w:r>
      <w:r w:rsidRPr="007E442C">
        <w:rPr>
          <w:rFonts w:cstheme="minorHAnsi"/>
        </w:rPr>
        <w:t>commitment is demonstrated through</w:t>
      </w:r>
      <w:r>
        <w:rPr>
          <w:rFonts w:cstheme="minorHAnsi"/>
        </w:rPr>
        <w:t xml:space="preserve"> </w:t>
      </w:r>
      <w:r w:rsidRPr="007E442C">
        <w:rPr>
          <w:rFonts w:cstheme="minorHAnsi"/>
        </w:rPr>
        <w:t>training, targeted initiatives and</w:t>
      </w:r>
      <w:r>
        <w:rPr>
          <w:rFonts w:cstheme="minorHAnsi"/>
        </w:rPr>
        <w:t xml:space="preserve"> </w:t>
      </w:r>
      <w:r w:rsidRPr="007E442C">
        <w:rPr>
          <w:rFonts w:cstheme="minorHAnsi"/>
        </w:rPr>
        <w:t>programs as outlined in the ‘Safe and</w:t>
      </w:r>
      <w:r>
        <w:rPr>
          <w:rFonts w:cstheme="minorHAnsi"/>
        </w:rPr>
        <w:t xml:space="preserve"> </w:t>
      </w:r>
      <w:r w:rsidRPr="007E442C">
        <w:rPr>
          <w:rFonts w:cstheme="minorHAnsi"/>
        </w:rPr>
        <w:t>Well’ theme of Chisholm’s People Plan</w:t>
      </w:r>
      <w:r>
        <w:rPr>
          <w:rFonts w:cstheme="minorHAnsi"/>
        </w:rPr>
        <w:t xml:space="preserve"> </w:t>
      </w:r>
      <w:r w:rsidRPr="007E442C">
        <w:rPr>
          <w:rFonts w:cstheme="minorHAnsi"/>
        </w:rPr>
        <w:t>2019 – 2021.</w:t>
      </w:r>
    </w:p>
    <w:p w:rsidR="007E442C" w:rsidRDefault="007E442C" w:rsidP="007E442C">
      <w:pPr>
        <w:autoSpaceDE w:val="0"/>
        <w:autoSpaceDN w:val="0"/>
        <w:adjustRightInd w:val="0"/>
        <w:spacing w:after="0" w:line="240" w:lineRule="auto"/>
        <w:rPr>
          <w:rFonts w:cstheme="minorHAnsi"/>
        </w:rPr>
      </w:pPr>
    </w:p>
    <w:p w:rsidR="007E442C" w:rsidRDefault="007E442C" w:rsidP="007E442C">
      <w:pPr>
        <w:autoSpaceDE w:val="0"/>
        <w:autoSpaceDN w:val="0"/>
        <w:adjustRightInd w:val="0"/>
        <w:spacing w:after="0" w:line="240" w:lineRule="auto"/>
        <w:rPr>
          <w:rFonts w:cstheme="minorHAnsi"/>
        </w:rPr>
      </w:pPr>
      <w:r w:rsidRPr="007E442C">
        <w:rPr>
          <w:rFonts w:cstheme="minorHAnsi"/>
        </w:rPr>
        <w:t>In 2019 we continued our strong</w:t>
      </w:r>
      <w:r>
        <w:rPr>
          <w:rFonts w:cstheme="minorHAnsi"/>
        </w:rPr>
        <w:t xml:space="preserve"> </w:t>
      </w:r>
      <w:r w:rsidRPr="007E442C">
        <w:rPr>
          <w:rFonts w:cstheme="minorHAnsi"/>
        </w:rPr>
        <w:t>emphasis on staff and student wellbeing</w:t>
      </w:r>
      <w:r>
        <w:rPr>
          <w:rFonts w:cstheme="minorHAnsi"/>
        </w:rPr>
        <w:t xml:space="preserve"> </w:t>
      </w:r>
      <w:r w:rsidRPr="007E442C">
        <w:rPr>
          <w:rFonts w:cstheme="minorHAnsi"/>
        </w:rPr>
        <w:t>with many programs and initiatives</w:t>
      </w:r>
      <w:r>
        <w:rPr>
          <w:rFonts w:cstheme="minorHAnsi"/>
        </w:rPr>
        <w:t xml:space="preserve"> </w:t>
      </w:r>
      <w:r w:rsidRPr="007E442C">
        <w:rPr>
          <w:rFonts w:cstheme="minorHAnsi"/>
        </w:rPr>
        <w:t>successfully delivered throughout</w:t>
      </w:r>
      <w:r>
        <w:rPr>
          <w:rFonts w:cstheme="minorHAnsi"/>
        </w:rPr>
        <w:t xml:space="preserve"> </w:t>
      </w:r>
      <w:r w:rsidRPr="007E442C">
        <w:rPr>
          <w:rFonts w:cstheme="minorHAnsi"/>
        </w:rPr>
        <w:t>the year in line with the People Plan,</w:t>
      </w:r>
      <w:r>
        <w:rPr>
          <w:rFonts w:cstheme="minorHAnsi"/>
        </w:rPr>
        <w:t xml:space="preserve"> </w:t>
      </w:r>
      <w:r w:rsidRPr="007E442C">
        <w:rPr>
          <w:rFonts w:cstheme="minorHAnsi"/>
        </w:rPr>
        <w:t>including but not limited to:</w:t>
      </w:r>
    </w:p>
    <w:p w:rsidR="007E442C" w:rsidRPr="007E442C" w:rsidRDefault="007E442C" w:rsidP="007E442C">
      <w:pPr>
        <w:autoSpaceDE w:val="0"/>
        <w:autoSpaceDN w:val="0"/>
        <w:adjustRightInd w:val="0"/>
        <w:spacing w:after="0" w:line="240" w:lineRule="auto"/>
        <w:rPr>
          <w:rFonts w:cstheme="minorHAnsi"/>
        </w:rPr>
      </w:pPr>
    </w:p>
    <w:p w:rsidR="007E442C" w:rsidRPr="007E442C" w:rsidRDefault="007E442C" w:rsidP="00925530">
      <w:pPr>
        <w:pStyle w:val="ListParagraph"/>
        <w:numPr>
          <w:ilvl w:val="0"/>
          <w:numId w:val="36"/>
        </w:numPr>
        <w:autoSpaceDE w:val="0"/>
        <w:autoSpaceDN w:val="0"/>
        <w:adjustRightInd w:val="0"/>
        <w:spacing w:after="0" w:line="240" w:lineRule="auto"/>
        <w:rPr>
          <w:rFonts w:cstheme="minorHAnsi"/>
        </w:rPr>
      </w:pPr>
      <w:r w:rsidRPr="007E442C">
        <w:rPr>
          <w:rFonts w:cstheme="minorHAnsi"/>
        </w:rPr>
        <w:t>development and implementation</w:t>
      </w:r>
      <w:r>
        <w:rPr>
          <w:rFonts w:cstheme="minorHAnsi"/>
        </w:rPr>
        <w:t xml:space="preserve"> </w:t>
      </w:r>
      <w:r w:rsidRPr="007E442C">
        <w:rPr>
          <w:rFonts w:cstheme="minorHAnsi"/>
        </w:rPr>
        <w:t>of an Executive Safety Walks program to improve HSW culture through facilitated discussion, visible leadership and to build shared ownership of HSW outcomes</w:t>
      </w:r>
    </w:p>
    <w:p w:rsidR="007E442C" w:rsidRPr="007E442C" w:rsidRDefault="007E442C" w:rsidP="00925530">
      <w:pPr>
        <w:pStyle w:val="ListParagraph"/>
        <w:numPr>
          <w:ilvl w:val="0"/>
          <w:numId w:val="35"/>
        </w:numPr>
        <w:autoSpaceDE w:val="0"/>
        <w:autoSpaceDN w:val="0"/>
        <w:adjustRightInd w:val="0"/>
        <w:spacing w:after="0" w:line="240" w:lineRule="auto"/>
        <w:rPr>
          <w:rFonts w:cstheme="minorHAnsi"/>
        </w:rPr>
      </w:pPr>
      <w:r w:rsidRPr="007E442C">
        <w:rPr>
          <w:rFonts w:cstheme="minorHAnsi"/>
        </w:rPr>
        <w:t>implementation of a Student</w:t>
      </w:r>
      <w:r>
        <w:rPr>
          <w:rFonts w:cstheme="minorHAnsi"/>
        </w:rPr>
        <w:t xml:space="preserve"> </w:t>
      </w:r>
      <w:r w:rsidRPr="007E442C">
        <w:rPr>
          <w:rFonts w:cstheme="minorHAnsi"/>
        </w:rPr>
        <w:t>Laceration Risk Reduction Project with multilayered risk controls which resulted in a 59% reduction in student laceration incidents in 2019 compared to the previous calendar year</w:t>
      </w:r>
    </w:p>
    <w:p w:rsidR="007E442C" w:rsidRPr="007E442C" w:rsidRDefault="007E442C" w:rsidP="00925530">
      <w:pPr>
        <w:pStyle w:val="ListParagraph"/>
        <w:numPr>
          <w:ilvl w:val="0"/>
          <w:numId w:val="34"/>
        </w:numPr>
        <w:autoSpaceDE w:val="0"/>
        <w:autoSpaceDN w:val="0"/>
        <w:adjustRightInd w:val="0"/>
        <w:spacing w:after="0" w:line="240" w:lineRule="auto"/>
        <w:rPr>
          <w:rFonts w:cstheme="minorHAnsi"/>
        </w:rPr>
      </w:pPr>
      <w:r w:rsidRPr="007E442C">
        <w:rPr>
          <w:rFonts w:cstheme="minorHAnsi"/>
        </w:rPr>
        <w:t>implementation of an integrated online</w:t>
      </w:r>
      <w:r>
        <w:rPr>
          <w:rFonts w:cstheme="minorHAnsi"/>
        </w:rPr>
        <w:t xml:space="preserve"> </w:t>
      </w:r>
      <w:r w:rsidRPr="007E442C">
        <w:rPr>
          <w:rFonts w:cstheme="minorHAnsi"/>
        </w:rPr>
        <w:t>incident reporting system and a case management system for WorkCover and personal injuries cases to enable early engagement and proactive case management for improved outcomes</w:t>
      </w:r>
    </w:p>
    <w:p w:rsidR="007E442C" w:rsidRPr="007E442C" w:rsidRDefault="007E442C" w:rsidP="00925530">
      <w:pPr>
        <w:pStyle w:val="ListParagraph"/>
        <w:numPr>
          <w:ilvl w:val="0"/>
          <w:numId w:val="33"/>
        </w:numPr>
        <w:autoSpaceDE w:val="0"/>
        <w:autoSpaceDN w:val="0"/>
        <w:adjustRightInd w:val="0"/>
        <w:spacing w:after="0" w:line="240" w:lineRule="auto"/>
        <w:rPr>
          <w:rFonts w:cstheme="minorHAnsi"/>
        </w:rPr>
      </w:pPr>
      <w:r w:rsidRPr="007E442C">
        <w:rPr>
          <w:rFonts w:cstheme="minorHAnsi"/>
        </w:rPr>
        <w:t>successful delivery of a broad range</w:t>
      </w:r>
      <w:r>
        <w:rPr>
          <w:rFonts w:cstheme="minorHAnsi"/>
        </w:rPr>
        <w:t xml:space="preserve"> </w:t>
      </w:r>
      <w:r w:rsidRPr="007E442C">
        <w:rPr>
          <w:rFonts w:cstheme="minorHAnsi"/>
        </w:rPr>
        <w:t>of HSW training programs through our Wellbeing Hub encompassing, Active Threat, Child Safe, Chemical Management, Emergency Warden, First Aid (mental and physical), Incident Reporting &amp; Risk Management, Induction, Mental Health and Wellbeing, Occupational Violence</w:t>
      </w:r>
    </w:p>
    <w:p w:rsidR="007E442C" w:rsidRPr="007E442C" w:rsidRDefault="007E442C" w:rsidP="00925530">
      <w:pPr>
        <w:pStyle w:val="ListParagraph"/>
        <w:numPr>
          <w:ilvl w:val="0"/>
          <w:numId w:val="32"/>
        </w:numPr>
        <w:autoSpaceDE w:val="0"/>
        <w:autoSpaceDN w:val="0"/>
        <w:adjustRightInd w:val="0"/>
        <w:spacing w:after="0" w:line="240" w:lineRule="auto"/>
        <w:rPr>
          <w:rFonts w:cstheme="minorHAnsi"/>
        </w:rPr>
      </w:pPr>
      <w:r w:rsidRPr="007E442C">
        <w:rPr>
          <w:rFonts w:cstheme="minorHAnsi"/>
        </w:rPr>
        <w:t>significant investment in campus</w:t>
      </w:r>
      <w:r>
        <w:rPr>
          <w:rFonts w:cstheme="minorHAnsi"/>
        </w:rPr>
        <w:t xml:space="preserve"> </w:t>
      </w:r>
      <w:r w:rsidRPr="007E442C">
        <w:rPr>
          <w:rFonts w:cstheme="minorHAnsi"/>
        </w:rPr>
        <w:t>facilities safety upgrades to improve engineering risk controls for dangerous goods storage and handling practices and traffic management (forklift, pedestrian and vehicle interactions)</w:t>
      </w:r>
    </w:p>
    <w:p w:rsidR="007E442C" w:rsidRPr="007E442C" w:rsidRDefault="007E442C" w:rsidP="00925530">
      <w:pPr>
        <w:pStyle w:val="ListParagraph"/>
        <w:numPr>
          <w:ilvl w:val="0"/>
          <w:numId w:val="31"/>
        </w:numPr>
        <w:autoSpaceDE w:val="0"/>
        <w:autoSpaceDN w:val="0"/>
        <w:adjustRightInd w:val="0"/>
        <w:spacing w:after="0" w:line="240" w:lineRule="auto"/>
        <w:rPr>
          <w:rFonts w:cstheme="minorHAnsi"/>
        </w:rPr>
      </w:pPr>
      <w:r w:rsidRPr="007E442C">
        <w:rPr>
          <w:rFonts w:cstheme="minorHAnsi"/>
        </w:rPr>
        <w:lastRenderedPageBreak/>
        <w:t>refinement and implementation of</w:t>
      </w:r>
      <w:r>
        <w:rPr>
          <w:rFonts w:cstheme="minorHAnsi"/>
        </w:rPr>
        <w:t xml:space="preserve"> </w:t>
      </w:r>
      <w:r w:rsidRPr="007E442C">
        <w:rPr>
          <w:rFonts w:cstheme="minorHAnsi"/>
        </w:rPr>
        <w:t>HSW Business Area plans to focus on three key areas (Systems, People, and Culture) to ensure implementation of effective systems that focus on the wellbeing and capability of staff to create an organisational culture that promotes accountability and values the wellbeing of our people</w:t>
      </w:r>
    </w:p>
    <w:p w:rsidR="007E442C" w:rsidRPr="007E442C" w:rsidRDefault="007E442C" w:rsidP="00925530">
      <w:pPr>
        <w:pStyle w:val="ListParagraph"/>
        <w:numPr>
          <w:ilvl w:val="0"/>
          <w:numId w:val="30"/>
        </w:numPr>
        <w:autoSpaceDE w:val="0"/>
        <w:autoSpaceDN w:val="0"/>
        <w:adjustRightInd w:val="0"/>
        <w:spacing w:after="0" w:line="240" w:lineRule="auto"/>
        <w:rPr>
          <w:rFonts w:cstheme="minorHAnsi"/>
        </w:rPr>
      </w:pPr>
      <w:r w:rsidRPr="007E442C">
        <w:rPr>
          <w:rFonts w:cstheme="minorHAnsi"/>
        </w:rPr>
        <w:t>well attended and proactive HSW</w:t>
      </w:r>
      <w:r>
        <w:rPr>
          <w:rFonts w:cstheme="minorHAnsi"/>
        </w:rPr>
        <w:t xml:space="preserve"> </w:t>
      </w:r>
      <w:r w:rsidRPr="007E442C">
        <w:rPr>
          <w:rFonts w:cstheme="minorHAnsi"/>
        </w:rPr>
        <w:t>Committee that facilitates consultation and engagement between Health and Safety Representatives and Management representatives to continuously improve HSW outcomes.</w:t>
      </w:r>
    </w:p>
    <w:p w:rsidR="007E442C" w:rsidRDefault="007E442C" w:rsidP="005942B8">
      <w:pPr>
        <w:pStyle w:val="NoSpacing"/>
      </w:pPr>
    </w:p>
    <w:p w:rsidR="00E34DBE" w:rsidRDefault="007E442C" w:rsidP="005942B8">
      <w:pPr>
        <w:pStyle w:val="NoSpacing"/>
      </w:pPr>
      <w:r>
        <w:t>&lt;page 27&gt;</w:t>
      </w:r>
    </w:p>
    <w:p w:rsidR="0038251B" w:rsidRDefault="0038251B" w:rsidP="005942B8">
      <w:pPr>
        <w:pStyle w:val="NoSpacing"/>
      </w:pPr>
    </w:p>
    <w:p w:rsidR="00395219" w:rsidRDefault="00395219" w:rsidP="002B5415">
      <w:pPr>
        <w:pStyle w:val="Heading3"/>
      </w:pPr>
      <w:r w:rsidRPr="001E1035">
        <w:t>Incidents</w:t>
      </w:r>
      <w:r>
        <w:t xml:space="preserve"> </w:t>
      </w:r>
    </w:p>
    <w:p w:rsidR="00395219" w:rsidRDefault="00395219" w:rsidP="005942B8">
      <w:pPr>
        <w:pStyle w:val="NoSpacing"/>
      </w:pPr>
    </w:p>
    <w:p w:rsidR="00395219" w:rsidRDefault="00395219" w:rsidP="005942B8">
      <w:pPr>
        <w:pStyle w:val="NoSpacing"/>
      </w:pPr>
      <w:r>
        <w:t>Hazard and incident reports for full time employees (FTE) between 1 January 2019 and 31 December 2019.</w:t>
      </w:r>
    </w:p>
    <w:p w:rsidR="00395219" w:rsidRDefault="00395219" w:rsidP="005942B8">
      <w:pPr>
        <w:pStyle w:val="NoSpacing"/>
      </w:pPr>
    </w:p>
    <w:tbl>
      <w:tblPr>
        <w:tblStyle w:val="TableGrid"/>
        <w:tblW w:w="10916" w:type="dxa"/>
        <w:tblInd w:w="-998" w:type="dxa"/>
        <w:tblLook w:val="04A0" w:firstRow="1" w:lastRow="0" w:firstColumn="1" w:lastColumn="0" w:noHBand="0" w:noVBand="1"/>
      </w:tblPr>
      <w:tblGrid>
        <w:gridCol w:w="7089"/>
        <w:gridCol w:w="1275"/>
        <w:gridCol w:w="1276"/>
        <w:gridCol w:w="1276"/>
      </w:tblGrid>
      <w:tr w:rsidR="00395219" w:rsidTr="00395219">
        <w:trPr>
          <w:gridBefore w:val="1"/>
          <w:wBefore w:w="7089" w:type="dxa"/>
        </w:trPr>
        <w:tc>
          <w:tcPr>
            <w:tcW w:w="1275" w:type="dxa"/>
          </w:tcPr>
          <w:p w:rsidR="00395219" w:rsidRDefault="00395219" w:rsidP="00395219">
            <w:pPr>
              <w:pStyle w:val="NoSpacing"/>
              <w:jc w:val="right"/>
            </w:pPr>
            <w:r>
              <w:t>2019</w:t>
            </w:r>
          </w:p>
        </w:tc>
        <w:tc>
          <w:tcPr>
            <w:tcW w:w="1276" w:type="dxa"/>
          </w:tcPr>
          <w:p w:rsidR="00395219" w:rsidRDefault="00395219" w:rsidP="00395219">
            <w:pPr>
              <w:pStyle w:val="NoSpacing"/>
              <w:jc w:val="right"/>
            </w:pPr>
            <w:r>
              <w:t>2018</w:t>
            </w:r>
          </w:p>
        </w:tc>
        <w:tc>
          <w:tcPr>
            <w:tcW w:w="1276" w:type="dxa"/>
          </w:tcPr>
          <w:p w:rsidR="00395219" w:rsidRDefault="00395219" w:rsidP="00395219">
            <w:pPr>
              <w:pStyle w:val="NoSpacing"/>
              <w:jc w:val="right"/>
            </w:pPr>
            <w:r>
              <w:t>2017</w:t>
            </w:r>
          </w:p>
        </w:tc>
      </w:tr>
      <w:tr w:rsidR="00395219" w:rsidTr="00395219">
        <w:tc>
          <w:tcPr>
            <w:tcW w:w="7089" w:type="dxa"/>
          </w:tcPr>
          <w:p w:rsidR="00395219" w:rsidRDefault="00395219" w:rsidP="005942B8">
            <w:pPr>
              <w:pStyle w:val="NoSpacing"/>
            </w:pPr>
            <w:r>
              <w:t>Total hazard and incident reports*</w:t>
            </w:r>
          </w:p>
        </w:tc>
        <w:tc>
          <w:tcPr>
            <w:tcW w:w="1275" w:type="dxa"/>
          </w:tcPr>
          <w:p w:rsidR="00395219" w:rsidRDefault="00395219" w:rsidP="00395219">
            <w:pPr>
              <w:pStyle w:val="NoSpacing"/>
              <w:jc w:val="right"/>
            </w:pPr>
            <w:r>
              <w:t>287</w:t>
            </w:r>
          </w:p>
        </w:tc>
        <w:tc>
          <w:tcPr>
            <w:tcW w:w="1276" w:type="dxa"/>
          </w:tcPr>
          <w:p w:rsidR="00395219" w:rsidRDefault="00395219" w:rsidP="00395219">
            <w:pPr>
              <w:pStyle w:val="NoSpacing"/>
              <w:jc w:val="right"/>
            </w:pPr>
            <w:r>
              <w:t>312</w:t>
            </w:r>
          </w:p>
        </w:tc>
        <w:tc>
          <w:tcPr>
            <w:tcW w:w="1276" w:type="dxa"/>
          </w:tcPr>
          <w:p w:rsidR="00395219" w:rsidRDefault="00395219" w:rsidP="00395219">
            <w:pPr>
              <w:pStyle w:val="NoSpacing"/>
              <w:jc w:val="right"/>
            </w:pPr>
            <w:r>
              <w:t>306</w:t>
            </w:r>
          </w:p>
        </w:tc>
      </w:tr>
      <w:tr w:rsidR="00395219" w:rsidTr="00395219">
        <w:tc>
          <w:tcPr>
            <w:tcW w:w="7089" w:type="dxa"/>
          </w:tcPr>
          <w:p w:rsidR="00395219" w:rsidRDefault="00395219" w:rsidP="005942B8">
            <w:pPr>
              <w:pStyle w:val="NoSpacing"/>
            </w:pPr>
            <w:r>
              <w:t>Total ‘lost time’ standard WorkCover claims</w:t>
            </w:r>
          </w:p>
        </w:tc>
        <w:tc>
          <w:tcPr>
            <w:tcW w:w="1275" w:type="dxa"/>
          </w:tcPr>
          <w:p w:rsidR="00395219" w:rsidRDefault="00395219" w:rsidP="00395219">
            <w:pPr>
              <w:pStyle w:val="NoSpacing"/>
              <w:jc w:val="right"/>
            </w:pPr>
            <w:r>
              <w:t>5</w:t>
            </w:r>
          </w:p>
        </w:tc>
        <w:tc>
          <w:tcPr>
            <w:tcW w:w="1276" w:type="dxa"/>
          </w:tcPr>
          <w:p w:rsidR="00395219" w:rsidRDefault="00395219" w:rsidP="00395219">
            <w:pPr>
              <w:pStyle w:val="NoSpacing"/>
              <w:jc w:val="right"/>
            </w:pPr>
            <w:r>
              <w:t>7</w:t>
            </w:r>
          </w:p>
        </w:tc>
        <w:tc>
          <w:tcPr>
            <w:tcW w:w="1276" w:type="dxa"/>
          </w:tcPr>
          <w:p w:rsidR="00395219" w:rsidRDefault="00395219" w:rsidP="00395219">
            <w:pPr>
              <w:pStyle w:val="NoSpacing"/>
              <w:jc w:val="right"/>
            </w:pPr>
            <w:r>
              <w:t>8</w:t>
            </w:r>
          </w:p>
        </w:tc>
      </w:tr>
      <w:tr w:rsidR="00395219" w:rsidTr="00395219">
        <w:tc>
          <w:tcPr>
            <w:tcW w:w="7089" w:type="dxa"/>
          </w:tcPr>
          <w:p w:rsidR="00395219" w:rsidRDefault="00395219" w:rsidP="005942B8">
            <w:pPr>
              <w:pStyle w:val="NoSpacing"/>
            </w:pPr>
            <w:r>
              <w:t>Total cost of all ‘lost time’ WorkCover claims**</w:t>
            </w:r>
          </w:p>
        </w:tc>
        <w:tc>
          <w:tcPr>
            <w:tcW w:w="1275" w:type="dxa"/>
          </w:tcPr>
          <w:p w:rsidR="00395219" w:rsidRDefault="00395219" w:rsidP="00395219">
            <w:pPr>
              <w:pStyle w:val="NoSpacing"/>
              <w:jc w:val="right"/>
            </w:pPr>
            <w:r>
              <w:t>$173,843</w:t>
            </w:r>
          </w:p>
        </w:tc>
        <w:tc>
          <w:tcPr>
            <w:tcW w:w="1276" w:type="dxa"/>
          </w:tcPr>
          <w:p w:rsidR="00395219" w:rsidRDefault="00395219" w:rsidP="00395219">
            <w:pPr>
              <w:pStyle w:val="NoSpacing"/>
              <w:jc w:val="right"/>
            </w:pPr>
            <w:r>
              <w:t>$401,005</w:t>
            </w:r>
          </w:p>
        </w:tc>
        <w:tc>
          <w:tcPr>
            <w:tcW w:w="1276" w:type="dxa"/>
          </w:tcPr>
          <w:p w:rsidR="00395219" w:rsidRDefault="00395219" w:rsidP="00395219">
            <w:pPr>
              <w:pStyle w:val="NoSpacing"/>
              <w:jc w:val="right"/>
            </w:pPr>
            <w:r>
              <w:t>$171,392</w:t>
            </w:r>
          </w:p>
        </w:tc>
      </w:tr>
      <w:tr w:rsidR="00395219" w:rsidTr="00395219">
        <w:tc>
          <w:tcPr>
            <w:tcW w:w="7089" w:type="dxa"/>
          </w:tcPr>
          <w:p w:rsidR="00395219" w:rsidRDefault="00395219" w:rsidP="005942B8">
            <w:pPr>
              <w:pStyle w:val="NoSpacing"/>
            </w:pPr>
            <w:r>
              <w:t>Per 100 FTE staff (annual average)</w:t>
            </w:r>
            <w:r w:rsidR="001E1035">
              <w:t>***</w:t>
            </w:r>
          </w:p>
        </w:tc>
        <w:tc>
          <w:tcPr>
            <w:tcW w:w="1275" w:type="dxa"/>
          </w:tcPr>
          <w:p w:rsidR="00395219" w:rsidRDefault="00395219" w:rsidP="00395219">
            <w:pPr>
              <w:pStyle w:val="NoSpacing"/>
              <w:jc w:val="right"/>
            </w:pPr>
            <w:r>
              <w:t>11.16</w:t>
            </w:r>
          </w:p>
        </w:tc>
        <w:tc>
          <w:tcPr>
            <w:tcW w:w="1276" w:type="dxa"/>
          </w:tcPr>
          <w:p w:rsidR="00395219" w:rsidRDefault="00395219" w:rsidP="00395219">
            <w:pPr>
              <w:pStyle w:val="NoSpacing"/>
              <w:jc w:val="right"/>
            </w:pPr>
            <w:r>
              <w:t>9.92</w:t>
            </w:r>
          </w:p>
        </w:tc>
        <w:tc>
          <w:tcPr>
            <w:tcW w:w="1276" w:type="dxa"/>
          </w:tcPr>
          <w:p w:rsidR="00395219" w:rsidRDefault="00395219" w:rsidP="00395219">
            <w:pPr>
              <w:pStyle w:val="NoSpacing"/>
              <w:jc w:val="right"/>
            </w:pPr>
            <w:r>
              <w:t>8.96</w:t>
            </w:r>
          </w:p>
        </w:tc>
      </w:tr>
      <w:tr w:rsidR="00395219" w:rsidTr="00395219">
        <w:tc>
          <w:tcPr>
            <w:tcW w:w="7089" w:type="dxa"/>
          </w:tcPr>
          <w:p w:rsidR="00395219" w:rsidRDefault="00395219" w:rsidP="005942B8">
            <w:pPr>
              <w:pStyle w:val="NoSpacing"/>
            </w:pPr>
            <w:r>
              <w:t>Number of hazard and incident reports</w:t>
            </w:r>
            <w:r w:rsidR="001E1035">
              <w:t>****</w:t>
            </w:r>
          </w:p>
        </w:tc>
        <w:tc>
          <w:tcPr>
            <w:tcW w:w="1275" w:type="dxa"/>
          </w:tcPr>
          <w:p w:rsidR="00395219" w:rsidRDefault="00395219" w:rsidP="00395219">
            <w:pPr>
              <w:pStyle w:val="NoSpacing"/>
              <w:jc w:val="right"/>
            </w:pPr>
            <w:r>
              <w:t>25.72</w:t>
            </w:r>
          </w:p>
        </w:tc>
        <w:tc>
          <w:tcPr>
            <w:tcW w:w="1276" w:type="dxa"/>
          </w:tcPr>
          <w:p w:rsidR="00395219" w:rsidRDefault="00395219" w:rsidP="00395219">
            <w:pPr>
              <w:pStyle w:val="NoSpacing"/>
              <w:jc w:val="right"/>
            </w:pPr>
            <w:r>
              <w:t>31.45</w:t>
            </w:r>
          </w:p>
        </w:tc>
        <w:tc>
          <w:tcPr>
            <w:tcW w:w="1276" w:type="dxa"/>
          </w:tcPr>
          <w:p w:rsidR="00395219" w:rsidRDefault="00395219" w:rsidP="00395219">
            <w:pPr>
              <w:pStyle w:val="NoSpacing"/>
              <w:jc w:val="right"/>
            </w:pPr>
            <w:r>
              <w:t>34.15</w:t>
            </w:r>
          </w:p>
        </w:tc>
      </w:tr>
      <w:tr w:rsidR="00395219" w:rsidTr="00395219">
        <w:tc>
          <w:tcPr>
            <w:tcW w:w="7089" w:type="dxa"/>
          </w:tcPr>
          <w:p w:rsidR="00395219" w:rsidRDefault="00395219" w:rsidP="005942B8">
            <w:pPr>
              <w:pStyle w:val="NoSpacing"/>
            </w:pPr>
            <w:r>
              <w:t>Number of ‘lost time’ standard WorkCover claims</w:t>
            </w:r>
            <w:r w:rsidR="001E1035">
              <w:t>*****</w:t>
            </w:r>
          </w:p>
        </w:tc>
        <w:tc>
          <w:tcPr>
            <w:tcW w:w="1275" w:type="dxa"/>
          </w:tcPr>
          <w:p w:rsidR="00395219" w:rsidRDefault="00395219" w:rsidP="00395219">
            <w:pPr>
              <w:pStyle w:val="NoSpacing"/>
              <w:jc w:val="right"/>
            </w:pPr>
            <w:r>
              <w:t>0.45</w:t>
            </w:r>
          </w:p>
        </w:tc>
        <w:tc>
          <w:tcPr>
            <w:tcW w:w="1276" w:type="dxa"/>
          </w:tcPr>
          <w:p w:rsidR="00395219" w:rsidRDefault="00395219" w:rsidP="00395219">
            <w:pPr>
              <w:pStyle w:val="NoSpacing"/>
              <w:jc w:val="right"/>
            </w:pPr>
            <w:r>
              <w:t>0.71</w:t>
            </w:r>
          </w:p>
        </w:tc>
        <w:tc>
          <w:tcPr>
            <w:tcW w:w="1276" w:type="dxa"/>
          </w:tcPr>
          <w:p w:rsidR="00395219" w:rsidRDefault="00395219" w:rsidP="00395219">
            <w:pPr>
              <w:pStyle w:val="NoSpacing"/>
              <w:jc w:val="right"/>
            </w:pPr>
            <w:r>
              <w:t>0.89</w:t>
            </w:r>
          </w:p>
        </w:tc>
      </w:tr>
      <w:tr w:rsidR="00395219" w:rsidTr="00395219">
        <w:tc>
          <w:tcPr>
            <w:tcW w:w="7089" w:type="dxa"/>
          </w:tcPr>
          <w:p w:rsidR="00395219" w:rsidRDefault="002B5415" w:rsidP="005942B8">
            <w:pPr>
              <w:pStyle w:val="NoSpacing"/>
            </w:pPr>
            <w:r>
              <w:t>Accepted WorkCover claims</w:t>
            </w:r>
          </w:p>
        </w:tc>
        <w:tc>
          <w:tcPr>
            <w:tcW w:w="1275" w:type="dxa"/>
          </w:tcPr>
          <w:p w:rsidR="00395219" w:rsidRDefault="00395219" w:rsidP="00395219">
            <w:pPr>
              <w:pStyle w:val="NoSpacing"/>
              <w:jc w:val="right"/>
            </w:pPr>
            <w:r>
              <w:t>9</w:t>
            </w:r>
          </w:p>
        </w:tc>
        <w:tc>
          <w:tcPr>
            <w:tcW w:w="1276" w:type="dxa"/>
          </w:tcPr>
          <w:p w:rsidR="00395219" w:rsidRDefault="00395219" w:rsidP="00395219">
            <w:pPr>
              <w:pStyle w:val="NoSpacing"/>
              <w:jc w:val="right"/>
            </w:pPr>
            <w:r>
              <w:t>8</w:t>
            </w:r>
          </w:p>
        </w:tc>
        <w:tc>
          <w:tcPr>
            <w:tcW w:w="1276" w:type="dxa"/>
          </w:tcPr>
          <w:p w:rsidR="00395219" w:rsidRDefault="00395219" w:rsidP="00395219">
            <w:pPr>
              <w:pStyle w:val="NoSpacing"/>
              <w:jc w:val="right"/>
            </w:pPr>
            <w:r>
              <w:t>8</w:t>
            </w:r>
          </w:p>
        </w:tc>
      </w:tr>
      <w:tr w:rsidR="00395219" w:rsidTr="00395219">
        <w:tc>
          <w:tcPr>
            <w:tcW w:w="7089" w:type="dxa"/>
          </w:tcPr>
          <w:p w:rsidR="00395219" w:rsidRDefault="002B5415" w:rsidP="005942B8">
            <w:pPr>
              <w:pStyle w:val="NoSpacing"/>
            </w:pPr>
            <w:r>
              <w:t>Accepted and rejected WorkCover claims</w:t>
            </w:r>
          </w:p>
        </w:tc>
        <w:tc>
          <w:tcPr>
            <w:tcW w:w="1275" w:type="dxa"/>
          </w:tcPr>
          <w:p w:rsidR="00395219" w:rsidRDefault="00395219" w:rsidP="00395219">
            <w:pPr>
              <w:pStyle w:val="NoSpacing"/>
              <w:jc w:val="right"/>
            </w:pPr>
            <w:r>
              <w:t>11</w:t>
            </w:r>
          </w:p>
        </w:tc>
        <w:tc>
          <w:tcPr>
            <w:tcW w:w="1276" w:type="dxa"/>
          </w:tcPr>
          <w:p w:rsidR="00395219" w:rsidRDefault="00395219" w:rsidP="00395219">
            <w:pPr>
              <w:pStyle w:val="NoSpacing"/>
              <w:jc w:val="right"/>
            </w:pPr>
            <w:r>
              <w:t>9</w:t>
            </w:r>
          </w:p>
        </w:tc>
        <w:tc>
          <w:tcPr>
            <w:tcW w:w="1276" w:type="dxa"/>
          </w:tcPr>
          <w:p w:rsidR="00395219" w:rsidRDefault="00395219" w:rsidP="00395219">
            <w:pPr>
              <w:pStyle w:val="NoSpacing"/>
              <w:jc w:val="right"/>
            </w:pPr>
            <w:r>
              <w:t>13</w:t>
            </w:r>
          </w:p>
        </w:tc>
      </w:tr>
      <w:tr w:rsidR="00395219" w:rsidTr="00395219">
        <w:tc>
          <w:tcPr>
            <w:tcW w:w="7089" w:type="dxa"/>
          </w:tcPr>
          <w:p w:rsidR="00395219" w:rsidRDefault="002B5415" w:rsidP="005942B8">
            <w:pPr>
              <w:pStyle w:val="NoSpacing"/>
            </w:pPr>
            <w:r>
              <w:t>Total cost of WorkCover claims***</w:t>
            </w:r>
            <w:r w:rsidR="001E1035">
              <w:t>***</w:t>
            </w:r>
          </w:p>
        </w:tc>
        <w:tc>
          <w:tcPr>
            <w:tcW w:w="1275" w:type="dxa"/>
          </w:tcPr>
          <w:p w:rsidR="00395219" w:rsidRDefault="00395219" w:rsidP="00395219">
            <w:pPr>
              <w:pStyle w:val="NoSpacing"/>
              <w:jc w:val="right"/>
            </w:pPr>
            <w:r>
              <w:t>$1,517,774</w:t>
            </w:r>
          </w:p>
        </w:tc>
        <w:tc>
          <w:tcPr>
            <w:tcW w:w="1276" w:type="dxa"/>
          </w:tcPr>
          <w:p w:rsidR="00395219" w:rsidRDefault="00395219" w:rsidP="00395219">
            <w:pPr>
              <w:pStyle w:val="NoSpacing"/>
              <w:jc w:val="right"/>
            </w:pPr>
            <w:r>
              <w:t>$968,718</w:t>
            </w:r>
          </w:p>
        </w:tc>
        <w:tc>
          <w:tcPr>
            <w:tcW w:w="1276" w:type="dxa"/>
          </w:tcPr>
          <w:p w:rsidR="00395219" w:rsidRDefault="00395219" w:rsidP="00395219">
            <w:pPr>
              <w:pStyle w:val="NoSpacing"/>
              <w:jc w:val="right"/>
            </w:pPr>
            <w:r>
              <w:t>$1,309,198</w:t>
            </w:r>
          </w:p>
        </w:tc>
      </w:tr>
      <w:tr w:rsidR="00395219" w:rsidTr="00395219">
        <w:tc>
          <w:tcPr>
            <w:tcW w:w="7089" w:type="dxa"/>
          </w:tcPr>
          <w:p w:rsidR="00395219" w:rsidRDefault="002B5415" w:rsidP="005942B8">
            <w:pPr>
              <w:pStyle w:val="NoSpacing"/>
            </w:pPr>
            <w:r>
              <w:t>Average costs per WorkCover claim</w:t>
            </w:r>
          </w:p>
        </w:tc>
        <w:tc>
          <w:tcPr>
            <w:tcW w:w="1275" w:type="dxa"/>
          </w:tcPr>
          <w:p w:rsidR="00395219" w:rsidRDefault="00395219" w:rsidP="00395219">
            <w:pPr>
              <w:pStyle w:val="NoSpacing"/>
              <w:jc w:val="right"/>
            </w:pPr>
            <w:r>
              <w:t>$16,888</w:t>
            </w:r>
          </w:p>
        </w:tc>
        <w:tc>
          <w:tcPr>
            <w:tcW w:w="1276" w:type="dxa"/>
          </w:tcPr>
          <w:p w:rsidR="00395219" w:rsidRDefault="00395219" w:rsidP="00395219">
            <w:pPr>
              <w:pStyle w:val="NoSpacing"/>
              <w:jc w:val="right"/>
            </w:pPr>
            <w:r>
              <w:t>$44,556</w:t>
            </w:r>
          </w:p>
        </w:tc>
        <w:tc>
          <w:tcPr>
            <w:tcW w:w="1276" w:type="dxa"/>
          </w:tcPr>
          <w:p w:rsidR="00395219" w:rsidRDefault="00395219" w:rsidP="00395219">
            <w:pPr>
              <w:pStyle w:val="NoSpacing"/>
              <w:jc w:val="right"/>
            </w:pPr>
            <w:r>
              <w:t>$14,964</w:t>
            </w:r>
          </w:p>
        </w:tc>
      </w:tr>
    </w:tbl>
    <w:p w:rsidR="00395219" w:rsidRDefault="002B5415" w:rsidP="005942B8">
      <w:pPr>
        <w:pStyle w:val="NoSpacing"/>
      </w:pPr>
      <w:r>
        <w:t>Notes:</w:t>
      </w:r>
    </w:p>
    <w:p w:rsidR="002B5415" w:rsidRPr="001E1035" w:rsidRDefault="002B5415" w:rsidP="002B5415">
      <w:pPr>
        <w:pStyle w:val="NoSpacing"/>
      </w:pPr>
      <w:r w:rsidRPr="001E1035">
        <w:t xml:space="preserve">*All Chisholm related incidents for employees, students, contractors and visitors </w:t>
      </w:r>
    </w:p>
    <w:p w:rsidR="002B5415" w:rsidRPr="001E1035" w:rsidRDefault="002B5415" w:rsidP="002B5415">
      <w:pPr>
        <w:pStyle w:val="NoSpacing"/>
      </w:pPr>
      <w:r w:rsidRPr="001E1035">
        <w:t>**Lost time claims only</w:t>
      </w:r>
    </w:p>
    <w:p w:rsidR="002B5415" w:rsidRDefault="002B5415" w:rsidP="002B5415">
      <w:pPr>
        <w:pStyle w:val="NoSpacing"/>
      </w:pPr>
      <w:r w:rsidRPr="001E1035">
        <w:t>***All premium sensitive claims</w:t>
      </w:r>
    </w:p>
    <w:p w:rsidR="001E1035" w:rsidRDefault="0006627D" w:rsidP="002B5415">
      <w:pPr>
        <w:pStyle w:val="NoSpacing"/>
      </w:pPr>
      <w:r>
        <w:t>****</w:t>
      </w:r>
      <w:r w:rsidR="001E1035">
        <w:t>Number of hazard and incident reports per 100 FTE (annualised)</w:t>
      </w:r>
    </w:p>
    <w:p w:rsidR="001E1035" w:rsidRDefault="0006627D" w:rsidP="002B5415">
      <w:pPr>
        <w:pStyle w:val="NoSpacing"/>
      </w:pPr>
      <w:r>
        <w:t>*****</w:t>
      </w:r>
      <w:r w:rsidR="001E1035">
        <w:t>Number of lost time standard WorkCover claims per 100 FTE (annualised)</w:t>
      </w:r>
    </w:p>
    <w:p w:rsidR="001E1035" w:rsidRDefault="0006627D" w:rsidP="002B5415">
      <w:pPr>
        <w:pStyle w:val="NoSpacing"/>
      </w:pPr>
      <w:r>
        <w:t>******</w:t>
      </w:r>
      <w:r w:rsidR="001E1035">
        <w:t>All premium sensitive claims</w:t>
      </w:r>
    </w:p>
    <w:p w:rsidR="002B5415" w:rsidRDefault="002B5415" w:rsidP="002B5415">
      <w:pPr>
        <w:pStyle w:val="NoSpacing"/>
      </w:pPr>
    </w:p>
    <w:p w:rsidR="002B5415" w:rsidRDefault="002B5415" w:rsidP="002B5415">
      <w:pPr>
        <w:pStyle w:val="Heading3"/>
      </w:pPr>
      <w:r>
        <w:t xml:space="preserve">WorkCover/ Return to Work </w:t>
      </w:r>
    </w:p>
    <w:p w:rsidR="002B5415" w:rsidRDefault="002B5415" w:rsidP="002B5415">
      <w:pPr>
        <w:pStyle w:val="NoSpacing"/>
      </w:pPr>
    </w:p>
    <w:p w:rsidR="002B5415" w:rsidRDefault="002B5415" w:rsidP="002B5415">
      <w:pPr>
        <w:pStyle w:val="NoSpacing"/>
      </w:pPr>
      <w:r>
        <w:t>Of the nine accepted claims in 2019, only one claimant has not returned to full hours or duties and continues to receive active claims and injury management support.</w:t>
      </w:r>
    </w:p>
    <w:p w:rsidR="002B5415" w:rsidRDefault="002B5415" w:rsidP="002B5415">
      <w:pPr>
        <w:pStyle w:val="NoSpacing"/>
      </w:pPr>
    </w:p>
    <w:p w:rsidR="002B5415" w:rsidRDefault="002B5415" w:rsidP="002B5415">
      <w:pPr>
        <w:pStyle w:val="NoSpacing"/>
      </w:pPr>
      <w:r>
        <w:t>Despite only nine accepted WorkCover claims in 2019, WorkCover premium for 2019/20 responded to the higher claim costs of historical claims and increase in staffing numbers.</w:t>
      </w:r>
    </w:p>
    <w:p w:rsidR="002B5415" w:rsidRDefault="002B5415" w:rsidP="002B5415">
      <w:pPr>
        <w:pStyle w:val="NoSpacing"/>
      </w:pPr>
    </w:p>
    <w:p w:rsidR="002B5415" w:rsidRDefault="002B5415" w:rsidP="002B5415">
      <w:pPr>
        <w:pStyle w:val="NoSpacing"/>
      </w:pPr>
      <w:r>
        <w:t>Ongoing focus on early and proactive engagement in injury management (including personal injury) will assist in continued improvement in WorkCover performance for 2020/21.</w:t>
      </w:r>
    </w:p>
    <w:p w:rsidR="002B5415" w:rsidRDefault="002B5415" w:rsidP="002B5415">
      <w:pPr>
        <w:pStyle w:val="NoSpacing"/>
      </w:pPr>
    </w:p>
    <w:tbl>
      <w:tblPr>
        <w:tblStyle w:val="TableGrid"/>
        <w:tblW w:w="0" w:type="auto"/>
        <w:tblLook w:val="04A0" w:firstRow="1" w:lastRow="0" w:firstColumn="1" w:lastColumn="0" w:noHBand="0" w:noVBand="1"/>
      </w:tblPr>
      <w:tblGrid>
        <w:gridCol w:w="4508"/>
        <w:gridCol w:w="1441"/>
      </w:tblGrid>
      <w:tr w:rsidR="002B5415" w:rsidTr="002B5415">
        <w:tc>
          <w:tcPr>
            <w:tcW w:w="5949" w:type="dxa"/>
            <w:gridSpan w:val="2"/>
          </w:tcPr>
          <w:p w:rsidR="002B5415" w:rsidRDefault="002B5415" w:rsidP="002B5415">
            <w:pPr>
              <w:pStyle w:val="NoSpacing"/>
            </w:pPr>
            <w:r>
              <w:t>2019</w:t>
            </w:r>
          </w:p>
        </w:tc>
      </w:tr>
      <w:tr w:rsidR="002B5415" w:rsidTr="002B5415">
        <w:tc>
          <w:tcPr>
            <w:tcW w:w="4508" w:type="dxa"/>
          </w:tcPr>
          <w:p w:rsidR="002B5415" w:rsidRDefault="002B5415" w:rsidP="002B5415">
            <w:pPr>
              <w:pStyle w:val="NoSpacing"/>
            </w:pPr>
            <w:r>
              <w:t>Number of new claims for WorkCover</w:t>
            </w:r>
          </w:p>
        </w:tc>
        <w:tc>
          <w:tcPr>
            <w:tcW w:w="1441" w:type="dxa"/>
          </w:tcPr>
          <w:p w:rsidR="002B5415" w:rsidRDefault="002B5415" w:rsidP="002B5415">
            <w:pPr>
              <w:pStyle w:val="NoSpacing"/>
              <w:jc w:val="right"/>
            </w:pPr>
            <w:r>
              <w:t>11</w:t>
            </w:r>
          </w:p>
        </w:tc>
      </w:tr>
      <w:tr w:rsidR="002B5415" w:rsidTr="002B5415">
        <w:tc>
          <w:tcPr>
            <w:tcW w:w="4508" w:type="dxa"/>
          </w:tcPr>
          <w:p w:rsidR="002B5415" w:rsidRDefault="002B5415" w:rsidP="002B5415">
            <w:pPr>
              <w:pStyle w:val="NoSpacing"/>
            </w:pPr>
            <w:r>
              <w:t>Accepted claims</w:t>
            </w:r>
          </w:p>
        </w:tc>
        <w:tc>
          <w:tcPr>
            <w:tcW w:w="1441" w:type="dxa"/>
          </w:tcPr>
          <w:p w:rsidR="002B5415" w:rsidRDefault="002B5415" w:rsidP="002B5415">
            <w:pPr>
              <w:pStyle w:val="NoSpacing"/>
              <w:jc w:val="right"/>
            </w:pPr>
            <w:r>
              <w:t>9</w:t>
            </w:r>
          </w:p>
        </w:tc>
      </w:tr>
      <w:tr w:rsidR="002B5415" w:rsidTr="002B5415">
        <w:tc>
          <w:tcPr>
            <w:tcW w:w="4508" w:type="dxa"/>
          </w:tcPr>
          <w:p w:rsidR="002B5415" w:rsidRDefault="002B5415" w:rsidP="002B5415">
            <w:pPr>
              <w:pStyle w:val="NoSpacing"/>
            </w:pPr>
            <w:r>
              <w:t>Rejected claims</w:t>
            </w:r>
          </w:p>
        </w:tc>
        <w:tc>
          <w:tcPr>
            <w:tcW w:w="1441" w:type="dxa"/>
          </w:tcPr>
          <w:p w:rsidR="002B5415" w:rsidRDefault="002B5415" w:rsidP="002B5415">
            <w:pPr>
              <w:pStyle w:val="NoSpacing"/>
              <w:jc w:val="right"/>
            </w:pPr>
            <w:r>
              <w:t>2</w:t>
            </w:r>
          </w:p>
        </w:tc>
      </w:tr>
      <w:tr w:rsidR="002B5415" w:rsidTr="002B5415">
        <w:tc>
          <w:tcPr>
            <w:tcW w:w="4508" w:type="dxa"/>
          </w:tcPr>
          <w:p w:rsidR="002B5415" w:rsidRDefault="002B5415" w:rsidP="002B5415">
            <w:pPr>
              <w:pStyle w:val="NoSpacing"/>
            </w:pPr>
            <w:r>
              <w:t>Pending WorkCover decisions</w:t>
            </w:r>
          </w:p>
        </w:tc>
        <w:tc>
          <w:tcPr>
            <w:tcW w:w="1441" w:type="dxa"/>
          </w:tcPr>
          <w:p w:rsidR="002B5415" w:rsidRDefault="002B5415" w:rsidP="002B5415">
            <w:pPr>
              <w:pStyle w:val="NoSpacing"/>
              <w:jc w:val="right"/>
            </w:pPr>
            <w:r>
              <w:t>0</w:t>
            </w:r>
          </w:p>
        </w:tc>
      </w:tr>
      <w:tr w:rsidR="002B5415" w:rsidTr="002B5415">
        <w:tc>
          <w:tcPr>
            <w:tcW w:w="4508" w:type="dxa"/>
          </w:tcPr>
          <w:p w:rsidR="002B5415" w:rsidRDefault="002B5415" w:rsidP="002B5415">
            <w:pPr>
              <w:pStyle w:val="NoSpacing"/>
            </w:pPr>
            <w:r>
              <w:lastRenderedPageBreak/>
              <w:t>Conciliation after rejection of claim</w:t>
            </w:r>
          </w:p>
        </w:tc>
        <w:tc>
          <w:tcPr>
            <w:tcW w:w="1441" w:type="dxa"/>
          </w:tcPr>
          <w:p w:rsidR="002B5415" w:rsidRDefault="002B5415" w:rsidP="002B5415">
            <w:pPr>
              <w:pStyle w:val="NoSpacing"/>
              <w:jc w:val="right"/>
            </w:pPr>
            <w:r>
              <w:t>0</w:t>
            </w:r>
          </w:p>
        </w:tc>
      </w:tr>
    </w:tbl>
    <w:p w:rsidR="002B5415" w:rsidRDefault="002B5415" w:rsidP="002B5415">
      <w:pPr>
        <w:pStyle w:val="NoSpacing"/>
      </w:pPr>
    </w:p>
    <w:p w:rsidR="002B5415" w:rsidRDefault="002B5415" w:rsidP="002B5415">
      <w:pPr>
        <w:pStyle w:val="NoSpacing"/>
      </w:pPr>
      <w:r>
        <w:t>On a rolling average, premium sensitive claims at the end of 2019 was 28.</w:t>
      </w:r>
    </w:p>
    <w:p w:rsidR="002B5415" w:rsidRDefault="002B5415" w:rsidP="002B5415">
      <w:pPr>
        <w:pStyle w:val="NoSpacing"/>
      </w:pPr>
    </w:p>
    <w:tbl>
      <w:tblPr>
        <w:tblStyle w:val="TableGrid"/>
        <w:tblW w:w="0" w:type="auto"/>
        <w:tblLook w:val="04A0" w:firstRow="1" w:lastRow="0" w:firstColumn="1" w:lastColumn="0" w:noHBand="0" w:noVBand="1"/>
      </w:tblPr>
      <w:tblGrid>
        <w:gridCol w:w="3964"/>
        <w:gridCol w:w="1276"/>
        <w:gridCol w:w="1276"/>
        <w:gridCol w:w="1276"/>
        <w:gridCol w:w="1224"/>
      </w:tblGrid>
      <w:tr w:rsidR="002B5415" w:rsidTr="00D16A06">
        <w:trPr>
          <w:gridBefore w:val="1"/>
          <w:wBefore w:w="3964" w:type="dxa"/>
        </w:trPr>
        <w:tc>
          <w:tcPr>
            <w:tcW w:w="1276" w:type="dxa"/>
          </w:tcPr>
          <w:p w:rsidR="002B5415" w:rsidRDefault="00D16A06" w:rsidP="00D16A06">
            <w:pPr>
              <w:pStyle w:val="NoSpacing"/>
              <w:jc w:val="right"/>
            </w:pPr>
            <w:r>
              <w:t>2016</w:t>
            </w:r>
          </w:p>
        </w:tc>
        <w:tc>
          <w:tcPr>
            <w:tcW w:w="1276" w:type="dxa"/>
          </w:tcPr>
          <w:p w:rsidR="002B5415" w:rsidRDefault="00D16A06" w:rsidP="00D16A06">
            <w:pPr>
              <w:pStyle w:val="NoSpacing"/>
              <w:jc w:val="right"/>
            </w:pPr>
            <w:r>
              <w:t>2017</w:t>
            </w:r>
          </w:p>
        </w:tc>
        <w:tc>
          <w:tcPr>
            <w:tcW w:w="1276" w:type="dxa"/>
          </w:tcPr>
          <w:p w:rsidR="002B5415" w:rsidRDefault="00D16A06" w:rsidP="00D16A06">
            <w:pPr>
              <w:pStyle w:val="NoSpacing"/>
              <w:jc w:val="right"/>
            </w:pPr>
            <w:r>
              <w:t>2018</w:t>
            </w:r>
          </w:p>
        </w:tc>
        <w:tc>
          <w:tcPr>
            <w:tcW w:w="1224" w:type="dxa"/>
          </w:tcPr>
          <w:p w:rsidR="002B5415" w:rsidRDefault="00D16A06" w:rsidP="00D16A06">
            <w:pPr>
              <w:pStyle w:val="NoSpacing"/>
              <w:jc w:val="right"/>
            </w:pPr>
            <w:r>
              <w:t>2019</w:t>
            </w:r>
          </w:p>
        </w:tc>
      </w:tr>
      <w:tr w:rsidR="00D16A06" w:rsidTr="00D16A06">
        <w:tc>
          <w:tcPr>
            <w:tcW w:w="3964" w:type="dxa"/>
          </w:tcPr>
          <w:p w:rsidR="00D16A06" w:rsidRDefault="00D16A06" w:rsidP="002B5415">
            <w:pPr>
              <w:pStyle w:val="NoSpacing"/>
            </w:pPr>
            <w:r>
              <w:t>No. of accepted claims</w:t>
            </w:r>
          </w:p>
        </w:tc>
        <w:tc>
          <w:tcPr>
            <w:tcW w:w="1276" w:type="dxa"/>
          </w:tcPr>
          <w:p w:rsidR="00D16A06" w:rsidRDefault="00D16A06" w:rsidP="00D16A06">
            <w:pPr>
              <w:pStyle w:val="NoSpacing"/>
              <w:jc w:val="right"/>
            </w:pPr>
            <w:r>
              <w:t>3</w:t>
            </w:r>
          </w:p>
        </w:tc>
        <w:tc>
          <w:tcPr>
            <w:tcW w:w="1276" w:type="dxa"/>
          </w:tcPr>
          <w:p w:rsidR="00D16A06" w:rsidRDefault="00D16A06" w:rsidP="00D16A06">
            <w:pPr>
              <w:pStyle w:val="NoSpacing"/>
              <w:jc w:val="right"/>
            </w:pPr>
            <w:r>
              <w:t>8</w:t>
            </w:r>
          </w:p>
        </w:tc>
        <w:tc>
          <w:tcPr>
            <w:tcW w:w="1276" w:type="dxa"/>
          </w:tcPr>
          <w:p w:rsidR="00D16A06" w:rsidRDefault="00D16A06" w:rsidP="00D16A06">
            <w:pPr>
              <w:pStyle w:val="NoSpacing"/>
              <w:jc w:val="right"/>
            </w:pPr>
            <w:r>
              <w:t>8</w:t>
            </w:r>
          </w:p>
        </w:tc>
        <w:tc>
          <w:tcPr>
            <w:tcW w:w="1224" w:type="dxa"/>
          </w:tcPr>
          <w:p w:rsidR="00D16A06" w:rsidRDefault="00D16A06" w:rsidP="00D16A06">
            <w:pPr>
              <w:pStyle w:val="NoSpacing"/>
              <w:jc w:val="right"/>
            </w:pPr>
            <w:r>
              <w:t>9</w:t>
            </w:r>
          </w:p>
        </w:tc>
      </w:tr>
    </w:tbl>
    <w:p w:rsidR="002B5415" w:rsidRDefault="002B5415" w:rsidP="002B5415">
      <w:pPr>
        <w:pStyle w:val="NoSpacing"/>
      </w:pPr>
    </w:p>
    <w:p w:rsidR="007E442C" w:rsidRDefault="007E442C" w:rsidP="002B5415">
      <w:pPr>
        <w:pStyle w:val="NoSpacing"/>
      </w:pPr>
      <w:r>
        <w:t>&lt;page 28&gt;</w:t>
      </w:r>
    </w:p>
    <w:p w:rsidR="007E442C" w:rsidRDefault="007E442C" w:rsidP="002B5415">
      <w:pPr>
        <w:pStyle w:val="NoSpacing"/>
      </w:pPr>
    </w:p>
    <w:p w:rsidR="007E442C" w:rsidRDefault="007E442C" w:rsidP="007E442C">
      <w:pPr>
        <w:pStyle w:val="Heading2"/>
      </w:pPr>
      <w:r>
        <w:t>Workforce Data Equivalent Full Time (FTE) Staff</w:t>
      </w:r>
    </w:p>
    <w:p w:rsidR="007E442C" w:rsidRDefault="007E442C" w:rsidP="002B5415">
      <w:pPr>
        <w:pStyle w:val="NoSpacing"/>
      </w:pPr>
    </w:p>
    <w:p w:rsidR="00BA4187" w:rsidRDefault="007E442C" w:rsidP="00BA4187">
      <w:pPr>
        <w:pStyle w:val="Heading3"/>
      </w:pPr>
      <w:r>
        <w:t>Performance and Accountability Framework FTE Table (January 2018 – December 2019</w:t>
      </w:r>
    </w:p>
    <w:p w:rsidR="00BA4187" w:rsidRPr="00BA4187" w:rsidRDefault="00653121" w:rsidP="00BA4187">
      <w:pPr>
        <w:rPr>
          <w:rFonts w:cstheme="minorHAnsi"/>
        </w:rPr>
      </w:pPr>
      <w:r>
        <w:rPr>
          <w:rFonts w:cstheme="minorHAnsi"/>
        </w:rPr>
        <w:t>All employees have been correctly classified in the workforce data collections.</w:t>
      </w:r>
    </w:p>
    <w:tbl>
      <w:tblPr>
        <w:tblStyle w:val="TableGrid"/>
        <w:tblW w:w="11058" w:type="dxa"/>
        <w:tblInd w:w="-998" w:type="dxa"/>
        <w:tblLook w:val="04A0" w:firstRow="1" w:lastRow="0" w:firstColumn="1" w:lastColumn="0" w:noHBand="0" w:noVBand="1"/>
      </w:tblPr>
      <w:tblGrid>
        <w:gridCol w:w="2694"/>
        <w:gridCol w:w="1276"/>
        <w:gridCol w:w="1276"/>
        <w:gridCol w:w="1134"/>
        <w:gridCol w:w="1276"/>
        <w:gridCol w:w="1134"/>
        <w:gridCol w:w="1134"/>
        <w:gridCol w:w="1134"/>
      </w:tblGrid>
      <w:tr w:rsidR="001F2765" w:rsidTr="00691125">
        <w:tc>
          <w:tcPr>
            <w:tcW w:w="2694" w:type="dxa"/>
          </w:tcPr>
          <w:p w:rsidR="001F2765" w:rsidRPr="00BA4187" w:rsidRDefault="001F2765" w:rsidP="002B5415">
            <w:pPr>
              <w:pStyle w:val="NoSpacing"/>
            </w:pPr>
          </w:p>
        </w:tc>
        <w:tc>
          <w:tcPr>
            <w:tcW w:w="2552" w:type="dxa"/>
            <w:gridSpan w:val="2"/>
          </w:tcPr>
          <w:p w:rsidR="001F2765" w:rsidRPr="00BA4187" w:rsidRDefault="001F2765" w:rsidP="001F2765">
            <w:pPr>
              <w:pStyle w:val="NoSpacing"/>
              <w:jc w:val="center"/>
            </w:pPr>
            <w:r>
              <w:t>Full time</w:t>
            </w:r>
          </w:p>
        </w:tc>
        <w:tc>
          <w:tcPr>
            <w:tcW w:w="2410" w:type="dxa"/>
            <w:gridSpan w:val="2"/>
          </w:tcPr>
          <w:p w:rsidR="001F2765" w:rsidRPr="00BA4187" w:rsidRDefault="001F2765" w:rsidP="001F2765">
            <w:pPr>
              <w:pStyle w:val="NoSpacing"/>
              <w:jc w:val="center"/>
            </w:pPr>
            <w:r>
              <w:t>Part time</w:t>
            </w:r>
          </w:p>
        </w:tc>
        <w:tc>
          <w:tcPr>
            <w:tcW w:w="2268" w:type="dxa"/>
            <w:gridSpan w:val="2"/>
          </w:tcPr>
          <w:p w:rsidR="001F2765" w:rsidRPr="00BA4187" w:rsidRDefault="001F2765" w:rsidP="001F2765">
            <w:pPr>
              <w:pStyle w:val="NoSpacing"/>
              <w:jc w:val="center"/>
            </w:pPr>
            <w:r w:rsidRPr="00BA4187">
              <w:t>Casual</w:t>
            </w:r>
          </w:p>
        </w:tc>
        <w:tc>
          <w:tcPr>
            <w:tcW w:w="1134" w:type="dxa"/>
          </w:tcPr>
          <w:p w:rsidR="001F2765" w:rsidRPr="00BA4187" w:rsidRDefault="001F2765" w:rsidP="002B5415">
            <w:pPr>
              <w:pStyle w:val="NoSpacing"/>
            </w:pPr>
            <w:r w:rsidRPr="00BA4187">
              <w:t xml:space="preserve">Total </w:t>
            </w:r>
          </w:p>
        </w:tc>
      </w:tr>
      <w:tr w:rsidR="00BA4187" w:rsidTr="00BA4187">
        <w:tc>
          <w:tcPr>
            <w:tcW w:w="2694" w:type="dxa"/>
          </w:tcPr>
          <w:p w:rsidR="00BA4187" w:rsidRPr="00BA4187" w:rsidRDefault="001F2765" w:rsidP="002B5415">
            <w:pPr>
              <w:pStyle w:val="NoSpacing"/>
            </w:pPr>
            <w:r>
              <w:t>Dec 2019</w:t>
            </w:r>
          </w:p>
        </w:tc>
        <w:tc>
          <w:tcPr>
            <w:tcW w:w="1276" w:type="dxa"/>
          </w:tcPr>
          <w:p w:rsidR="00BA4187" w:rsidRPr="00BA4187" w:rsidRDefault="00BA4187" w:rsidP="00203015">
            <w:pPr>
              <w:pStyle w:val="NoSpacing"/>
              <w:jc w:val="right"/>
            </w:pPr>
            <w:r>
              <w:t>Ongoing</w:t>
            </w:r>
          </w:p>
        </w:tc>
        <w:tc>
          <w:tcPr>
            <w:tcW w:w="1276" w:type="dxa"/>
          </w:tcPr>
          <w:p w:rsidR="00BA4187" w:rsidRPr="00BA4187" w:rsidRDefault="00BA4187" w:rsidP="00203015">
            <w:pPr>
              <w:pStyle w:val="NoSpacing"/>
              <w:jc w:val="right"/>
            </w:pPr>
            <w:r>
              <w:t>Fixed term</w:t>
            </w:r>
          </w:p>
        </w:tc>
        <w:tc>
          <w:tcPr>
            <w:tcW w:w="1134" w:type="dxa"/>
          </w:tcPr>
          <w:p w:rsidR="00BA4187" w:rsidRPr="00BA4187" w:rsidRDefault="00BA4187" w:rsidP="00203015">
            <w:pPr>
              <w:pStyle w:val="NoSpacing"/>
              <w:jc w:val="right"/>
            </w:pPr>
            <w:r>
              <w:t>Ongoing</w:t>
            </w:r>
          </w:p>
        </w:tc>
        <w:tc>
          <w:tcPr>
            <w:tcW w:w="1276" w:type="dxa"/>
          </w:tcPr>
          <w:p w:rsidR="00BA4187" w:rsidRPr="00BA4187" w:rsidRDefault="00BA4187" w:rsidP="00203015">
            <w:pPr>
              <w:pStyle w:val="NoSpacing"/>
              <w:jc w:val="right"/>
            </w:pPr>
            <w:r>
              <w:t>Fixed term</w:t>
            </w:r>
          </w:p>
        </w:tc>
        <w:tc>
          <w:tcPr>
            <w:tcW w:w="1134" w:type="dxa"/>
          </w:tcPr>
          <w:p w:rsidR="00BA4187" w:rsidRPr="00BA4187" w:rsidRDefault="00BA4187" w:rsidP="00203015">
            <w:pPr>
              <w:pStyle w:val="NoSpacing"/>
              <w:jc w:val="right"/>
            </w:pPr>
            <w:r w:rsidRPr="00BA4187">
              <w:t>Teacher</w:t>
            </w:r>
          </w:p>
        </w:tc>
        <w:tc>
          <w:tcPr>
            <w:tcW w:w="1134" w:type="dxa"/>
          </w:tcPr>
          <w:p w:rsidR="00BA4187" w:rsidRPr="00BA4187" w:rsidRDefault="001F2765" w:rsidP="00203015">
            <w:pPr>
              <w:pStyle w:val="NoSpacing"/>
              <w:jc w:val="right"/>
            </w:pPr>
            <w:r>
              <w:t>Other</w:t>
            </w:r>
          </w:p>
        </w:tc>
        <w:tc>
          <w:tcPr>
            <w:tcW w:w="1134" w:type="dxa"/>
          </w:tcPr>
          <w:p w:rsidR="00BA4187" w:rsidRPr="00BA4187" w:rsidRDefault="00BA4187" w:rsidP="00203015">
            <w:pPr>
              <w:pStyle w:val="NoSpacing"/>
              <w:jc w:val="right"/>
            </w:pPr>
          </w:p>
        </w:tc>
      </w:tr>
      <w:tr w:rsidR="00BA4187" w:rsidTr="00BA4187">
        <w:tc>
          <w:tcPr>
            <w:tcW w:w="2694" w:type="dxa"/>
          </w:tcPr>
          <w:p w:rsidR="00BA4187" w:rsidRPr="00BA4187" w:rsidRDefault="001F2765" w:rsidP="002B5415">
            <w:pPr>
              <w:pStyle w:val="NoSpacing"/>
            </w:pPr>
            <w:r>
              <w:t>PACCT staff</w:t>
            </w:r>
          </w:p>
        </w:tc>
        <w:tc>
          <w:tcPr>
            <w:tcW w:w="1276" w:type="dxa"/>
          </w:tcPr>
          <w:p w:rsidR="00BA4187" w:rsidRPr="00BA4187" w:rsidRDefault="001F2765" w:rsidP="00203015">
            <w:pPr>
              <w:pStyle w:val="NoSpacing"/>
              <w:jc w:val="right"/>
            </w:pPr>
            <w:r>
              <w:t>164.5</w:t>
            </w:r>
          </w:p>
        </w:tc>
        <w:tc>
          <w:tcPr>
            <w:tcW w:w="1276" w:type="dxa"/>
          </w:tcPr>
          <w:p w:rsidR="00BA4187" w:rsidRPr="00BA4187" w:rsidRDefault="001F2765" w:rsidP="00203015">
            <w:pPr>
              <w:pStyle w:val="NoSpacing"/>
              <w:jc w:val="right"/>
            </w:pPr>
            <w:r>
              <w:t>170.2</w:t>
            </w:r>
          </w:p>
        </w:tc>
        <w:tc>
          <w:tcPr>
            <w:tcW w:w="1134" w:type="dxa"/>
          </w:tcPr>
          <w:p w:rsidR="00BA4187" w:rsidRPr="00BA4187" w:rsidRDefault="001F2765" w:rsidP="00203015">
            <w:pPr>
              <w:pStyle w:val="NoSpacing"/>
              <w:jc w:val="right"/>
            </w:pPr>
            <w:r>
              <w:t>40.4</w:t>
            </w:r>
          </w:p>
        </w:tc>
        <w:tc>
          <w:tcPr>
            <w:tcW w:w="1276" w:type="dxa"/>
          </w:tcPr>
          <w:p w:rsidR="00BA4187" w:rsidRPr="00BA4187" w:rsidRDefault="001F2765" w:rsidP="00203015">
            <w:pPr>
              <w:pStyle w:val="NoSpacing"/>
              <w:jc w:val="right"/>
            </w:pPr>
            <w:r>
              <w:t>22.6</w:t>
            </w:r>
          </w:p>
        </w:tc>
        <w:tc>
          <w:tcPr>
            <w:tcW w:w="1134" w:type="dxa"/>
          </w:tcPr>
          <w:p w:rsidR="00BA4187" w:rsidRPr="00BA4187" w:rsidRDefault="001F2765" w:rsidP="00203015">
            <w:pPr>
              <w:pStyle w:val="NoSpacing"/>
              <w:jc w:val="right"/>
            </w:pPr>
            <w:r>
              <w:t>NA</w:t>
            </w:r>
          </w:p>
        </w:tc>
        <w:tc>
          <w:tcPr>
            <w:tcW w:w="1134" w:type="dxa"/>
          </w:tcPr>
          <w:p w:rsidR="00BA4187" w:rsidRPr="00BA4187" w:rsidRDefault="00653121" w:rsidP="00203015">
            <w:pPr>
              <w:pStyle w:val="NoSpacing"/>
              <w:jc w:val="right"/>
            </w:pPr>
            <w:r>
              <w:t>25.8</w:t>
            </w:r>
          </w:p>
        </w:tc>
        <w:tc>
          <w:tcPr>
            <w:tcW w:w="1134" w:type="dxa"/>
          </w:tcPr>
          <w:p w:rsidR="00BA4187" w:rsidRPr="00BA4187" w:rsidRDefault="00653121" w:rsidP="00653121">
            <w:pPr>
              <w:pStyle w:val="NoSpacing"/>
              <w:jc w:val="right"/>
            </w:pPr>
            <w:r>
              <w:t>423.4</w:t>
            </w:r>
          </w:p>
        </w:tc>
      </w:tr>
      <w:tr w:rsidR="00BA4187" w:rsidTr="00BA4187">
        <w:tc>
          <w:tcPr>
            <w:tcW w:w="2694" w:type="dxa"/>
          </w:tcPr>
          <w:p w:rsidR="00BA4187" w:rsidRPr="00BA4187" w:rsidRDefault="001F2765" w:rsidP="002B5415">
            <w:pPr>
              <w:pStyle w:val="NoSpacing"/>
            </w:pPr>
            <w:r>
              <w:t>Executive</w:t>
            </w:r>
          </w:p>
        </w:tc>
        <w:tc>
          <w:tcPr>
            <w:tcW w:w="1276" w:type="dxa"/>
          </w:tcPr>
          <w:p w:rsidR="00BA4187" w:rsidRPr="00BA4187" w:rsidRDefault="001F2765" w:rsidP="00203015">
            <w:pPr>
              <w:pStyle w:val="NoSpacing"/>
              <w:jc w:val="right"/>
            </w:pPr>
            <w:r>
              <w:t>-</w:t>
            </w:r>
          </w:p>
        </w:tc>
        <w:tc>
          <w:tcPr>
            <w:tcW w:w="1276" w:type="dxa"/>
          </w:tcPr>
          <w:p w:rsidR="00BA4187" w:rsidRPr="00BA4187" w:rsidRDefault="00653121" w:rsidP="00203015">
            <w:pPr>
              <w:pStyle w:val="NoSpacing"/>
              <w:jc w:val="right"/>
            </w:pPr>
            <w:r>
              <w:t>10.1</w:t>
            </w:r>
          </w:p>
        </w:tc>
        <w:tc>
          <w:tcPr>
            <w:tcW w:w="1134" w:type="dxa"/>
          </w:tcPr>
          <w:p w:rsidR="00BA4187" w:rsidRPr="00BA4187" w:rsidRDefault="001F2765" w:rsidP="00203015">
            <w:pPr>
              <w:pStyle w:val="NoSpacing"/>
              <w:jc w:val="right"/>
            </w:pPr>
            <w:r>
              <w:t>-</w:t>
            </w:r>
          </w:p>
        </w:tc>
        <w:tc>
          <w:tcPr>
            <w:tcW w:w="1276" w:type="dxa"/>
          </w:tcPr>
          <w:p w:rsidR="00BA4187" w:rsidRPr="00BA4187" w:rsidRDefault="001F2765" w:rsidP="00203015">
            <w:pPr>
              <w:pStyle w:val="NoSpacing"/>
              <w:jc w:val="right"/>
            </w:pPr>
            <w:r>
              <w:t>0.2</w:t>
            </w:r>
          </w:p>
        </w:tc>
        <w:tc>
          <w:tcPr>
            <w:tcW w:w="1134" w:type="dxa"/>
          </w:tcPr>
          <w:p w:rsidR="00BA4187" w:rsidRPr="00BA4187" w:rsidRDefault="001F2765" w:rsidP="00203015">
            <w:pPr>
              <w:pStyle w:val="NoSpacing"/>
              <w:jc w:val="right"/>
            </w:pPr>
            <w:r>
              <w:t>NA</w:t>
            </w:r>
          </w:p>
        </w:tc>
        <w:tc>
          <w:tcPr>
            <w:tcW w:w="1134" w:type="dxa"/>
          </w:tcPr>
          <w:p w:rsidR="00BA4187" w:rsidRPr="00BA4187" w:rsidRDefault="001F2765" w:rsidP="00203015">
            <w:pPr>
              <w:pStyle w:val="NoSpacing"/>
              <w:jc w:val="right"/>
            </w:pPr>
            <w:r>
              <w:t>-</w:t>
            </w:r>
          </w:p>
        </w:tc>
        <w:tc>
          <w:tcPr>
            <w:tcW w:w="1134" w:type="dxa"/>
          </w:tcPr>
          <w:p w:rsidR="00BA4187" w:rsidRPr="00BA4187" w:rsidRDefault="001F2765" w:rsidP="00203015">
            <w:pPr>
              <w:pStyle w:val="NoSpacing"/>
              <w:jc w:val="right"/>
            </w:pPr>
            <w:r>
              <w:t>10.3</w:t>
            </w:r>
          </w:p>
        </w:tc>
      </w:tr>
      <w:tr w:rsidR="00BA4187" w:rsidTr="00BA4187">
        <w:tc>
          <w:tcPr>
            <w:tcW w:w="2694" w:type="dxa"/>
          </w:tcPr>
          <w:p w:rsidR="00BA4187" w:rsidRPr="00BA4187" w:rsidRDefault="001F2765" w:rsidP="002B5415">
            <w:pPr>
              <w:pStyle w:val="NoSpacing"/>
            </w:pPr>
            <w:r>
              <w:t>Other</w:t>
            </w:r>
          </w:p>
        </w:tc>
        <w:tc>
          <w:tcPr>
            <w:tcW w:w="1276" w:type="dxa"/>
          </w:tcPr>
          <w:p w:rsidR="00BA4187" w:rsidRPr="00BA4187" w:rsidRDefault="00653121" w:rsidP="00203015">
            <w:pPr>
              <w:pStyle w:val="NoSpacing"/>
              <w:jc w:val="right"/>
            </w:pPr>
            <w:r>
              <w:t>-</w:t>
            </w:r>
          </w:p>
        </w:tc>
        <w:tc>
          <w:tcPr>
            <w:tcW w:w="1276" w:type="dxa"/>
          </w:tcPr>
          <w:p w:rsidR="00BA4187" w:rsidRPr="00BA4187" w:rsidRDefault="00653121" w:rsidP="00203015">
            <w:pPr>
              <w:pStyle w:val="NoSpacing"/>
              <w:jc w:val="right"/>
            </w:pPr>
            <w:r>
              <w:t>-</w:t>
            </w:r>
          </w:p>
        </w:tc>
        <w:tc>
          <w:tcPr>
            <w:tcW w:w="1134" w:type="dxa"/>
          </w:tcPr>
          <w:p w:rsidR="00BA4187" w:rsidRPr="00BA4187" w:rsidRDefault="00653121" w:rsidP="00203015">
            <w:pPr>
              <w:pStyle w:val="NoSpacing"/>
              <w:jc w:val="right"/>
            </w:pPr>
            <w:r>
              <w:t>-</w:t>
            </w:r>
          </w:p>
        </w:tc>
        <w:tc>
          <w:tcPr>
            <w:tcW w:w="1276" w:type="dxa"/>
          </w:tcPr>
          <w:p w:rsidR="00BA4187" w:rsidRPr="00BA4187" w:rsidRDefault="00653121" w:rsidP="00203015">
            <w:pPr>
              <w:pStyle w:val="NoSpacing"/>
              <w:jc w:val="right"/>
            </w:pPr>
            <w:r>
              <w:t>-</w:t>
            </w:r>
          </w:p>
        </w:tc>
        <w:tc>
          <w:tcPr>
            <w:tcW w:w="1134" w:type="dxa"/>
          </w:tcPr>
          <w:p w:rsidR="00BA4187" w:rsidRPr="00BA4187" w:rsidRDefault="001F2765" w:rsidP="00203015">
            <w:pPr>
              <w:pStyle w:val="NoSpacing"/>
              <w:jc w:val="right"/>
            </w:pPr>
            <w:r>
              <w:t>NA</w:t>
            </w:r>
          </w:p>
        </w:tc>
        <w:tc>
          <w:tcPr>
            <w:tcW w:w="1134" w:type="dxa"/>
          </w:tcPr>
          <w:p w:rsidR="00BA4187" w:rsidRPr="00BA4187" w:rsidRDefault="00653121" w:rsidP="00203015">
            <w:pPr>
              <w:pStyle w:val="NoSpacing"/>
              <w:jc w:val="right"/>
            </w:pPr>
            <w:r>
              <w:t>-</w:t>
            </w:r>
          </w:p>
        </w:tc>
        <w:tc>
          <w:tcPr>
            <w:tcW w:w="1134" w:type="dxa"/>
          </w:tcPr>
          <w:p w:rsidR="00BA4187" w:rsidRPr="00BA4187" w:rsidRDefault="00653121" w:rsidP="00203015">
            <w:pPr>
              <w:pStyle w:val="NoSpacing"/>
              <w:jc w:val="right"/>
            </w:pPr>
            <w:r>
              <w:t>0.0</w:t>
            </w:r>
          </w:p>
        </w:tc>
      </w:tr>
      <w:tr w:rsidR="00BA4187" w:rsidTr="00BA4187">
        <w:tc>
          <w:tcPr>
            <w:tcW w:w="2694" w:type="dxa"/>
          </w:tcPr>
          <w:p w:rsidR="00BA4187" w:rsidRPr="00BA4187" w:rsidRDefault="001F2765" w:rsidP="002B5415">
            <w:pPr>
              <w:pStyle w:val="NoSpacing"/>
            </w:pPr>
            <w:r>
              <w:t>Teacher</w:t>
            </w:r>
          </w:p>
        </w:tc>
        <w:tc>
          <w:tcPr>
            <w:tcW w:w="1276" w:type="dxa"/>
          </w:tcPr>
          <w:p w:rsidR="00BA4187" w:rsidRPr="00BA4187" w:rsidRDefault="00653121" w:rsidP="00203015">
            <w:pPr>
              <w:pStyle w:val="NoSpacing"/>
              <w:jc w:val="right"/>
            </w:pPr>
            <w:r>
              <w:t>222.8</w:t>
            </w:r>
          </w:p>
        </w:tc>
        <w:tc>
          <w:tcPr>
            <w:tcW w:w="1276" w:type="dxa"/>
          </w:tcPr>
          <w:p w:rsidR="00BA4187" w:rsidRPr="00BA4187" w:rsidRDefault="00653121" w:rsidP="00203015">
            <w:pPr>
              <w:pStyle w:val="NoSpacing"/>
              <w:jc w:val="right"/>
            </w:pPr>
            <w:r>
              <w:t>115.1</w:t>
            </w:r>
          </w:p>
        </w:tc>
        <w:tc>
          <w:tcPr>
            <w:tcW w:w="1134" w:type="dxa"/>
          </w:tcPr>
          <w:p w:rsidR="00BA4187" w:rsidRPr="00BA4187" w:rsidRDefault="00653121" w:rsidP="00203015">
            <w:pPr>
              <w:pStyle w:val="NoSpacing"/>
              <w:jc w:val="right"/>
            </w:pPr>
            <w:r>
              <w:t>66.3</w:t>
            </w:r>
          </w:p>
        </w:tc>
        <w:tc>
          <w:tcPr>
            <w:tcW w:w="1276" w:type="dxa"/>
          </w:tcPr>
          <w:p w:rsidR="00BA4187" w:rsidRPr="00BA4187" w:rsidRDefault="00653121" w:rsidP="00203015">
            <w:pPr>
              <w:pStyle w:val="NoSpacing"/>
              <w:jc w:val="right"/>
            </w:pPr>
            <w:r>
              <w:t>11.4</w:t>
            </w:r>
          </w:p>
        </w:tc>
        <w:tc>
          <w:tcPr>
            <w:tcW w:w="1134" w:type="dxa"/>
          </w:tcPr>
          <w:p w:rsidR="00BA4187" w:rsidRPr="00BA4187" w:rsidRDefault="00653121" w:rsidP="00203015">
            <w:pPr>
              <w:pStyle w:val="NoSpacing"/>
              <w:jc w:val="right"/>
            </w:pPr>
            <w:r>
              <w:t>266.5</w:t>
            </w:r>
          </w:p>
        </w:tc>
        <w:tc>
          <w:tcPr>
            <w:tcW w:w="1134" w:type="dxa"/>
          </w:tcPr>
          <w:p w:rsidR="00BA4187" w:rsidRPr="00BA4187" w:rsidRDefault="00653121" w:rsidP="00203015">
            <w:pPr>
              <w:pStyle w:val="NoSpacing"/>
              <w:jc w:val="right"/>
            </w:pPr>
            <w:r>
              <w:t>NA</w:t>
            </w:r>
          </w:p>
        </w:tc>
        <w:tc>
          <w:tcPr>
            <w:tcW w:w="1134" w:type="dxa"/>
          </w:tcPr>
          <w:p w:rsidR="00BA4187" w:rsidRPr="00BA4187" w:rsidRDefault="00653121" w:rsidP="00203015">
            <w:pPr>
              <w:pStyle w:val="NoSpacing"/>
              <w:jc w:val="right"/>
            </w:pPr>
            <w:r>
              <w:t>682.1</w:t>
            </w:r>
          </w:p>
        </w:tc>
      </w:tr>
      <w:tr w:rsidR="00BA4187" w:rsidTr="00BA4187">
        <w:tc>
          <w:tcPr>
            <w:tcW w:w="2694" w:type="dxa"/>
          </w:tcPr>
          <w:p w:rsidR="00BA4187" w:rsidRPr="00BA4187" w:rsidRDefault="001F2765" w:rsidP="002B5415">
            <w:pPr>
              <w:pStyle w:val="NoSpacing"/>
            </w:pPr>
            <w:r>
              <w:t xml:space="preserve">Total </w:t>
            </w:r>
          </w:p>
        </w:tc>
        <w:tc>
          <w:tcPr>
            <w:tcW w:w="1276" w:type="dxa"/>
          </w:tcPr>
          <w:p w:rsidR="00BA4187" w:rsidRPr="00BA4187" w:rsidRDefault="00653121" w:rsidP="00203015">
            <w:pPr>
              <w:pStyle w:val="NoSpacing"/>
              <w:jc w:val="right"/>
            </w:pPr>
            <w:r>
              <w:t>387.2</w:t>
            </w:r>
          </w:p>
        </w:tc>
        <w:tc>
          <w:tcPr>
            <w:tcW w:w="1276" w:type="dxa"/>
          </w:tcPr>
          <w:p w:rsidR="00BA4187" w:rsidRPr="00BA4187" w:rsidRDefault="00653121" w:rsidP="00203015">
            <w:pPr>
              <w:pStyle w:val="NoSpacing"/>
              <w:jc w:val="right"/>
            </w:pPr>
            <w:r>
              <w:t>295.4</w:t>
            </w:r>
          </w:p>
        </w:tc>
        <w:tc>
          <w:tcPr>
            <w:tcW w:w="1134" w:type="dxa"/>
          </w:tcPr>
          <w:p w:rsidR="00BA4187" w:rsidRPr="00BA4187" w:rsidRDefault="00653121" w:rsidP="00203015">
            <w:pPr>
              <w:pStyle w:val="NoSpacing"/>
              <w:jc w:val="right"/>
            </w:pPr>
            <w:r>
              <w:t>106.7</w:t>
            </w:r>
          </w:p>
        </w:tc>
        <w:tc>
          <w:tcPr>
            <w:tcW w:w="1276" w:type="dxa"/>
          </w:tcPr>
          <w:p w:rsidR="00BA4187" w:rsidRPr="00BA4187" w:rsidRDefault="00653121" w:rsidP="00203015">
            <w:pPr>
              <w:pStyle w:val="NoSpacing"/>
              <w:jc w:val="right"/>
            </w:pPr>
            <w:r>
              <w:t>34.2</w:t>
            </w:r>
          </w:p>
        </w:tc>
        <w:tc>
          <w:tcPr>
            <w:tcW w:w="1134" w:type="dxa"/>
          </w:tcPr>
          <w:p w:rsidR="00BA4187" w:rsidRPr="00BA4187" w:rsidRDefault="00653121" w:rsidP="00203015">
            <w:pPr>
              <w:pStyle w:val="NoSpacing"/>
              <w:jc w:val="right"/>
            </w:pPr>
            <w:r>
              <w:t>266.5</w:t>
            </w:r>
          </w:p>
        </w:tc>
        <w:tc>
          <w:tcPr>
            <w:tcW w:w="1134" w:type="dxa"/>
          </w:tcPr>
          <w:p w:rsidR="00BA4187" w:rsidRPr="00BA4187" w:rsidRDefault="00653121" w:rsidP="00203015">
            <w:pPr>
              <w:pStyle w:val="NoSpacing"/>
              <w:jc w:val="right"/>
            </w:pPr>
            <w:r>
              <w:t>25.8</w:t>
            </w:r>
          </w:p>
        </w:tc>
        <w:tc>
          <w:tcPr>
            <w:tcW w:w="1134" w:type="dxa"/>
          </w:tcPr>
          <w:p w:rsidR="00BA4187" w:rsidRPr="00BA4187" w:rsidRDefault="00653121" w:rsidP="00203015">
            <w:pPr>
              <w:pStyle w:val="NoSpacing"/>
              <w:jc w:val="right"/>
            </w:pPr>
            <w:r>
              <w:t>1115.8</w:t>
            </w:r>
          </w:p>
        </w:tc>
      </w:tr>
    </w:tbl>
    <w:p w:rsidR="007E442C" w:rsidRDefault="007E442C" w:rsidP="002B5415">
      <w:pPr>
        <w:pStyle w:val="NoSpacing"/>
      </w:pPr>
    </w:p>
    <w:tbl>
      <w:tblPr>
        <w:tblStyle w:val="TableGrid"/>
        <w:tblW w:w="11058" w:type="dxa"/>
        <w:tblInd w:w="-998" w:type="dxa"/>
        <w:tblLook w:val="04A0" w:firstRow="1" w:lastRow="0" w:firstColumn="1" w:lastColumn="0" w:noHBand="0" w:noVBand="1"/>
      </w:tblPr>
      <w:tblGrid>
        <w:gridCol w:w="2694"/>
        <w:gridCol w:w="1276"/>
        <w:gridCol w:w="1276"/>
        <w:gridCol w:w="1134"/>
        <w:gridCol w:w="1276"/>
        <w:gridCol w:w="1134"/>
        <w:gridCol w:w="1134"/>
        <w:gridCol w:w="1134"/>
      </w:tblGrid>
      <w:tr w:rsidR="001F2765" w:rsidRPr="00BA4187" w:rsidTr="00691125">
        <w:tc>
          <w:tcPr>
            <w:tcW w:w="11058" w:type="dxa"/>
            <w:gridSpan w:val="8"/>
          </w:tcPr>
          <w:p w:rsidR="001F2765" w:rsidRPr="00BA4187" w:rsidRDefault="001F2765" w:rsidP="00691125">
            <w:pPr>
              <w:pStyle w:val="NoSpacing"/>
            </w:pPr>
            <w:r>
              <w:t>Dec 2018</w:t>
            </w:r>
          </w:p>
        </w:tc>
      </w:tr>
      <w:tr w:rsidR="001F2765" w:rsidRPr="00BA4187" w:rsidTr="00691125">
        <w:tc>
          <w:tcPr>
            <w:tcW w:w="2694" w:type="dxa"/>
          </w:tcPr>
          <w:p w:rsidR="001F2765" w:rsidRPr="00BA4187" w:rsidRDefault="001F2765" w:rsidP="00691125">
            <w:pPr>
              <w:pStyle w:val="NoSpacing"/>
            </w:pPr>
            <w:r>
              <w:t>PACCT staff</w:t>
            </w:r>
          </w:p>
        </w:tc>
        <w:tc>
          <w:tcPr>
            <w:tcW w:w="1276" w:type="dxa"/>
          </w:tcPr>
          <w:p w:rsidR="001F2765" w:rsidRPr="00BA4187" w:rsidRDefault="001F2765" w:rsidP="00203015">
            <w:pPr>
              <w:pStyle w:val="NoSpacing"/>
              <w:jc w:val="right"/>
            </w:pPr>
            <w:r>
              <w:t>87.0</w:t>
            </w:r>
          </w:p>
        </w:tc>
        <w:tc>
          <w:tcPr>
            <w:tcW w:w="1276" w:type="dxa"/>
          </w:tcPr>
          <w:p w:rsidR="001F2765" w:rsidRPr="00BA4187" w:rsidRDefault="001F2765" w:rsidP="00203015">
            <w:pPr>
              <w:pStyle w:val="NoSpacing"/>
              <w:jc w:val="right"/>
            </w:pPr>
            <w:r>
              <w:t>240.0</w:t>
            </w:r>
          </w:p>
        </w:tc>
        <w:tc>
          <w:tcPr>
            <w:tcW w:w="1134" w:type="dxa"/>
          </w:tcPr>
          <w:p w:rsidR="001F2765" w:rsidRPr="00BA4187" w:rsidRDefault="001F2765" w:rsidP="00203015">
            <w:pPr>
              <w:pStyle w:val="NoSpacing"/>
              <w:jc w:val="right"/>
            </w:pPr>
            <w:r>
              <w:t>27.6</w:t>
            </w:r>
          </w:p>
        </w:tc>
        <w:tc>
          <w:tcPr>
            <w:tcW w:w="1276" w:type="dxa"/>
          </w:tcPr>
          <w:p w:rsidR="001F2765" w:rsidRPr="00BA4187" w:rsidRDefault="001F2765" w:rsidP="00203015">
            <w:pPr>
              <w:pStyle w:val="NoSpacing"/>
              <w:jc w:val="right"/>
            </w:pPr>
            <w:r>
              <w:t>34.3</w:t>
            </w:r>
          </w:p>
        </w:tc>
        <w:tc>
          <w:tcPr>
            <w:tcW w:w="1134" w:type="dxa"/>
          </w:tcPr>
          <w:p w:rsidR="001F2765" w:rsidRPr="00BA4187" w:rsidRDefault="001F2765" w:rsidP="00203015">
            <w:pPr>
              <w:pStyle w:val="NoSpacing"/>
              <w:jc w:val="right"/>
            </w:pPr>
            <w:r>
              <w:t>NA</w:t>
            </w:r>
          </w:p>
        </w:tc>
        <w:tc>
          <w:tcPr>
            <w:tcW w:w="1134" w:type="dxa"/>
          </w:tcPr>
          <w:p w:rsidR="001F2765" w:rsidRPr="00BA4187" w:rsidRDefault="001F2765" w:rsidP="00203015">
            <w:pPr>
              <w:pStyle w:val="NoSpacing"/>
              <w:jc w:val="right"/>
            </w:pPr>
            <w:r>
              <w:t>11.7</w:t>
            </w:r>
          </w:p>
        </w:tc>
        <w:tc>
          <w:tcPr>
            <w:tcW w:w="1134" w:type="dxa"/>
          </w:tcPr>
          <w:p w:rsidR="001F2765" w:rsidRPr="00BA4187" w:rsidRDefault="001F2765" w:rsidP="00203015">
            <w:pPr>
              <w:pStyle w:val="NoSpacing"/>
              <w:jc w:val="right"/>
            </w:pPr>
            <w:r>
              <w:t>400.5</w:t>
            </w:r>
          </w:p>
        </w:tc>
      </w:tr>
      <w:tr w:rsidR="001F2765" w:rsidRPr="00BA4187" w:rsidTr="00691125">
        <w:tc>
          <w:tcPr>
            <w:tcW w:w="2694" w:type="dxa"/>
          </w:tcPr>
          <w:p w:rsidR="001F2765" w:rsidRPr="00BA4187" w:rsidRDefault="001F2765" w:rsidP="00691125">
            <w:pPr>
              <w:pStyle w:val="NoSpacing"/>
            </w:pPr>
            <w:r>
              <w:t>Executive</w:t>
            </w:r>
          </w:p>
        </w:tc>
        <w:tc>
          <w:tcPr>
            <w:tcW w:w="1276" w:type="dxa"/>
          </w:tcPr>
          <w:p w:rsidR="001F2765" w:rsidRPr="00BA4187" w:rsidRDefault="001F2765" w:rsidP="00203015">
            <w:pPr>
              <w:pStyle w:val="NoSpacing"/>
              <w:jc w:val="right"/>
            </w:pPr>
            <w:r>
              <w:t>-</w:t>
            </w:r>
          </w:p>
        </w:tc>
        <w:tc>
          <w:tcPr>
            <w:tcW w:w="1276" w:type="dxa"/>
          </w:tcPr>
          <w:p w:rsidR="001F2765" w:rsidRPr="00BA4187" w:rsidRDefault="001F2765" w:rsidP="00203015">
            <w:pPr>
              <w:pStyle w:val="NoSpacing"/>
              <w:jc w:val="right"/>
            </w:pPr>
            <w:r>
              <w:t>9.0</w:t>
            </w:r>
          </w:p>
        </w:tc>
        <w:tc>
          <w:tcPr>
            <w:tcW w:w="1134" w:type="dxa"/>
          </w:tcPr>
          <w:p w:rsidR="001F2765" w:rsidRPr="00BA4187" w:rsidRDefault="001F2765" w:rsidP="00203015">
            <w:pPr>
              <w:pStyle w:val="NoSpacing"/>
              <w:jc w:val="right"/>
            </w:pPr>
            <w:r>
              <w:t>-</w:t>
            </w:r>
          </w:p>
        </w:tc>
        <w:tc>
          <w:tcPr>
            <w:tcW w:w="1276" w:type="dxa"/>
          </w:tcPr>
          <w:p w:rsidR="001F2765" w:rsidRPr="00BA4187" w:rsidRDefault="001F2765" w:rsidP="00203015">
            <w:pPr>
              <w:pStyle w:val="NoSpacing"/>
              <w:jc w:val="right"/>
            </w:pPr>
            <w:r>
              <w:t>-</w:t>
            </w:r>
          </w:p>
        </w:tc>
        <w:tc>
          <w:tcPr>
            <w:tcW w:w="1134" w:type="dxa"/>
          </w:tcPr>
          <w:p w:rsidR="001F2765" w:rsidRPr="00BA4187" w:rsidRDefault="001F2765" w:rsidP="00203015">
            <w:pPr>
              <w:pStyle w:val="NoSpacing"/>
              <w:jc w:val="right"/>
            </w:pPr>
            <w:r>
              <w:t>NA</w:t>
            </w:r>
          </w:p>
        </w:tc>
        <w:tc>
          <w:tcPr>
            <w:tcW w:w="1134" w:type="dxa"/>
          </w:tcPr>
          <w:p w:rsidR="001F2765" w:rsidRPr="00BA4187" w:rsidRDefault="001F2765" w:rsidP="00203015">
            <w:pPr>
              <w:pStyle w:val="NoSpacing"/>
              <w:jc w:val="right"/>
            </w:pPr>
            <w:r>
              <w:t>-</w:t>
            </w:r>
          </w:p>
        </w:tc>
        <w:tc>
          <w:tcPr>
            <w:tcW w:w="1134" w:type="dxa"/>
          </w:tcPr>
          <w:p w:rsidR="001F2765" w:rsidRPr="00BA4187" w:rsidRDefault="001F2765" w:rsidP="00203015">
            <w:pPr>
              <w:pStyle w:val="NoSpacing"/>
              <w:jc w:val="right"/>
            </w:pPr>
            <w:r>
              <w:t>9.0</w:t>
            </w:r>
          </w:p>
        </w:tc>
      </w:tr>
      <w:tr w:rsidR="001F2765" w:rsidRPr="00BA4187" w:rsidTr="00691125">
        <w:tc>
          <w:tcPr>
            <w:tcW w:w="2694" w:type="dxa"/>
          </w:tcPr>
          <w:p w:rsidR="001F2765" w:rsidRPr="00BA4187" w:rsidRDefault="001F2765" w:rsidP="00691125">
            <w:pPr>
              <w:pStyle w:val="NoSpacing"/>
            </w:pPr>
            <w:r>
              <w:t>Other</w:t>
            </w:r>
          </w:p>
        </w:tc>
        <w:tc>
          <w:tcPr>
            <w:tcW w:w="1276" w:type="dxa"/>
          </w:tcPr>
          <w:p w:rsidR="001F2765" w:rsidRPr="00BA4187" w:rsidRDefault="001F2765" w:rsidP="00203015">
            <w:pPr>
              <w:pStyle w:val="NoSpacing"/>
              <w:jc w:val="right"/>
            </w:pPr>
            <w:r>
              <w:t>-</w:t>
            </w:r>
          </w:p>
        </w:tc>
        <w:tc>
          <w:tcPr>
            <w:tcW w:w="1276" w:type="dxa"/>
          </w:tcPr>
          <w:p w:rsidR="001F2765" w:rsidRPr="00BA4187" w:rsidRDefault="001F2765" w:rsidP="00203015">
            <w:pPr>
              <w:pStyle w:val="NoSpacing"/>
              <w:jc w:val="right"/>
            </w:pPr>
            <w:r>
              <w:t>-</w:t>
            </w:r>
          </w:p>
        </w:tc>
        <w:tc>
          <w:tcPr>
            <w:tcW w:w="1134" w:type="dxa"/>
          </w:tcPr>
          <w:p w:rsidR="001F2765" w:rsidRPr="00BA4187" w:rsidRDefault="001F2765" w:rsidP="00203015">
            <w:pPr>
              <w:pStyle w:val="NoSpacing"/>
              <w:jc w:val="right"/>
            </w:pPr>
            <w:r>
              <w:t>-</w:t>
            </w:r>
          </w:p>
        </w:tc>
        <w:tc>
          <w:tcPr>
            <w:tcW w:w="1276" w:type="dxa"/>
          </w:tcPr>
          <w:p w:rsidR="001F2765" w:rsidRPr="00BA4187" w:rsidRDefault="001F2765" w:rsidP="00203015">
            <w:pPr>
              <w:pStyle w:val="NoSpacing"/>
              <w:jc w:val="right"/>
            </w:pPr>
            <w:r>
              <w:t>-</w:t>
            </w:r>
          </w:p>
        </w:tc>
        <w:tc>
          <w:tcPr>
            <w:tcW w:w="1134" w:type="dxa"/>
          </w:tcPr>
          <w:p w:rsidR="001F2765" w:rsidRPr="00BA4187" w:rsidRDefault="001F2765" w:rsidP="00203015">
            <w:pPr>
              <w:pStyle w:val="NoSpacing"/>
              <w:jc w:val="right"/>
            </w:pPr>
            <w:r>
              <w:t>NA</w:t>
            </w:r>
          </w:p>
        </w:tc>
        <w:tc>
          <w:tcPr>
            <w:tcW w:w="1134" w:type="dxa"/>
          </w:tcPr>
          <w:p w:rsidR="001F2765" w:rsidRPr="00BA4187" w:rsidRDefault="001F2765" w:rsidP="00203015">
            <w:pPr>
              <w:pStyle w:val="NoSpacing"/>
              <w:jc w:val="right"/>
            </w:pPr>
            <w:r>
              <w:t>-</w:t>
            </w:r>
          </w:p>
        </w:tc>
        <w:tc>
          <w:tcPr>
            <w:tcW w:w="1134" w:type="dxa"/>
          </w:tcPr>
          <w:p w:rsidR="001F2765" w:rsidRPr="00BA4187" w:rsidRDefault="001F2765" w:rsidP="00203015">
            <w:pPr>
              <w:pStyle w:val="NoSpacing"/>
              <w:jc w:val="right"/>
            </w:pPr>
            <w:r>
              <w:t>0.0</w:t>
            </w:r>
          </w:p>
        </w:tc>
      </w:tr>
      <w:tr w:rsidR="001F2765" w:rsidRPr="00BA4187" w:rsidTr="00691125">
        <w:tc>
          <w:tcPr>
            <w:tcW w:w="2694" w:type="dxa"/>
          </w:tcPr>
          <w:p w:rsidR="001F2765" w:rsidRPr="00BA4187" w:rsidRDefault="001F2765" w:rsidP="00691125">
            <w:pPr>
              <w:pStyle w:val="NoSpacing"/>
            </w:pPr>
            <w:r>
              <w:t>Teacher</w:t>
            </w:r>
          </w:p>
        </w:tc>
        <w:tc>
          <w:tcPr>
            <w:tcW w:w="1276" w:type="dxa"/>
          </w:tcPr>
          <w:p w:rsidR="001F2765" w:rsidRPr="00BA4187" w:rsidRDefault="001F2765" w:rsidP="00203015">
            <w:pPr>
              <w:pStyle w:val="NoSpacing"/>
              <w:jc w:val="right"/>
            </w:pPr>
            <w:r>
              <w:t>69.0</w:t>
            </w:r>
          </w:p>
        </w:tc>
        <w:tc>
          <w:tcPr>
            <w:tcW w:w="1276" w:type="dxa"/>
          </w:tcPr>
          <w:p w:rsidR="001F2765" w:rsidRPr="00BA4187" w:rsidRDefault="001F2765" w:rsidP="00203015">
            <w:pPr>
              <w:pStyle w:val="NoSpacing"/>
              <w:jc w:val="right"/>
            </w:pPr>
            <w:r>
              <w:t>179.0</w:t>
            </w:r>
          </w:p>
        </w:tc>
        <w:tc>
          <w:tcPr>
            <w:tcW w:w="1134" w:type="dxa"/>
          </w:tcPr>
          <w:p w:rsidR="001F2765" w:rsidRPr="00BA4187" w:rsidRDefault="001F2765" w:rsidP="00203015">
            <w:pPr>
              <w:pStyle w:val="NoSpacing"/>
              <w:jc w:val="right"/>
            </w:pPr>
            <w:r>
              <w:t>19.0</w:t>
            </w:r>
          </w:p>
        </w:tc>
        <w:tc>
          <w:tcPr>
            <w:tcW w:w="1276" w:type="dxa"/>
          </w:tcPr>
          <w:p w:rsidR="001F2765" w:rsidRPr="00BA4187" w:rsidRDefault="001F2765" w:rsidP="00203015">
            <w:pPr>
              <w:pStyle w:val="NoSpacing"/>
              <w:jc w:val="right"/>
            </w:pPr>
            <w:r>
              <w:t>17.9</w:t>
            </w:r>
          </w:p>
        </w:tc>
        <w:tc>
          <w:tcPr>
            <w:tcW w:w="1134" w:type="dxa"/>
          </w:tcPr>
          <w:p w:rsidR="001F2765" w:rsidRPr="00BA4187" w:rsidRDefault="001F2765" w:rsidP="00203015">
            <w:pPr>
              <w:pStyle w:val="NoSpacing"/>
              <w:jc w:val="right"/>
            </w:pPr>
            <w:r>
              <w:t>293.1</w:t>
            </w:r>
          </w:p>
        </w:tc>
        <w:tc>
          <w:tcPr>
            <w:tcW w:w="1134" w:type="dxa"/>
          </w:tcPr>
          <w:p w:rsidR="001F2765" w:rsidRPr="00BA4187" w:rsidRDefault="001F2765" w:rsidP="00203015">
            <w:pPr>
              <w:pStyle w:val="NoSpacing"/>
              <w:jc w:val="right"/>
            </w:pPr>
            <w:r>
              <w:t>NA</w:t>
            </w:r>
          </w:p>
        </w:tc>
        <w:tc>
          <w:tcPr>
            <w:tcW w:w="1134" w:type="dxa"/>
          </w:tcPr>
          <w:p w:rsidR="001F2765" w:rsidRPr="00BA4187" w:rsidRDefault="001F2765" w:rsidP="00203015">
            <w:pPr>
              <w:pStyle w:val="NoSpacing"/>
              <w:jc w:val="right"/>
            </w:pPr>
            <w:r>
              <w:t>578.0</w:t>
            </w:r>
          </w:p>
        </w:tc>
      </w:tr>
      <w:tr w:rsidR="001F2765" w:rsidRPr="00BA4187" w:rsidTr="00691125">
        <w:tc>
          <w:tcPr>
            <w:tcW w:w="2694" w:type="dxa"/>
          </w:tcPr>
          <w:p w:rsidR="001F2765" w:rsidRPr="00BA4187" w:rsidRDefault="001F2765" w:rsidP="00691125">
            <w:pPr>
              <w:pStyle w:val="NoSpacing"/>
            </w:pPr>
            <w:r>
              <w:t xml:space="preserve">Total </w:t>
            </w:r>
          </w:p>
        </w:tc>
        <w:tc>
          <w:tcPr>
            <w:tcW w:w="1276" w:type="dxa"/>
          </w:tcPr>
          <w:p w:rsidR="001F2765" w:rsidRPr="00BA4187" w:rsidRDefault="001F2765" w:rsidP="00203015">
            <w:pPr>
              <w:pStyle w:val="NoSpacing"/>
              <w:jc w:val="right"/>
            </w:pPr>
            <w:r>
              <w:t>156.0</w:t>
            </w:r>
          </w:p>
        </w:tc>
        <w:tc>
          <w:tcPr>
            <w:tcW w:w="1276" w:type="dxa"/>
          </w:tcPr>
          <w:p w:rsidR="001F2765" w:rsidRPr="00BA4187" w:rsidRDefault="001F2765" w:rsidP="00203015">
            <w:pPr>
              <w:pStyle w:val="NoSpacing"/>
              <w:jc w:val="right"/>
            </w:pPr>
            <w:r>
              <w:t>428.0</w:t>
            </w:r>
          </w:p>
        </w:tc>
        <w:tc>
          <w:tcPr>
            <w:tcW w:w="1134" w:type="dxa"/>
          </w:tcPr>
          <w:p w:rsidR="001F2765" w:rsidRPr="00BA4187" w:rsidRDefault="001F2765" w:rsidP="00203015">
            <w:pPr>
              <w:pStyle w:val="NoSpacing"/>
              <w:jc w:val="right"/>
            </w:pPr>
            <w:r>
              <w:t>46.6</w:t>
            </w:r>
          </w:p>
        </w:tc>
        <w:tc>
          <w:tcPr>
            <w:tcW w:w="1276" w:type="dxa"/>
          </w:tcPr>
          <w:p w:rsidR="001F2765" w:rsidRPr="00BA4187" w:rsidRDefault="001F2765" w:rsidP="00203015">
            <w:pPr>
              <w:pStyle w:val="NoSpacing"/>
              <w:jc w:val="right"/>
            </w:pPr>
            <w:r>
              <w:t>52.2</w:t>
            </w:r>
          </w:p>
        </w:tc>
        <w:tc>
          <w:tcPr>
            <w:tcW w:w="1134" w:type="dxa"/>
          </w:tcPr>
          <w:p w:rsidR="001F2765" w:rsidRPr="00BA4187" w:rsidRDefault="001F2765" w:rsidP="00203015">
            <w:pPr>
              <w:pStyle w:val="NoSpacing"/>
              <w:jc w:val="right"/>
            </w:pPr>
            <w:r>
              <w:t>293.1</w:t>
            </w:r>
          </w:p>
        </w:tc>
        <w:tc>
          <w:tcPr>
            <w:tcW w:w="1134" w:type="dxa"/>
          </w:tcPr>
          <w:p w:rsidR="001F2765" w:rsidRPr="00BA4187" w:rsidRDefault="001F2765" w:rsidP="00203015">
            <w:pPr>
              <w:pStyle w:val="NoSpacing"/>
              <w:jc w:val="right"/>
            </w:pPr>
            <w:r>
              <w:t>11.7</w:t>
            </w:r>
          </w:p>
        </w:tc>
        <w:tc>
          <w:tcPr>
            <w:tcW w:w="1134" w:type="dxa"/>
          </w:tcPr>
          <w:p w:rsidR="001F2765" w:rsidRPr="00BA4187" w:rsidRDefault="001F2765" w:rsidP="00203015">
            <w:pPr>
              <w:pStyle w:val="NoSpacing"/>
              <w:jc w:val="right"/>
            </w:pPr>
            <w:r>
              <w:t>987.5</w:t>
            </w:r>
          </w:p>
        </w:tc>
      </w:tr>
    </w:tbl>
    <w:p w:rsidR="007E442C" w:rsidRDefault="007E442C" w:rsidP="002B5415">
      <w:pPr>
        <w:pStyle w:val="NoSpacing"/>
      </w:pPr>
    </w:p>
    <w:p w:rsidR="007E442C" w:rsidRDefault="007E442C" w:rsidP="007E442C">
      <w:pPr>
        <w:pStyle w:val="Heading3"/>
      </w:pPr>
      <w:r>
        <w:t>Workforce Disclosures (January 2018 – December 2019)</w:t>
      </w:r>
    </w:p>
    <w:p w:rsidR="00D16A06" w:rsidRDefault="00D16A06" w:rsidP="002B5415">
      <w:pPr>
        <w:pStyle w:val="NoSpacing"/>
      </w:pPr>
    </w:p>
    <w:tbl>
      <w:tblPr>
        <w:tblStyle w:val="TableGrid"/>
        <w:tblW w:w="11058" w:type="dxa"/>
        <w:tblInd w:w="-998" w:type="dxa"/>
        <w:tblLook w:val="04A0" w:firstRow="1" w:lastRow="0" w:firstColumn="1" w:lastColumn="0" w:noHBand="0" w:noVBand="1"/>
      </w:tblPr>
      <w:tblGrid>
        <w:gridCol w:w="1979"/>
        <w:gridCol w:w="1416"/>
        <w:gridCol w:w="830"/>
        <w:gridCol w:w="1310"/>
        <w:gridCol w:w="1424"/>
        <w:gridCol w:w="1130"/>
        <w:gridCol w:w="1416"/>
        <w:gridCol w:w="1553"/>
      </w:tblGrid>
      <w:tr w:rsidR="00203015" w:rsidTr="00203015">
        <w:tc>
          <w:tcPr>
            <w:tcW w:w="1986" w:type="dxa"/>
          </w:tcPr>
          <w:p w:rsidR="00203015" w:rsidRDefault="00203015" w:rsidP="002B5415">
            <w:pPr>
              <w:pStyle w:val="NoSpacing"/>
            </w:pPr>
          </w:p>
        </w:tc>
        <w:tc>
          <w:tcPr>
            <w:tcW w:w="3536" w:type="dxa"/>
            <w:gridSpan w:val="3"/>
          </w:tcPr>
          <w:p w:rsidR="00203015" w:rsidRDefault="00203015" w:rsidP="00203015">
            <w:pPr>
              <w:pStyle w:val="NoSpacing"/>
              <w:jc w:val="center"/>
            </w:pPr>
            <w:r>
              <w:t>All employees</w:t>
            </w:r>
          </w:p>
        </w:tc>
        <w:tc>
          <w:tcPr>
            <w:tcW w:w="2559" w:type="dxa"/>
            <w:gridSpan w:val="2"/>
          </w:tcPr>
          <w:p w:rsidR="00203015" w:rsidRDefault="00203015" w:rsidP="00203015">
            <w:pPr>
              <w:pStyle w:val="NoSpacing"/>
              <w:jc w:val="right"/>
            </w:pPr>
            <w:r>
              <w:t>Ongoing</w:t>
            </w:r>
          </w:p>
        </w:tc>
        <w:tc>
          <w:tcPr>
            <w:tcW w:w="2977" w:type="dxa"/>
            <w:gridSpan w:val="2"/>
          </w:tcPr>
          <w:p w:rsidR="00203015" w:rsidRDefault="00203015" w:rsidP="00203015">
            <w:pPr>
              <w:pStyle w:val="NoSpacing"/>
              <w:jc w:val="right"/>
            </w:pPr>
            <w:r>
              <w:t xml:space="preserve">Fixed term and casual </w:t>
            </w:r>
          </w:p>
        </w:tc>
      </w:tr>
      <w:tr w:rsidR="00203015" w:rsidTr="00203015">
        <w:tc>
          <w:tcPr>
            <w:tcW w:w="1986" w:type="dxa"/>
          </w:tcPr>
          <w:p w:rsidR="00203015" w:rsidRDefault="00203015" w:rsidP="002B5415">
            <w:pPr>
              <w:pStyle w:val="NoSpacing"/>
            </w:pPr>
            <w:r>
              <w:t>Dec 2019</w:t>
            </w:r>
          </w:p>
        </w:tc>
        <w:tc>
          <w:tcPr>
            <w:tcW w:w="1417" w:type="dxa"/>
          </w:tcPr>
          <w:p w:rsidR="00203015" w:rsidRDefault="00203015" w:rsidP="00203015">
            <w:pPr>
              <w:pStyle w:val="NoSpacing"/>
              <w:jc w:val="right"/>
            </w:pPr>
            <w:r>
              <w:t>Number (headcount)</w:t>
            </w:r>
          </w:p>
        </w:tc>
        <w:tc>
          <w:tcPr>
            <w:tcW w:w="809" w:type="dxa"/>
          </w:tcPr>
          <w:p w:rsidR="00203015" w:rsidRDefault="00203015" w:rsidP="00203015">
            <w:pPr>
              <w:pStyle w:val="NoSpacing"/>
              <w:jc w:val="right"/>
            </w:pPr>
            <w:r>
              <w:t>FTE</w:t>
            </w:r>
          </w:p>
        </w:tc>
        <w:tc>
          <w:tcPr>
            <w:tcW w:w="1310" w:type="dxa"/>
          </w:tcPr>
          <w:p w:rsidR="00203015" w:rsidRDefault="00203015" w:rsidP="00203015">
            <w:pPr>
              <w:pStyle w:val="NoSpacing"/>
              <w:jc w:val="right"/>
            </w:pPr>
            <w:r>
              <w:t>Full time (headcount)</w:t>
            </w:r>
          </w:p>
        </w:tc>
        <w:tc>
          <w:tcPr>
            <w:tcW w:w="1425" w:type="dxa"/>
          </w:tcPr>
          <w:p w:rsidR="00203015" w:rsidRDefault="00203015" w:rsidP="00203015">
            <w:pPr>
              <w:pStyle w:val="NoSpacing"/>
              <w:jc w:val="right"/>
            </w:pPr>
            <w:r>
              <w:t>Part time (headcount)</w:t>
            </w:r>
          </w:p>
        </w:tc>
        <w:tc>
          <w:tcPr>
            <w:tcW w:w="1134" w:type="dxa"/>
          </w:tcPr>
          <w:p w:rsidR="00203015" w:rsidRDefault="00203015" w:rsidP="00203015">
            <w:pPr>
              <w:pStyle w:val="NoSpacing"/>
              <w:jc w:val="right"/>
            </w:pPr>
            <w:r>
              <w:t>FTE</w:t>
            </w:r>
          </w:p>
        </w:tc>
        <w:tc>
          <w:tcPr>
            <w:tcW w:w="1417" w:type="dxa"/>
          </w:tcPr>
          <w:p w:rsidR="00203015" w:rsidRDefault="00203015" w:rsidP="00203015">
            <w:pPr>
              <w:pStyle w:val="NoSpacing"/>
              <w:jc w:val="right"/>
            </w:pPr>
            <w:r>
              <w:t>Number (headcount)</w:t>
            </w:r>
          </w:p>
        </w:tc>
        <w:tc>
          <w:tcPr>
            <w:tcW w:w="1560" w:type="dxa"/>
          </w:tcPr>
          <w:p w:rsidR="00203015" w:rsidRDefault="00203015" w:rsidP="00203015">
            <w:pPr>
              <w:pStyle w:val="NoSpacing"/>
              <w:jc w:val="right"/>
            </w:pPr>
            <w:r>
              <w:t>FTE</w:t>
            </w:r>
          </w:p>
        </w:tc>
      </w:tr>
      <w:tr w:rsidR="00203015" w:rsidTr="00691125">
        <w:tc>
          <w:tcPr>
            <w:tcW w:w="11058" w:type="dxa"/>
            <w:gridSpan w:val="8"/>
          </w:tcPr>
          <w:p w:rsidR="00203015" w:rsidRDefault="00203015" w:rsidP="00203015">
            <w:pPr>
              <w:pStyle w:val="NoSpacing"/>
            </w:pPr>
            <w:r>
              <w:t>Gender</w:t>
            </w:r>
          </w:p>
        </w:tc>
      </w:tr>
      <w:tr w:rsidR="00203015" w:rsidTr="00203015">
        <w:tc>
          <w:tcPr>
            <w:tcW w:w="1986" w:type="dxa"/>
          </w:tcPr>
          <w:p w:rsidR="00203015" w:rsidRDefault="00203015" w:rsidP="002B5415">
            <w:pPr>
              <w:pStyle w:val="NoSpacing"/>
            </w:pPr>
            <w:r>
              <w:t>Women executives</w:t>
            </w:r>
          </w:p>
        </w:tc>
        <w:tc>
          <w:tcPr>
            <w:tcW w:w="1417" w:type="dxa"/>
          </w:tcPr>
          <w:p w:rsidR="00203015" w:rsidRDefault="00653121" w:rsidP="00203015">
            <w:pPr>
              <w:pStyle w:val="NoSpacing"/>
              <w:jc w:val="right"/>
            </w:pPr>
            <w:r>
              <w:t>10</w:t>
            </w:r>
          </w:p>
        </w:tc>
        <w:tc>
          <w:tcPr>
            <w:tcW w:w="809" w:type="dxa"/>
          </w:tcPr>
          <w:p w:rsidR="00203015" w:rsidRDefault="00653121" w:rsidP="00203015">
            <w:pPr>
              <w:pStyle w:val="NoSpacing"/>
              <w:jc w:val="right"/>
            </w:pPr>
            <w:r>
              <w:t>6.0</w:t>
            </w:r>
          </w:p>
        </w:tc>
        <w:tc>
          <w:tcPr>
            <w:tcW w:w="1310" w:type="dxa"/>
          </w:tcPr>
          <w:p w:rsidR="00203015" w:rsidRDefault="00653121" w:rsidP="00203015">
            <w:pPr>
              <w:pStyle w:val="NoSpacing"/>
              <w:jc w:val="right"/>
            </w:pPr>
            <w:r>
              <w:t>-</w:t>
            </w:r>
          </w:p>
        </w:tc>
        <w:tc>
          <w:tcPr>
            <w:tcW w:w="1425" w:type="dxa"/>
          </w:tcPr>
          <w:p w:rsidR="00203015" w:rsidRDefault="00653121" w:rsidP="00203015">
            <w:pPr>
              <w:pStyle w:val="NoSpacing"/>
              <w:jc w:val="right"/>
            </w:pPr>
            <w:r>
              <w:t>-</w:t>
            </w:r>
          </w:p>
        </w:tc>
        <w:tc>
          <w:tcPr>
            <w:tcW w:w="1134" w:type="dxa"/>
          </w:tcPr>
          <w:p w:rsidR="00203015" w:rsidRDefault="00653121" w:rsidP="00203015">
            <w:pPr>
              <w:pStyle w:val="NoSpacing"/>
              <w:jc w:val="right"/>
            </w:pPr>
            <w:r>
              <w:t>-</w:t>
            </w:r>
          </w:p>
        </w:tc>
        <w:tc>
          <w:tcPr>
            <w:tcW w:w="1417" w:type="dxa"/>
          </w:tcPr>
          <w:p w:rsidR="00203015" w:rsidRDefault="00653121" w:rsidP="00203015">
            <w:pPr>
              <w:pStyle w:val="NoSpacing"/>
              <w:jc w:val="right"/>
            </w:pPr>
            <w:r>
              <w:t>10</w:t>
            </w:r>
          </w:p>
        </w:tc>
        <w:tc>
          <w:tcPr>
            <w:tcW w:w="1560" w:type="dxa"/>
          </w:tcPr>
          <w:p w:rsidR="00203015" w:rsidRDefault="00653121" w:rsidP="00203015">
            <w:pPr>
              <w:pStyle w:val="NoSpacing"/>
              <w:jc w:val="right"/>
            </w:pPr>
            <w:r>
              <w:t>6.0</w:t>
            </w:r>
          </w:p>
        </w:tc>
      </w:tr>
      <w:tr w:rsidR="00203015" w:rsidTr="00203015">
        <w:tc>
          <w:tcPr>
            <w:tcW w:w="1986" w:type="dxa"/>
          </w:tcPr>
          <w:p w:rsidR="00203015" w:rsidRDefault="00203015" w:rsidP="002B5415">
            <w:pPr>
              <w:pStyle w:val="NoSpacing"/>
            </w:pPr>
            <w:r>
              <w:t>Women (total staff)</w:t>
            </w:r>
          </w:p>
        </w:tc>
        <w:tc>
          <w:tcPr>
            <w:tcW w:w="1417" w:type="dxa"/>
          </w:tcPr>
          <w:p w:rsidR="00203015" w:rsidRDefault="00653121" w:rsidP="00203015">
            <w:pPr>
              <w:pStyle w:val="NoSpacing"/>
              <w:jc w:val="right"/>
            </w:pPr>
            <w:r>
              <w:t>1065</w:t>
            </w:r>
          </w:p>
        </w:tc>
        <w:tc>
          <w:tcPr>
            <w:tcW w:w="809" w:type="dxa"/>
          </w:tcPr>
          <w:p w:rsidR="00203015" w:rsidRDefault="00653121" w:rsidP="00203015">
            <w:pPr>
              <w:pStyle w:val="NoSpacing"/>
              <w:jc w:val="right"/>
            </w:pPr>
            <w:r>
              <w:t>630.0</w:t>
            </w:r>
          </w:p>
        </w:tc>
        <w:tc>
          <w:tcPr>
            <w:tcW w:w="1310" w:type="dxa"/>
          </w:tcPr>
          <w:p w:rsidR="00203015" w:rsidRDefault="00653121" w:rsidP="00203015">
            <w:pPr>
              <w:pStyle w:val="NoSpacing"/>
              <w:jc w:val="right"/>
            </w:pPr>
            <w:r>
              <w:t>226</w:t>
            </w:r>
          </w:p>
        </w:tc>
        <w:tc>
          <w:tcPr>
            <w:tcW w:w="1425" w:type="dxa"/>
          </w:tcPr>
          <w:p w:rsidR="00203015" w:rsidRDefault="00653121" w:rsidP="00203015">
            <w:pPr>
              <w:pStyle w:val="NoSpacing"/>
              <w:jc w:val="right"/>
            </w:pPr>
            <w:r>
              <w:t>145</w:t>
            </w:r>
          </w:p>
        </w:tc>
        <w:tc>
          <w:tcPr>
            <w:tcW w:w="1134" w:type="dxa"/>
          </w:tcPr>
          <w:p w:rsidR="00203015" w:rsidRDefault="00653121" w:rsidP="00203015">
            <w:pPr>
              <w:pStyle w:val="NoSpacing"/>
              <w:jc w:val="right"/>
            </w:pPr>
            <w:r>
              <w:t>287.9</w:t>
            </w:r>
          </w:p>
        </w:tc>
        <w:tc>
          <w:tcPr>
            <w:tcW w:w="1417" w:type="dxa"/>
          </w:tcPr>
          <w:p w:rsidR="00203015" w:rsidRDefault="00653121" w:rsidP="00203015">
            <w:pPr>
              <w:pStyle w:val="NoSpacing"/>
              <w:jc w:val="right"/>
            </w:pPr>
            <w:r>
              <w:t>694</w:t>
            </w:r>
          </w:p>
        </w:tc>
        <w:tc>
          <w:tcPr>
            <w:tcW w:w="1560" w:type="dxa"/>
          </w:tcPr>
          <w:p w:rsidR="00203015" w:rsidRDefault="00653121" w:rsidP="00203015">
            <w:pPr>
              <w:pStyle w:val="NoSpacing"/>
              <w:jc w:val="right"/>
            </w:pPr>
            <w:r>
              <w:t>342.1</w:t>
            </w:r>
          </w:p>
        </w:tc>
      </w:tr>
      <w:tr w:rsidR="00203015" w:rsidTr="00203015">
        <w:tc>
          <w:tcPr>
            <w:tcW w:w="1986" w:type="dxa"/>
          </w:tcPr>
          <w:p w:rsidR="00203015" w:rsidRDefault="00203015" w:rsidP="002B5415">
            <w:pPr>
              <w:pStyle w:val="NoSpacing"/>
            </w:pPr>
            <w:r>
              <w:t>Men executives</w:t>
            </w:r>
          </w:p>
        </w:tc>
        <w:tc>
          <w:tcPr>
            <w:tcW w:w="1417" w:type="dxa"/>
          </w:tcPr>
          <w:p w:rsidR="00203015" w:rsidRDefault="00653121" w:rsidP="00203015">
            <w:pPr>
              <w:pStyle w:val="NoSpacing"/>
              <w:jc w:val="right"/>
            </w:pPr>
            <w:r>
              <w:t>7</w:t>
            </w:r>
          </w:p>
        </w:tc>
        <w:tc>
          <w:tcPr>
            <w:tcW w:w="809" w:type="dxa"/>
          </w:tcPr>
          <w:p w:rsidR="00203015" w:rsidRDefault="00653121" w:rsidP="00203015">
            <w:pPr>
              <w:pStyle w:val="NoSpacing"/>
              <w:jc w:val="right"/>
            </w:pPr>
            <w:r>
              <w:t>5.0</w:t>
            </w:r>
          </w:p>
        </w:tc>
        <w:tc>
          <w:tcPr>
            <w:tcW w:w="1310" w:type="dxa"/>
          </w:tcPr>
          <w:p w:rsidR="00203015" w:rsidRDefault="00653121" w:rsidP="00203015">
            <w:pPr>
              <w:pStyle w:val="NoSpacing"/>
              <w:jc w:val="right"/>
            </w:pPr>
            <w:r>
              <w:t>-</w:t>
            </w:r>
          </w:p>
        </w:tc>
        <w:tc>
          <w:tcPr>
            <w:tcW w:w="1425" w:type="dxa"/>
          </w:tcPr>
          <w:p w:rsidR="00203015" w:rsidRDefault="00653121" w:rsidP="00203015">
            <w:pPr>
              <w:pStyle w:val="NoSpacing"/>
              <w:jc w:val="right"/>
            </w:pPr>
            <w:r>
              <w:t>-</w:t>
            </w:r>
          </w:p>
        </w:tc>
        <w:tc>
          <w:tcPr>
            <w:tcW w:w="1134" w:type="dxa"/>
          </w:tcPr>
          <w:p w:rsidR="00203015" w:rsidRDefault="00653121" w:rsidP="00203015">
            <w:pPr>
              <w:pStyle w:val="NoSpacing"/>
              <w:jc w:val="right"/>
            </w:pPr>
            <w:r>
              <w:t>-</w:t>
            </w:r>
          </w:p>
        </w:tc>
        <w:tc>
          <w:tcPr>
            <w:tcW w:w="1417" w:type="dxa"/>
          </w:tcPr>
          <w:p w:rsidR="00203015" w:rsidRDefault="00653121" w:rsidP="00203015">
            <w:pPr>
              <w:pStyle w:val="NoSpacing"/>
              <w:jc w:val="right"/>
            </w:pPr>
            <w:r>
              <w:t>7</w:t>
            </w:r>
          </w:p>
        </w:tc>
        <w:tc>
          <w:tcPr>
            <w:tcW w:w="1560" w:type="dxa"/>
          </w:tcPr>
          <w:p w:rsidR="00203015" w:rsidRDefault="00653121" w:rsidP="00203015">
            <w:pPr>
              <w:pStyle w:val="NoSpacing"/>
              <w:jc w:val="right"/>
            </w:pPr>
            <w:r>
              <w:t>5.0</w:t>
            </w:r>
          </w:p>
        </w:tc>
      </w:tr>
      <w:tr w:rsidR="00203015" w:rsidTr="00203015">
        <w:tc>
          <w:tcPr>
            <w:tcW w:w="1986" w:type="dxa"/>
          </w:tcPr>
          <w:p w:rsidR="00203015" w:rsidRDefault="00203015" w:rsidP="002B5415">
            <w:pPr>
              <w:pStyle w:val="NoSpacing"/>
            </w:pPr>
            <w:r>
              <w:t>Men (total staff)</w:t>
            </w:r>
          </w:p>
        </w:tc>
        <w:tc>
          <w:tcPr>
            <w:tcW w:w="1417" w:type="dxa"/>
          </w:tcPr>
          <w:p w:rsidR="00203015" w:rsidRDefault="00653121" w:rsidP="00203015">
            <w:pPr>
              <w:pStyle w:val="NoSpacing"/>
              <w:jc w:val="right"/>
            </w:pPr>
            <w:r>
              <w:t>745</w:t>
            </w:r>
          </w:p>
        </w:tc>
        <w:tc>
          <w:tcPr>
            <w:tcW w:w="809" w:type="dxa"/>
          </w:tcPr>
          <w:p w:rsidR="00203015" w:rsidRDefault="00653121" w:rsidP="00203015">
            <w:pPr>
              <w:pStyle w:val="NoSpacing"/>
              <w:jc w:val="right"/>
            </w:pPr>
            <w:r>
              <w:t>474.7</w:t>
            </w:r>
          </w:p>
        </w:tc>
        <w:tc>
          <w:tcPr>
            <w:tcW w:w="1310" w:type="dxa"/>
          </w:tcPr>
          <w:p w:rsidR="00203015" w:rsidRDefault="00653121" w:rsidP="00203015">
            <w:pPr>
              <w:pStyle w:val="NoSpacing"/>
              <w:jc w:val="right"/>
            </w:pPr>
            <w:r>
              <w:t>217</w:t>
            </w:r>
          </w:p>
        </w:tc>
        <w:tc>
          <w:tcPr>
            <w:tcW w:w="1425" w:type="dxa"/>
          </w:tcPr>
          <w:p w:rsidR="00203015" w:rsidRDefault="00653121" w:rsidP="00203015">
            <w:pPr>
              <w:pStyle w:val="NoSpacing"/>
              <w:jc w:val="right"/>
            </w:pPr>
            <w:r>
              <w:t>34</w:t>
            </w:r>
          </w:p>
        </w:tc>
        <w:tc>
          <w:tcPr>
            <w:tcW w:w="1134" w:type="dxa"/>
          </w:tcPr>
          <w:p w:rsidR="00203015" w:rsidRDefault="00653121" w:rsidP="00203015">
            <w:pPr>
              <w:pStyle w:val="NoSpacing"/>
              <w:jc w:val="right"/>
            </w:pPr>
            <w:r>
              <w:t>206.0</w:t>
            </w:r>
          </w:p>
        </w:tc>
        <w:tc>
          <w:tcPr>
            <w:tcW w:w="1417" w:type="dxa"/>
          </w:tcPr>
          <w:p w:rsidR="00203015" w:rsidRDefault="00653121" w:rsidP="00203015">
            <w:pPr>
              <w:pStyle w:val="NoSpacing"/>
              <w:jc w:val="right"/>
            </w:pPr>
            <w:r>
              <w:t>494</w:t>
            </w:r>
          </w:p>
        </w:tc>
        <w:tc>
          <w:tcPr>
            <w:tcW w:w="1560" w:type="dxa"/>
          </w:tcPr>
          <w:p w:rsidR="00203015" w:rsidRDefault="00653121" w:rsidP="00203015">
            <w:pPr>
              <w:pStyle w:val="NoSpacing"/>
              <w:jc w:val="right"/>
            </w:pPr>
            <w:r>
              <w:t>268.7</w:t>
            </w:r>
          </w:p>
        </w:tc>
      </w:tr>
      <w:tr w:rsidR="00203015" w:rsidTr="00203015">
        <w:tc>
          <w:tcPr>
            <w:tcW w:w="1986" w:type="dxa"/>
          </w:tcPr>
          <w:p w:rsidR="00203015" w:rsidRDefault="00203015" w:rsidP="002B5415">
            <w:pPr>
              <w:pStyle w:val="NoSpacing"/>
            </w:pPr>
            <w:r>
              <w:t>Self-described</w:t>
            </w:r>
          </w:p>
        </w:tc>
        <w:tc>
          <w:tcPr>
            <w:tcW w:w="1417" w:type="dxa"/>
          </w:tcPr>
          <w:p w:rsidR="00203015" w:rsidRDefault="00203015" w:rsidP="00203015">
            <w:pPr>
              <w:pStyle w:val="NoSpacing"/>
              <w:jc w:val="right"/>
            </w:pPr>
            <w:r>
              <w:t>-</w:t>
            </w:r>
          </w:p>
        </w:tc>
        <w:tc>
          <w:tcPr>
            <w:tcW w:w="809" w:type="dxa"/>
          </w:tcPr>
          <w:p w:rsidR="00203015" w:rsidRDefault="00203015" w:rsidP="00203015">
            <w:pPr>
              <w:pStyle w:val="NoSpacing"/>
              <w:jc w:val="right"/>
            </w:pPr>
            <w:r>
              <w:t>-</w:t>
            </w:r>
          </w:p>
        </w:tc>
        <w:tc>
          <w:tcPr>
            <w:tcW w:w="1310" w:type="dxa"/>
          </w:tcPr>
          <w:p w:rsidR="00203015" w:rsidRDefault="00203015" w:rsidP="00203015">
            <w:pPr>
              <w:pStyle w:val="NoSpacing"/>
              <w:jc w:val="right"/>
            </w:pPr>
            <w:r>
              <w:t>-</w:t>
            </w:r>
          </w:p>
        </w:tc>
        <w:tc>
          <w:tcPr>
            <w:tcW w:w="1425" w:type="dxa"/>
          </w:tcPr>
          <w:p w:rsidR="00203015" w:rsidRDefault="00203015" w:rsidP="00203015">
            <w:pPr>
              <w:pStyle w:val="NoSpacing"/>
              <w:jc w:val="right"/>
            </w:pPr>
            <w:r>
              <w:t>-</w:t>
            </w:r>
          </w:p>
        </w:tc>
        <w:tc>
          <w:tcPr>
            <w:tcW w:w="1134" w:type="dxa"/>
          </w:tcPr>
          <w:p w:rsidR="00203015" w:rsidRDefault="00203015" w:rsidP="00203015">
            <w:pPr>
              <w:pStyle w:val="NoSpacing"/>
              <w:jc w:val="right"/>
            </w:pPr>
            <w:r>
              <w:t>-</w:t>
            </w:r>
          </w:p>
        </w:tc>
        <w:tc>
          <w:tcPr>
            <w:tcW w:w="1417" w:type="dxa"/>
          </w:tcPr>
          <w:p w:rsidR="00203015" w:rsidRDefault="00203015" w:rsidP="00203015">
            <w:pPr>
              <w:pStyle w:val="NoSpacing"/>
              <w:jc w:val="right"/>
            </w:pPr>
            <w:r>
              <w:t>-</w:t>
            </w:r>
          </w:p>
        </w:tc>
        <w:tc>
          <w:tcPr>
            <w:tcW w:w="1560" w:type="dxa"/>
          </w:tcPr>
          <w:p w:rsidR="00203015" w:rsidRDefault="00203015" w:rsidP="00203015">
            <w:pPr>
              <w:pStyle w:val="NoSpacing"/>
              <w:jc w:val="right"/>
            </w:pPr>
            <w:r>
              <w:t>-</w:t>
            </w:r>
          </w:p>
        </w:tc>
      </w:tr>
      <w:tr w:rsidR="00203015" w:rsidTr="00691125">
        <w:tc>
          <w:tcPr>
            <w:tcW w:w="11058" w:type="dxa"/>
            <w:gridSpan w:val="8"/>
          </w:tcPr>
          <w:p w:rsidR="00203015" w:rsidRDefault="00203015" w:rsidP="00691125">
            <w:pPr>
              <w:pStyle w:val="NoSpacing"/>
            </w:pPr>
            <w:r>
              <w:t>Age</w:t>
            </w:r>
          </w:p>
        </w:tc>
      </w:tr>
      <w:tr w:rsidR="00203015" w:rsidTr="00691125">
        <w:tc>
          <w:tcPr>
            <w:tcW w:w="1986" w:type="dxa"/>
          </w:tcPr>
          <w:p w:rsidR="00203015" w:rsidRDefault="00691125" w:rsidP="00691125">
            <w:pPr>
              <w:pStyle w:val="NoSpacing"/>
            </w:pPr>
            <w:r>
              <w:t>15-24</w:t>
            </w:r>
          </w:p>
        </w:tc>
        <w:tc>
          <w:tcPr>
            <w:tcW w:w="1417" w:type="dxa"/>
          </w:tcPr>
          <w:p w:rsidR="00203015" w:rsidRDefault="00653121" w:rsidP="00691125">
            <w:pPr>
              <w:pStyle w:val="NoSpacing"/>
              <w:jc w:val="right"/>
            </w:pPr>
            <w:r>
              <w:t>55</w:t>
            </w:r>
          </w:p>
        </w:tc>
        <w:tc>
          <w:tcPr>
            <w:tcW w:w="809" w:type="dxa"/>
          </w:tcPr>
          <w:p w:rsidR="00203015" w:rsidRDefault="00653121" w:rsidP="00691125">
            <w:pPr>
              <w:pStyle w:val="NoSpacing"/>
              <w:jc w:val="right"/>
            </w:pPr>
            <w:r>
              <w:t>19.2</w:t>
            </w:r>
          </w:p>
        </w:tc>
        <w:tc>
          <w:tcPr>
            <w:tcW w:w="1310" w:type="dxa"/>
          </w:tcPr>
          <w:p w:rsidR="00203015" w:rsidRDefault="00653121" w:rsidP="00691125">
            <w:pPr>
              <w:pStyle w:val="NoSpacing"/>
              <w:jc w:val="right"/>
            </w:pPr>
            <w:r>
              <w:t>4</w:t>
            </w:r>
          </w:p>
        </w:tc>
        <w:tc>
          <w:tcPr>
            <w:tcW w:w="1425" w:type="dxa"/>
          </w:tcPr>
          <w:p w:rsidR="00203015" w:rsidRDefault="00653121" w:rsidP="00691125">
            <w:pPr>
              <w:pStyle w:val="NoSpacing"/>
              <w:jc w:val="right"/>
            </w:pPr>
            <w:r>
              <w:t>2</w:t>
            </w:r>
          </w:p>
        </w:tc>
        <w:tc>
          <w:tcPr>
            <w:tcW w:w="1134" w:type="dxa"/>
          </w:tcPr>
          <w:p w:rsidR="00203015" w:rsidRDefault="00653121" w:rsidP="00691125">
            <w:pPr>
              <w:pStyle w:val="NoSpacing"/>
              <w:jc w:val="right"/>
            </w:pPr>
            <w:r>
              <w:t>2.8</w:t>
            </w:r>
          </w:p>
        </w:tc>
        <w:tc>
          <w:tcPr>
            <w:tcW w:w="1417" w:type="dxa"/>
          </w:tcPr>
          <w:p w:rsidR="00203015" w:rsidRDefault="00653121" w:rsidP="00691125">
            <w:pPr>
              <w:pStyle w:val="NoSpacing"/>
              <w:jc w:val="right"/>
            </w:pPr>
            <w:r>
              <w:t>49</w:t>
            </w:r>
          </w:p>
        </w:tc>
        <w:tc>
          <w:tcPr>
            <w:tcW w:w="1560" w:type="dxa"/>
          </w:tcPr>
          <w:p w:rsidR="00203015" w:rsidRDefault="00653121" w:rsidP="00691125">
            <w:pPr>
              <w:pStyle w:val="NoSpacing"/>
              <w:jc w:val="right"/>
            </w:pPr>
            <w:r>
              <w:t>16.4</w:t>
            </w:r>
          </w:p>
        </w:tc>
      </w:tr>
      <w:tr w:rsidR="00203015" w:rsidTr="00691125">
        <w:tc>
          <w:tcPr>
            <w:tcW w:w="1986" w:type="dxa"/>
          </w:tcPr>
          <w:p w:rsidR="00203015" w:rsidRDefault="00691125" w:rsidP="00691125">
            <w:pPr>
              <w:pStyle w:val="NoSpacing"/>
            </w:pPr>
            <w:r>
              <w:t>25-34</w:t>
            </w:r>
          </w:p>
        </w:tc>
        <w:tc>
          <w:tcPr>
            <w:tcW w:w="1417" w:type="dxa"/>
          </w:tcPr>
          <w:p w:rsidR="00203015" w:rsidRDefault="00653121" w:rsidP="00691125">
            <w:pPr>
              <w:pStyle w:val="NoSpacing"/>
              <w:jc w:val="right"/>
            </w:pPr>
            <w:r>
              <w:t>261</w:t>
            </w:r>
          </w:p>
        </w:tc>
        <w:tc>
          <w:tcPr>
            <w:tcW w:w="809" w:type="dxa"/>
          </w:tcPr>
          <w:p w:rsidR="00203015" w:rsidRDefault="00653121" w:rsidP="00691125">
            <w:pPr>
              <w:pStyle w:val="NoSpacing"/>
              <w:jc w:val="right"/>
            </w:pPr>
            <w:r>
              <w:t>144.4</w:t>
            </w:r>
          </w:p>
        </w:tc>
        <w:tc>
          <w:tcPr>
            <w:tcW w:w="1310" w:type="dxa"/>
          </w:tcPr>
          <w:p w:rsidR="00203015" w:rsidRDefault="00653121" w:rsidP="00691125">
            <w:pPr>
              <w:pStyle w:val="NoSpacing"/>
              <w:jc w:val="right"/>
            </w:pPr>
            <w:r>
              <w:t>45</w:t>
            </w:r>
          </w:p>
        </w:tc>
        <w:tc>
          <w:tcPr>
            <w:tcW w:w="1425" w:type="dxa"/>
          </w:tcPr>
          <w:p w:rsidR="00203015" w:rsidRDefault="00653121" w:rsidP="00691125">
            <w:pPr>
              <w:pStyle w:val="NoSpacing"/>
              <w:jc w:val="right"/>
            </w:pPr>
            <w:r>
              <w:t>18</w:t>
            </w:r>
          </w:p>
        </w:tc>
        <w:tc>
          <w:tcPr>
            <w:tcW w:w="1134" w:type="dxa"/>
          </w:tcPr>
          <w:p w:rsidR="00203015" w:rsidRDefault="00653121" w:rsidP="00691125">
            <w:pPr>
              <w:pStyle w:val="NoSpacing"/>
              <w:jc w:val="right"/>
            </w:pPr>
            <w:r>
              <w:t>44.9</w:t>
            </w:r>
          </w:p>
        </w:tc>
        <w:tc>
          <w:tcPr>
            <w:tcW w:w="1417" w:type="dxa"/>
          </w:tcPr>
          <w:p w:rsidR="00203015" w:rsidRDefault="00653121" w:rsidP="00691125">
            <w:pPr>
              <w:pStyle w:val="NoSpacing"/>
              <w:jc w:val="right"/>
            </w:pPr>
            <w:r>
              <w:t>198</w:t>
            </w:r>
          </w:p>
        </w:tc>
        <w:tc>
          <w:tcPr>
            <w:tcW w:w="1560" w:type="dxa"/>
          </w:tcPr>
          <w:p w:rsidR="00203015" w:rsidRDefault="00653121" w:rsidP="00691125">
            <w:pPr>
              <w:pStyle w:val="NoSpacing"/>
              <w:jc w:val="right"/>
            </w:pPr>
            <w:r>
              <w:t>99.5</w:t>
            </w:r>
          </w:p>
        </w:tc>
      </w:tr>
      <w:tr w:rsidR="00203015" w:rsidTr="00691125">
        <w:tc>
          <w:tcPr>
            <w:tcW w:w="1986" w:type="dxa"/>
          </w:tcPr>
          <w:p w:rsidR="00203015" w:rsidRDefault="00691125" w:rsidP="00691125">
            <w:pPr>
              <w:pStyle w:val="NoSpacing"/>
            </w:pPr>
            <w:r>
              <w:t>35-44</w:t>
            </w:r>
          </w:p>
        </w:tc>
        <w:tc>
          <w:tcPr>
            <w:tcW w:w="1417" w:type="dxa"/>
          </w:tcPr>
          <w:p w:rsidR="00203015" w:rsidRDefault="00653121" w:rsidP="00691125">
            <w:pPr>
              <w:pStyle w:val="NoSpacing"/>
              <w:jc w:val="right"/>
            </w:pPr>
            <w:r>
              <w:t>419</w:t>
            </w:r>
          </w:p>
        </w:tc>
        <w:tc>
          <w:tcPr>
            <w:tcW w:w="809" w:type="dxa"/>
          </w:tcPr>
          <w:p w:rsidR="00203015" w:rsidRDefault="00653121" w:rsidP="00691125">
            <w:pPr>
              <w:pStyle w:val="NoSpacing"/>
              <w:jc w:val="right"/>
            </w:pPr>
            <w:r>
              <w:t>258.1</w:t>
            </w:r>
          </w:p>
        </w:tc>
        <w:tc>
          <w:tcPr>
            <w:tcW w:w="1310" w:type="dxa"/>
          </w:tcPr>
          <w:p w:rsidR="00203015" w:rsidRDefault="00653121" w:rsidP="00691125">
            <w:pPr>
              <w:pStyle w:val="NoSpacing"/>
              <w:jc w:val="right"/>
            </w:pPr>
            <w:r>
              <w:t>106</w:t>
            </w:r>
          </w:p>
        </w:tc>
        <w:tc>
          <w:tcPr>
            <w:tcW w:w="1425" w:type="dxa"/>
          </w:tcPr>
          <w:p w:rsidR="00203015" w:rsidRDefault="00653121" w:rsidP="00691125">
            <w:pPr>
              <w:pStyle w:val="NoSpacing"/>
              <w:jc w:val="right"/>
            </w:pPr>
            <w:r>
              <w:t>36</w:t>
            </w:r>
          </w:p>
        </w:tc>
        <w:tc>
          <w:tcPr>
            <w:tcW w:w="1134" w:type="dxa"/>
          </w:tcPr>
          <w:p w:rsidR="00203015" w:rsidRDefault="00653121" w:rsidP="00691125">
            <w:pPr>
              <w:pStyle w:val="NoSpacing"/>
              <w:jc w:val="right"/>
            </w:pPr>
            <w:r>
              <w:t>113.3</w:t>
            </w:r>
          </w:p>
        </w:tc>
        <w:tc>
          <w:tcPr>
            <w:tcW w:w="1417" w:type="dxa"/>
          </w:tcPr>
          <w:p w:rsidR="00203015" w:rsidRDefault="00653121" w:rsidP="00691125">
            <w:pPr>
              <w:pStyle w:val="NoSpacing"/>
              <w:jc w:val="right"/>
            </w:pPr>
            <w:r>
              <w:t>277</w:t>
            </w:r>
          </w:p>
        </w:tc>
        <w:tc>
          <w:tcPr>
            <w:tcW w:w="1560" w:type="dxa"/>
          </w:tcPr>
          <w:p w:rsidR="00203015" w:rsidRDefault="00653121" w:rsidP="00691125">
            <w:pPr>
              <w:pStyle w:val="NoSpacing"/>
              <w:jc w:val="right"/>
            </w:pPr>
            <w:r>
              <w:t>144.7</w:t>
            </w:r>
          </w:p>
        </w:tc>
      </w:tr>
      <w:tr w:rsidR="00203015" w:rsidTr="00691125">
        <w:tc>
          <w:tcPr>
            <w:tcW w:w="1986" w:type="dxa"/>
          </w:tcPr>
          <w:p w:rsidR="00203015" w:rsidRDefault="00691125" w:rsidP="00691125">
            <w:pPr>
              <w:pStyle w:val="NoSpacing"/>
            </w:pPr>
            <w:r>
              <w:t>45-54</w:t>
            </w:r>
          </w:p>
        </w:tc>
        <w:tc>
          <w:tcPr>
            <w:tcW w:w="1417" w:type="dxa"/>
          </w:tcPr>
          <w:p w:rsidR="00203015" w:rsidRDefault="00653121" w:rsidP="00691125">
            <w:pPr>
              <w:pStyle w:val="NoSpacing"/>
              <w:jc w:val="right"/>
            </w:pPr>
            <w:r>
              <w:t>522</w:t>
            </w:r>
          </w:p>
        </w:tc>
        <w:tc>
          <w:tcPr>
            <w:tcW w:w="809" w:type="dxa"/>
          </w:tcPr>
          <w:p w:rsidR="00203015" w:rsidRDefault="00653121" w:rsidP="00691125">
            <w:pPr>
              <w:pStyle w:val="NoSpacing"/>
              <w:jc w:val="right"/>
            </w:pPr>
            <w:r>
              <w:t>337.6</w:t>
            </w:r>
          </w:p>
        </w:tc>
        <w:tc>
          <w:tcPr>
            <w:tcW w:w="1310" w:type="dxa"/>
          </w:tcPr>
          <w:p w:rsidR="00203015" w:rsidRDefault="00653121" w:rsidP="00691125">
            <w:pPr>
              <w:pStyle w:val="NoSpacing"/>
              <w:jc w:val="right"/>
            </w:pPr>
            <w:r>
              <w:t>134</w:t>
            </w:r>
          </w:p>
        </w:tc>
        <w:tc>
          <w:tcPr>
            <w:tcW w:w="1425" w:type="dxa"/>
          </w:tcPr>
          <w:p w:rsidR="00203015" w:rsidRDefault="00653121" w:rsidP="00691125">
            <w:pPr>
              <w:pStyle w:val="NoSpacing"/>
              <w:jc w:val="right"/>
            </w:pPr>
            <w:r>
              <w:t>47</w:t>
            </w:r>
          </w:p>
        </w:tc>
        <w:tc>
          <w:tcPr>
            <w:tcW w:w="1134" w:type="dxa"/>
          </w:tcPr>
          <w:p w:rsidR="00203015" w:rsidRDefault="00653121" w:rsidP="00691125">
            <w:pPr>
              <w:pStyle w:val="NoSpacing"/>
              <w:jc w:val="right"/>
            </w:pPr>
            <w:r>
              <w:t>150.0</w:t>
            </w:r>
          </w:p>
        </w:tc>
        <w:tc>
          <w:tcPr>
            <w:tcW w:w="1417" w:type="dxa"/>
          </w:tcPr>
          <w:p w:rsidR="00203015" w:rsidRDefault="00653121" w:rsidP="00691125">
            <w:pPr>
              <w:pStyle w:val="NoSpacing"/>
              <w:jc w:val="right"/>
            </w:pPr>
            <w:r>
              <w:t>341</w:t>
            </w:r>
          </w:p>
        </w:tc>
        <w:tc>
          <w:tcPr>
            <w:tcW w:w="1560" w:type="dxa"/>
          </w:tcPr>
          <w:p w:rsidR="00203015" w:rsidRDefault="00653121" w:rsidP="00691125">
            <w:pPr>
              <w:pStyle w:val="NoSpacing"/>
              <w:jc w:val="right"/>
            </w:pPr>
            <w:r>
              <w:t>187.5</w:t>
            </w:r>
          </w:p>
        </w:tc>
      </w:tr>
      <w:tr w:rsidR="00203015" w:rsidTr="00691125">
        <w:tc>
          <w:tcPr>
            <w:tcW w:w="1986" w:type="dxa"/>
          </w:tcPr>
          <w:p w:rsidR="00203015" w:rsidRDefault="00691125" w:rsidP="00691125">
            <w:pPr>
              <w:pStyle w:val="NoSpacing"/>
            </w:pPr>
            <w:r>
              <w:t>55-64</w:t>
            </w:r>
          </w:p>
        </w:tc>
        <w:tc>
          <w:tcPr>
            <w:tcW w:w="1417" w:type="dxa"/>
          </w:tcPr>
          <w:p w:rsidR="00203015" w:rsidRDefault="00653121" w:rsidP="00691125">
            <w:pPr>
              <w:pStyle w:val="NoSpacing"/>
              <w:jc w:val="right"/>
            </w:pPr>
            <w:r>
              <w:t>4.7</w:t>
            </w:r>
          </w:p>
        </w:tc>
        <w:tc>
          <w:tcPr>
            <w:tcW w:w="809" w:type="dxa"/>
          </w:tcPr>
          <w:p w:rsidR="00203015" w:rsidRDefault="00653121" w:rsidP="00691125">
            <w:pPr>
              <w:pStyle w:val="NoSpacing"/>
              <w:jc w:val="right"/>
            </w:pPr>
            <w:r>
              <w:t>287.7</w:t>
            </w:r>
          </w:p>
        </w:tc>
        <w:tc>
          <w:tcPr>
            <w:tcW w:w="1310" w:type="dxa"/>
          </w:tcPr>
          <w:p w:rsidR="00203015" w:rsidRDefault="00653121" w:rsidP="00691125">
            <w:pPr>
              <w:pStyle w:val="NoSpacing"/>
              <w:jc w:val="right"/>
            </w:pPr>
            <w:r>
              <w:t>129</w:t>
            </w:r>
          </w:p>
        </w:tc>
        <w:tc>
          <w:tcPr>
            <w:tcW w:w="1425" w:type="dxa"/>
          </w:tcPr>
          <w:p w:rsidR="00203015" w:rsidRDefault="00653121" w:rsidP="00691125">
            <w:pPr>
              <w:pStyle w:val="NoSpacing"/>
              <w:jc w:val="right"/>
            </w:pPr>
            <w:r>
              <w:t>58</w:t>
            </w:r>
          </w:p>
        </w:tc>
        <w:tc>
          <w:tcPr>
            <w:tcW w:w="1134" w:type="dxa"/>
          </w:tcPr>
          <w:p w:rsidR="00203015" w:rsidRDefault="00653121" w:rsidP="00691125">
            <w:pPr>
              <w:pStyle w:val="NoSpacing"/>
              <w:jc w:val="right"/>
            </w:pPr>
            <w:r>
              <w:t>151.8</w:t>
            </w:r>
          </w:p>
        </w:tc>
        <w:tc>
          <w:tcPr>
            <w:tcW w:w="1417" w:type="dxa"/>
          </w:tcPr>
          <w:p w:rsidR="00203015" w:rsidRDefault="00653121" w:rsidP="00691125">
            <w:pPr>
              <w:pStyle w:val="NoSpacing"/>
              <w:jc w:val="right"/>
            </w:pPr>
            <w:r>
              <w:t>250</w:t>
            </w:r>
          </w:p>
        </w:tc>
        <w:tc>
          <w:tcPr>
            <w:tcW w:w="1560" w:type="dxa"/>
          </w:tcPr>
          <w:p w:rsidR="00203015" w:rsidRDefault="00653121" w:rsidP="00691125">
            <w:pPr>
              <w:pStyle w:val="NoSpacing"/>
              <w:jc w:val="right"/>
            </w:pPr>
            <w:r>
              <w:t>135.9</w:t>
            </w:r>
          </w:p>
        </w:tc>
      </w:tr>
      <w:tr w:rsidR="00203015" w:rsidTr="00691125">
        <w:tc>
          <w:tcPr>
            <w:tcW w:w="1986" w:type="dxa"/>
          </w:tcPr>
          <w:p w:rsidR="00203015" w:rsidRDefault="00691125" w:rsidP="00691125">
            <w:pPr>
              <w:pStyle w:val="NoSpacing"/>
            </w:pPr>
            <w:r>
              <w:t>Over 64</w:t>
            </w:r>
          </w:p>
        </w:tc>
        <w:tc>
          <w:tcPr>
            <w:tcW w:w="1417" w:type="dxa"/>
          </w:tcPr>
          <w:p w:rsidR="00203015" w:rsidRDefault="00653121" w:rsidP="00691125">
            <w:pPr>
              <w:pStyle w:val="NoSpacing"/>
              <w:jc w:val="right"/>
            </w:pPr>
            <w:r>
              <w:t>133</w:t>
            </w:r>
          </w:p>
        </w:tc>
        <w:tc>
          <w:tcPr>
            <w:tcW w:w="809" w:type="dxa"/>
          </w:tcPr>
          <w:p w:rsidR="00203015" w:rsidRDefault="00653121" w:rsidP="00691125">
            <w:pPr>
              <w:pStyle w:val="NoSpacing"/>
              <w:jc w:val="right"/>
            </w:pPr>
            <w:r>
              <w:t>38.9</w:t>
            </w:r>
          </w:p>
        </w:tc>
        <w:tc>
          <w:tcPr>
            <w:tcW w:w="1310" w:type="dxa"/>
          </w:tcPr>
          <w:p w:rsidR="00203015" w:rsidRDefault="00653121" w:rsidP="00691125">
            <w:pPr>
              <w:pStyle w:val="NoSpacing"/>
              <w:jc w:val="right"/>
            </w:pPr>
            <w:r>
              <w:t>25</w:t>
            </w:r>
          </w:p>
        </w:tc>
        <w:tc>
          <w:tcPr>
            <w:tcW w:w="1425" w:type="dxa"/>
          </w:tcPr>
          <w:p w:rsidR="00203015" w:rsidRDefault="00653121" w:rsidP="00691125">
            <w:pPr>
              <w:pStyle w:val="NoSpacing"/>
              <w:jc w:val="right"/>
            </w:pPr>
            <w:r>
              <w:t>18</w:t>
            </w:r>
          </w:p>
        </w:tc>
        <w:tc>
          <w:tcPr>
            <w:tcW w:w="1134" w:type="dxa"/>
          </w:tcPr>
          <w:p w:rsidR="00203015" w:rsidRDefault="00653121" w:rsidP="00691125">
            <w:pPr>
              <w:pStyle w:val="NoSpacing"/>
              <w:jc w:val="right"/>
            </w:pPr>
            <w:r>
              <w:t>31.2</w:t>
            </w:r>
          </w:p>
        </w:tc>
        <w:tc>
          <w:tcPr>
            <w:tcW w:w="1417" w:type="dxa"/>
          </w:tcPr>
          <w:p w:rsidR="00203015" w:rsidRDefault="00653121" w:rsidP="00691125">
            <w:pPr>
              <w:pStyle w:val="NoSpacing"/>
              <w:jc w:val="right"/>
            </w:pPr>
            <w:r>
              <w:t>90</w:t>
            </w:r>
          </w:p>
        </w:tc>
        <w:tc>
          <w:tcPr>
            <w:tcW w:w="1560" w:type="dxa"/>
          </w:tcPr>
          <w:p w:rsidR="00203015" w:rsidRDefault="00653121" w:rsidP="00691125">
            <w:pPr>
              <w:pStyle w:val="NoSpacing"/>
              <w:jc w:val="right"/>
            </w:pPr>
            <w:r>
              <w:t>37.7</w:t>
            </w:r>
          </w:p>
        </w:tc>
      </w:tr>
      <w:tr w:rsidR="00203015" w:rsidTr="00691125">
        <w:tc>
          <w:tcPr>
            <w:tcW w:w="1986" w:type="dxa"/>
          </w:tcPr>
          <w:p w:rsidR="00203015" w:rsidRDefault="00691125" w:rsidP="00691125">
            <w:pPr>
              <w:pStyle w:val="NoSpacing"/>
            </w:pPr>
            <w:r>
              <w:t xml:space="preserve">Total employees </w:t>
            </w:r>
          </w:p>
        </w:tc>
        <w:tc>
          <w:tcPr>
            <w:tcW w:w="1417" w:type="dxa"/>
          </w:tcPr>
          <w:p w:rsidR="00203015" w:rsidRDefault="00653121" w:rsidP="00691125">
            <w:pPr>
              <w:pStyle w:val="NoSpacing"/>
              <w:jc w:val="right"/>
            </w:pPr>
            <w:r>
              <w:t>1</w:t>
            </w:r>
            <w:r w:rsidR="009017B8">
              <w:t>,</w:t>
            </w:r>
            <w:r>
              <w:t>827</w:t>
            </w:r>
          </w:p>
        </w:tc>
        <w:tc>
          <w:tcPr>
            <w:tcW w:w="809" w:type="dxa"/>
          </w:tcPr>
          <w:p w:rsidR="00203015" w:rsidRDefault="00653121" w:rsidP="00691125">
            <w:pPr>
              <w:pStyle w:val="NoSpacing"/>
              <w:jc w:val="right"/>
            </w:pPr>
            <w:r>
              <w:t>1115.8</w:t>
            </w:r>
          </w:p>
        </w:tc>
        <w:tc>
          <w:tcPr>
            <w:tcW w:w="1310" w:type="dxa"/>
          </w:tcPr>
          <w:p w:rsidR="00203015" w:rsidRDefault="00653121" w:rsidP="00691125">
            <w:pPr>
              <w:pStyle w:val="NoSpacing"/>
              <w:jc w:val="right"/>
            </w:pPr>
            <w:r>
              <w:t>443</w:t>
            </w:r>
          </w:p>
        </w:tc>
        <w:tc>
          <w:tcPr>
            <w:tcW w:w="1425" w:type="dxa"/>
          </w:tcPr>
          <w:p w:rsidR="00203015" w:rsidRDefault="00653121" w:rsidP="00691125">
            <w:pPr>
              <w:pStyle w:val="NoSpacing"/>
              <w:jc w:val="right"/>
            </w:pPr>
            <w:r>
              <w:t>179</w:t>
            </w:r>
          </w:p>
        </w:tc>
        <w:tc>
          <w:tcPr>
            <w:tcW w:w="1134" w:type="dxa"/>
          </w:tcPr>
          <w:p w:rsidR="00203015" w:rsidRDefault="00653121" w:rsidP="00691125">
            <w:pPr>
              <w:pStyle w:val="NoSpacing"/>
              <w:jc w:val="right"/>
            </w:pPr>
            <w:r>
              <w:t>493.9</w:t>
            </w:r>
          </w:p>
        </w:tc>
        <w:tc>
          <w:tcPr>
            <w:tcW w:w="1417" w:type="dxa"/>
          </w:tcPr>
          <w:p w:rsidR="00203015" w:rsidRDefault="00653121" w:rsidP="00691125">
            <w:pPr>
              <w:pStyle w:val="NoSpacing"/>
              <w:jc w:val="right"/>
            </w:pPr>
            <w:r>
              <w:t>1</w:t>
            </w:r>
            <w:r w:rsidR="009017B8">
              <w:t>,</w:t>
            </w:r>
            <w:r>
              <w:t>205</w:t>
            </w:r>
          </w:p>
        </w:tc>
        <w:tc>
          <w:tcPr>
            <w:tcW w:w="1560" w:type="dxa"/>
          </w:tcPr>
          <w:p w:rsidR="00203015" w:rsidRDefault="00653121" w:rsidP="00691125">
            <w:pPr>
              <w:pStyle w:val="NoSpacing"/>
              <w:jc w:val="right"/>
            </w:pPr>
            <w:r>
              <w:t>621.9</w:t>
            </w:r>
          </w:p>
        </w:tc>
      </w:tr>
    </w:tbl>
    <w:p w:rsidR="001F2765" w:rsidRDefault="001F2765" w:rsidP="002B5415">
      <w:pPr>
        <w:pStyle w:val="NoSpacing"/>
      </w:pPr>
    </w:p>
    <w:p w:rsidR="00653121" w:rsidRDefault="00653121" w:rsidP="002B5415">
      <w:pPr>
        <w:pStyle w:val="NoSpacing"/>
      </w:pPr>
    </w:p>
    <w:tbl>
      <w:tblPr>
        <w:tblStyle w:val="TableGrid"/>
        <w:tblW w:w="11058" w:type="dxa"/>
        <w:tblInd w:w="-998" w:type="dxa"/>
        <w:tblLook w:val="04A0" w:firstRow="1" w:lastRow="0" w:firstColumn="1" w:lastColumn="0" w:noHBand="0" w:noVBand="1"/>
      </w:tblPr>
      <w:tblGrid>
        <w:gridCol w:w="1986"/>
        <w:gridCol w:w="1417"/>
        <w:gridCol w:w="809"/>
        <w:gridCol w:w="1310"/>
        <w:gridCol w:w="1425"/>
        <w:gridCol w:w="1134"/>
        <w:gridCol w:w="1417"/>
        <w:gridCol w:w="1560"/>
      </w:tblGrid>
      <w:tr w:rsidR="00653121" w:rsidTr="008B3C35">
        <w:tc>
          <w:tcPr>
            <w:tcW w:w="1986" w:type="dxa"/>
          </w:tcPr>
          <w:p w:rsidR="00653121" w:rsidRDefault="00653121" w:rsidP="008B3C35">
            <w:pPr>
              <w:pStyle w:val="NoSpacing"/>
            </w:pPr>
          </w:p>
        </w:tc>
        <w:tc>
          <w:tcPr>
            <w:tcW w:w="3536" w:type="dxa"/>
            <w:gridSpan w:val="3"/>
          </w:tcPr>
          <w:p w:rsidR="00653121" w:rsidRDefault="00653121" w:rsidP="008B3C35">
            <w:pPr>
              <w:pStyle w:val="NoSpacing"/>
              <w:jc w:val="center"/>
            </w:pPr>
            <w:r>
              <w:t>All employees</w:t>
            </w:r>
          </w:p>
        </w:tc>
        <w:tc>
          <w:tcPr>
            <w:tcW w:w="2559" w:type="dxa"/>
            <w:gridSpan w:val="2"/>
          </w:tcPr>
          <w:p w:rsidR="00653121" w:rsidRDefault="00653121" w:rsidP="008B3C35">
            <w:pPr>
              <w:pStyle w:val="NoSpacing"/>
              <w:jc w:val="right"/>
            </w:pPr>
            <w:r>
              <w:t>Ongoing</w:t>
            </w:r>
          </w:p>
        </w:tc>
        <w:tc>
          <w:tcPr>
            <w:tcW w:w="2977" w:type="dxa"/>
            <w:gridSpan w:val="2"/>
          </w:tcPr>
          <w:p w:rsidR="00653121" w:rsidRDefault="00653121" w:rsidP="008B3C35">
            <w:pPr>
              <w:pStyle w:val="NoSpacing"/>
              <w:jc w:val="right"/>
            </w:pPr>
            <w:r>
              <w:t xml:space="preserve">Fixed term and casual </w:t>
            </w:r>
          </w:p>
        </w:tc>
      </w:tr>
      <w:tr w:rsidR="00653121" w:rsidTr="008B3C35">
        <w:tc>
          <w:tcPr>
            <w:tcW w:w="1986" w:type="dxa"/>
          </w:tcPr>
          <w:p w:rsidR="00653121" w:rsidRDefault="00653121" w:rsidP="008B3C35">
            <w:pPr>
              <w:pStyle w:val="NoSpacing"/>
            </w:pPr>
            <w:r>
              <w:t>Dec 2018</w:t>
            </w:r>
          </w:p>
        </w:tc>
        <w:tc>
          <w:tcPr>
            <w:tcW w:w="1417" w:type="dxa"/>
          </w:tcPr>
          <w:p w:rsidR="00653121" w:rsidRDefault="00653121" w:rsidP="008B3C35">
            <w:pPr>
              <w:pStyle w:val="NoSpacing"/>
              <w:jc w:val="right"/>
            </w:pPr>
            <w:r>
              <w:t>Number (headcount)</w:t>
            </w:r>
          </w:p>
        </w:tc>
        <w:tc>
          <w:tcPr>
            <w:tcW w:w="809" w:type="dxa"/>
          </w:tcPr>
          <w:p w:rsidR="00653121" w:rsidRDefault="00653121" w:rsidP="008B3C35">
            <w:pPr>
              <w:pStyle w:val="NoSpacing"/>
              <w:jc w:val="right"/>
            </w:pPr>
            <w:r>
              <w:t>FTE</w:t>
            </w:r>
          </w:p>
        </w:tc>
        <w:tc>
          <w:tcPr>
            <w:tcW w:w="1310" w:type="dxa"/>
          </w:tcPr>
          <w:p w:rsidR="00653121" w:rsidRDefault="00653121" w:rsidP="008B3C35">
            <w:pPr>
              <w:pStyle w:val="NoSpacing"/>
              <w:jc w:val="right"/>
            </w:pPr>
            <w:r>
              <w:t>Full time (headcount)</w:t>
            </w:r>
          </w:p>
        </w:tc>
        <w:tc>
          <w:tcPr>
            <w:tcW w:w="1425" w:type="dxa"/>
          </w:tcPr>
          <w:p w:rsidR="00653121" w:rsidRDefault="00653121" w:rsidP="008B3C35">
            <w:pPr>
              <w:pStyle w:val="NoSpacing"/>
              <w:jc w:val="right"/>
            </w:pPr>
            <w:r>
              <w:t>Part time (headcount)</w:t>
            </w:r>
          </w:p>
        </w:tc>
        <w:tc>
          <w:tcPr>
            <w:tcW w:w="1134" w:type="dxa"/>
          </w:tcPr>
          <w:p w:rsidR="00653121" w:rsidRDefault="00653121" w:rsidP="008B3C35">
            <w:pPr>
              <w:pStyle w:val="NoSpacing"/>
              <w:jc w:val="right"/>
            </w:pPr>
            <w:r>
              <w:t>FTE</w:t>
            </w:r>
          </w:p>
        </w:tc>
        <w:tc>
          <w:tcPr>
            <w:tcW w:w="1417" w:type="dxa"/>
          </w:tcPr>
          <w:p w:rsidR="00653121" w:rsidRDefault="00653121" w:rsidP="008B3C35">
            <w:pPr>
              <w:pStyle w:val="NoSpacing"/>
              <w:jc w:val="right"/>
            </w:pPr>
            <w:r>
              <w:t>Number (headcount)</w:t>
            </w:r>
          </w:p>
        </w:tc>
        <w:tc>
          <w:tcPr>
            <w:tcW w:w="1560" w:type="dxa"/>
          </w:tcPr>
          <w:p w:rsidR="00653121" w:rsidRDefault="00653121" w:rsidP="008B3C35">
            <w:pPr>
              <w:pStyle w:val="NoSpacing"/>
              <w:jc w:val="right"/>
            </w:pPr>
            <w:r>
              <w:t>FTE</w:t>
            </w:r>
          </w:p>
        </w:tc>
      </w:tr>
      <w:tr w:rsidR="00653121" w:rsidTr="008B3C35">
        <w:tc>
          <w:tcPr>
            <w:tcW w:w="11058" w:type="dxa"/>
            <w:gridSpan w:val="8"/>
          </w:tcPr>
          <w:p w:rsidR="00653121" w:rsidRDefault="00653121" w:rsidP="008B3C35">
            <w:pPr>
              <w:pStyle w:val="NoSpacing"/>
            </w:pPr>
            <w:r>
              <w:t>Gender</w:t>
            </w:r>
          </w:p>
        </w:tc>
      </w:tr>
      <w:tr w:rsidR="00653121" w:rsidTr="008B3C35">
        <w:tc>
          <w:tcPr>
            <w:tcW w:w="1986" w:type="dxa"/>
          </w:tcPr>
          <w:p w:rsidR="00653121" w:rsidRDefault="00653121" w:rsidP="008B3C35">
            <w:pPr>
              <w:pStyle w:val="NoSpacing"/>
            </w:pPr>
            <w:r>
              <w:t>Women executives</w:t>
            </w:r>
          </w:p>
        </w:tc>
        <w:tc>
          <w:tcPr>
            <w:tcW w:w="1417" w:type="dxa"/>
          </w:tcPr>
          <w:p w:rsidR="00653121" w:rsidRDefault="00653121" w:rsidP="008B3C35">
            <w:pPr>
              <w:pStyle w:val="NoSpacing"/>
              <w:jc w:val="right"/>
            </w:pPr>
            <w:r>
              <w:t>4</w:t>
            </w:r>
          </w:p>
        </w:tc>
        <w:tc>
          <w:tcPr>
            <w:tcW w:w="809" w:type="dxa"/>
          </w:tcPr>
          <w:p w:rsidR="00653121" w:rsidRDefault="00653121" w:rsidP="008B3C35">
            <w:pPr>
              <w:pStyle w:val="NoSpacing"/>
              <w:jc w:val="right"/>
            </w:pPr>
            <w:r>
              <w:t>4.0</w:t>
            </w:r>
          </w:p>
        </w:tc>
        <w:tc>
          <w:tcPr>
            <w:tcW w:w="1310" w:type="dxa"/>
          </w:tcPr>
          <w:p w:rsidR="00653121" w:rsidRDefault="00653121" w:rsidP="008B3C35">
            <w:pPr>
              <w:pStyle w:val="NoSpacing"/>
              <w:jc w:val="right"/>
            </w:pPr>
            <w:r>
              <w:t>-</w:t>
            </w:r>
          </w:p>
        </w:tc>
        <w:tc>
          <w:tcPr>
            <w:tcW w:w="1425" w:type="dxa"/>
          </w:tcPr>
          <w:p w:rsidR="00653121" w:rsidRDefault="00653121" w:rsidP="008B3C35">
            <w:pPr>
              <w:pStyle w:val="NoSpacing"/>
              <w:jc w:val="right"/>
            </w:pPr>
            <w:r>
              <w:t>-</w:t>
            </w:r>
          </w:p>
        </w:tc>
        <w:tc>
          <w:tcPr>
            <w:tcW w:w="1134" w:type="dxa"/>
          </w:tcPr>
          <w:p w:rsidR="00653121" w:rsidRDefault="00653121" w:rsidP="008B3C35">
            <w:pPr>
              <w:pStyle w:val="NoSpacing"/>
              <w:jc w:val="right"/>
            </w:pPr>
            <w:r>
              <w:t>-</w:t>
            </w:r>
          </w:p>
        </w:tc>
        <w:tc>
          <w:tcPr>
            <w:tcW w:w="1417" w:type="dxa"/>
          </w:tcPr>
          <w:p w:rsidR="00653121" w:rsidRDefault="00653121" w:rsidP="008B3C35">
            <w:pPr>
              <w:pStyle w:val="NoSpacing"/>
              <w:jc w:val="right"/>
            </w:pPr>
            <w:r>
              <w:t>4</w:t>
            </w:r>
          </w:p>
        </w:tc>
        <w:tc>
          <w:tcPr>
            <w:tcW w:w="1560" w:type="dxa"/>
          </w:tcPr>
          <w:p w:rsidR="00653121" w:rsidRDefault="00653121" w:rsidP="008B3C35">
            <w:pPr>
              <w:pStyle w:val="NoSpacing"/>
              <w:jc w:val="right"/>
            </w:pPr>
            <w:r>
              <w:t>4.0</w:t>
            </w:r>
          </w:p>
        </w:tc>
      </w:tr>
      <w:tr w:rsidR="00653121" w:rsidTr="008B3C35">
        <w:tc>
          <w:tcPr>
            <w:tcW w:w="1986" w:type="dxa"/>
          </w:tcPr>
          <w:p w:rsidR="00653121" w:rsidRDefault="00653121" w:rsidP="008B3C35">
            <w:pPr>
              <w:pStyle w:val="NoSpacing"/>
            </w:pPr>
            <w:r>
              <w:t>Women (total staff)</w:t>
            </w:r>
          </w:p>
        </w:tc>
        <w:tc>
          <w:tcPr>
            <w:tcW w:w="1417" w:type="dxa"/>
          </w:tcPr>
          <w:p w:rsidR="00653121" w:rsidRDefault="00653121" w:rsidP="008B3C35">
            <w:pPr>
              <w:pStyle w:val="NoSpacing"/>
              <w:jc w:val="right"/>
            </w:pPr>
            <w:r>
              <w:t>850</w:t>
            </w:r>
          </w:p>
        </w:tc>
        <w:tc>
          <w:tcPr>
            <w:tcW w:w="809" w:type="dxa"/>
          </w:tcPr>
          <w:p w:rsidR="00653121" w:rsidRDefault="00653121" w:rsidP="008B3C35">
            <w:pPr>
              <w:pStyle w:val="NoSpacing"/>
              <w:jc w:val="right"/>
            </w:pPr>
            <w:r>
              <w:t>562.9</w:t>
            </w:r>
          </w:p>
        </w:tc>
        <w:tc>
          <w:tcPr>
            <w:tcW w:w="1310" w:type="dxa"/>
          </w:tcPr>
          <w:p w:rsidR="00653121" w:rsidRDefault="00653121" w:rsidP="008B3C35">
            <w:pPr>
              <w:pStyle w:val="NoSpacing"/>
              <w:jc w:val="right"/>
            </w:pPr>
            <w:r>
              <w:t>72</w:t>
            </w:r>
          </w:p>
        </w:tc>
        <w:tc>
          <w:tcPr>
            <w:tcW w:w="1425" w:type="dxa"/>
          </w:tcPr>
          <w:p w:rsidR="00653121" w:rsidRDefault="00653121" w:rsidP="008B3C35">
            <w:pPr>
              <w:pStyle w:val="NoSpacing"/>
              <w:jc w:val="right"/>
            </w:pPr>
            <w:r>
              <w:t>56</w:t>
            </w:r>
          </w:p>
        </w:tc>
        <w:tc>
          <w:tcPr>
            <w:tcW w:w="1134" w:type="dxa"/>
          </w:tcPr>
          <w:p w:rsidR="00653121" w:rsidRDefault="00653121" w:rsidP="008B3C35">
            <w:pPr>
              <w:pStyle w:val="NoSpacing"/>
              <w:jc w:val="right"/>
            </w:pPr>
            <w:r>
              <w:t>109.4</w:t>
            </w:r>
          </w:p>
        </w:tc>
        <w:tc>
          <w:tcPr>
            <w:tcW w:w="1417" w:type="dxa"/>
          </w:tcPr>
          <w:p w:rsidR="00653121" w:rsidRDefault="00653121" w:rsidP="008B3C35">
            <w:pPr>
              <w:pStyle w:val="NoSpacing"/>
              <w:jc w:val="right"/>
            </w:pPr>
            <w:r>
              <w:t>722</w:t>
            </w:r>
          </w:p>
        </w:tc>
        <w:tc>
          <w:tcPr>
            <w:tcW w:w="1560" w:type="dxa"/>
          </w:tcPr>
          <w:p w:rsidR="00653121" w:rsidRDefault="00653121" w:rsidP="008B3C35">
            <w:pPr>
              <w:pStyle w:val="NoSpacing"/>
              <w:jc w:val="right"/>
            </w:pPr>
            <w:r>
              <w:t>453.5</w:t>
            </w:r>
          </w:p>
        </w:tc>
      </w:tr>
      <w:tr w:rsidR="00653121" w:rsidTr="008B3C35">
        <w:tc>
          <w:tcPr>
            <w:tcW w:w="1986" w:type="dxa"/>
          </w:tcPr>
          <w:p w:rsidR="00653121" w:rsidRDefault="00653121" w:rsidP="008B3C35">
            <w:pPr>
              <w:pStyle w:val="NoSpacing"/>
            </w:pPr>
            <w:r>
              <w:t>Men executives</w:t>
            </w:r>
          </w:p>
        </w:tc>
        <w:tc>
          <w:tcPr>
            <w:tcW w:w="1417" w:type="dxa"/>
          </w:tcPr>
          <w:p w:rsidR="00653121" w:rsidRDefault="00653121" w:rsidP="008B3C35">
            <w:pPr>
              <w:pStyle w:val="NoSpacing"/>
              <w:jc w:val="right"/>
            </w:pPr>
            <w:r>
              <w:t>5</w:t>
            </w:r>
          </w:p>
        </w:tc>
        <w:tc>
          <w:tcPr>
            <w:tcW w:w="809" w:type="dxa"/>
          </w:tcPr>
          <w:p w:rsidR="00653121" w:rsidRDefault="00653121" w:rsidP="008B3C35">
            <w:pPr>
              <w:pStyle w:val="NoSpacing"/>
              <w:jc w:val="right"/>
            </w:pPr>
            <w:r>
              <w:t>5.0</w:t>
            </w:r>
          </w:p>
        </w:tc>
        <w:tc>
          <w:tcPr>
            <w:tcW w:w="1310" w:type="dxa"/>
          </w:tcPr>
          <w:p w:rsidR="00653121" w:rsidRDefault="00653121" w:rsidP="008B3C35">
            <w:pPr>
              <w:pStyle w:val="NoSpacing"/>
              <w:jc w:val="right"/>
            </w:pPr>
            <w:r>
              <w:t>-</w:t>
            </w:r>
          </w:p>
        </w:tc>
        <w:tc>
          <w:tcPr>
            <w:tcW w:w="1425" w:type="dxa"/>
          </w:tcPr>
          <w:p w:rsidR="00653121" w:rsidRDefault="00653121" w:rsidP="008B3C35">
            <w:pPr>
              <w:pStyle w:val="NoSpacing"/>
              <w:jc w:val="right"/>
            </w:pPr>
            <w:r>
              <w:t>-</w:t>
            </w:r>
          </w:p>
        </w:tc>
        <w:tc>
          <w:tcPr>
            <w:tcW w:w="1134" w:type="dxa"/>
          </w:tcPr>
          <w:p w:rsidR="00653121" w:rsidRDefault="00653121" w:rsidP="008B3C35">
            <w:pPr>
              <w:pStyle w:val="NoSpacing"/>
              <w:jc w:val="right"/>
            </w:pPr>
            <w:r>
              <w:t>-</w:t>
            </w:r>
          </w:p>
        </w:tc>
        <w:tc>
          <w:tcPr>
            <w:tcW w:w="1417" w:type="dxa"/>
          </w:tcPr>
          <w:p w:rsidR="00653121" w:rsidRDefault="00653121" w:rsidP="008B3C35">
            <w:pPr>
              <w:pStyle w:val="NoSpacing"/>
              <w:jc w:val="right"/>
            </w:pPr>
            <w:r>
              <w:t>5</w:t>
            </w:r>
          </w:p>
        </w:tc>
        <w:tc>
          <w:tcPr>
            <w:tcW w:w="1560" w:type="dxa"/>
          </w:tcPr>
          <w:p w:rsidR="00653121" w:rsidRDefault="00653121" w:rsidP="008B3C35">
            <w:pPr>
              <w:pStyle w:val="NoSpacing"/>
              <w:jc w:val="right"/>
            </w:pPr>
            <w:r>
              <w:t>5.0</w:t>
            </w:r>
          </w:p>
        </w:tc>
      </w:tr>
      <w:tr w:rsidR="00653121" w:rsidTr="008B3C35">
        <w:tc>
          <w:tcPr>
            <w:tcW w:w="1986" w:type="dxa"/>
          </w:tcPr>
          <w:p w:rsidR="00653121" w:rsidRDefault="00653121" w:rsidP="008B3C35">
            <w:pPr>
              <w:pStyle w:val="NoSpacing"/>
            </w:pPr>
            <w:r>
              <w:t>Men (total staff)</w:t>
            </w:r>
          </w:p>
        </w:tc>
        <w:tc>
          <w:tcPr>
            <w:tcW w:w="1417" w:type="dxa"/>
          </w:tcPr>
          <w:p w:rsidR="00653121" w:rsidRDefault="00653121" w:rsidP="008B3C35">
            <w:pPr>
              <w:pStyle w:val="NoSpacing"/>
              <w:jc w:val="right"/>
            </w:pPr>
            <w:r>
              <w:t>595</w:t>
            </w:r>
          </w:p>
        </w:tc>
        <w:tc>
          <w:tcPr>
            <w:tcW w:w="809" w:type="dxa"/>
          </w:tcPr>
          <w:p w:rsidR="00653121" w:rsidRDefault="00653121" w:rsidP="008B3C35">
            <w:pPr>
              <w:pStyle w:val="NoSpacing"/>
              <w:jc w:val="right"/>
            </w:pPr>
            <w:r>
              <w:t>415.6</w:t>
            </w:r>
          </w:p>
        </w:tc>
        <w:tc>
          <w:tcPr>
            <w:tcW w:w="1310" w:type="dxa"/>
          </w:tcPr>
          <w:p w:rsidR="00653121" w:rsidRDefault="00653121" w:rsidP="008B3C35">
            <w:pPr>
              <w:pStyle w:val="NoSpacing"/>
              <w:jc w:val="right"/>
            </w:pPr>
            <w:r>
              <w:t>84</w:t>
            </w:r>
          </w:p>
        </w:tc>
        <w:tc>
          <w:tcPr>
            <w:tcW w:w="1425" w:type="dxa"/>
          </w:tcPr>
          <w:p w:rsidR="00653121" w:rsidRDefault="00653121" w:rsidP="008B3C35">
            <w:pPr>
              <w:pStyle w:val="NoSpacing"/>
              <w:jc w:val="right"/>
            </w:pPr>
            <w:r>
              <w:t>14</w:t>
            </w:r>
          </w:p>
        </w:tc>
        <w:tc>
          <w:tcPr>
            <w:tcW w:w="1134" w:type="dxa"/>
          </w:tcPr>
          <w:p w:rsidR="00653121" w:rsidRDefault="00653121" w:rsidP="008B3C35">
            <w:pPr>
              <w:pStyle w:val="NoSpacing"/>
              <w:jc w:val="right"/>
            </w:pPr>
            <w:r>
              <w:t>93.2</w:t>
            </w:r>
          </w:p>
        </w:tc>
        <w:tc>
          <w:tcPr>
            <w:tcW w:w="1417" w:type="dxa"/>
          </w:tcPr>
          <w:p w:rsidR="00653121" w:rsidRDefault="00653121" w:rsidP="008B3C35">
            <w:pPr>
              <w:pStyle w:val="NoSpacing"/>
              <w:jc w:val="right"/>
            </w:pPr>
            <w:r>
              <w:t>497</w:t>
            </w:r>
          </w:p>
        </w:tc>
        <w:tc>
          <w:tcPr>
            <w:tcW w:w="1560" w:type="dxa"/>
          </w:tcPr>
          <w:p w:rsidR="00653121" w:rsidRDefault="00653121" w:rsidP="008B3C35">
            <w:pPr>
              <w:pStyle w:val="NoSpacing"/>
              <w:jc w:val="right"/>
            </w:pPr>
            <w:r>
              <w:t>322.4</w:t>
            </w:r>
          </w:p>
        </w:tc>
      </w:tr>
      <w:tr w:rsidR="00653121" w:rsidTr="008B3C35">
        <w:tc>
          <w:tcPr>
            <w:tcW w:w="1986" w:type="dxa"/>
          </w:tcPr>
          <w:p w:rsidR="00653121" w:rsidRDefault="00653121" w:rsidP="008B3C35">
            <w:pPr>
              <w:pStyle w:val="NoSpacing"/>
            </w:pPr>
            <w:r>
              <w:t>Self-described</w:t>
            </w:r>
          </w:p>
        </w:tc>
        <w:tc>
          <w:tcPr>
            <w:tcW w:w="1417" w:type="dxa"/>
          </w:tcPr>
          <w:p w:rsidR="00653121" w:rsidRDefault="00653121" w:rsidP="008B3C35">
            <w:pPr>
              <w:pStyle w:val="NoSpacing"/>
              <w:jc w:val="right"/>
            </w:pPr>
            <w:r>
              <w:t>-</w:t>
            </w:r>
          </w:p>
        </w:tc>
        <w:tc>
          <w:tcPr>
            <w:tcW w:w="809" w:type="dxa"/>
          </w:tcPr>
          <w:p w:rsidR="00653121" w:rsidRDefault="00653121" w:rsidP="008B3C35">
            <w:pPr>
              <w:pStyle w:val="NoSpacing"/>
              <w:jc w:val="right"/>
            </w:pPr>
            <w:r>
              <w:t>-</w:t>
            </w:r>
          </w:p>
        </w:tc>
        <w:tc>
          <w:tcPr>
            <w:tcW w:w="1310" w:type="dxa"/>
          </w:tcPr>
          <w:p w:rsidR="00653121" w:rsidRDefault="00653121" w:rsidP="008B3C35">
            <w:pPr>
              <w:pStyle w:val="NoSpacing"/>
              <w:jc w:val="right"/>
            </w:pPr>
            <w:r>
              <w:t>-</w:t>
            </w:r>
          </w:p>
        </w:tc>
        <w:tc>
          <w:tcPr>
            <w:tcW w:w="1425" w:type="dxa"/>
          </w:tcPr>
          <w:p w:rsidR="00653121" w:rsidRDefault="00653121" w:rsidP="008B3C35">
            <w:pPr>
              <w:pStyle w:val="NoSpacing"/>
              <w:jc w:val="right"/>
            </w:pPr>
            <w:r>
              <w:t>-</w:t>
            </w:r>
          </w:p>
        </w:tc>
        <w:tc>
          <w:tcPr>
            <w:tcW w:w="1134" w:type="dxa"/>
          </w:tcPr>
          <w:p w:rsidR="00653121" w:rsidRDefault="00653121" w:rsidP="008B3C35">
            <w:pPr>
              <w:pStyle w:val="NoSpacing"/>
              <w:jc w:val="right"/>
            </w:pPr>
            <w:r>
              <w:t>-</w:t>
            </w:r>
          </w:p>
        </w:tc>
        <w:tc>
          <w:tcPr>
            <w:tcW w:w="1417" w:type="dxa"/>
          </w:tcPr>
          <w:p w:rsidR="00653121" w:rsidRDefault="00653121" w:rsidP="008B3C35">
            <w:pPr>
              <w:pStyle w:val="NoSpacing"/>
              <w:jc w:val="right"/>
            </w:pPr>
            <w:r>
              <w:t>-</w:t>
            </w:r>
          </w:p>
        </w:tc>
        <w:tc>
          <w:tcPr>
            <w:tcW w:w="1560" w:type="dxa"/>
          </w:tcPr>
          <w:p w:rsidR="00653121" w:rsidRDefault="00653121" w:rsidP="008B3C35">
            <w:pPr>
              <w:pStyle w:val="NoSpacing"/>
              <w:jc w:val="right"/>
            </w:pPr>
            <w:r>
              <w:t>-</w:t>
            </w:r>
          </w:p>
        </w:tc>
      </w:tr>
      <w:tr w:rsidR="00653121" w:rsidTr="008B3C35">
        <w:tc>
          <w:tcPr>
            <w:tcW w:w="11058" w:type="dxa"/>
            <w:gridSpan w:val="8"/>
          </w:tcPr>
          <w:p w:rsidR="00653121" w:rsidRDefault="00653121" w:rsidP="008B3C35">
            <w:pPr>
              <w:pStyle w:val="NoSpacing"/>
            </w:pPr>
            <w:r>
              <w:t>Age</w:t>
            </w:r>
          </w:p>
        </w:tc>
      </w:tr>
      <w:tr w:rsidR="00653121" w:rsidTr="008B3C35">
        <w:tc>
          <w:tcPr>
            <w:tcW w:w="1986" w:type="dxa"/>
          </w:tcPr>
          <w:p w:rsidR="00653121" w:rsidRDefault="00653121" w:rsidP="008B3C35">
            <w:pPr>
              <w:pStyle w:val="NoSpacing"/>
            </w:pPr>
            <w:r>
              <w:t>15-24</w:t>
            </w:r>
          </w:p>
        </w:tc>
        <w:tc>
          <w:tcPr>
            <w:tcW w:w="1417" w:type="dxa"/>
          </w:tcPr>
          <w:p w:rsidR="00653121" w:rsidRDefault="009017B8" w:rsidP="008B3C35">
            <w:pPr>
              <w:pStyle w:val="NoSpacing"/>
              <w:jc w:val="right"/>
            </w:pPr>
            <w:r>
              <w:t>40</w:t>
            </w:r>
          </w:p>
        </w:tc>
        <w:tc>
          <w:tcPr>
            <w:tcW w:w="809" w:type="dxa"/>
          </w:tcPr>
          <w:p w:rsidR="00653121" w:rsidRDefault="009017B8" w:rsidP="008B3C35">
            <w:pPr>
              <w:pStyle w:val="NoSpacing"/>
              <w:jc w:val="right"/>
            </w:pPr>
            <w:r>
              <w:t>20.6</w:t>
            </w:r>
          </w:p>
        </w:tc>
        <w:tc>
          <w:tcPr>
            <w:tcW w:w="1310" w:type="dxa"/>
          </w:tcPr>
          <w:p w:rsidR="00653121" w:rsidRDefault="009017B8" w:rsidP="008B3C35">
            <w:pPr>
              <w:pStyle w:val="NoSpacing"/>
              <w:jc w:val="right"/>
            </w:pPr>
            <w:r>
              <w:t>2</w:t>
            </w:r>
          </w:p>
        </w:tc>
        <w:tc>
          <w:tcPr>
            <w:tcW w:w="1425" w:type="dxa"/>
          </w:tcPr>
          <w:p w:rsidR="00653121" w:rsidRDefault="009017B8" w:rsidP="008B3C35">
            <w:pPr>
              <w:pStyle w:val="NoSpacing"/>
              <w:jc w:val="right"/>
            </w:pPr>
            <w:r>
              <w:t>1</w:t>
            </w:r>
          </w:p>
        </w:tc>
        <w:tc>
          <w:tcPr>
            <w:tcW w:w="1134" w:type="dxa"/>
          </w:tcPr>
          <w:p w:rsidR="00653121" w:rsidRDefault="009017B8" w:rsidP="008B3C35">
            <w:pPr>
              <w:pStyle w:val="NoSpacing"/>
              <w:jc w:val="right"/>
            </w:pPr>
            <w:r>
              <w:t>2.5</w:t>
            </w:r>
          </w:p>
        </w:tc>
        <w:tc>
          <w:tcPr>
            <w:tcW w:w="1417" w:type="dxa"/>
          </w:tcPr>
          <w:p w:rsidR="00653121" w:rsidRDefault="009017B8" w:rsidP="008B3C35">
            <w:pPr>
              <w:pStyle w:val="NoSpacing"/>
              <w:jc w:val="right"/>
            </w:pPr>
            <w:r>
              <w:t>37</w:t>
            </w:r>
          </w:p>
        </w:tc>
        <w:tc>
          <w:tcPr>
            <w:tcW w:w="1560" w:type="dxa"/>
          </w:tcPr>
          <w:p w:rsidR="00653121" w:rsidRDefault="009017B8" w:rsidP="008B3C35">
            <w:pPr>
              <w:pStyle w:val="NoSpacing"/>
              <w:jc w:val="right"/>
            </w:pPr>
            <w:r>
              <w:t>18.1</w:t>
            </w:r>
          </w:p>
        </w:tc>
      </w:tr>
      <w:tr w:rsidR="00653121" w:rsidTr="008B3C35">
        <w:tc>
          <w:tcPr>
            <w:tcW w:w="1986" w:type="dxa"/>
          </w:tcPr>
          <w:p w:rsidR="00653121" w:rsidRDefault="00653121" w:rsidP="008B3C35">
            <w:pPr>
              <w:pStyle w:val="NoSpacing"/>
            </w:pPr>
            <w:r>
              <w:t>25-34</w:t>
            </w:r>
          </w:p>
        </w:tc>
        <w:tc>
          <w:tcPr>
            <w:tcW w:w="1417" w:type="dxa"/>
          </w:tcPr>
          <w:p w:rsidR="00653121" w:rsidRDefault="009017B8" w:rsidP="008B3C35">
            <w:pPr>
              <w:pStyle w:val="NoSpacing"/>
              <w:jc w:val="right"/>
            </w:pPr>
            <w:r>
              <w:t>195</w:t>
            </w:r>
          </w:p>
        </w:tc>
        <w:tc>
          <w:tcPr>
            <w:tcW w:w="809" w:type="dxa"/>
          </w:tcPr>
          <w:p w:rsidR="00653121" w:rsidRDefault="009017B8" w:rsidP="008B3C35">
            <w:pPr>
              <w:pStyle w:val="NoSpacing"/>
              <w:jc w:val="right"/>
            </w:pPr>
            <w:r>
              <w:t>129.5</w:t>
            </w:r>
          </w:p>
        </w:tc>
        <w:tc>
          <w:tcPr>
            <w:tcW w:w="1310" w:type="dxa"/>
          </w:tcPr>
          <w:p w:rsidR="00653121" w:rsidRDefault="009017B8" w:rsidP="008B3C35">
            <w:pPr>
              <w:pStyle w:val="NoSpacing"/>
              <w:jc w:val="right"/>
            </w:pPr>
            <w:r>
              <w:t>4</w:t>
            </w:r>
          </w:p>
        </w:tc>
        <w:tc>
          <w:tcPr>
            <w:tcW w:w="1425" w:type="dxa"/>
          </w:tcPr>
          <w:p w:rsidR="00653121" w:rsidRDefault="009017B8" w:rsidP="008B3C35">
            <w:pPr>
              <w:pStyle w:val="NoSpacing"/>
              <w:jc w:val="right"/>
            </w:pPr>
            <w:r>
              <w:t>4</w:t>
            </w:r>
          </w:p>
        </w:tc>
        <w:tc>
          <w:tcPr>
            <w:tcW w:w="1134" w:type="dxa"/>
          </w:tcPr>
          <w:p w:rsidR="00653121" w:rsidRDefault="009017B8" w:rsidP="008B3C35">
            <w:pPr>
              <w:pStyle w:val="NoSpacing"/>
              <w:jc w:val="right"/>
            </w:pPr>
            <w:r>
              <w:t>5.9</w:t>
            </w:r>
          </w:p>
        </w:tc>
        <w:tc>
          <w:tcPr>
            <w:tcW w:w="1417" w:type="dxa"/>
          </w:tcPr>
          <w:p w:rsidR="00653121" w:rsidRDefault="009017B8" w:rsidP="008B3C35">
            <w:pPr>
              <w:pStyle w:val="NoSpacing"/>
              <w:jc w:val="right"/>
            </w:pPr>
            <w:r>
              <w:t>187</w:t>
            </w:r>
          </w:p>
        </w:tc>
        <w:tc>
          <w:tcPr>
            <w:tcW w:w="1560" w:type="dxa"/>
          </w:tcPr>
          <w:p w:rsidR="00653121" w:rsidRDefault="009017B8" w:rsidP="008B3C35">
            <w:pPr>
              <w:pStyle w:val="NoSpacing"/>
              <w:jc w:val="right"/>
            </w:pPr>
            <w:r>
              <w:t>123.6</w:t>
            </w:r>
          </w:p>
        </w:tc>
      </w:tr>
      <w:tr w:rsidR="00653121" w:rsidTr="008B3C35">
        <w:tc>
          <w:tcPr>
            <w:tcW w:w="1986" w:type="dxa"/>
          </w:tcPr>
          <w:p w:rsidR="00653121" w:rsidRDefault="00653121" w:rsidP="008B3C35">
            <w:pPr>
              <w:pStyle w:val="NoSpacing"/>
            </w:pPr>
            <w:r>
              <w:t>35-44</w:t>
            </w:r>
          </w:p>
        </w:tc>
        <w:tc>
          <w:tcPr>
            <w:tcW w:w="1417" w:type="dxa"/>
          </w:tcPr>
          <w:p w:rsidR="00653121" w:rsidRDefault="009017B8" w:rsidP="008B3C35">
            <w:pPr>
              <w:pStyle w:val="NoSpacing"/>
              <w:jc w:val="right"/>
            </w:pPr>
            <w:r>
              <w:t>350</w:t>
            </w:r>
          </w:p>
        </w:tc>
        <w:tc>
          <w:tcPr>
            <w:tcW w:w="809" w:type="dxa"/>
          </w:tcPr>
          <w:p w:rsidR="00653121" w:rsidRDefault="009017B8" w:rsidP="008B3C35">
            <w:pPr>
              <w:pStyle w:val="NoSpacing"/>
              <w:jc w:val="right"/>
            </w:pPr>
            <w:r>
              <w:t>231.1</w:t>
            </w:r>
          </w:p>
        </w:tc>
        <w:tc>
          <w:tcPr>
            <w:tcW w:w="1310" w:type="dxa"/>
          </w:tcPr>
          <w:p w:rsidR="00653121" w:rsidRDefault="009017B8" w:rsidP="008B3C35">
            <w:pPr>
              <w:pStyle w:val="NoSpacing"/>
              <w:jc w:val="right"/>
            </w:pPr>
            <w:r>
              <w:t>18</w:t>
            </w:r>
          </w:p>
        </w:tc>
        <w:tc>
          <w:tcPr>
            <w:tcW w:w="1425" w:type="dxa"/>
          </w:tcPr>
          <w:p w:rsidR="00653121" w:rsidRDefault="009017B8" w:rsidP="008B3C35">
            <w:pPr>
              <w:pStyle w:val="NoSpacing"/>
              <w:jc w:val="right"/>
            </w:pPr>
            <w:r>
              <w:t>9</w:t>
            </w:r>
          </w:p>
        </w:tc>
        <w:tc>
          <w:tcPr>
            <w:tcW w:w="1134" w:type="dxa"/>
          </w:tcPr>
          <w:p w:rsidR="00653121" w:rsidRDefault="009017B8" w:rsidP="008B3C35">
            <w:pPr>
              <w:pStyle w:val="NoSpacing"/>
              <w:jc w:val="right"/>
            </w:pPr>
            <w:r>
              <w:t>24.9</w:t>
            </w:r>
          </w:p>
        </w:tc>
        <w:tc>
          <w:tcPr>
            <w:tcW w:w="1417" w:type="dxa"/>
          </w:tcPr>
          <w:p w:rsidR="00653121" w:rsidRDefault="009017B8" w:rsidP="008B3C35">
            <w:pPr>
              <w:pStyle w:val="NoSpacing"/>
              <w:jc w:val="right"/>
            </w:pPr>
            <w:r>
              <w:t>323</w:t>
            </w:r>
          </w:p>
        </w:tc>
        <w:tc>
          <w:tcPr>
            <w:tcW w:w="1560" w:type="dxa"/>
          </w:tcPr>
          <w:p w:rsidR="00653121" w:rsidRDefault="009017B8" w:rsidP="008B3C35">
            <w:pPr>
              <w:pStyle w:val="NoSpacing"/>
              <w:jc w:val="right"/>
            </w:pPr>
            <w:r>
              <w:t>206.2</w:t>
            </w:r>
          </w:p>
        </w:tc>
      </w:tr>
      <w:tr w:rsidR="00653121" w:rsidTr="008B3C35">
        <w:tc>
          <w:tcPr>
            <w:tcW w:w="1986" w:type="dxa"/>
          </w:tcPr>
          <w:p w:rsidR="00653121" w:rsidRDefault="00653121" w:rsidP="008B3C35">
            <w:pPr>
              <w:pStyle w:val="NoSpacing"/>
            </w:pPr>
            <w:r>
              <w:t>45-54</w:t>
            </w:r>
          </w:p>
        </w:tc>
        <w:tc>
          <w:tcPr>
            <w:tcW w:w="1417" w:type="dxa"/>
          </w:tcPr>
          <w:p w:rsidR="00653121" w:rsidRDefault="009017B8" w:rsidP="008B3C35">
            <w:pPr>
              <w:pStyle w:val="NoSpacing"/>
              <w:jc w:val="right"/>
            </w:pPr>
            <w:r>
              <w:t>393</w:t>
            </w:r>
          </w:p>
        </w:tc>
        <w:tc>
          <w:tcPr>
            <w:tcW w:w="809" w:type="dxa"/>
          </w:tcPr>
          <w:p w:rsidR="00653121" w:rsidRDefault="009017B8" w:rsidP="008B3C35">
            <w:pPr>
              <w:pStyle w:val="NoSpacing"/>
              <w:jc w:val="right"/>
            </w:pPr>
            <w:r>
              <w:t>280.4</w:t>
            </w:r>
          </w:p>
        </w:tc>
        <w:tc>
          <w:tcPr>
            <w:tcW w:w="1310" w:type="dxa"/>
          </w:tcPr>
          <w:p w:rsidR="00653121" w:rsidRDefault="009017B8" w:rsidP="008B3C35">
            <w:pPr>
              <w:pStyle w:val="NoSpacing"/>
              <w:jc w:val="right"/>
            </w:pPr>
            <w:r>
              <w:t>53</w:t>
            </w:r>
          </w:p>
        </w:tc>
        <w:tc>
          <w:tcPr>
            <w:tcW w:w="1425" w:type="dxa"/>
          </w:tcPr>
          <w:p w:rsidR="00653121" w:rsidRDefault="009017B8" w:rsidP="008B3C35">
            <w:pPr>
              <w:pStyle w:val="NoSpacing"/>
              <w:jc w:val="right"/>
            </w:pPr>
            <w:r>
              <w:t>23</w:t>
            </w:r>
          </w:p>
        </w:tc>
        <w:tc>
          <w:tcPr>
            <w:tcW w:w="1134" w:type="dxa"/>
          </w:tcPr>
          <w:p w:rsidR="00653121" w:rsidRDefault="009017B8" w:rsidP="008B3C35">
            <w:pPr>
              <w:pStyle w:val="NoSpacing"/>
              <w:jc w:val="right"/>
            </w:pPr>
            <w:r>
              <w:t>68.4</w:t>
            </w:r>
          </w:p>
        </w:tc>
        <w:tc>
          <w:tcPr>
            <w:tcW w:w="1417" w:type="dxa"/>
          </w:tcPr>
          <w:p w:rsidR="00653121" w:rsidRDefault="009017B8" w:rsidP="008B3C35">
            <w:pPr>
              <w:pStyle w:val="NoSpacing"/>
              <w:jc w:val="right"/>
            </w:pPr>
            <w:r>
              <w:t>317</w:t>
            </w:r>
          </w:p>
        </w:tc>
        <w:tc>
          <w:tcPr>
            <w:tcW w:w="1560" w:type="dxa"/>
          </w:tcPr>
          <w:p w:rsidR="00653121" w:rsidRDefault="009017B8" w:rsidP="008B3C35">
            <w:pPr>
              <w:pStyle w:val="NoSpacing"/>
              <w:jc w:val="right"/>
            </w:pPr>
            <w:r>
              <w:t>212.0</w:t>
            </w:r>
          </w:p>
        </w:tc>
      </w:tr>
      <w:tr w:rsidR="00653121" w:rsidTr="008B3C35">
        <w:tc>
          <w:tcPr>
            <w:tcW w:w="1986" w:type="dxa"/>
          </w:tcPr>
          <w:p w:rsidR="00653121" w:rsidRDefault="00653121" w:rsidP="008B3C35">
            <w:pPr>
              <w:pStyle w:val="NoSpacing"/>
            </w:pPr>
            <w:r>
              <w:t>55-64</w:t>
            </w:r>
          </w:p>
        </w:tc>
        <w:tc>
          <w:tcPr>
            <w:tcW w:w="1417" w:type="dxa"/>
          </w:tcPr>
          <w:p w:rsidR="00653121" w:rsidRDefault="009017B8" w:rsidP="008B3C35">
            <w:pPr>
              <w:pStyle w:val="NoSpacing"/>
              <w:jc w:val="right"/>
            </w:pPr>
            <w:r>
              <w:t>361</w:t>
            </w:r>
          </w:p>
        </w:tc>
        <w:tc>
          <w:tcPr>
            <w:tcW w:w="809" w:type="dxa"/>
          </w:tcPr>
          <w:p w:rsidR="00653121" w:rsidRDefault="009017B8" w:rsidP="008B3C35">
            <w:pPr>
              <w:pStyle w:val="NoSpacing"/>
              <w:jc w:val="right"/>
            </w:pPr>
            <w:r>
              <w:t>264.2</w:t>
            </w:r>
          </w:p>
        </w:tc>
        <w:tc>
          <w:tcPr>
            <w:tcW w:w="1310" w:type="dxa"/>
          </w:tcPr>
          <w:p w:rsidR="00653121" w:rsidRDefault="009017B8" w:rsidP="008B3C35">
            <w:pPr>
              <w:pStyle w:val="NoSpacing"/>
              <w:jc w:val="right"/>
            </w:pPr>
            <w:r>
              <w:t>67</w:t>
            </w:r>
          </w:p>
        </w:tc>
        <w:tc>
          <w:tcPr>
            <w:tcW w:w="1425" w:type="dxa"/>
          </w:tcPr>
          <w:p w:rsidR="00653121" w:rsidRDefault="009017B8" w:rsidP="008B3C35">
            <w:pPr>
              <w:pStyle w:val="NoSpacing"/>
              <w:jc w:val="right"/>
            </w:pPr>
            <w:r>
              <w:t>24</w:t>
            </w:r>
          </w:p>
        </w:tc>
        <w:tc>
          <w:tcPr>
            <w:tcW w:w="1134" w:type="dxa"/>
          </w:tcPr>
          <w:p w:rsidR="00653121" w:rsidRDefault="009017B8" w:rsidP="008B3C35">
            <w:pPr>
              <w:pStyle w:val="NoSpacing"/>
              <w:jc w:val="right"/>
            </w:pPr>
            <w:r>
              <w:t>83.2</w:t>
            </w:r>
          </w:p>
        </w:tc>
        <w:tc>
          <w:tcPr>
            <w:tcW w:w="1417" w:type="dxa"/>
          </w:tcPr>
          <w:p w:rsidR="00653121" w:rsidRDefault="009017B8" w:rsidP="008B3C35">
            <w:pPr>
              <w:pStyle w:val="NoSpacing"/>
              <w:jc w:val="right"/>
            </w:pPr>
            <w:r>
              <w:t>270</w:t>
            </w:r>
          </w:p>
        </w:tc>
        <w:tc>
          <w:tcPr>
            <w:tcW w:w="1560" w:type="dxa"/>
          </w:tcPr>
          <w:p w:rsidR="00653121" w:rsidRDefault="009017B8" w:rsidP="008B3C35">
            <w:pPr>
              <w:pStyle w:val="NoSpacing"/>
              <w:jc w:val="right"/>
            </w:pPr>
            <w:r>
              <w:t>181.0</w:t>
            </w:r>
          </w:p>
        </w:tc>
      </w:tr>
      <w:tr w:rsidR="00653121" w:rsidTr="008B3C35">
        <w:tc>
          <w:tcPr>
            <w:tcW w:w="1986" w:type="dxa"/>
          </w:tcPr>
          <w:p w:rsidR="00653121" w:rsidRDefault="00653121" w:rsidP="008B3C35">
            <w:pPr>
              <w:pStyle w:val="NoSpacing"/>
            </w:pPr>
            <w:r>
              <w:t>Over 64</w:t>
            </w:r>
          </w:p>
        </w:tc>
        <w:tc>
          <w:tcPr>
            <w:tcW w:w="1417" w:type="dxa"/>
          </w:tcPr>
          <w:p w:rsidR="00653121" w:rsidRDefault="009017B8" w:rsidP="008B3C35">
            <w:pPr>
              <w:pStyle w:val="NoSpacing"/>
              <w:jc w:val="right"/>
            </w:pPr>
            <w:r>
              <w:t>115</w:t>
            </w:r>
          </w:p>
        </w:tc>
        <w:tc>
          <w:tcPr>
            <w:tcW w:w="809" w:type="dxa"/>
          </w:tcPr>
          <w:p w:rsidR="00653121" w:rsidRDefault="009017B8" w:rsidP="008B3C35">
            <w:pPr>
              <w:pStyle w:val="NoSpacing"/>
              <w:jc w:val="right"/>
            </w:pPr>
            <w:r>
              <w:t>61.7</w:t>
            </w:r>
          </w:p>
        </w:tc>
        <w:tc>
          <w:tcPr>
            <w:tcW w:w="1310" w:type="dxa"/>
          </w:tcPr>
          <w:p w:rsidR="00653121" w:rsidRDefault="009017B8" w:rsidP="008B3C35">
            <w:pPr>
              <w:pStyle w:val="NoSpacing"/>
              <w:jc w:val="right"/>
            </w:pPr>
            <w:r>
              <w:t>12</w:t>
            </w:r>
          </w:p>
        </w:tc>
        <w:tc>
          <w:tcPr>
            <w:tcW w:w="1425" w:type="dxa"/>
          </w:tcPr>
          <w:p w:rsidR="00653121" w:rsidRDefault="009017B8" w:rsidP="008B3C35">
            <w:pPr>
              <w:pStyle w:val="NoSpacing"/>
              <w:jc w:val="right"/>
            </w:pPr>
            <w:r>
              <w:t>9</w:t>
            </w:r>
          </w:p>
        </w:tc>
        <w:tc>
          <w:tcPr>
            <w:tcW w:w="1134" w:type="dxa"/>
          </w:tcPr>
          <w:p w:rsidR="00653121" w:rsidRDefault="009017B8" w:rsidP="008B3C35">
            <w:pPr>
              <w:pStyle w:val="NoSpacing"/>
              <w:jc w:val="right"/>
            </w:pPr>
            <w:r>
              <w:t>17.7</w:t>
            </w:r>
          </w:p>
        </w:tc>
        <w:tc>
          <w:tcPr>
            <w:tcW w:w="1417" w:type="dxa"/>
          </w:tcPr>
          <w:p w:rsidR="00653121" w:rsidRDefault="009017B8" w:rsidP="008B3C35">
            <w:pPr>
              <w:pStyle w:val="NoSpacing"/>
              <w:jc w:val="right"/>
            </w:pPr>
            <w:r>
              <w:t>94</w:t>
            </w:r>
          </w:p>
        </w:tc>
        <w:tc>
          <w:tcPr>
            <w:tcW w:w="1560" w:type="dxa"/>
          </w:tcPr>
          <w:p w:rsidR="00653121" w:rsidRDefault="009017B8" w:rsidP="008B3C35">
            <w:pPr>
              <w:pStyle w:val="NoSpacing"/>
              <w:jc w:val="right"/>
            </w:pPr>
            <w:r>
              <w:t>44.0</w:t>
            </w:r>
          </w:p>
        </w:tc>
      </w:tr>
      <w:tr w:rsidR="00653121" w:rsidTr="008B3C35">
        <w:tc>
          <w:tcPr>
            <w:tcW w:w="1986" w:type="dxa"/>
          </w:tcPr>
          <w:p w:rsidR="00653121" w:rsidRDefault="00653121" w:rsidP="008B3C35">
            <w:pPr>
              <w:pStyle w:val="NoSpacing"/>
            </w:pPr>
            <w:r>
              <w:t xml:space="preserve">Total employees </w:t>
            </w:r>
          </w:p>
        </w:tc>
        <w:tc>
          <w:tcPr>
            <w:tcW w:w="1417" w:type="dxa"/>
          </w:tcPr>
          <w:p w:rsidR="00653121" w:rsidRDefault="009017B8" w:rsidP="008B3C35">
            <w:pPr>
              <w:pStyle w:val="NoSpacing"/>
              <w:jc w:val="right"/>
            </w:pPr>
            <w:r>
              <w:t>1,454</w:t>
            </w:r>
          </w:p>
        </w:tc>
        <w:tc>
          <w:tcPr>
            <w:tcW w:w="809" w:type="dxa"/>
          </w:tcPr>
          <w:p w:rsidR="00653121" w:rsidRDefault="009017B8" w:rsidP="008B3C35">
            <w:pPr>
              <w:pStyle w:val="NoSpacing"/>
              <w:jc w:val="right"/>
            </w:pPr>
            <w:r>
              <w:t>987.5</w:t>
            </w:r>
          </w:p>
        </w:tc>
        <w:tc>
          <w:tcPr>
            <w:tcW w:w="1310" w:type="dxa"/>
          </w:tcPr>
          <w:p w:rsidR="00653121" w:rsidRDefault="009017B8" w:rsidP="008B3C35">
            <w:pPr>
              <w:pStyle w:val="NoSpacing"/>
              <w:jc w:val="right"/>
            </w:pPr>
            <w:r>
              <w:t>156</w:t>
            </w:r>
          </w:p>
        </w:tc>
        <w:tc>
          <w:tcPr>
            <w:tcW w:w="1425" w:type="dxa"/>
          </w:tcPr>
          <w:p w:rsidR="00653121" w:rsidRDefault="009017B8" w:rsidP="008B3C35">
            <w:pPr>
              <w:pStyle w:val="NoSpacing"/>
              <w:jc w:val="right"/>
            </w:pPr>
            <w:r>
              <w:t>70</w:t>
            </w:r>
          </w:p>
        </w:tc>
        <w:tc>
          <w:tcPr>
            <w:tcW w:w="1134" w:type="dxa"/>
          </w:tcPr>
          <w:p w:rsidR="00653121" w:rsidRDefault="009017B8" w:rsidP="008B3C35">
            <w:pPr>
              <w:pStyle w:val="NoSpacing"/>
              <w:jc w:val="right"/>
            </w:pPr>
            <w:r>
              <w:t>202.6</w:t>
            </w:r>
          </w:p>
        </w:tc>
        <w:tc>
          <w:tcPr>
            <w:tcW w:w="1417" w:type="dxa"/>
          </w:tcPr>
          <w:p w:rsidR="00653121" w:rsidRDefault="009017B8" w:rsidP="008B3C35">
            <w:pPr>
              <w:pStyle w:val="NoSpacing"/>
              <w:jc w:val="right"/>
            </w:pPr>
            <w:r>
              <w:t>1,228</w:t>
            </w:r>
          </w:p>
        </w:tc>
        <w:tc>
          <w:tcPr>
            <w:tcW w:w="1560" w:type="dxa"/>
          </w:tcPr>
          <w:p w:rsidR="00653121" w:rsidRDefault="009017B8" w:rsidP="008B3C35">
            <w:pPr>
              <w:pStyle w:val="NoSpacing"/>
              <w:jc w:val="right"/>
            </w:pPr>
            <w:r>
              <w:t>784.9</w:t>
            </w:r>
          </w:p>
        </w:tc>
      </w:tr>
    </w:tbl>
    <w:p w:rsidR="00653121" w:rsidRDefault="00653121" w:rsidP="002B5415">
      <w:pPr>
        <w:pStyle w:val="NoSpacing"/>
      </w:pPr>
    </w:p>
    <w:p w:rsidR="00653121" w:rsidRDefault="00653121" w:rsidP="002B5415">
      <w:pPr>
        <w:pStyle w:val="NoSpacing"/>
      </w:pPr>
    </w:p>
    <w:p w:rsidR="001F2765" w:rsidRDefault="00691125" w:rsidP="002B5415">
      <w:pPr>
        <w:pStyle w:val="NoSpacing"/>
      </w:pPr>
      <w:r>
        <w:t>Note: The 2018 figure reported in the 2018 annual report differs due to:</w:t>
      </w:r>
    </w:p>
    <w:p w:rsidR="00691125" w:rsidRDefault="00691125" w:rsidP="00925530">
      <w:pPr>
        <w:pStyle w:val="NoSpacing"/>
        <w:numPr>
          <w:ilvl w:val="0"/>
          <w:numId w:val="30"/>
        </w:numPr>
      </w:pPr>
      <w:r>
        <w:t>An adjustment to the approach for reporting FTE’s occurred during 2019, with annualised numbers reported (2018 FTEs were based on data as at 31 December 2018).</w:t>
      </w:r>
    </w:p>
    <w:p w:rsidR="00691125" w:rsidRDefault="00691125" w:rsidP="00925530">
      <w:pPr>
        <w:pStyle w:val="NoSpacing"/>
        <w:numPr>
          <w:ilvl w:val="0"/>
          <w:numId w:val="30"/>
        </w:numPr>
      </w:pPr>
      <w:r>
        <w:t>The Free TAFE initiative impacted on the number of teaching staff in the Institute, an increase in FTE in 2019 compared to 2018.</w:t>
      </w:r>
    </w:p>
    <w:p w:rsidR="00691125" w:rsidRDefault="00691125" w:rsidP="00925530">
      <w:pPr>
        <w:pStyle w:val="NoSpacing"/>
        <w:numPr>
          <w:ilvl w:val="0"/>
          <w:numId w:val="30"/>
        </w:numPr>
      </w:pPr>
      <w:r>
        <w:t>With a commitment to secure employment, ongoing employment for both Teaching and PACCT staff increased during 2019.</w:t>
      </w:r>
    </w:p>
    <w:p w:rsidR="0038251B" w:rsidRDefault="0038251B" w:rsidP="005942B8">
      <w:pPr>
        <w:pStyle w:val="NoSpacing"/>
      </w:pPr>
    </w:p>
    <w:p w:rsidR="0038251B" w:rsidRDefault="0038251B" w:rsidP="0038251B">
      <w:pPr>
        <w:pStyle w:val="Heading3"/>
      </w:pPr>
      <w:r>
        <w:t xml:space="preserve">General Statement on Industrial Relations </w:t>
      </w:r>
    </w:p>
    <w:p w:rsidR="00BA4187" w:rsidRDefault="00BA4187" w:rsidP="00BA4187">
      <w:pPr>
        <w:autoSpaceDE w:val="0"/>
        <w:autoSpaceDN w:val="0"/>
        <w:adjustRightInd w:val="0"/>
        <w:spacing w:after="0" w:line="240" w:lineRule="auto"/>
        <w:rPr>
          <w:rFonts w:cstheme="minorHAnsi"/>
        </w:rPr>
      </w:pPr>
    </w:p>
    <w:p w:rsidR="00BA4187" w:rsidRPr="00BA4187" w:rsidRDefault="00BA4187" w:rsidP="00BA4187">
      <w:pPr>
        <w:autoSpaceDE w:val="0"/>
        <w:autoSpaceDN w:val="0"/>
        <w:adjustRightInd w:val="0"/>
        <w:spacing w:after="0" w:line="240" w:lineRule="auto"/>
        <w:rPr>
          <w:rFonts w:cstheme="minorHAnsi"/>
        </w:rPr>
      </w:pPr>
      <w:r w:rsidRPr="00BA4187">
        <w:rPr>
          <w:rFonts w:cstheme="minorHAnsi"/>
        </w:rPr>
        <w:t>We continue to regularly consult</w:t>
      </w:r>
      <w:r>
        <w:rPr>
          <w:rFonts w:cstheme="minorHAnsi"/>
        </w:rPr>
        <w:t xml:space="preserve"> </w:t>
      </w:r>
      <w:r w:rsidRPr="00BA4187">
        <w:rPr>
          <w:rFonts w:cstheme="minorHAnsi"/>
        </w:rPr>
        <w:t>with the Australian Education Union</w:t>
      </w:r>
      <w:r>
        <w:rPr>
          <w:rFonts w:cstheme="minorHAnsi"/>
        </w:rPr>
        <w:t xml:space="preserve"> </w:t>
      </w:r>
      <w:r w:rsidRPr="00BA4187">
        <w:rPr>
          <w:rFonts w:cstheme="minorHAnsi"/>
        </w:rPr>
        <w:t>and the National Tertiary Education</w:t>
      </w:r>
      <w:r>
        <w:rPr>
          <w:rFonts w:cstheme="minorHAnsi"/>
        </w:rPr>
        <w:t xml:space="preserve"> </w:t>
      </w:r>
      <w:r w:rsidRPr="00BA4187">
        <w:rPr>
          <w:rFonts w:cstheme="minorHAnsi"/>
        </w:rPr>
        <w:t>Union through consultative committees</w:t>
      </w:r>
      <w:r>
        <w:rPr>
          <w:rFonts w:cstheme="minorHAnsi"/>
        </w:rPr>
        <w:t xml:space="preserve"> </w:t>
      </w:r>
      <w:r w:rsidRPr="00BA4187">
        <w:rPr>
          <w:rFonts w:cstheme="minorHAnsi"/>
        </w:rPr>
        <w:t>and more generally on matters</w:t>
      </w:r>
      <w:r>
        <w:rPr>
          <w:rFonts w:cstheme="minorHAnsi"/>
        </w:rPr>
        <w:t xml:space="preserve"> </w:t>
      </w:r>
      <w:r w:rsidRPr="00BA4187">
        <w:rPr>
          <w:rFonts w:cstheme="minorHAnsi"/>
        </w:rPr>
        <w:t>affecting employees.</w:t>
      </w:r>
    </w:p>
    <w:p w:rsidR="0038251B" w:rsidRDefault="00BA4187" w:rsidP="00BA4187">
      <w:pPr>
        <w:autoSpaceDE w:val="0"/>
        <w:autoSpaceDN w:val="0"/>
        <w:adjustRightInd w:val="0"/>
        <w:spacing w:after="0" w:line="240" w:lineRule="auto"/>
        <w:rPr>
          <w:rFonts w:cstheme="minorHAnsi"/>
        </w:rPr>
      </w:pPr>
      <w:r w:rsidRPr="00BA4187">
        <w:rPr>
          <w:rFonts w:cstheme="minorHAnsi"/>
        </w:rPr>
        <w:t>In 2019 the Chisholm Professional Staff</w:t>
      </w:r>
      <w:r>
        <w:rPr>
          <w:rFonts w:cstheme="minorHAnsi"/>
        </w:rPr>
        <w:t xml:space="preserve"> </w:t>
      </w:r>
      <w:r w:rsidRPr="00BA4187">
        <w:rPr>
          <w:rFonts w:cstheme="minorHAnsi"/>
        </w:rPr>
        <w:t>Agreement 2018 came into operation</w:t>
      </w:r>
      <w:r>
        <w:rPr>
          <w:rFonts w:cstheme="minorHAnsi"/>
        </w:rPr>
        <w:t xml:space="preserve"> </w:t>
      </w:r>
      <w:r w:rsidRPr="00BA4187">
        <w:rPr>
          <w:rFonts w:cstheme="minorHAnsi"/>
        </w:rPr>
        <w:t>an</w:t>
      </w:r>
      <w:r>
        <w:rPr>
          <w:rFonts w:cstheme="minorHAnsi"/>
        </w:rPr>
        <w:t xml:space="preserve">d was successfully implemented. </w:t>
      </w:r>
      <w:r w:rsidRPr="00BA4187">
        <w:rPr>
          <w:rFonts w:cstheme="minorHAnsi"/>
        </w:rPr>
        <w:t>We also use the dispute resolution</w:t>
      </w:r>
      <w:r>
        <w:rPr>
          <w:rFonts w:cstheme="minorHAnsi"/>
        </w:rPr>
        <w:t xml:space="preserve"> </w:t>
      </w:r>
      <w:r w:rsidRPr="00BA4187">
        <w:rPr>
          <w:rFonts w:cstheme="minorHAnsi"/>
        </w:rPr>
        <w:t>procedures in our Industrial Agreemen</w:t>
      </w:r>
      <w:r>
        <w:rPr>
          <w:rFonts w:cstheme="minorHAnsi"/>
        </w:rPr>
        <w:t>t</w:t>
      </w:r>
      <w:r w:rsidRPr="00BA4187">
        <w:rPr>
          <w:rFonts w:cstheme="minorHAnsi"/>
        </w:rPr>
        <w:t>s</w:t>
      </w:r>
      <w:r>
        <w:rPr>
          <w:rFonts w:cstheme="minorHAnsi"/>
        </w:rPr>
        <w:t xml:space="preserve"> </w:t>
      </w:r>
      <w:r w:rsidRPr="00BA4187">
        <w:rPr>
          <w:rFonts w:cstheme="minorHAnsi"/>
        </w:rPr>
        <w:t>so that issues that arise are addressed</w:t>
      </w:r>
      <w:r>
        <w:rPr>
          <w:rFonts w:cstheme="minorHAnsi"/>
        </w:rPr>
        <w:t xml:space="preserve"> </w:t>
      </w:r>
      <w:r w:rsidRPr="00BA4187">
        <w:rPr>
          <w:rFonts w:cstheme="minorHAnsi"/>
        </w:rPr>
        <w:t>appropriately and in a timely manner.</w:t>
      </w:r>
    </w:p>
    <w:p w:rsidR="00BA4187" w:rsidRPr="00BA4187" w:rsidRDefault="00BA4187" w:rsidP="00BA4187">
      <w:pPr>
        <w:pStyle w:val="NoSpacing"/>
        <w:rPr>
          <w:rFonts w:cstheme="minorHAnsi"/>
        </w:rPr>
      </w:pPr>
    </w:p>
    <w:p w:rsidR="00BA4187" w:rsidRDefault="00BA4187" w:rsidP="00BA4187">
      <w:pPr>
        <w:pStyle w:val="Heading3"/>
      </w:pPr>
      <w:r>
        <w:t>Public Sector Employment and Conduct Principles</w:t>
      </w:r>
    </w:p>
    <w:p w:rsidR="00BA4187" w:rsidRDefault="00BA4187" w:rsidP="0038251B">
      <w:pPr>
        <w:pStyle w:val="Heading2"/>
      </w:pPr>
    </w:p>
    <w:p w:rsidR="00BA4187" w:rsidRDefault="00BA4187" w:rsidP="00BA4187">
      <w:pPr>
        <w:autoSpaceDE w:val="0"/>
        <w:autoSpaceDN w:val="0"/>
        <w:adjustRightInd w:val="0"/>
        <w:spacing w:after="0" w:line="240" w:lineRule="auto"/>
        <w:rPr>
          <w:rFonts w:cstheme="minorHAnsi"/>
        </w:rPr>
      </w:pPr>
      <w:r w:rsidRPr="00BA4187">
        <w:rPr>
          <w:rFonts w:cstheme="minorHAnsi"/>
        </w:rPr>
        <w:t>Our employment policies and processes</w:t>
      </w:r>
      <w:r>
        <w:rPr>
          <w:rFonts w:cstheme="minorHAnsi"/>
        </w:rPr>
        <w:t xml:space="preserve"> </w:t>
      </w:r>
      <w:r w:rsidRPr="00BA4187">
        <w:rPr>
          <w:rFonts w:cstheme="minorHAnsi"/>
        </w:rPr>
        <w:t>are based on the principle of merit,</w:t>
      </w:r>
      <w:r>
        <w:rPr>
          <w:rFonts w:cstheme="minorHAnsi"/>
        </w:rPr>
        <w:t xml:space="preserve"> </w:t>
      </w:r>
      <w:r w:rsidRPr="00BA4187">
        <w:rPr>
          <w:rFonts w:cstheme="minorHAnsi"/>
        </w:rPr>
        <w:t>relevant awards, enterprise agreements,</w:t>
      </w:r>
      <w:r>
        <w:rPr>
          <w:rFonts w:cstheme="minorHAnsi"/>
        </w:rPr>
        <w:t xml:space="preserve"> </w:t>
      </w:r>
      <w:r w:rsidRPr="00BA4187">
        <w:rPr>
          <w:rFonts w:cstheme="minorHAnsi"/>
        </w:rPr>
        <w:t>statutory requirements and best practice</w:t>
      </w:r>
      <w:r>
        <w:rPr>
          <w:rFonts w:cstheme="minorHAnsi"/>
        </w:rPr>
        <w:t xml:space="preserve"> </w:t>
      </w:r>
      <w:r w:rsidRPr="00BA4187">
        <w:rPr>
          <w:rFonts w:cstheme="minorHAnsi"/>
        </w:rPr>
        <w:t>public sector approaches. The Staff Code</w:t>
      </w:r>
      <w:r>
        <w:rPr>
          <w:rFonts w:cstheme="minorHAnsi"/>
        </w:rPr>
        <w:t xml:space="preserve"> </w:t>
      </w:r>
      <w:r w:rsidRPr="00BA4187">
        <w:rPr>
          <w:rFonts w:cstheme="minorHAnsi"/>
        </w:rPr>
        <w:t>of Conduct is provided to new starters</w:t>
      </w:r>
      <w:r>
        <w:rPr>
          <w:rFonts w:cstheme="minorHAnsi"/>
        </w:rPr>
        <w:t xml:space="preserve"> </w:t>
      </w:r>
      <w:r w:rsidRPr="00BA4187">
        <w:rPr>
          <w:rFonts w:cstheme="minorHAnsi"/>
        </w:rPr>
        <w:t>in their induction and guides all staff on</w:t>
      </w:r>
      <w:r>
        <w:rPr>
          <w:rFonts w:cstheme="minorHAnsi"/>
        </w:rPr>
        <w:t xml:space="preserve"> </w:t>
      </w:r>
      <w:r w:rsidRPr="00BA4187">
        <w:rPr>
          <w:rFonts w:cstheme="minorHAnsi"/>
        </w:rPr>
        <w:t>expected behaviour and professional</w:t>
      </w:r>
      <w:r>
        <w:rPr>
          <w:rFonts w:cstheme="minorHAnsi"/>
        </w:rPr>
        <w:t xml:space="preserve"> </w:t>
      </w:r>
      <w:r w:rsidRPr="00BA4187">
        <w:rPr>
          <w:rFonts w:cstheme="minorHAnsi"/>
        </w:rPr>
        <w:t>conduct. The Code is based on our</w:t>
      </w:r>
      <w:r>
        <w:rPr>
          <w:rFonts w:cstheme="minorHAnsi"/>
        </w:rPr>
        <w:t xml:space="preserve"> </w:t>
      </w:r>
      <w:r w:rsidRPr="00BA4187">
        <w:rPr>
          <w:rFonts w:cstheme="minorHAnsi"/>
        </w:rPr>
        <w:t>values, the Victorian Public Sector Code</w:t>
      </w:r>
      <w:r>
        <w:rPr>
          <w:rFonts w:cstheme="minorHAnsi"/>
        </w:rPr>
        <w:t xml:space="preserve"> </w:t>
      </w:r>
      <w:r w:rsidRPr="00BA4187">
        <w:rPr>
          <w:rFonts w:cstheme="minorHAnsi"/>
        </w:rPr>
        <w:t>of Conduct and other good practice</w:t>
      </w:r>
      <w:r>
        <w:rPr>
          <w:rFonts w:cstheme="minorHAnsi"/>
        </w:rPr>
        <w:t xml:space="preserve"> </w:t>
      </w:r>
      <w:r w:rsidRPr="00BA4187">
        <w:rPr>
          <w:rFonts w:cstheme="minorHAnsi"/>
        </w:rPr>
        <w:t>examples. We are committed to equal</w:t>
      </w:r>
      <w:r>
        <w:rPr>
          <w:rFonts w:cstheme="minorHAnsi"/>
        </w:rPr>
        <w:t xml:space="preserve"> </w:t>
      </w:r>
      <w:r w:rsidRPr="00BA4187">
        <w:rPr>
          <w:rFonts w:cstheme="minorHAnsi"/>
        </w:rPr>
        <w:t>opportunity and fair and transparent</w:t>
      </w:r>
      <w:r>
        <w:rPr>
          <w:rFonts w:cstheme="minorHAnsi"/>
        </w:rPr>
        <w:t xml:space="preserve"> </w:t>
      </w:r>
      <w:r w:rsidRPr="00BA4187">
        <w:rPr>
          <w:rFonts w:cstheme="minorHAnsi"/>
        </w:rPr>
        <w:t>processes in all people, culture and</w:t>
      </w:r>
      <w:r>
        <w:rPr>
          <w:rFonts w:cstheme="minorHAnsi"/>
        </w:rPr>
        <w:t xml:space="preserve"> </w:t>
      </w:r>
      <w:r w:rsidRPr="00BA4187">
        <w:rPr>
          <w:rFonts w:cstheme="minorHAnsi"/>
        </w:rPr>
        <w:t>safety policies and procedures.</w:t>
      </w:r>
    </w:p>
    <w:p w:rsidR="00691125" w:rsidRDefault="00691125" w:rsidP="00BA4187">
      <w:pPr>
        <w:autoSpaceDE w:val="0"/>
        <w:autoSpaceDN w:val="0"/>
        <w:adjustRightInd w:val="0"/>
        <w:spacing w:after="0" w:line="240" w:lineRule="auto"/>
        <w:rPr>
          <w:rFonts w:cstheme="minorHAnsi"/>
        </w:rPr>
      </w:pPr>
    </w:p>
    <w:p w:rsidR="00691125" w:rsidRPr="00BA4187" w:rsidRDefault="00691125" w:rsidP="00BA4187">
      <w:pPr>
        <w:autoSpaceDE w:val="0"/>
        <w:autoSpaceDN w:val="0"/>
        <w:adjustRightInd w:val="0"/>
        <w:spacing w:after="0" w:line="240" w:lineRule="auto"/>
        <w:rPr>
          <w:rFonts w:cstheme="minorHAnsi"/>
        </w:rPr>
      </w:pPr>
      <w:r>
        <w:rPr>
          <w:rFonts w:cstheme="minorHAnsi"/>
        </w:rPr>
        <w:t>&lt;page 30&gt;</w:t>
      </w:r>
    </w:p>
    <w:p w:rsidR="00691125" w:rsidRDefault="00691125" w:rsidP="00691125"/>
    <w:p w:rsidR="0038251B" w:rsidRDefault="0038251B" w:rsidP="0038251B">
      <w:pPr>
        <w:pStyle w:val="Heading2"/>
      </w:pPr>
      <w:r>
        <w:lastRenderedPageBreak/>
        <w:t xml:space="preserve">Statistical Overview </w:t>
      </w:r>
    </w:p>
    <w:p w:rsidR="0038251B" w:rsidRDefault="0038251B" w:rsidP="005942B8">
      <w:pPr>
        <w:pStyle w:val="NoSpacing"/>
      </w:pPr>
    </w:p>
    <w:p w:rsidR="008605BD" w:rsidRDefault="008605BD" w:rsidP="008605BD">
      <w:pPr>
        <w:pStyle w:val="Heading3"/>
      </w:pPr>
      <w:r>
        <w:t>Chisholm Institute (includes Chisholm Online)</w:t>
      </w:r>
    </w:p>
    <w:p w:rsidR="008605BD" w:rsidRDefault="008605BD" w:rsidP="005942B8">
      <w:pPr>
        <w:pStyle w:val="NoSpacing"/>
      </w:pPr>
    </w:p>
    <w:p w:rsidR="008605BD" w:rsidRDefault="008605BD" w:rsidP="005942B8">
      <w:pPr>
        <w:pStyle w:val="NoSpacing"/>
      </w:pPr>
      <w:r>
        <w:t xml:space="preserve">Student </w:t>
      </w:r>
      <w:r w:rsidR="00691125">
        <w:t>numbers</w:t>
      </w:r>
    </w:p>
    <w:tbl>
      <w:tblPr>
        <w:tblStyle w:val="TableGrid"/>
        <w:tblW w:w="10774" w:type="dxa"/>
        <w:tblInd w:w="-856" w:type="dxa"/>
        <w:tblLook w:val="04A0" w:firstRow="1" w:lastRow="0" w:firstColumn="1" w:lastColumn="0" w:noHBand="0" w:noVBand="1"/>
      </w:tblPr>
      <w:tblGrid>
        <w:gridCol w:w="6805"/>
        <w:gridCol w:w="1984"/>
        <w:gridCol w:w="1985"/>
      </w:tblGrid>
      <w:tr w:rsidR="008605BD" w:rsidTr="008605BD">
        <w:trPr>
          <w:gridBefore w:val="1"/>
          <w:wBefore w:w="6805" w:type="dxa"/>
        </w:trPr>
        <w:tc>
          <w:tcPr>
            <w:tcW w:w="1984" w:type="dxa"/>
          </w:tcPr>
          <w:p w:rsidR="008605BD" w:rsidRDefault="008605BD" w:rsidP="008605BD">
            <w:pPr>
              <w:pStyle w:val="NoSpacing"/>
              <w:jc w:val="right"/>
            </w:pPr>
            <w:r>
              <w:t>2019</w:t>
            </w:r>
          </w:p>
        </w:tc>
        <w:tc>
          <w:tcPr>
            <w:tcW w:w="1985" w:type="dxa"/>
          </w:tcPr>
          <w:p w:rsidR="008605BD" w:rsidRDefault="008605BD" w:rsidP="008605BD">
            <w:pPr>
              <w:pStyle w:val="NoSpacing"/>
              <w:jc w:val="right"/>
            </w:pPr>
            <w:r>
              <w:t>2018</w:t>
            </w:r>
          </w:p>
        </w:tc>
      </w:tr>
      <w:tr w:rsidR="008605BD" w:rsidTr="008605BD">
        <w:tc>
          <w:tcPr>
            <w:tcW w:w="6805" w:type="dxa"/>
          </w:tcPr>
          <w:p w:rsidR="008605BD" w:rsidRDefault="008605BD" w:rsidP="005942B8">
            <w:pPr>
              <w:pStyle w:val="NoSpacing"/>
            </w:pPr>
            <w:r>
              <w:t>Government funded accredited programs</w:t>
            </w:r>
          </w:p>
        </w:tc>
        <w:tc>
          <w:tcPr>
            <w:tcW w:w="1984" w:type="dxa"/>
          </w:tcPr>
          <w:p w:rsidR="008605BD" w:rsidRDefault="008605BD" w:rsidP="008605BD">
            <w:pPr>
              <w:pStyle w:val="NoSpacing"/>
              <w:jc w:val="right"/>
            </w:pPr>
            <w:r>
              <w:t>19,707</w:t>
            </w:r>
          </w:p>
        </w:tc>
        <w:tc>
          <w:tcPr>
            <w:tcW w:w="1985" w:type="dxa"/>
          </w:tcPr>
          <w:p w:rsidR="008605BD" w:rsidRDefault="008605BD" w:rsidP="008605BD">
            <w:pPr>
              <w:pStyle w:val="NoSpacing"/>
              <w:jc w:val="right"/>
            </w:pPr>
            <w:r>
              <w:t>15,673</w:t>
            </w:r>
          </w:p>
        </w:tc>
      </w:tr>
      <w:tr w:rsidR="008605BD" w:rsidTr="008605BD">
        <w:tc>
          <w:tcPr>
            <w:tcW w:w="6805" w:type="dxa"/>
          </w:tcPr>
          <w:p w:rsidR="008605BD" w:rsidRDefault="008605BD" w:rsidP="005942B8">
            <w:pPr>
              <w:pStyle w:val="NoSpacing"/>
            </w:pPr>
            <w:r>
              <w:t>Fee for service programs</w:t>
            </w:r>
          </w:p>
        </w:tc>
        <w:tc>
          <w:tcPr>
            <w:tcW w:w="1984" w:type="dxa"/>
          </w:tcPr>
          <w:p w:rsidR="008605BD" w:rsidRDefault="008605BD" w:rsidP="008605BD">
            <w:pPr>
              <w:pStyle w:val="NoSpacing"/>
              <w:jc w:val="right"/>
            </w:pPr>
            <w:r>
              <w:t>22,974</w:t>
            </w:r>
          </w:p>
        </w:tc>
        <w:tc>
          <w:tcPr>
            <w:tcW w:w="1985" w:type="dxa"/>
          </w:tcPr>
          <w:p w:rsidR="008605BD" w:rsidRDefault="008605BD" w:rsidP="008605BD">
            <w:pPr>
              <w:pStyle w:val="NoSpacing"/>
              <w:jc w:val="right"/>
            </w:pPr>
            <w:r>
              <w:t>22,536</w:t>
            </w:r>
          </w:p>
        </w:tc>
      </w:tr>
      <w:tr w:rsidR="008605BD" w:rsidTr="008605BD">
        <w:tc>
          <w:tcPr>
            <w:tcW w:w="6805" w:type="dxa"/>
          </w:tcPr>
          <w:p w:rsidR="008605BD" w:rsidRDefault="008605BD" w:rsidP="005942B8">
            <w:pPr>
              <w:pStyle w:val="NoSpacing"/>
            </w:pPr>
            <w:r>
              <w:t>(Less) student enrolments in both government accredited programs and fee for service programs</w:t>
            </w:r>
          </w:p>
        </w:tc>
        <w:tc>
          <w:tcPr>
            <w:tcW w:w="1984" w:type="dxa"/>
          </w:tcPr>
          <w:p w:rsidR="008605BD" w:rsidRDefault="008605BD" w:rsidP="008605BD">
            <w:pPr>
              <w:pStyle w:val="NoSpacing"/>
              <w:jc w:val="right"/>
            </w:pPr>
            <w:r>
              <w:t>-1,448</w:t>
            </w:r>
          </w:p>
        </w:tc>
        <w:tc>
          <w:tcPr>
            <w:tcW w:w="1985" w:type="dxa"/>
          </w:tcPr>
          <w:p w:rsidR="008605BD" w:rsidRDefault="008605BD" w:rsidP="008605BD">
            <w:pPr>
              <w:pStyle w:val="NoSpacing"/>
              <w:jc w:val="right"/>
            </w:pPr>
            <w:r>
              <w:t>-1,639</w:t>
            </w:r>
          </w:p>
        </w:tc>
      </w:tr>
      <w:tr w:rsidR="008605BD" w:rsidTr="008605BD">
        <w:tc>
          <w:tcPr>
            <w:tcW w:w="6805" w:type="dxa"/>
          </w:tcPr>
          <w:p w:rsidR="008605BD" w:rsidRDefault="008605BD" w:rsidP="00691125">
            <w:pPr>
              <w:pStyle w:val="NoSpacing"/>
            </w:pPr>
            <w:r>
              <w:t xml:space="preserve">Total net student </w:t>
            </w:r>
            <w:r w:rsidR="00691125">
              <w:t>numbers</w:t>
            </w:r>
          </w:p>
        </w:tc>
        <w:tc>
          <w:tcPr>
            <w:tcW w:w="1984" w:type="dxa"/>
          </w:tcPr>
          <w:p w:rsidR="008605BD" w:rsidRDefault="008605BD" w:rsidP="008605BD">
            <w:pPr>
              <w:pStyle w:val="NoSpacing"/>
              <w:jc w:val="right"/>
            </w:pPr>
            <w:r>
              <w:t>41,233</w:t>
            </w:r>
          </w:p>
        </w:tc>
        <w:tc>
          <w:tcPr>
            <w:tcW w:w="1985" w:type="dxa"/>
          </w:tcPr>
          <w:p w:rsidR="008605BD" w:rsidRDefault="008605BD" w:rsidP="008605BD">
            <w:pPr>
              <w:pStyle w:val="NoSpacing"/>
              <w:jc w:val="right"/>
            </w:pPr>
            <w:r>
              <w:t>36,570</w:t>
            </w:r>
          </w:p>
        </w:tc>
      </w:tr>
    </w:tbl>
    <w:p w:rsidR="008605BD" w:rsidRDefault="008605BD" w:rsidP="005942B8">
      <w:pPr>
        <w:pStyle w:val="NoSpacing"/>
      </w:pPr>
    </w:p>
    <w:p w:rsidR="008605BD" w:rsidRDefault="008605BD" w:rsidP="005942B8">
      <w:pPr>
        <w:pStyle w:val="NoSpacing"/>
      </w:pPr>
      <w:r>
        <w:t>Student contact hour delivery</w:t>
      </w:r>
    </w:p>
    <w:tbl>
      <w:tblPr>
        <w:tblStyle w:val="TableGrid"/>
        <w:tblW w:w="10774" w:type="dxa"/>
        <w:tblInd w:w="-856" w:type="dxa"/>
        <w:tblLook w:val="04A0" w:firstRow="1" w:lastRow="0" w:firstColumn="1" w:lastColumn="0" w:noHBand="0" w:noVBand="1"/>
      </w:tblPr>
      <w:tblGrid>
        <w:gridCol w:w="6805"/>
        <w:gridCol w:w="1984"/>
        <w:gridCol w:w="1985"/>
      </w:tblGrid>
      <w:tr w:rsidR="008605BD" w:rsidTr="00280ED8">
        <w:trPr>
          <w:gridBefore w:val="1"/>
          <w:wBefore w:w="6805" w:type="dxa"/>
        </w:trPr>
        <w:tc>
          <w:tcPr>
            <w:tcW w:w="1984" w:type="dxa"/>
          </w:tcPr>
          <w:p w:rsidR="008605BD" w:rsidRDefault="008605BD" w:rsidP="00280ED8">
            <w:pPr>
              <w:pStyle w:val="NoSpacing"/>
              <w:jc w:val="right"/>
            </w:pPr>
            <w:r>
              <w:t>2019</w:t>
            </w:r>
          </w:p>
        </w:tc>
        <w:tc>
          <w:tcPr>
            <w:tcW w:w="1985" w:type="dxa"/>
          </w:tcPr>
          <w:p w:rsidR="008605BD" w:rsidRDefault="008605BD" w:rsidP="00280ED8">
            <w:pPr>
              <w:pStyle w:val="NoSpacing"/>
              <w:jc w:val="right"/>
            </w:pPr>
            <w:r>
              <w:t>2018</w:t>
            </w:r>
          </w:p>
        </w:tc>
      </w:tr>
      <w:tr w:rsidR="008605BD" w:rsidTr="00280ED8">
        <w:tc>
          <w:tcPr>
            <w:tcW w:w="6805" w:type="dxa"/>
          </w:tcPr>
          <w:p w:rsidR="008605BD" w:rsidRDefault="008605BD" w:rsidP="00280ED8">
            <w:pPr>
              <w:pStyle w:val="NoSpacing"/>
            </w:pPr>
            <w:r>
              <w:t>Government funded accredited programs</w:t>
            </w:r>
          </w:p>
        </w:tc>
        <w:tc>
          <w:tcPr>
            <w:tcW w:w="1984" w:type="dxa"/>
          </w:tcPr>
          <w:p w:rsidR="008605BD" w:rsidRDefault="008605BD" w:rsidP="00280ED8">
            <w:pPr>
              <w:pStyle w:val="NoSpacing"/>
              <w:jc w:val="right"/>
            </w:pPr>
            <w:r>
              <w:t>7,624,209</w:t>
            </w:r>
          </w:p>
        </w:tc>
        <w:tc>
          <w:tcPr>
            <w:tcW w:w="1985" w:type="dxa"/>
          </w:tcPr>
          <w:p w:rsidR="008605BD" w:rsidRDefault="008605BD" w:rsidP="00280ED8">
            <w:pPr>
              <w:pStyle w:val="NoSpacing"/>
              <w:jc w:val="right"/>
            </w:pPr>
            <w:r>
              <w:t>6,394,419</w:t>
            </w:r>
          </w:p>
        </w:tc>
      </w:tr>
      <w:tr w:rsidR="008605BD" w:rsidTr="00280ED8">
        <w:tc>
          <w:tcPr>
            <w:tcW w:w="6805" w:type="dxa"/>
          </w:tcPr>
          <w:p w:rsidR="008605BD" w:rsidRDefault="008605BD" w:rsidP="00280ED8">
            <w:pPr>
              <w:pStyle w:val="NoSpacing"/>
            </w:pPr>
            <w:r>
              <w:t>Fee for service programs</w:t>
            </w:r>
          </w:p>
        </w:tc>
        <w:tc>
          <w:tcPr>
            <w:tcW w:w="1984" w:type="dxa"/>
          </w:tcPr>
          <w:p w:rsidR="008605BD" w:rsidRDefault="008605BD" w:rsidP="00280ED8">
            <w:pPr>
              <w:pStyle w:val="NoSpacing"/>
              <w:jc w:val="right"/>
            </w:pPr>
            <w:r>
              <w:t>5,966,277</w:t>
            </w:r>
          </w:p>
        </w:tc>
        <w:tc>
          <w:tcPr>
            <w:tcW w:w="1985" w:type="dxa"/>
          </w:tcPr>
          <w:p w:rsidR="008605BD" w:rsidRDefault="008605BD" w:rsidP="00280ED8">
            <w:pPr>
              <w:pStyle w:val="NoSpacing"/>
              <w:jc w:val="right"/>
            </w:pPr>
            <w:r>
              <w:t>6,279,835</w:t>
            </w:r>
          </w:p>
        </w:tc>
      </w:tr>
      <w:tr w:rsidR="008605BD" w:rsidTr="00280ED8">
        <w:tc>
          <w:tcPr>
            <w:tcW w:w="6805" w:type="dxa"/>
          </w:tcPr>
          <w:p w:rsidR="008605BD" w:rsidRDefault="008605BD" w:rsidP="00280ED8">
            <w:pPr>
              <w:pStyle w:val="NoSpacing"/>
            </w:pPr>
            <w:r>
              <w:t>Total student contact hour delivery</w:t>
            </w:r>
          </w:p>
        </w:tc>
        <w:tc>
          <w:tcPr>
            <w:tcW w:w="1984" w:type="dxa"/>
          </w:tcPr>
          <w:p w:rsidR="008605BD" w:rsidRDefault="008605BD" w:rsidP="00280ED8">
            <w:pPr>
              <w:pStyle w:val="NoSpacing"/>
              <w:jc w:val="right"/>
            </w:pPr>
            <w:r>
              <w:t>13,590,486</w:t>
            </w:r>
          </w:p>
        </w:tc>
        <w:tc>
          <w:tcPr>
            <w:tcW w:w="1985" w:type="dxa"/>
          </w:tcPr>
          <w:p w:rsidR="008605BD" w:rsidRDefault="008605BD" w:rsidP="00280ED8">
            <w:pPr>
              <w:pStyle w:val="NoSpacing"/>
              <w:jc w:val="right"/>
            </w:pPr>
            <w:r>
              <w:t>12,674,254</w:t>
            </w:r>
          </w:p>
        </w:tc>
      </w:tr>
    </w:tbl>
    <w:p w:rsidR="008605BD" w:rsidRDefault="008605BD" w:rsidP="005942B8">
      <w:pPr>
        <w:pStyle w:val="NoSpacing"/>
      </w:pPr>
    </w:p>
    <w:p w:rsidR="0038251B" w:rsidRDefault="008605BD" w:rsidP="0038251B">
      <w:pPr>
        <w:pStyle w:val="NoSpacing"/>
      </w:pPr>
      <w:r>
        <w:t xml:space="preserve">Student </w:t>
      </w:r>
      <w:r w:rsidR="00691125">
        <w:t>numbers</w:t>
      </w:r>
      <w:r>
        <w:t xml:space="preserve"> by age</w:t>
      </w:r>
    </w:p>
    <w:tbl>
      <w:tblPr>
        <w:tblStyle w:val="TableGrid"/>
        <w:tblW w:w="10774" w:type="dxa"/>
        <w:tblInd w:w="-856" w:type="dxa"/>
        <w:tblLook w:val="04A0" w:firstRow="1" w:lastRow="0" w:firstColumn="1" w:lastColumn="0" w:noHBand="0" w:noVBand="1"/>
      </w:tblPr>
      <w:tblGrid>
        <w:gridCol w:w="2552"/>
        <w:gridCol w:w="2127"/>
        <w:gridCol w:w="1984"/>
        <w:gridCol w:w="2126"/>
        <w:gridCol w:w="1985"/>
      </w:tblGrid>
      <w:tr w:rsidR="000A5F9E" w:rsidTr="000A5F9E">
        <w:trPr>
          <w:gridBefore w:val="1"/>
          <w:wBefore w:w="2552" w:type="dxa"/>
        </w:trPr>
        <w:tc>
          <w:tcPr>
            <w:tcW w:w="4111" w:type="dxa"/>
            <w:gridSpan w:val="2"/>
          </w:tcPr>
          <w:p w:rsidR="000A5F9E" w:rsidRDefault="000A5F9E" w:rsidP="00DD437F">
            <w:pPr>
              <w:pStyle w:val="NoSpacing"/>
              <w:jc w:val="center"/>
            </w:pPr>
            <w:r>
              <w:t>2019</w:t>
            </w:r>
          </w:p>
        </w:tc>
        <w:tc>
          <w:tcPr>
            <w:tcW w:w="4111" w:type="dxa"/>
            <w:gridSpan w:val="2"/>
          </w:tcPr>
          <w:p w:rsidR="000A5F9E" w:rsidRDefault="000A5F9E" w:rsidP="00DD437F">
            <w:pPr>
              <w:pStyle w:val="NoSpacing"/>
              <w:jc w:val="center"/>
            </w:pPr>
            <w:r>
              <w:t>2018</w:t>
            </w:r>
          </w:p>
        </w:tc>
      </w:tr>
      <w:tr w:rsidR="000A5F9E" w:rsidTr="000A5F9E">
        <w:trPr>
          <w:gridBefore w:val="1"/>
          <w:wBefore w:w="2552" w:type="dxa"/>
        </w:trPr>
        <w:tc>
          <w:tcPr>
            <w:tcW w:w="2127" w:type="dxa"/>
          </w:tcPr>
          <w:p w:rsidR="000A5F9E" w:rsidRDefault="000A5F9E" w:rsidP="000A5F9E">
            <w:pPr>
              <w:pStyle w:val="NoSpacing"/>
              <w:jc w:val="right"/>
            </w:pPr>
            <w:r>
              <w:t>Student enrolments</w:t>
            </w:r>
          </w:p>
        </w:tc>
        <w:tc>
          <w:tcPr>
            <w:tcW w:w="1984" w:type="dxa"/>
          </w:tcPr>
          <w:p w:rsidR="000A5F9E" w:rsidRDefault="000A5F9E" w:rsidP="000A5F9E">
            <w:pPr>
              <w:pStyle w:val="NoSpacing"/>
              <w:jc w:val="right"/>
            </w:pPr>
            <w:r>
              <w:t>Per cent</w:t>
            </w:r>
          </w:p>
        </w:tc>
        <w:tc>
          <w:tcPr>
            <w:tcW w:w="2126" w:type="dxa"/>
          </w:tcPr>
          <w:p w:rsidR="000A5F9E" w:rsidRDefault="000A5F9E" w:rsidP="000A5F9E">
            <w:pPr>
              <w:pStyle w:val="NoSpacing"/>
              <w:jc w:val="right"/>
            </w:pPr>
            <w:r>
              <w:t xml:space="preserve">Student Enrolments </w:t>
            </w:r>
          </w:p>
        </w:tc>
        <w:tc>
          <w:tcPr>
            <w:tcW w:w="1985" w:type="dxa"/>
          </w:tcPr>
          <w:p w:rsidR="000A5F9E" w:rsidRDefault="000A5F9E" w:rsidP="000A5F9E">
            <w:pPr>
              <w:pStyle w:val="NoSpacing"/>
              <w:jc w:val="right"/>
            </w:pPr>
            <w:r>
              <w:t xml:space="preserve">Per cent </w:t>
            </w:r>
          </w:p>
        </w:tc>
      </w:tr>
      <w:tr w:rsidR="000A5F9E" w:rsidTr="000A5F9E">
        <w:tc>
          <w:tcPr>
            <w:tcW w:w="2552" w:type="dxa"/>
          </w:tcPr>
          <w:p w:rsidR="000A5F9E" w:rsidRDefault="000A5F9E" w:rsidP="0038251B">
            <w:pPr>
              <w:pStyle w:val="NoSpacing"/>
            </w:pPr>
            <w:r>
              <w:t>Under 15</w:t>
            </w:r>
          </w:p>
        </w:tc>
        <w:tc>
          <w:tcPr>
            <w:tcW w:w="2127" w:type="dxa"/>
          </w:tcPr>
          <w:p w:rsidR="000A5F9E" w:rsidRDefault="000A5F9E" w:rsidP="000A5F9E">
            <w:pPr>
              <w:pStyle w:val="NoSpacing"/>
              <w:jc w:val="right"/>
            </w:pPr>
            <w:r>
              <w:t>193</w:t>
            </w:r>
          </w:p>
        </w:tc>
        <w:tc>
          <w:tcPr>
            <w:tcW w:w="1984" w:type="dxa"/>
          </w:tcPr>
          <w:p w:rsidR="000A5F9E" w:rsidRDefault="000A5F9E" w:rsidP="000A5F9E">
            <w:pPr>
              <w:pStyle w:val="NoSpacing"/>
              <w:jc w:val="right"/>
            </w:pPr>
            <w:r>
              <w:t>0.5%</w:t>
            </w:r>
          </w:p>
        </w:tc>
        <w:tc>
          <w:tcPr>
            <w:tcW w:w="2126" w:type="dxa"/>
          </w:tcPr>
          <w:p w:rsidR="000A5F9E" w:rsidRDefault="000A5F9E" w:rsidP="000A5F9E">
            <w:pPr>
              <w:pStyle w:val="NoSpacing"/>
              <w:jc w:val="right"/>
            </w:pPr>
            <w:r>
              <w:t>168</w:t>
            </w:r>
          </w:p>
        </w:tc>
        <w:tc>
          <w:tcPr>
            <w:tcW w:w="1985" w:type="dxa"/>
          </w:tcPr>
          <w:p w:rsidR="000A5F9E" w:rsidRDefault="000A5F9E" w:rsidP="000A5F9E">
            <w:pPr>
              <w:pStyle w:val="NoSpacing"/>
              <w:jc w:val="right"/>
            </w:pPr>
            <w:r>
              <w:t>0.5%</w:t>
            </w:r>
          </w:p>
        </w:tc>
      </w:tr>
      <w:tr w:rsidR="000A5F9E" w:rsidTr="000A5F9E">
        <w:tc>
          <w:tcPr>
            <w:tcW w:w="2552" w:type="dxa"/>
          </w:tcPr>
          <w:p w:rsidR="000A5F9E" w:rsidRDefault="000A5F9E" w:rsidP="0038251B">
            <w:pPr>
              <w:pStyle w:val="NoSpacing"/>
            </w:pPr>
            <w:r>
              <w:t>15-19</w:t>
            </w:r>
          </w:p>
        </w:tc>
        <w:tc>
          <w:tcPr>
            <w:tcW w:w="2127" w:type="dxa"/>
          </w:tcPr>
          <w:p w:rsidR="000A5F9E" w:rsidRDefault="000A5F9E" w:rsidP="000A5F9E">
            <w:pPr>
              <w:pStyle w:val="NoSpacing"/>
              <w:jc w:val="right"/>
            </w:pPr>
            <w:r>
              <w:t>12,300</w:t>
            </w:r>
          </w:p>
        </w:tc>
        <w:tc>
          <w:tcPr>
            <w:tcW w:w="1984" w:type="dxa"/>
          </w:tcPr>
          <w:p w:rsidR="000A5F9E" w:rsidRDefault="000A5F9E" w:rsidP="000A5F9E">
            <w:pPr>
              <w:pStyle w:val="NoSpacing"/>
              <w:jc w:val="right"/>
            </w:pPr>
            <w:r>
              <w:t>29.8%</w:t>
            </w:r>
          </w:p>
        </w:tc>
        <w:tc>
          <w:tcPr>
            <w:tcW w:w="2126" w:type="dxa"/>
          </w:tcPr>
          <w:p w:rsidR="000A5F9E" w:rsidRDefault="000A5F9E" w:rsidP="000A5F9E">
            <w:pPr>
              <w:pStyle w:val="NoSpacing"/>
              <w:jc w:val="right"/>
            </w:pPr>
            <w:r>
              <w:t>12,255</w:t>
            </w:r>
          </w:p>
        </w:tc>
        <w:tc>
          <w:tcPr>
            <w:tcW w:w="1985" w:type="dxa"/>
          </w:tcPr>
          <w:p w:rsidR="000A5F9E" w:rsidRDefault="000A5F9E" w:rsidP="000A5F9E">
            <w:pPr>
              <w:pStyle w:val="NoSpacing"/>
              <w:jc w:val="right"/>
            </w:pPr>
            <w:r>
              <w:t>33.5%</w:t>
            </w:r>
          </w:p>
        </w:tc>
      </w:tr>
      <w:tr w:rsidR="000A5F9E" w:rsidTr="000A5F9E">
        <w:tc>
          <w:tcPr>
            <w:tcW w:w="2552" w:type="dxa"/>
          </w:tcPr>
          <w:p w:rsidR="000A5F9E" w:rsidRDefault="000A5F9E" w:rsidP="0038251B">
            <w:pPr>
              <w:pStyle w:val="NoSpacing"/>
            </w:pPr>
            <w:r>
              <w:t>20-24</w:t>
            </w:r>
          </w:p>
        </w:tc>
        <w:tc>
          <w:tcPr>
            <w:tcW w:w="2127" w:type="dxa"/>
          </w:tcPr>
          <w:p w:rsidR="000A5F9E" w:rsidRDefault="000A5F9E" w:rsidP="000A5F9E">
            <w:pPr>
              <w:pStyle w:val="NoSpacing"/>
              <w:jc w:val="right"/>
            </w:pPr>
            <w:r>
              <w:t>9,643</w:t>
            </w:r>
          </w:p>
        </w:tc>
        <w:tc>
          <w:tcPr>
            <w:tcW w:w="1984" w:type="dxa"/>
          </w:tcPr>
          <w:p w:rsidR="000A5F9E" w:rsidRDefault="000A5F9E" w:rsidP="000A5F9E">
            <w:pPr>
              <w:pStyle w:val="NoSpacing"/>
              <w:jc w:val="right"/>
            </w:pPr>
            <w:r>
              <w:t>23.4%</w:t>
            </w:r>
          </w:p>
        </w:tc>
        <w:tc>
          <w:tcPr>
            <w:tcW w:w="2126" w:type="dxa"/>
          </w:tcPr>
          <w:p w:rsidR="000A5F9E" w:rsidRDefault="000A5F9E" w:rsidP="000A5F9E">
            <w:pPr>
              <w:pStyle w:val="NoSpacing"/>
              <w:jc w:val="right"/>
            </w:pPr>
            <w:r>
              <w:t>8,340</w:t>
            </w:r>
          </w:p>
        </w:tc>
        <w:tc>
          <w:tcPr>
            <w:tcW w:w="1985" w:type="dxa"/>
          </w:tcPr>
          <w:p w:rsidR="000A5F9E" w:rsidRDefault="000A5F9E" w:rsidP="000A5F9E">
            <w:pPr>
              <w:pStyle w:val="NoSpacing"/>
              <w:jc w:val="right"/>
            </w:pPr>
            <w:r>
              <w:t>22.8%</w:t>
            </w:r>
          </w:p>
        </w:tc>
      </w:tr>
      <w:tr w:rsidR="000A5F9E" w:rsidTr="000A5F9E">
        <w:tc>
          <w:tcPr>
            <w:tcW w:w="2552" w:type="dxa"/>
          </w:tcPr>
          <w:p w:rsidR="000A5F9E" w:rsidRDefault="000A5F9E" w:rsidP="0038251B">
            <w:pPr>
              <w:pStyle w:val="NoSpacing"/>
            </w:pPr>
            <w:r>
              <w:t>25-39</w:t>
            </w:r>
          </w:p>
        </w:tc>
        <w:tc>
          <w:tcPr>
            <w:tcW w:w="2127" w:type="dxa"/>
          </w:tcPr>
          <w:p w:rsidR="000A5F9E" w:rsidRDefault="000A5F9E" w:rsidP="000A5F9E">
            <w:pPr>
              <w:pStyle w:val="NoSpacing"/>
              <w:jc w:val="right"/>
            </w:pPr>
            <w:r>
              <w:t>10,754</w:t>
            </w:r>
          </w:p>
        </w:tc>
        <w:tc>
          <w:tcPr>
            <w:tcW w:w="1984" w:type="dxa"/>
          </w:tcPr>
          <w:p w:rsidR="000A5F9E" w:rsidRDefault="000A5F9E" w:rsidP="000A5F9E">
            <w:pPr>
              <w:pStyle w:val="NoSpacing"/>
              <w:jc w:val="right"/>
            </w:pPr>
            <w:r>
              <w:t>26.1%</w:t>
            </w:r>
          </w:p>
        </w:tc>
        <w:tc>
          <w:tcPr>
            <w:tcW w:w="2126" w:type="dxa"/>
          </w:tcPr>
          <w:p w:rsidR="000A5F9E" w:rsidRDefault="000A5F9E" w:rsidP="000A5F9E">
            <w:pPr>
              <w:pStyle w:val="NoSpacing"/>
              <w:jc w:val="right"/>
            </w:pPr>
            <w:r>
              <w:t>8,577</w:t>
            </w:r>
          </w:p>
        </w:tc>
        <w:tc>
          <w:tcPr>
            <w:tcW w:w="1985" w:type="dxa"/>
          </w:tcPr>
          <w:p w:rsidR="000A5F9E" w:rsidRDefault="000A5F9E" w:rsidP="000A5F9E">
            <w:pPr>
              <w:pStyle w:val="NoSpacing"/>
              <w:jc w:val="right"/>
            </w:pPr>
            <w:r>
              <w:t>23.5%</w:t>
            </w:r>
          </w:p>
        </w:tc>
      </w:tr>
      <w:tr w:rsidR="000A5F9E" w:rsidTr="000A5F9E">
        <w:tc>
          <w:tcPr>
            <w:tcW w:w="2552" w:type="dxa"/>
          </w:tcPr>
          <w:p w:rsidR="000A5F9E" w:rsidRDefault="000A5F9E" w:rsidP="0038251B">
            <w:pPr>
              <w:pStyle w:val="NoSpacing"/>
            </w:pPr>
            <w:r>
              <w:t>40-64</w:t>
            </w:r>
          </w:p>
        </w:tc>
        <w:tc>
          <w:tcPr>
            <w:tcW w:w="2127" w:type="dxa"/>
          </w:tcPr>
          <w:p w:rsidR="000A5F9E" w:rsidRDefault="000A5F9E" w:rsidP="000A5F9E">
            <w:pPr>
              <w:pStyle w:val="NoSpacing"/>
              <w:jc w:val="right"/>
            </w:pPr>
            <w:r>
              <w:t>7,980</w:t>
            </w:r>
          </w:p>
        </w:tc>
        <w:tc>
          <w:tcPr>
            <w:tcW w:w="1984" w:type="dxa"/>
          </w:tcPr>
          <w:p w:rsidR="000A5F9E" w:rsidRDefault="000A5F9E" w:rsidP="000A5F9E">
            <w:pPr>
              <w:pStyle w:val="NoSpacing"/>
              <w:jc w:val="right"/>
            </w:pPr>
            <w:r>
              <w:t>19.4%</w:t>
            </w:r>
          </w:p>
        </w:tc>
        <w:tc>
          <w:tcPr>
            <w:tcW w:w="2126" w:type="dxa"/>
          </w:tcPr>
          <w:p w:rsidR="000A5F9E" w:rsidRDefault="000A5F9E" w:rsidP="000A5F9E">
            <w:pPr>
              <w:pStyle w:val="NoSpacing"/>
              <w:jc w:val="right"/>
            </w:pPr>
            <w:r>
              <w:t>6,953</w:t>
            </w:r>
          </w:p>
        </w:tc>
        <w:tc>
          <w:tcPr>
            <w:tcW w:w="1985" w:type="dxa"/>
          </w:tcPr>
          <w:p w:rsidR="000A5F9E" w:rsidRDefault="000A5F9E" w:rsidP="000A5F9E">
            <w:pPr>
              <w:pStyle w:val="NoSpacing"/>
              <w:jc w:val="right"/>
            </w:pPr>
            <w:r>
              <w:t>19.0%</w:t>
            </w:r>
          </w:p>
        </w:tc>
      </w:tr>
      <w:tr w:rsidR="000A5F9E" w:rsidTr="000A5F9E">
        <w:tc>
          <w:tcPr>
            <w:tcW w:w="2552" w:type="dxa"/>
          </w:tcPr>
          <w:p w:rsidR="000A5F9E" w:rsidRDefault="000A5F9E" w:rsidP="0038251B">
            <w:pPr>
              <w:pStyle w:val="NoSpacing"/>
            </w:pPr>
            <w:r>
              <w:t>Over 65</w:t>
            </w:r>
          </w:p>
        </w:tc>
        <w:tc>
          <w:tcPr>
            <w:tcW w:w="2127" w:type="dxa"/>
          </w:tcPr>
          <w:p w:rsidR="000A5F9E" w:rsidRDefault="000A5F9E" w:rsidP="000A5F9E">
            <w:pPr>
              <w:pStyle w:val="NoSpacing"/>
              <w:jc w:val="right"/>
            </w:pPr>
            <w:r>
              <w:t>360</w:t>
            </w:r>
          </w:p>
        </w:tc>
        <w:tc>
          <w:tcPr>
            <w:tcW w:w="1984" w:type="dxa"/>
          </w:tcPr>
          <w:p w:rsidR="000A5F9E" w:rsidRDefault="000A5F9E" w:rsidP="000A5F9E">
            <w:pPr>
              <w:pStyle w:val="NoSpacing"/>
              <w:jc w:val="right"/>
            </w:pPr>
            <w:r>
              <w:t>0.9%</w:t>
            </w:r>
          </w:p>
        </w:tc>
        <w:tc>
          <w:tcPr>
            <w:tcW w:w="2126" w:type="dxa"/>
          </w:tcPr>
          <w:p w:rsidR="000A5F9E" w:rsidRDefault="000A5F9E" w:rsidP="000A5F9E">
            <w:pPr>
              <w:pStyle w:val="NoSpacing"/>
              <w:jc w:val="right"/>
            </w:pPr>
            <w:r>
              <w:t>273</w:t>
            </w:r>
          </w:p>
        </w:tc>
        <w:tc>
          <w:tcPr>
            <w:tcW w:w="1985" w:type="dxa"/>
          </w:tcPr>
          <w:p w:rsidR="000A5F9E" w:rsidRDefault="000A5F9E" w:rsidP="000A5F9E">
            <w:pPr>
              <w:pStyle w:val="NoSpacing"/>
              <w:jc w:val="right"/>
            </w:pPr>
            <w:r>
              <w:t>0.7%</w:t>
            </w:r>
          </w:p>
        </w:tc>
      </w:tr>
      <w:tr w:rsidR="000A5F9E" w:rsidTr="000A5F9E">
        <w:tc>
          <w:tcPr>
            <w:tcW w:w="2552" w:type="dxa"/>
          </w:tcPr>
          <w:p w:rsidR="000A5F9E" w:rsidRDefault="000A5F9E" w:rsidP="0038251B">
            <w:pPr>
              <w:pStyle w:val="NoSpacing"/>
            </w:pPr>
            <w:r>
              <w:t>Not stated</w:t>
            </w:r>
          </w:p>
        </w:tc>
        <w:tc>
          <w:tcPr>
            <w:tcW w:w="2127" w:type="dxa"/>
          </w:tcPr>
          <w:p w:rsidR="000A5F9E" w:rsidRDefault="000A5F9E" w:rsidP="000A5F9E">
            <w:pPr>
              <w:pStyle w:val="NoSpacing"/>
              <w:jc w:val="right"/>
            </w:pPr>
            <w:r>
              <w:t>3</w:t>
            </w:r>
          </w:p>
        </w:tc>
        <w:tc>
          <w:tcPr>
            <w:tcW w:w="1984" w:type="dxa"/>
          </w:tcPr>
          <w:p w:rsidR="000A5F9E" w:rsidRDefault="000A5F9E" w:rsidP="000A5F9E">
            <w:pPr>
              <w:pStyle w:val="NoSpacing"/>
              <w:jc w:val="right"/>
            </w:pPr>
            <w:r>
              <w:t>0.0%</w:t>
            </w:r>
          </w:p>
        </w:tc>
        <w:tc>
          <w:tcPr>
            <w:tcW w:w="2126" w:type="dxa"/>
          </w:tcPr>
          <w:p w:rsidR="000A5F9E" w:rsidRDefault="000A5F9E" w:rsidP="000A5F9E">
            <w:pPr>
              <w:pStyle w:val="NoSpacing"/>
              <w:jc w:val="right"/>
            </w:pPr>
            <w:r>
              <w:t>4</w:t>
            </w:r>
          </w:p>
        </w:tc>
        <w:tc>
          <w:tcPr>
            <w:tcW w:w="1985" w:type="dxa"/>
          </w:tcPr>
          <w:p w:rsidR="000A5F9E" w:rsidRDefault="000A5F9E" w:rsidP="000A5F9E">
            <w:pPr>
              <w:pStyle w:val="NoSpacing"/>
              <w:jc w:val="right"/>
            </w:pPr>
            <w:r>
              <w:t>0.0%</w:t>
            </w:r>
          </w:p>
        </w:tc>
      </w:tr>
      <w:tr w:rsidR="000A5F9E" w:rsidTr="000A5F9E">
        <w:tc>
          <w:tcPr>
            <w:tcW w:w="2552" w:type="dxa"/>
          </w:tcPr>
          <w:p w:rsidR="000A5F9E" w:rsidRDefault="000A5F9E" w:rsidP="0038251B">
            <w:pPr>
              <w:pStyle w:val="NoSpacing"/>
            </w:pPr>
            <w:r>
              <w:t>Total</w:t>
            </w:r>
          </w:p>
        </w:tc>
        <w:tc>
          <w:tcPr>
            <w:tcW w:w="2127" w:type="dxa"/>
          </w:tcPr>
          <w:p w:rsidR="000A5F9E" w:rsidRDefault="000A5F9E" w:rsidP="000A5F9E">
            <w:pPr>
              <w:pStyle w:val="NoSpacing"/>
              <w:jc w:val="right"/>
            </w:pPr>
            <w:r>
              <w:t>41,233</w:t>
            </w:r>
          </w:p>
        </w:tc>
        <w:tc>
          <w:tcPr>
            <w:tcW w:w="1984" w:type="dxa"/>
          </w:tcPr>
          <w:p w:rsidR="000A5F9E" w:rsidRDefault="000A5F9E" w:rsidP="000A5F9E">
            <w:pPr>
              <w:pStyle w:val="NoSpacing"/>
              <w:jc w:val="right"/>
            </w:pPr>
            <w:r>
              <w:t>100.0%</w:t>
            </w:r>
          </w:p>
        </w:tc>
        <w:tc>
          <w:tcPr>
            <w:tcW w:w="2126" w:type="dxa"/>
          </w:tcPr>
          <w:p w:rsidR="000A5F9E" w:rsidRDefault="000A5F9E" w:rsidP="000A5F9E">
            <w:pPr>
              <w:pStyle w:val="NoSpacing"/>
              <w:jc w:val="right"/>
            </w:pPr>
            <w:r>
              <w:t>36,570</w:t>
            </w:r>
          </w:p>
        </w:tc>
        <w:tc>
          <w:tcPr>
            <w:tcW w:w="1985" w:type="dxa"/>
          </w:tcPr>
          <w:p w:rsidR="000A5F9E" w:rsidRDefault="000A5F9E" w:rsidP="000A5F9E">
            <w:pPr>
              <w:pStyle w:val="NoSpacing"/>
              <w:jc w:val="right"/>
            </w:pPr>
            <w:r>
              <w:t>100.0%</w:t>
            </w:r>
          </w:p>
        </w:tc>
      </w:tr>
    </w:tbl>
    <w:p w:rsidR="008605BD" w:rsidRDefault="008605BD" w:rsidP="0038251B">
      <w:pPr>
        <w:pStyle w:val="NoSpacing"/>
      </w:pPr>
    </w:p>
    <w:p w:rsidR="009629D0" w:rsidRDefault="009629D0" w:rsidP="0038251B">
      <w:pPr>
        <w:pStyle w:val="NoSpacing"/>
      </w:pPr>
      <w:r>
        <w:t xml:space="preserve">Student </w:t>
      </w:r>
      <w:r w:rsidR="00691125">
        <w:t>numbers</w:t>
      </w:r>
      <w:r>
        <w:t xml:space="preserve"> by gender </w:t>
      </w:r>
    </w:p>
    <w:tbl>
      <w:tblPr>
        <w:tblStyle w:val="TableGrid"/>
        <w:tblW w:w="10774" w:type="dxa"/>
        <w:tblInd w:w="-856" w:type="dxa"/>
        <w:tblLook w:val="04A0" w:firstRow="1" w:lastRow="0" w:firstColumn="1" w:lastColumn="0" w:noHBand="0" w:noVBand="1"/>
      </w:tblPr>
      <w:tblGrid>
        <w:gridCol w:w="3448"/>
        <w:gridCol w:w="1929"/>
        <w:gridCol w:w="1735"/>
        <w:gridCol w:w="1927"/>
        <w:gridCol w:w="1735"/>
      </w:tblGrid>
      <w:tr w:rsidR="009629D0" w:rsidTr="00280ED8">
        <w:trPr>
          <w:gridBefore w:val="1"/>
          <w:wBefore w:w="2552" w:type="dxa"/>
        </w:trPr>
        <w:tc>
          <w:tcPr>
            <w:tcW w:w="4111" w:type="dxa"/>
            <w:gridSpan w:val="2"/>
          </w:tcPr>
          <w:p w:rsidR="009629D0" w:rsidRDefault="009629D0" w:rsidP="00DD437F">
            <w:pPr>
              <w:pStyle w:val="NoSpacing"/>
              <w:jc w:val="center"/>
            </w:pPr>
            <w:r>
              <w:t>2019</w:t>
            </w:r>
          </w:p>
        </w:tc>
        <w:tc>
          <w:tcPr>
            <w:tcW w:w="4111" w:type="dxa"/>
            <w:gridSpan w:val="2"/>
          </w:tcPr>
          <w:p w:rsidR="009629D0" w:rsidRDefault="009629D0" w:rsidP="00DD437F">
            <w:pPr>
              <w:pStyle w:val="NoSpacing"/>
              <w:jc w:val="center"/>
            </w:pPr>
            <w:r>
              <w:t>2018</w:t>
            </w:r>
          </w:p>
        </w:tc>
      </w:tr>
      <w:tr w:rsidR="009629D0" w:rsidTr="00280ED8">
        <w:trPr>
          <w:gridBefore w:val="1"/>
          <w:wBefore w:w="2552" w:type="dxa"/>
        </w:trPr>
        <w:tc>
          <w:tcPr>
            <w:tcW w:w="2127" w:type="dxa"/>
          </w:tcPr>
          <w:p w:rsidR="009629D0" w:rsidRDefault="009629D0" w:rsidP="00280ED8">
            <w:pPr>
              <w:pStyle w:val="NoSpacing"/>
              <w:jc w:val="right"/>
            </w:pPr>
            <w:r>
              <w:t>Student enrolments</w:t>
            </w:r>
          </w:p>
        </w:tc>
        <w:tc>
          <w:tcPr>
            <w:tcW w:w="1984" w:type="dxa"/>
          </w:tcPr>
          <w:p w:rsidR="009629D0" w:rsidRDefault="009629D0" w:rsidP="00280ED8">
            <w:pPr>
              <w:pStyle w:val="NoSpacing"/>
              <w:jc w:val="right"/>
            </w:pPr>
            <w:r>
              <w:t>Per cent</w:t>
            </w:r>
          </w:p>
        </w:tc>
        <w:tc>
          <w:tcPr>
            <w:tcW w:w="2126" w:type="dxa"/>
          </w:tcPr>
          <w:p w:rsidR="009629D0" w:rsidRDefault="009629D0" w:rsidP="00280ED8">
            <w:pPr>
              <w:pStyle w:val="NoSpacing"/>
              <w:jc w:val="right"/>
            </w:pPr>
            <w:r>
              <w:t xml:space="preserve">Student Enrolments </w:t>
            </w:r>
          </w:p>
        </w:tc>
        <w:tc>
          <w:tcPr>
            <w:tcW w:w="1985" w:type="dxa"/>
          </w:tcPr>
          <w:p w:rsidR="009629D0" w:rsidRDefault="009629D0" w:rsidP="00280ED8">
            <w:pPr>
              <w:pStyle w:val="NoSpacing"/>
              <w:jc w:val="right"/>
            </w:pPr>
            <w:r>
              <w:t xml:space="preserve">Per cent </w:t>
            </w:r>
          </w:p>
        </w:tc>
      </w:tr>
      <w:tr w:rsidR="009629D0" w:rsidTr="00280ED8">
        <w:tc>
          <w:tcPr>
            <w:tcW w:w="2552" w:type="dxa"/>
          </w:tcPr>
          <w:p w:rsidR="009629D0" w:rsidRDefault="009629D0" w:rsidP="00280ED8">
            <w:pPr>
              <w:pStyle w:val="NoSpacing"/>
            </w:pPr>
            <w:r>
              <w:t>Female</w:t>
            </w:r>
          </w:p>
        </w:tc>
        <w:tc>
          <w:tcPr>
            <w:tcW w:w="2127" w:type="dxa"/>
          </w:tcPr>
          <w:p w:rsidR="009629D0" w:rsidRDefault="00DD437F" w:rsidP="00280ED8">
            <w:pPr>
              <w:pStyle w:val="NoSpacing"/>
              <w:jc w:val="right"/>
            </w:pPr>
            <w:r>
              <w:t>17,590</w:t>
            </w:r>
          </w:p>
        </w:tc>
        <w:tc>
          <w:tcPr>
            <w:tcW w:w="1984" w:type="dxa"/>
          </w:tcPr>
          <w:p w:rsidR="009629D0" w:rsidRDefault="00DD437F" w:rsidP="00280ED8">
            <w:pPr>
              <w:pStyle w:val="NoSpacing"/>
              <w:jc w:val="right"/>
            </w:pPr>
            <w:r>
              <w:t>42.7%</w:t>
            </w:r>
          </w:p>
        </w:tc>
        <w:tc>
          <w:tcPr>
            <w:tcW w:w="2126" w:type="dxa"/>
          </w:tcPr>
          <w:p w:rsidR="009629D0" w:rsidRDefault="00DD437F" w:rsidP="00280ED8">
            <w:pPr>
              <w:pStyle w:val="NoSpacing"/>
              <w:jc w:val="right"/>
            </w:pPr>
            <w:r>
              <w:t>14,631</w:t>
            </w:r>
          </w:p>
        </w:tc>
        <w:tc>
          <w:tcPr>
            <w:tcW w:w="1985" w:type="dxa"/>
          </w:tcPr>
          <w:p w:rsidR="009629D0" w:rsidRDefault="00DD437F" w:rsidP="00280ED8">
            <w:pPr>
              <w:pStyle w:val="NoSpacing"/>
              <w:jc w:val="right"/>
            </w:pPr>
            <w:r>
              <w:t>40.0%</w:t>
            </w:r>
          </w:p>
        </w:tc>
      </w:tr>
      <w:tr w:rsidR="009629D0" w:rsidTr="00280ED8">
        <w:tc>
          <w:tcPr>
            <w:tcW w:w="2552" w:type="dxa"/>
          </w:tcPr>
          <w:p w:rsidR="009629D0" w:rsidRDefault="009629D0" w:rsidP="00280ED8">
            <w:pPr>
              <w:pStyle w:val="NoSpacing"/>
            </w:pPr>
            <w:r>
              <w:t>Male</w:t>
            </w:r>
          </w:p>
        </w:tc>
        <w:tc>
          <w:tcPr>
            <w:tcW w:w="2127" w:type="dxa"/>
          </w:tcPr>
          <w:p w:rsidR="009629D0" w:rsidRDefault="00DD437F" w:rsidP="00280ED8">
            <w:pPr>
              <w:pStyle w:val="NoSpacing"/>
              <w:jc w:val="right"/>
            </w:pPr>
            <w:r>
              <w:t>23,479</w:t>
            </w:r>
          </w:p>
        </w:tc>
        <w:tc>
          <w:tcPr>
            <w:tcW w:w="1984" w:type="dxa"/>
          </w:tcPr>
          <w:p w:rsidR="009629D0" w:rsidRDefault="00DD437F" w:rsidP="00280ED8">
            <w:pPr>
              <w:pStyle w:val="NoSpacing"/>
              <w:jc w:val="right"/>
            </w:pPr>
            <w:r>
              <w:t>56.9%</w:t>
            </w:r>
          </w:p>
        </w:tc>
        <w:tc>
          <w:tcPr>
            <w:tcW w:w="2126" w:type="dxa"/>
          </w:tcPr>
          <w:p w:rsidR="009629D0" w:rsidRDefault="00DD437F" w:rsidP="00280ED8">
            <w:pPr>
              <w:pStyle w:val="NoSpacing"/>
              <w:jc w:val="right"/>
            </w:pPr>
            <w:r>
              <w:t>21,895</w:t>
            </w:r>
          </w:p>
        </w:tc>
        <w:tc>
          <w:tcPr>
            <w:tcW w:w="1985" w:type="dxa"/>
          </w:tcPr>
          <w:p w:rsidR="009629D0" w:rsidRDefault="00DD437F" w:rsidP="00280ED8">
            <w:pPr>
              <w:pStyle w:val="NoSpacing"/>
              <w:jc w:val="right"/>
            </w:pPr>
            <w:r>
              <w:t>59.9%</w:t>
            </w:r>
          </w:p>
        </w:tc>
      </w:tr>
      <w:tr w:rsidR="009629D0" w:rsidTr="00280ED8">
        <w:tc>
          <w:tcPr>
            <w:tcW w:w="2552" w:type="dxa"/>
          </w:tcPr>
          <w:p w:rsidR="009629D0" w:rsidRDefault="009629D0" w:rsidP="00280ED8">
            <w:pPr>
              <w:pStyle w:val="NoSpacing"/>
            </w:pPr>
            <w:r>
              <w:t>X Indeterminate/Intersex/Unspecified</w:t>
            </w:r>
          </w:p>
        </w:tc>
        <w:tc>
          <w:tcPr>
            <w:tcW w:w="2127" w:type="dxa"/>
          </w:tcPr>
          <w:p w:rsidR="009629D0" w:rsidRDefault="00DD437F" w:rsidP="00280ED8">
            <w:pPr>
              <w:pStyle w:val="NoSpacing"/>
              <w:jc w:val="right"/>
            </w:pPr>
            <w:r>
              <w:t>164</w:t>
            </w:r>
          </w:p>
        </w:tc>
        <w:tc>
          <w:tcPr>
            <w:tcW w:w="1984" w:type="dxa"/>
          </w:tcPr>
          <w:p w:rsidR="009629D0" w:rsidRDefault="00DD437F" w:rsidP="00280ED8">
            <w:pPr>
              <w:pStyle w:val="NoSpacing"/>
              <w:jc w:val="right"/>
            </w:pPr>
            <w:r>
              <w:t>0.4%</w:t>
            </w:r>
          </w:p>
        </w:tc>
        <w:tc>
          <w:tcPr>
            <w:tcW w:w="2126" w:type="dxa"/>
          </w:tcPr>
          <w:p w:rsidR="009629D0" w:rsidRDefault="00DD437F" w:rsidP="00280ED8">
            <w:pPr>
              <w:pStyle w:val="NoSpacing"/>
              <w:jc w:val="right"/>
            </w:pPr>
            <w:r>
              <w:t>44</w:t>
            </w:r>
          </w:p>
        </w:tc>
        <w:tc>
          <w:tcPr>
            <w:tcW w:w="1985" w:type="dxa"/>
          </w:tcPr>
          <w:p w:rsidR="009629D0" w:rsidRDefault="00DD437F" w:rsidP="00280ED8">
            <w:pPr>
              <w:pStyle w:val="NoSpacing"/>
              <w:jc w:val="right"/>
            </w:pPr>
            <w:r>
              <w:t>0.1%</w:t>
            </w:r>
          </w:p>
        </w:tc>
      </w:tr>
      <w:tr w:rsidR="009629D0" w:rsidTr="00280ED8">
        <w:tc>
          <w:tcPr>
            <w:tcW w:w="2552" w:type="dxa"/>
          </w:tcPr>
          <w:p w:rsidR="009629D0" w:rsidRDefault="009629D0" w:rsidP="00280ED8">
            <w:pPr>
              <w:pStyle w:val="NoSpacing"/>
            </w:pPr>
            <w:r>
              <w:t>Total</w:t>
            </w:r>
          </w:p>
        </w:tc>
        <w:tc>
          <w:tcPr>
            <w:tcW w:w="2127" w:type="dxa"/>
          </w:tcPr>
          <w:p w:rsidR="009629D0" w:rsidRDefault="00DD437F" w:rsidP="00280ED8">
            <w:pPr>
              <w:pStyle w:val="NoSpacing"/>
              <w:jc w:val="right"/>
            </w:pPr>
            <w:r>
              <w:t>41,233</w:t>
            </w:r>
          </w:p>
        </w:tc>
        <w:tc>
          <w:tcPr>
            <w:tcW w:w="1984" w:type="dxa"/>
          </w:tcPr>
          <w:p w:rsidR="009629D0" w:rsidRDefault="00DD437F" w:rsidP="00280ED8">
            <w:pPr>
              <w:pStyle w:val="NoSpacing"/>
              <w:jc w:val="right"/>
            </w:pPr>
            <w:r>
              <w:t>100.0%</w:t>
            </w:r>
          </w:p>
        </w:tc>
        <w:tc>
          <w:tcPr>
            <w:tcW w:w="2126" w:type="dxa"/>
          </w:tcPr>
          <w:p w:rsidR="009629D0" w:rsidRDefault="00DD437F" w:rsidP="00280ED8">
            <w:pPr>
              <w:pStyle w:val="NoSpacing"/>
              <w:jc w:val="right"/>
            </w:pPr>
            <w:r>
              <w:t>36,570</w:t>
            </w:r>
          </w:p>
        </w:tc>
        <w:tc>
          <w:tcPr>
            <w:tcW w:w="1985" w:type="dxa"/>
          </w:tcPr>
          <w:p w:rsidR="009629D0" w:rsidRDefault="00DD437F" w:rsidP="00280ED8">
            <w:pPr>
              <w:pStyle w:val="NoSpacing"/>
              <w:jc w:val="right"/>
            </w:pPr>
            <w:r>
              <w:t>100.0%</w:t>
            </w:r>
          </w:p>
        </w:tc>
      </w:tr>
    </w:tbl>
    <w:p w:rsidR="009629D0" w:rsidRDefault="009629D0" w:rsidP="0038251B">
      <w:pPr>
        <w:pStyle w:val="NoSpacing"/>
      </w:pPr>
    </w:p>
    <w:p w:rsidR="00DD437F" w:rsidRDefault="00DD437F" w:rsidP="0038251B">
      <w:pPr>
        <w:pStyle w:val="NoSpacing"/>
      </w:pPr>
    </w:p>
    <w:p w:rsidR="00560929" w:rsidRDefault="00560929" w:rsidP="0038251B">
      <w:pPr>
        <w:pStyle w:val="NoSpacing"/>
        <w:sectPr w:rsidR="00560929">
          <w:pgSz w:w="11906" w:h="16838"/>
          <w:pgMar w:top="1440" w:right="1440" w:bottom="1440" w:left="1440" w:header="708" w:footer="708" w:gutter="0"/>
          <w:cols w:space="708"/>
          <w:docGrid w:linePitch="360"/>
        </w:sectPr>
      </w:pPr>
      <w:r>
        <w:t>&lt;page 31&gt;</w:t>
      </w:r>
    </w:p>
    <w:p w:rsidR="008605BD" w:rsidRDefault="009629D0" w:rsidP="0038251B">
      <w:pPr>
        <w:pStyle w:val="NoSpacing"/>
      </w:pPr>
      <w:r>
        <w:lastRenderedPageBreak/>
        <w:t>Course enrolment and student contact hours by campus</w:t>
      </w:r>
    </w:p>
    <w:p w:rsidR="009629D0" w:rsidRDefault="009629D0" w:rsidP="0038251B">
      <w:pPr>
        <w:pStyle w:val="NoSpacing"/>
      </w:pPr>
    </w:p>
    <w:tbl>
      <w:tblPr>
        <w:tblStyle w:val="TableGrid"/>
        <w:tblW w:w="15735" w:type="dxa"/>
        <w:tblInd w:w="-856" w:type="dxa"/>
        <w:tblLook w:val="04A0" w:firstRow="1" w:lastRow="0" w:firstColumn="1" w:lastColumn="0" w:noHBand="0" w:noVBand="1"/>
      </w:tblPr>
      <w:tblGrid>
        <w:gridCol w:w="2836"/>
        <w:gridCol w:w="1559"/>
        <w:gridCol w:w="1559"/>
        <w:gridCol w:w="1701"/>
        <w:gridCol w:w="1701"/>
        <w:gridCol w:w="1701"/>
        <w:gridCol w:w="1560"/>
        <w:gridCol w:w="1701"/>
        <w:gridCol w:w="1417"/>
      </w:tblGrid>
      <w:tr w:rsidR="006B48BF" w:rsidTr="00DD437F">
        <w:trPr>
          <w:gridBefore w:val="1"/>
          <w:wBefore w:w="2836" w:type="dxa"/>
        </w:trPr>
        <w:tc>
          <w:tcPr>
            <w:tcW w:w="6520" w:type="dxa"/>
            <w:gridSpan w:val="4"/>
          </w:tcPr>
          <w:p w:rsidR="00DD437F" w:rsidRDefault="00DD437F" w:rsidP="00DD437F">
            <w:pPr>
              <w:pStyle w:val="NoSpacing"/>
              <w:jc w:val="center"/>
            </w:pPr>
            <w:r>
              <w:t>2019</w:t>
            </w:r>
          </w:p>
        </w:tc>
        <w:tc>
          <w:tcPr>
            <w:tcW w:w="6379" w:type="dxa"/>
            <w:gridSpan w:val="4"/>
          </w:tcPr>
          <w:p w:rsidR="00DD437F" w:rsidRDefault="00DD437F" w:rsidP="00DD437F">
            <w:pPr>
              <w:pStyle w:val="NoSpacing"/>
              <w:jc w:val="center"/>
            </w:pPr>
            <w:r>
              <w:t>2018</w:t>
            </w:r>
          </w:p>
        </w:tc>
      </w:tr>
      <w:tr w:rsidR="006B48BF" w:rsidTr="00DD437F">
        <w:tc>
          <w:tcPr>
            <w:tcW w:w="2836" w:type="dxa"/>
          </w:tcPr>
          <w:p w:rsidR="00DD437F" w:rsidRDefault="00DD437F" w:rsidP="0038251B">
            <w:pPr>
              <w:pStyle w:val="NoSpacing"/>
            </w:pPr>
            <w:r>
              <w:t>Campus</w:t>
            </w:r>
          </w:p>
        </w:tc>
        <w:tc>
          <w:tcPr>
            <w:tcW w:w="1559" w:type="dxa"/>
          </w:tcPr>
          <w:p w:rsidR="00DD437F" w:rsidRDefault="00DD437F" w:rsidP="00DD437F">
            <w:pPr>
              <w:pStyle w:val="NoSpacing"/>
              <w:jc w:val="right"/>
            </w:pPr>
            <w:r>
              <w:t>Course enrolments*</w:t>
            </w:r>
          </w:p>
        </w:tc>
        <w:tc>
          <w:tcPr>
            <w:tcW w:w="1559" w:type="dxa"/>
          </w:tcPr>
          <w:p w:rsidR="00DD437F" w:rsidRDefault="00DD437F" w:rsidP="00DD437F">
            <w:pPr>
              <w:pStyle w:val="NoSpacing"/>
              <w:jc w:val="right"/>
            </w:pPr>
            <w:r>
              <w:t>Per cent</w:t>
            </w:r>
          </w:p>
        </w:tc>
        <w:tc>
          <w:tcPr>
            <w:tcW w:w="1701" w:type="dxa"/>
          </w:tcPr>
          <w:p w:rsidR="00DD437F" w:rsidRDefault="00DD437F" w:rsidP="00DD437F">
            <w:pPr>
              <w:pStyle w:val="NoSpacing"/>
              <w:jc w:val="right"/>
            </w:pPr>
            <w:r>
              <w:t>Student contact hours</w:t>
            </w:r>
          </w:p>
        </w:tc>
        <w:tc>
          <w:tcPr>
            <w:tcW w:w="1701" w:type="dxa"/>
          </w:tcPr>
          <w:p w:rsidR="00DD437F" w:rsidRDefault="00DD437F" w:rsidP="00DD437F">
            <w:pPr>
              <w:pStyle w:val="NoSpacing"/>
              <w:jc w:val="right"/>
            </w:pPr>
            <w:r>
              <w:t>Per cent</w:t>
            </w:r>
          </w:p>
        </w:tc>
        <w:tc>
          <w:tcPr>
            <w:tcW w:w="1701" w:type="dxa"/>
          </w:tcPr>
          <w:p w:rsidR="00DD437F" w:rsidRDefault="00DD437F" w:rsidP="00DD437F">
            <w:pPr>
              <w:pStyle w:val="NoSpacing"/>
              <w:jc w:val="right"/>
            </w:pPr>
            <w:r>
              <w:t>Course enrolments*</w:t>
            </w:r>
          </w:p>
        </w:tc>
        <w:tc>
          <w:tcPr>
            <w:tcW w:w="1560" w:type="dxa"/>
          </w:tcPr>
          <w:p w:rsidR="00DD437F" w:rsidRDefault="00DD437F" w:rsidP="00DD437F">
            <w:pPr>
              <w:pStyle w:val="NoSpacing"/>
              <w:jc w:val="right"/>
            </w:pPr>
            <w:r>
              <w:t>Per cent</w:t>
            </w:r>
          </w:p>
        </w:tc>
        <w:tc>
          <w:tcPr>
            <w:tcW w:w="1701" w:type="dxa"/>
          </w:tcPr>
          <w:p w:rsidR="00DD437F" w:rsidRDefault="00DD437F" w:rsidP="00DD437F">
            <w:pPr>
              <w:pStyle w:val="NoSpacing"/>
              <w:jc w:val="right"/>
            </w:pPr>
            <w:r>
              <w:t>Student contact hours</w:t>
            </w:r>
          </w:p>
        </w:tc>
        <w:tc>
          <w:tcPr>
            <w:tcW w:w="1417" w:type="dxa"/>
          </w:tcPr>
          <w:p w:rsidR="00DD437F" w:rsidRDefault="00DD437F" w:rsidP="00DD437F">
            <w:pPr>
              <w:pStyle w:val="NoSpacing"/>
              <w:jc w:val="right"/>
            </w:pPr>
            <w:r>
              <w:t>Per cent</w:t>
            </w:r>
          </w:p>
        </w:tc>
      </w:tr>
      <w:tr w:rsidR="006B48BF" w:rsidTr="00DD437F">
        <w:tc>
          <w:tcPr>
            <w:tcW w:w="2836" w:type="dxa"/>
          </w:tcPr>
          <w:p w:rsidR="00DD437F" w:rsidRDefault="00DD437F" w:rsidP="0038251B">
            <w:pPr>
              <w:pStyle w:val="NoSpacing"/>
            </w:pPr>
            <w:r>
              <w:t>Dandenong</w:t>
            </w:r>
          </w:p>
        </w:tc>
        <w:tc>
          <w:tcPr>
            <w:tcW w:w="1559" w:type="dxa"/>
          </w:tcPr>
          <w:p w:rsidR="00DD437F" w:rsidRDefault="006B48BF" w:rsidP="006B48BF">
            <w:pPr>
              <w:pStyle w:val="NoSpacing"/>
              <w:jc w:val="right"/>
            </w:pPr>
            <w:r>
              <w:t>11,835</w:t>
            </w:r>
          </w:p>
        </w:tc>
        <w:tc>
          <w:tcPr>
            <w:tcW w:w="1559" w:type="dxa"/>
          </w:tcPr>
          <w:p w:rsidR="00DD437F" w:rsidRDefault="006B48BF" w:rsidP="006B48BF">
            <w:pPr>
              <w:pStyle w:val="NoSpacing"/>
              <w:jc w:val="right"/>
            </w:pPr>
            <w:r>
              <w:t>23.7%</w:t>
            </w:r>
          </w:p>
        </w:tc>
        <w:tc>
          <w:tcPr>
            <w:tcW w:w="1701" w:type="dxa"/>
          </w:tcPr>
          <w:p w:rsidR="00DD437F" w:rsidRDefault="006B48BF" w:rsidP="006B48BF">
            <w:pPr>
              <w:pStyle w:val="NoSpacing"/>
              <w:jc w:val="right"/>
            </w:pPr>
            <w:r>
              <w:t>2,693,031</w:t>
            </w:r>
          </w:p>
        </w:tc>
        <w:tc>
          <w:tcPr>
            <w:tcW w:w="1701" w:type="dxa"/>
          </w:tcPr>
          <w:p w:rsidR="00DD437F" w:rsidRDefault="006B48BF" w:rsidP="006B48BF">
            <w:pPr>
              <w:pStyle w:val="NoSpacing"/>
              <w:jc w:val="right"/>
            </w:pPr>
            <w:r>
              <w:t>19.8%</w:t>
            </w:r>
          </w:p>
        </w:tc>
        <w:tc>
          <w:tcPr>
            <w:tcW w:w="1701" w:type="dxa"/>
          </w:tcPr>
          <w:p w:rsidR="00DD437F" w:rsidRDefault="006B48BF" w:rsidP="006B48BF">
            <w:pPr>
              <w:pStyle w:val="NoSpacing"/>
              <w:jc w:val="right"/>
            </w:pPr>
            <w:r>
              <w:t>11,001</w:t>
            </w:r>
          </w:p>
        </w:tc>
        <w:tc>
          <w:tcPr>
            <w:tcW w:w="1560" w:type="dxa"/>
          </w:tcPr>
          <w:p w:rsidR="00DD437F" w:rsidRDefault="006B48BF" w:rsidP="006B48BF">
            <w:pPr>
              <w:pStyle w:val="NoSpacing"/>
              <w:jc w:val="right"/>
            </w:pPr>
            <w:r>
              <w:t>24.3%</w:t>
            </w:r>
          </w:p>
        </w:tc>
        <w:tc>
          <w:tcPr>
            <w:tcW w:w="1701" w:type="dxa"/>
          </w:tcPr>
          <w:p w:rsidR="00DD437F" w:rsidRDefault="00650B59" w:rsidP="006B48BF">
            <w:pPr>
              <w:pStyle w:val="NoSpacing"/>
              <w:jc w:val="right"/>
            </w:pPr>
            <w:r>
              <w:t>2,619,934</w:t>
            </w:r>
          </w:p>
        </w:tc>
        <w:tc>
          <w:tcPr>
            <w:tcW w:w="1417" w:type="dxa"/>
          </w:tcPr>
          <w:p w:rsidR="00DD437F" w:rsidRDefault="00650B59" w:rsidP="006B48BF">
            <w:pPr>
              <w:pStyle w:val="NoSpacing"/>
              <w:jc w:val="right"/>
            </w:pPr>
            <w:r>
              <w:t>20.7%</w:t>
            </w:r>
          </w:p>
        </w:tc>
      </w:tr>
      <w:tr w:rsidR="006B48BF" w:rsidTr="00DD437F">
        <w:tc>
          <w:tcPr>
            <w:tcW w:w="2836" w:type="dxa"/>
          </w:tcPr>
          <w:p w:rsidR="00DD437F" w:rsidRDefault="00DD437F" w:rsidP="00280ED8">
            <w:pPr>
              <w:pStyle w:val="NoSpacing"/>
            </w:pPr>
            <w:r>
              <w:t>Frankston</w:t>
            </w:r>
          </w:p>
        </w:tc>
        <w:tc>
          <w:tcPr>
            <w:tcW w:w="1559" w:type="dxa"/>
          </w:tcPr>
          <w:p w:rsidR="00DD437F" w:rsidRDefault="006B48BF" w:rsidP="006B48BF">
            <w:pPr>
              <w:pStyle w:val="NoSpacing"/>
              <w:jc w:val="right"/>
            </w:pPr>
            <w:r>
              <w:t>9,493</w:t>
            </w:r>
          </w:p>
        </w:tc>
        <w:tc>
          <w:tcPr>
            <w:tcW w:w="1559" w:type="dxa"/>
          </w:tcPr>
          <w:p w:rsidR="00DD437F" w:rsidRDefault="006B48BF" w:rsidP="006B48BF">
            <w:pPr>
              <w:pStyle w:val="NoSpacing"/>
              <w:jc w:val="right"/>
            </w:pPr>
            <w:r>
              <w:t>19.0%</w:t>
            </w:r>
          </w:p>
        </w:tc>
        <w:tc>
          <w:tcPr>
            <w:tcW w:w="1701" w:type="dxa"/>
          </w:tcPr>
          <w:p w:rsidR="00DD437F" w:rsidRDefault="006B48BF" w:rsidP="006B48BF">
            <w:pPr>
              <w:pStyle w:val="NoSpacing"/>
              <w:jc w:val="right"/>
            </w:pPr>
            <w:r>
              <w:t>2,664,102</w:t>
            </w:r>
          </w:p>
        </w:tc>
        <w:tc>
          <w:tcPr>
            <w:tcW w:w="1701" w:type="dxa"/>
          </w:tcPr>
          <w:p w:rsidR="00DD437F" w:rsidRDefault="006B48BF" w:rsidP="006B48BF">
            <w:pPr>
              <w:pStyle w:val="NoSpacing"/>
              <w:jc w:val="right"/>
            </w:pPr>
            <w:r>
              <w:t>19.6%</w:t>
            </w:r>
          </w:p>
        </w:tc>
        <w:tc>
          <w:tcPr>
            <w:tcW w:w="1701" w:type="dxa"/>
          </w:tcPr>
          <w:p w:rsidR="00DD437F" w:rsidRDefault="006B48BF" w:rsidP="006B48BF">
            <w:pPr>
              <w:pStyle w:val="NoSpacing"/>
              <w:jc w:val="right"/>
            </w:pPr>
            <w:r>
              <w:t>7,982</w:t>
            </w:r>
          </w:p>
        </w:tc>
        <w:tc>
          <w:tcPr>
            <w:tcW w:w="1560" w:type="dxa"/>
          </w:tcPr>
          <w:p w:rsidR="00DD437F" w:rsidRDefault="006B48BF" w:rsidP="006B48BF">
            <w:pPr>
              <w:pStyle w:val="NoSpacing"/>
              <w:jc w:val="right"/>
            </w:pPr>
            <w:r>
              <w:t>17.6%</w:t>
            </w:r>
          </w:p>
        </w:tc>
        <w:tc>
          <w:tcPr>
            <w:tcW w:w="1701" w:type="dxa"/>
          </w:tcPr>
          <w:p w:rsidR="00DD437F" w:rsidRDefault="00650B59" w:rsidP="006B48BF">
            <w:pPr>
              <w:pStyle w:val="NoSpacing"/>
              <w:jc w:val="right"/>
            </w:pPr>
            <w:r>
              <w:t>2,267,158</w:t>
            </w:r>
          </w:p>
        </w:tc>
        <w:tc>
          <w:tcPr>
            <w:tcW w:w="1417" w:type="dxa"/>
          </w:tcPr>
          <w:p w:rsidR="00DD437F" w:rsidRDefault="00650B59" w:rsidP="006B48BF">
            <w:pPr>
              <w:pStyle w:val="NoSpacing"/>
              <w:jc w:val="right"/>
            </w:pPr>
            <w:r>
              <w:t>17.9%</w:t>
            </w:r>
          </w:p>
        </w:tc>
      </w:tr>
      <w:tr w:rsidR="006B48BF" w:rsidTr="00DD437F">
        <w:tc>
          <w:tcPr>
            <w:tcW w:w="2836" w:type="dxa"/>
          </w:tcPr>
          <w:p w:rsidR="00DD437F" w:rsidRDefault="00DD437F" w:rsidP="00280ED8">
            <w:pPr>
              <w:pStyle w:val="NoSpacing"/>
            </w:pPr>
            <w:r>
              <w:t>Offshore delivery</w:t>
            </w:r>
          </w:p>
        </w:tc>
        <w:tc>
          <w:tcPr>
            <w:tcW w:w="1559" w:type="dxa"/>
          </w:tcPr>
          <w:p w:rsidR="00DD437F" w:rsidRDefault="006B48BF" w:rsidP="006B48BF">
            <w:pPr>
              <w:pStyle w:val="NoSpacing"/>
              <w:jc w:val="right"/>
            </w:pPr>
            <w:r>
              <w:t>7,730</w:t>
            </w:r>
          </w:p>
        </w:tc>
        <w:tc>
          <w:tcPr>
            <w:tcW w:w="1559" w:type="dxa"/>
          </w:tcPr>
          <w:p w:rsidR="00DD437F" w:rsidRDefault="006B48BF" w:rsidP="006B48BF">
            <w:pPr>
              <w:pStyle w:val="NoSpacing"/>
              <w:jc w:val="right"/>
            </w:pPr>
            <w:r>
              <w:t>15.5%</w:t>
            </w:r>
          </w:p>
        </w:tc>
        <w:tc>
          <w:tcPr>
            <w:tcW w:w="1701" w:type="dxa"/>
          </w:tcPr>
          <w:p w:rsidR="00DD437F" w:rsidRDefault="006B48BF" w:rsidP="006B48BF">
            <w:pPr>
              <w:pStyle w:val="NoSpacing"/>
              <w:jc w:val="right"/>
            </w:pPr>
            <w:r>
              <w:t>3,381,889</w:t>
            </w:r>
          </w:p>
        </w:tc>
        <w:tc>
          <w:tcPr>
            <w:tcW w:w="1701" w:type="dxa"/>
          </w:tcPr>
          <w:p w:rsidR="00DD437F" w:rsidRDefault="006B48BF" w:rsidP="006B48BF">
            <w:pPr>
              <w:pStyle w:val="NoSpacing"/>
              <w:jc w:val="right"/>
            </w:pPr>
            <w:r>
              <w:t>24.9%</w:t>
            </w:r>
          </w:p>
        </w:tc>
        <w:tc>
          <w:tcPr>
            <w:tcW w:w="1701" w:type="dxa"/>
          </w:tcPr>
          <w:p w:rsidR="00DD437F" w:rsidRDefault="006B48BF" w:rsidP="006B48BF">
            <w:pPr>
              <w:pStyle w:val="NoSpacing"/>
              <w:jc w:val="right"/>
            </w:pPr>
            <w:r>
              <w:t>7,759</w:t>
            </w:r>
          </w:p>
        </w:tc>
        <w:tc>
          <w:tcPr>
            <w:tcW w:w="1560" w:type="dxa"/>
          </w:tcPr>
          <w:p w:rsidR="00DD437F" w:rsidRDefault="006B48BF" w:rsidP="006B48BF">
            <w:pPr>
              <w:pStyle w:val="NoSpacing"/>
              <w:jc w:val="right"/>
            </w:pPr>
            <w:r>
              <w:t>17.1%</w:t>
            </w:r>
          </w:p>
        </w:tc>
        <w:tc>
          <w:tcPr>
            <w:tcW w:w="1701" w:type="dxa"/>
          </w:tcPr>
          <w:p w:rsidR="00DD437F" w:rsidRDefault="00650B59" w:rsidP="006B48BF">
            <w:pPr>
              <w:pStyle w:val="NoSpacing"/>
              <w:jc w:val="right"/>
            </w:pPr>
            <w:r>
              <w:t>3,416,545</w:t>
            </w:r>
          </w:p>
        </w:tc>
        <w:tc>
          <w:tcPr>
            <w:tcW w:w="1417" w:type="dxa"/>
          </w:tcPr>
          <w:p w:rsidR="00DD437F" w:rsidRDefault="00650B59" w:rsidP="006B48BF">
            <w:pPr>
              <w:pStyle w:val="NoSpacing"/>
              <w:jc w:val="right"/>
            </w:pPr>
            <w:r>
              <w:t>27.0%</w:t>
            </w:r>
          </w:p>
        </w:tc>
      </w:tr>
      <w:tr w:rsidR="006B48BF" w:rsidTr="00DD437F">
        <w:tc>
          <w:tcPr>
            <w:tcW w:w="2836" w:type="dxa"/>
          </w:tcPr>
          <w:p w:rsidR="00DD437F" w:rsidRDefault="00DD437F" w:rsidP="00280ED8">
            <w:pPr>
              <w:pStyle w:val="NoSpacing"/>
            </w:pPr>
            <w:r>
              <w:t>Berwick</w:t>
            </w:r>
          </w:p>
        </w:tc>
        <w:tc>
          <w:tcPr>
            <w:tcW w:w="1559" w:type="dxa"/>
          </w:tcPr>
          <w:p w:rsidR="00DD437F" w:rsidRDefault="006B48BF" w:rsidP="006B48BF">
            <w:pPr>
              <w:pStyle w:val="NoSpacing"/>
              <w:jc w:val="right"/>
            </w:pPr>
            <w:r>
              <w:t>4,750</w:t>
            </w:r>
          </w:p>
        </w:tc>
        <w:tc>
          <w:tcPr>
            <w:tcW w:w="1559" w:type="dxa"/>
          </w:tcPr>
          <w:p w:rsidR="00DD437F" w:rsidRDefault="006B48BF" w:rsidP="006B48BF">
            <w:pPr>
              <w:pStyle w:val="NoSpacing"/>
              <w:jc w:val="right"/>
            </w:pPr>
            <w:r>
              <w:t>9.5%</w:t>
            </w:r>
          </w:p>
        </w:tc>
        <w:tc>
          <w:tcPr>
            <w:tcW w:w="1701" w:type="dxa"/>
          </w:tcPr>
          <w:p w:rsidR="00DD437F" w:rsidRDefault="006B48BF" w:rsidP="006B48BF">
            <w:pPr>
              <w:pStyle w:val="NoSpacing"/>
              <w:jc w:val="right"/>
            </w:pPr>
            <w:r>
              <w:t>1,466,531</w:t>
            </w:r>
          </w:p>
        </w:tc>
        <w:tc>
          <w:tcPr>
            <w:tcW w:w="1701" w:type="dxa"/>
          </w:tcPr>
          <w:p w:rsidR="00DD437F" w:rsidRDefault="006B48BF" w:rsidP="006B48BF">
            <w:pPr>
              <w:pStyle w:val="NoSpacing"/>
              <w:jc w:val="right"/>
            </w:pPr>
            <w:r>
              <w:t>10.8%</w:t>
            </w:r>
          </w:p>
        </w:tc>
        <w:tc>
          <w:tcPr>
            <w:tcW w:w="1701" w:type="dxa"/>
          </w:tcPr>
          <w:p w:rsidR="00DD437F" w:rsidRDefault="006B48BF" w:rsidP="006B48BF">
            <w:pPr>
              <w:pStyle w:val="NoSpacing"/>
              <w:jc w:val="right"/>
            </w:pPr>
            <w:r>
              <w:t>4,959</w:t>
            </w:r>
          </w:p>
        </w:tc>
        <w:tc>
          <w:tcPr>
            <w:tcW w:w="1560" w:type="dxa"/>
          </w:tcPr>
          <w:p w:rsidR="00DD437F" w:rsidRDefault="006B48BF" w:rsidP="006B48BF">
            <w:pPr>
              <w:pStyle w:val="NoSpacing"/>
              <w:jc w:val="right"/>
            </w:pPr>
            <w:r>
              <w:t>10.9%</w:t>
            </w:r>
          </w:p>
        </w:tc>
        <w:tc>
          <w:tcPr>
            <w:tcW w:w="1701" w:type="dxa"/>
          </w:tcPr>
          <w:p w:rsidR="00DD437F" w:rsidRDefault="00650B59" w:rsidP="006B48BF">
            <w:pPr>
              <w:pStyle w:val="NoSpacing"/>
              <w:jc w:val="right"/>
            </w:pPr>
            <w:r>
              <w:t>1,695,933</w:t>
            </w:r>
          </w:p>
        </w:tc>
        <w:tc>
          <w:tcPr>
            <w:tcW w:w="1417" w:type="dxa"/>
          </w:tcPr>
          <w:p w:rsidR="00DD437F" w:rsidRDefault="00650B59" w:rsidP="006B48BF">
            <w:pPr>
              <w:pStyle w:val="NoSpacing"/>
              <w:jc w:val="right"/>
            </w:pPr>
            <w:r>
              <w:t>13.4%</w:t>
            </w:r>
          </w:p>
        </w:tc>
      </w:tr>
      <w:tr w:rsidR="006B48BF" w:rsidTr="00DD437F">
        <w:tc>
          <w:tcPr>
            <w:tcW w:w="2836" w:type="dxa"/>
          </w:tcPr>
          <w:p w:rsidR="00DD437F" w:rsidRDefault="00DD437F" w:rsidP="00280ED8">
            <w:pPr>
              <w:pStyle w:val="NoSpacing"/>
            </w:pPr>
            <w:r>
              <w:t>Workplace</w:t>
            </w:r>
          </w:p>
        </w:tc>
        <w:tc>
          <w:tcPr>
            <w:tcW w:w="1559" w:type="dxa"/>
          </w:tcPr>
          <w:p w:rsidR="00DD437F" w:rsidRDefault="006B48BF" w:rsidP="006B48BF">
            <w:pPr>
              <w:pStyle w:val="NoSpacing"/>
              <w:jc w:val="right"/>
            </w:pPr>
            <w:r>
              <w:t>4,720</w:t>
            </w:r>
          </w:p>
        </w:tc>
        <w:tc>
          <w:tcPr>
            <w:tcW w:w="1559" w:type="dxa"/>
          </w:tcPr>
          <w:p w:rsidR="00DD437F" w:rsidRDefault="006B48BF" w:rsidP="006B48BF">
            <w:pPr>
              <w:pStyle w:val="NoSpacing"/>
              <w:jc w:val="right"/>
            </w:pPr>
            <w:r>
              <w:t>9.5%</w:t>
            </w:r>
          </w:p>
        </w:tc>
        <w:tc>
          <w:tcPr>
            <w:tcW w:w="1701" w:type="dxa"/>
          </w:tcPr>
          <w:p w:rsidR="00DD437F" w:rsidRDefault="006B48BF" w:rsidP="006B48BF">
            <w:pPr>
              <w:pStyle w:val="NoSpacing"/>
              <w:jc w:val="right"/>
            </w:pPr>
            <w:r>
              <w:t>833,770</w:t>
            </w:r>
          </w:p>
        </w:tc>
        <w:tc>
          <w:tcPr>
            <w:tcW w:w="1701" w:type="dxa"/>
          </w:tcPr>
          <w:p w:rsidR="00DD437F" w:rsidRDefault="006B48BF" w:rsidP="006B48BF">
            <w:pPr>
              <w:pStyle w:val="NoSpacing"/>
              <w:jc w:val="right"/>
            </w:pPr>
            <w:r>
              <w:t>6.1%</w:t>
            </w:r>
          </w:p>
        </w:tc>
        <w:tc>
          <w:tcPr>
            <w:tcW w:w="1701" w:type="dxa"/>
          </w:tcPr>
          <w:p w:rsidR="00DD437F" w:rsidRDefault="006B48BF" w:rsidP="006B48BF">
            <w:pPr>
              <w:pStyle w:val="NoSpacing"/>
              <w:jc w:val="right"/>
            </w:pPr>
            <w:r>
              <w:t>6,412</w:t>
            </w:r>
          </w:p>
        </w:tc>
        <w:tc>
          <w:tcPr>
            <w:tcW w:w="1560" w:type="dxa"/>
          </w:tcPr>
          <w:p w:rsidR="00DD437F" w:rsidRDefault="006B48BF" w:rsidP="006B48BF">
            <w:pPr>
              <w:pStyle w:val="NoSpacing"/>
              <w:jc w:val="right"/>
            </w:pPr>
            <w:r>
              <w:t>14.1%</w:t>
            </w:r>
          </w:p>
        </w:tc>
        <w:tc>
          <w:tcPr>
            <w:tcW w:w="1701" w:type="dxa"/>
          </w:tcPr>
          <w:p w:rsidR="00DD437F" w:rsidRDefault="00650B59" w:rsidP="006B48BF">
            <w:pPr>
              <w:pStyle w:val="NoSpacing"/>
              <w:jc w:val="right"/>
            </w:pPr>
            <w:r>
              <w:t>1,112,570</w:t>
            </w:r>
          </w:p>
        </w:tc>
        <w:tc>
          <w:tcPr>
            <w:tcW w:w="1417" w:type="dxa"/>
          </w:tcPr>
          <w:p w:rsidR="00DD437F" w:rsidRDefault="00650B59" w:rsidP="006B48BF">
            <w:pPr>
              <w:pStyle w:val="NoSpacing"/>
              <w:jc w:val="right"/>
            </w:pPr>
            <w:r>
              <w:t>8.8%</w:t>
            </w:r>
          </w:p>
        </w:tc>
      </w:tr>
      <w:tr w:rsidR="006B48BF" w:rsidTr="00DD437F">
        <w:tc>
          <w:tcPr>
            <w:tcW w:w="2836" w:type="dxa"/>
          </w:tcPr>
          <w:p w:rsidR="00DD437F" w:rsidRDefault="00DD437F" w:rsidP="00280ED8">
            <w:pPr>
              <w:pStyle w:val="NoSpacing"/>
            </w:pPr>
            <w:r>
              <w:t>Chisholm Online</w:t>
            </w:r>
          </w:p>
        </w:tc>
        <w:tc>
          <w:tcPr>
            <w:tcW w:w="1559" w:type="dxa"/>
          </w:tcPr>
          <w:p w:rsidR="00DD437F" w:rsidRDefault="006B48BF" w:rsidP="006B48BF">
            <w:pPr>
              <w:pStyle w:val="NoSpacing"/>
              <w:jc w:val="right"/>
            </w:pPr>
            <w:r>
              <w:t>2,776</w:t>
            </w:r>
          </w:p>
        </w:tc>
        <w:tc>
          <w:tcPr>
            <w:tcW w:w="1559" w:type="dxa"/>
          </w:tcPr>
          <w:p w:rsidR="00DD437F" w:rsidRDefault="006B48BF" w:rsidP="006B48BF">
            <w:pPr>
              <w:pStyle w:val="NoSpacing"/>
              <w:jc w:val="right"/>
            </w:pPr>
            <w:r>
              <w:t>5.6%</w:t>
            </w:r>
          </w:p>
        </w:tc>
        <w:tc>
          <w:tcPr>
            <w:tcW w:w="1701" w:type="dxa"/>
          </w:tcPr>
          <w:p w:rsidR="00DD437F" w:rsidRDefault="006B48BF" w:rsidP="006B48BF">
            <w:pPr>
              <w:pStyle w:val="NoSpacing"/>
              <w:jc w:val="right"/>
            </w:pPr>
            <w:r>
              <w:t>576,783</w:t>
            </w:r>
          </w:p>
        </w:tc>
        <w:tc>
          <w:tcPr>
            <w:tcW w:w="1701" w:type="dxa"/>
          </w:tcPr>
          <w:p w:rsidR="00DD437F" w:rsidRDefault="006B48BF" w:rsidP="006B48BF">
            <w:pPr>
              <w:pStyle w:val="NoSpacing"/>
              <w:jc w:val="right"/>
            </w:pPr>
            <w:r>
              <w:t>4.2%</w:t>
            </w:r>
          </w:p>
        </w:tc>
        <w:tc>
          <w:tcPr>
            <w:tcW w:w="1701" w:type="dxa"/>
          </w:tcPr>
          <w:p w:rsidR="00DD437F" w:rsidRDefault="006B48BF" w:rsidP="006B48BF">
            <w:pPr>
              <w:pStyle w:val="NoSpacing"/>
              <w:jc w:val="right"/>
            </w:pPr>
            <w:r>
              <w:t>1,202</w:t>
            </w:r>
          </w:p>
        </w:tc>
        <w:tc>
          <w:tcPr>
            <w:tcW w:w="1560" w:type="dxa"/>
          </w:tcPr>
          <w:p w:rsidR="00DD437F" w:rsidRDefault="006B48BF" w:rsidP="006B48BF">
            <w:pPr>
              <w:pStyle w:val="NoSpacing"/>
              <w:jc w:val="right"/>
            </w:pPr>
            <w:r>
              <w:t>2.7%</w:t>
            </w:r>
          </w:p>
        </w:tc>
        <w:tc>
          <w:tcPr>
            <w:tcW w:w="1701" w:type="dxa"/>
          </w:tcPr>
          <w:p w:rsidR="00DD437F" w:rsidRDefault="00650B59" w:rsidP="006B48BF">
            <w:pPr>
              <w:pStyle w:val="NoSpacing"/>
              <w:jc w:val="right"/>
            </w:pPr>
            <w:r>
              <w:t>266,469</w:t>
            </w:r>
          </w:p>
        </w:tc>
        <w:tc>
          <w:tcPr>
            <w:tcW w:w="1417" w:type="dxa"/>
          </w:tcPr>
          <w:p w:rsidR="00DD437F" w:rsidRDefault="00650B59" w:rsidP="006B48BF">
            <w:pPr>
              <w:pStyle w:val="NoSpacing"/>
              <w:jc w:val="right"/>
            </w:pPr>
            <w:r>
              <w:t>2.1%</w:t>
            </w:r>
          </w:p>
        </w:tc>
      </w:tr>
      <w:tr w:rsidR="006B48BF" w:rsidTr="00DD437F">
        <w:tc>
          <w:tcPr>
            <w:tcW w:w="2836" w:type="dxa"/>
          </w:tcPr>
          <w:p w:rsidR="00DD437F" w:rsidRDefault="00DD437F" w:rsidP="00280ED8">
            <w:pPr>
              <w:pStyle w:val="NoSpacing"/>
            </w:pPr>
            <w:r>
              <w:t>Cranbourne</w:t>
            </w:r>
          </w:p>
        </w:tc>
        <w:tc>
          <w:tcPr>
            <w:tcW w:w="1559" w:type="dxa"/>
          </w:tcPr>
          <w:p w:rsidR="00DD437F" w:rsidRDefault="006B48BF" w:rsidP="006B48BF">
            <w:pPr>
              <w:pStyle w:val="NoSpacing"/>
              <w:jc w:val="right"/>
            </w:pPr>
            <w:r>
              <w:t>2,536</w:t>
            </w:r>
          </w:p>
        </w:tc>
        <w:tc>
          <w:tcPr>
            <w:tcW w:w="1559" w:type="dxa"/>
          </w:tcPr>
          <w:p w:rsidR="00DD437F" w:rsidRDefault="006B48BF" w:rsidP="006B48BF">
            <w:pPr>
              <w:pStyle w:val="NoSpacing"/>
              <w:jc w:val="right"/>
            </w:pPr>
            <w:r>
              <w:t>5.1%</w:t>
            </w:r>
          </w:p>
        </w:tc>
        <w:tc>
          <w:tcPr>
            <w:tcW w:w="1701" w:type="dxa"/>
          </w:tcPr>
          <w:p w:rsidR="00DD437F" w:rsidRDefault="006B48BF" w:rsidP="006B48BF">
            <w:pPr>
              <w:pStyle w:val="NoSpacing"/>
              <w:jc w:val="right"/>
            </w:pPr>
            <w:r>
              <w:t>460,360</w:t>
            </w:r>
          </w:p>
        </w:tc>
        <w:tc>
          <w:tcPr>
            <w:tcW w:w="1701" w:type="dxa"/>
          </w:tcPr>
          <w:p w:rsidR="00DD437F" w:rsidRDefault="006B48BF" w:rsidP="006B48BF">
            <w:pPr>
              <w:pStyle w:val="NoSpacing"/>
              <w:jc w:val="right"/>
            </w:pPr>
            <w:r>
              <w:t>3.4%</w:t>
            </w:r>
          </w:p>
        </w:tc>
        <w:tc>
          <w:tcPr>
            <w:tcW w:w="1701" w:type="dxa"/>
          </w:tcPr>
          <w:p w:rsidR="00DD437F" w:rsidRDefault="006B48BF" w:rsidP="006B48BF">
            <w:pPr>
              <w:pStyle w:val="NoSpacing"/>
              <w:jc w:val="right"/>
            </w:pPr>
            <w:r>
              <w:t>2,178</w:t>
            </w:r>
          </w:p>
        </w:tc>
        <w:tc>
          <w:tcPr>
            <w:tcW w:w="1560" w:type="dxa"/>
          </w:tcPr>
          <w:p w:rsidR="00DD437F" w:rsidRDefault="006B48BF" w:rsidP="006B48BF">
            <w:pPr>
              <w:pStyle w:val="NoSpacing"/>
              <w:jc w:val="right"/>
            </w:pPr>
            <w:r>
              <w:t>4.8%</w:t>
            </w:r>
          </w:p>
        </w:tc>
        <w:tc>
          <w:tcPr>
            <w:tcW w:w="1701" w:type="dxa"/>
          </w:tcPr>
          <w:p w:rsidR="00DD437F" w:rsidRDefault="00650B59" w:rsidP="006B48BF">
            <w:pPr>
              <w:pStyle w:val="NoSpacing"/>
              <w:jc w:val="right"/>
            </w:pPr>
            <w:r>
              <w:t>394,176</w:t>
            </w:r>
          </w:p>
        </w:tc>
        <w:tc>
          <w:tcPr>
            <w:tcW w:w="1417" w:type="dxa"/>
          </w:tcPr>
          <w:p w:rsidR="00DD437F" w:rsidRDefault="00650B59" w:rsidP="006B48BF">
            <w:pPr>
              <w:pStyle w:val="NoSpacing"/>
              <w:jc w:val="right"/>
            </w:pPr>
            <w:r>
              <w:t>3.1%</w:t>
            </w:r>
          </w:p>
        </w:tc>
      </w:tr>
      <w:tr w:rsidR="006B48BF" w:rsidTr="00DD437F">
        <w:tc>
          <w:tcPr>
            <w:tcW w:w="2836" w:type="dxa"/>
          </w:tcPr>
          <w:p w:rsidR="00DD437F" w:rsidRDefault="00DD437F" w:rsidP="00280ED8">
            <w:pPr>
              <w:pStyle w:val="NoSpacing"/>
            </w:pPr>
            <w:r>
              <w:t>Springvale</w:t>
            </w:r>
          </w:p>
        </w:tc>
        <w:tc>
          <w:tcPr>
            <w:tcW w:w="1559" w:type="dxa"/>
          </w:tcPr>
          <w:p w:rsidR="00DD437F" w:rsidRDefault="006B48BF" w:rsidP="006B48BF">
            <w:pPr>
              <w:pStyle w:val="NoSpacing"/>
              <w:jc w:val="right"/>
            </w:pPr>
            <w:r>
              <w:t>1,029</w:t>
            </w:r>
          </w:p>
        </w:tc>
        <w:tc>
          <w:tcPr>
            <w:tcW w:w="1559" w:type="dxa"/>
          </w:tcPr>
          <w:p w:rsidR="00DD437F" w:rsidRDefault="006B48BF" w:rsidP="006B48BF">
            <w:pPr>
              <w:pStyle w:val="NoSpacing"/>
              <w:jc w:val="right"/>
            </w:pPr>
            <w:r>
              <w:t>2.1%</w:t>
            </w:r>
          </w:p>
        </w:tc>
        <w:tc>
          <w:tcPr>
            <w:tcW w:w="1701" w:type="dxa"/>
          </w:tcPr>
          <w:p w:rsidR="00DD437F" w:rsidRDefault="006B48BF" w:rsidP="006B48BF">
            <w:pPr>
              <w:pStyle w:val="NoSpacing"/>
              <w:jc w:val="right"/>
            </w:pPr>
            <w:r>
              <w:t>129,574</w:t>
            </w:r>
          </w:p>
        </w:tc>
        <w:tc>
          <w:tcPr>
            <w:tcW w:w="1701" w:type="dxa"/>
          </w:tcPr>
          <w:p w:rsidR="00DD437F" w:rsidRDefault="00DD437F" w:rsidP="006B48BF">
            <w:pPr>
              <w:pStyle w:val="NoSpacing"/>
              <w:jc w:val="right"/>
            </w:pPr>
          </w:p>
        </w:tc>
        <w:tc>
          <w:tcPr>
            <w:tcW w:w="1701" w:type="dxa"/>
          </w:tcPr>
          <w:p w:rsidR="00DD437F" w:rsidRDefault="00DD437F" w:rsidP="006B48BF">
            <w:pPr>
              <w:pStyle w:val="NoSpacing"/>
              <w:jc w:val="right"/>
            </w:pPr>
          </w:p>
        </w:tc>
        <w:tc>
          <w:tcPr>
            <w:tcW w:w="1560" w:type="dxa"/>
          </w:tcPr>
          <w:p w:rsidR="00DD437F" w:rsidRDefault="00DD437F" w:rsidP="006B48BF">
            <w:pPr>
              <w:pStyle w:val="NoSpacing"/>
              <w:jc w:val="right"/>
            </w:pPr>
          </w:p>
        </w:tc>
        <w:tc>
          <w:tcPr>
            <w:tcW w:w="1701" w:type="dxa"/>
          </w:tcPr>
          <w:p w:rsidR="00DD437F" w:rsidRDefault="00DD437F" w:rsidP="006B48BF">
            <w:pPr>
              <w:pStyle w:val="NoSpacing"/>
              <w:jc w:val="right"/>
            </w:pPr>
          </w:p>
        </w:tc>
        <w:tc>
          <w:tcPr>
            <w:tcW w:w="1417" w:type="dxa"/>
          </w:tcPr>
          <w:p w:rsidR="00DD437F" w:rsidRDefault="00DD437F" w:rsidP="006B48BF">
            <w:pPr>
              <w:pStyle w:val="NoSpacing"/>
              <w:jc w:val="right"/>
            </w:pPr>
          </w:p>
        </w:tc>
      </w:tr>
      <w:tr w:rsidR="006B48BF" w:rsidTr="00DD437F">
        <w:tc>
          <w:tcPr>
            <w:tcW w:w="2836" w:type="dxa"/>
          </w:tcPr>
          <w:p w:rsidR="00DD437F" w:rsidRDefault="00DD437F" w:rsidP="00280ED8">
            <w:pPr>
              <w:pStyle w:val="NoSpacing"/>
            </w:pPr>
            <w:r>
              <w:t>Mornington Peninsula</w:t>
            </w:r>
          </w:p>
        </w:tc>
        <w:tc>
          <w:tcPr>
            <w:tcW w:w="1559" w:type="dxa"/>
          </w:tcPr>
          <w:p w:rsidR="00DD437F" w:rsidRDefault="006B48BF" w:rsidP="006B48BF">
            <w:pPr>
              <w:pStyle w:val="NoSpacing"/>
              <w:jc w:val="right"/>
            </w:pPr>
            <w:r>
              <w:t>942</w:t>
            </w:r>
          </w:p>
        </w:tc>
        <w:tc>
          <w:tcPr>
            <w:tcW w:w="1559" w:type="dxa"/>
          </w:tcPr>
          <w:p w:rsidR="00DD437F" w:rsidRDefault="006B48BF" w:rsidP="006B48BF">
            <w:pPr>
              <w:pStyle w:val="NoSpacing"/>
              <w:jc w:val="right"/>
            </w:pPr>
            <w:r>
              <w:t>1.9%</w:t>
            </w:r>
          </w:p>
        </w:tc>
        <w:tc>
          <w:tcPr>
            <w:tcW w:w="1701" w:type="dxa"/>
          </w:tcPr>
          <w:p w:rsidR="00DD437F" w:rsidRDefault="006B48BF" w:rsidP="006B48BF">
            <w:pPr>
              <w:pStyle w:val="NoSpacing"/>
              <w:jc w:val="right"/>
            </w:pPr>
            <w:r>
              <w:t>194,543</w:t>
            </w:r>
          </w:p>
        </w:tc>
        <w:tc>
          <w:tcPr>
            <w:tcW w:w="1701" w:type="dxa"/>
          </w:tcPr>
          <w:p w:rsidR="00DD437F" w:rsidRDefault="006B48BF" w:rsidP="006B48BF">
            <w:pPr>
              <w:pStyle w:val="NoSpacing"/>
              <w:jc w:val="right"/>
            </w:pPr>
            <w:r>
              <w:t>1.4%</w:t>
            </w:r>
          </w:p>
        </w:tc>
        <w:tc>
          <w:tcPr>
            <w:tcW w:w="1701" w:type="dxa"/>
          </w:tcPr>
          <w:p w:rsidR="00DD437F" w:rsidRDefault="006B48BF" w:rsidP="006B48BF">
            <w:pPr>
              <w:pStyle w:val="NoSpacing"/>
              <w:jc w:val="right"/>
            </w:pPr>
            <w:r>
              <w:t>828</w:t>
            </w:r>
          </w:p>
        </w:tc>
        <w:tc>
          <w:tcPr>
            <w:tcW w:w="1560" w:type="dxa"/>
          </w:tcPr>
          <w:p w:rsidR="00DD437F" w:rsidRDefault="006B48BF" w:rsidP="006B48BF">
            <w:pPr>
              <w:pStyle w:val="NoSpacing"/>
              <w:jc w:val="right"/>
            </w:pPr>
            <w:r>
              <w:t>1.8%</w:t>
            </w:r>
          </w:p>
        </w:tc>
        <w:tc>
          <w:tcPr>
            <w:tcW w:w="1701" w:type="dxa"/>
          </w:tcPr>
          <w:p w:rsidR="00DD437F" w:rsidRDefault="00650B59" w:rsidP="006B48BF">
            <w:pPr>
              <w:pStyle w:val="NoSpacing"/>
              <w:jc w:val="right"/>
            </w:pPr>
            <w:r>
              <w:t>150,520</w:t>
            </w:r>
          </w:p>
        </w:tc>
        <w:tc>
          <w:tcPr>
            <w:tcW w:w="1417" w:type="dxa"/>
          </w:tcPr>
          <w:p w:rsidR="00DD437F" w:rsidRDefault="00650B59" w:rsidP="006B48BF">
            <w:pPr>
              <w:pStyle w:val="NoSpacing"/>
              <w:jc w:val="right"/>
            </w:pPr>
            <w:r>
              <w:t>1.2%</w:t>
            </w:r>
          </w:p>
        </w:tc>
      </w:tr>
      <w:tr w:rsidR="006B48BF" w:rsidTr="00DD437F">
        <w:tc>
          <w:tcPr>
            <w:tcW w:w="2836" w:type="dxa"/>
          </w:tcPr>
          <w:p w:rsidR="00DD437F" w:rsidRDefault="00DD437F" w:rsidP="00280ED8">
            <w:pPr>
              <w:pStyle w:val="NoSpacing"/>
            </w:pPr>
            <w:r>
              <w:t>Adult Migrant English Program (AMEP) campuses</w:t>
            </w:r>
          </w:p>
        </w:tc>
        <w:tc>
          <w:tcPr>
            <w:tcW w:w="1559" w:type="dxa"/>
          </w:tcPr>
          <w:p w:rsidR="00DD437F" w:rsidRDefault="006B48BF" w:rsidP="006B48BF">
            <w:pPr>
              <w:pStyle w:val="NoSpacing"/>
              <w:jc w:val="right"/>
            </w:pPr>
            <w:r>
              <w:t>865</w:t>
            </w:r>
          </w:p>
        </w:tc>
        <w:tc>
          <w:tcPr>
            <w:tcW w:w="1559" w:type="dxa"/>
          </w:tcPr>
          <w:p w:rsidR="00DD437F" w:rsidRDefault="006B48BF" w:rsidP="006B48BF">
            <w:pPr>
              <w:pStyle w:val="NoSpacing"/>
              <w:jc w:val="right"/>
            </w:pPr>
            <w:r>
              <w:t>1.7%</w:t>
            </w:r>
          </w:p>
        </w:tc>
        <w:tc>
          <w:tcPr>
            <w:tcW w:w="1701" w:type="dxa"/>
          </w:tcPr>
          <w:p w:rsidR="00DD437F" w:rsidRDefault="006B48BF" w:rsidP="006B48BF">
            <w:pPr>
              <w:pStyle w:val="NoSpacing"/>
              <w:jc w:val="right"/>
            </w:pPr>
            <w:r>
              <w:t>98,572</w:t>
            </w:r>
          </w:p>
        </w:tc>
        <w:tc>
          <w:tcPr>
            <w:tcW w:w="1701" w:type="dxa"/>
          </w:tcPr>
          <w:p w:rsidR="00DD437F" w:rsidRDefault="006B48BF" w:rsidP="006B48BF">
            <w:pPr>
              <w:pStyle w:val="NoSpacing"/>
              <w:jc w:val="right"/>
            </w:pPr>
            <w:r>
              <w:t>0.7%</w:t>
            </w:r>
          </w:p>
        </w:tc>
        <w:tc>
          <w:tcPr>
            <w:tcW w:w="1701" w:type="dxa"/>
          </w:tcPr>
          <w:p w:rsidR="00DD437F" w:rsidRDefault="006B48BF" w:rsidP="006B48BF">
            <w:pPr>
              <w:pStyle w:val="NoSpacing"/>
              <w:jc w:val="right"/>
            </w:pPr>
            <w:r>
              <w:t>1,312</w:t>
            </w:r>
          </w:p>
        </w:tc>
        <w:tc>
          <w:tcPr>
            <w:tcW w:w="1560" w:type="dxa"/>
          </w:tcPr>
          <w:p w:rsidR="00DD437F" w:rsidRDefault="006B48BF" w:rsidP="006B48BF">
            <w:pPr>
              <w:pStyle w:val="NoSpacing"/>
              <w:jc w:val="right"/>
            </w:pPr>
            <w:r>
              <w:t>2.9%</w:t>
            </w:r>
          </w:p>
        </w:tc>
        <w:tc>
          <w:tcPr>
            <w:tcW w:w="1701" w:type="dxa"/>
          </w:tcPr>
          <w:p w:rsidR="00DD437F" w:rsidRDefault="00650B59" w:rsidP="006B48BF">
            <w:pPr>
              <w:pStyle w:val="NoSpacing"/>
              <w:jc w:val="right"/>
            </w:pPr>
            <w:r>
              <w:t>314,391</w:t>
            </w:r>
          </w:p>
        </w:tc>
        <w:tc>
          <w:tcPr>
            <w:tcW w:w="1417" w:type="dxa"/>
          </w:tcPr>
          <w:p w:rsidR="00DD437F" w:rsidRDefault="00650B59" w:rsidP="006B48BF">
            <w:pPr>
              <w:pStyle w:val="NoSpacing"/>
              <w:jc w:val="right"/>
            </w:pPr>
            <w:r>
              <w:t>2.5%</w:t>
            </w:r>
          </w:p>
        </w:tc>
      </w:tr>
      <w:tr w:rsidR="006B48BF" w:rsidTr="00DD437F">
        <w:tc>
          <w:tcPr>
            <w:tcW w:w="2836" w:type="dxa"/>
          </w:tcPr>
          <w:p w:rsidR="00DD437F" w:rsidRDefault="00DD437F" w:rsidP="00280ED8">
            <w:pPr>
              <w:pStyle w:val="NoSpacing"/>
            </w:pPr>
            <w:r>
              <w:t>Berwick TEC</w:t>
            </w:r>
          </w:p>
        </w:tc>
        <w:tc>
          <w:tcPr>
            <w:tcW w:w="1559" w:type="dxa"/>
          </w:tcPr>
          <w:p w:rsidR="00DD437F" w:rsidRDefault="006B48BF" w:rsidP="006B48BF">
            <w:pPr>
              <w:pStyle w:val="NoSpacing"/>
              <w:jc w:val="right"/>
            </w:pPr>
            <w:r>
              <w:t>804</w:t>
            </w:r>
          </w:p>
        </w:tc>
        <w:tc>
          <w:tcPr>
            <w:tcW w:w="1559" w:type="dxa"/>
          </w:tcPr>
          <w:p w:rsidR="00DD437F" w:rsidRDefault="006B48BF" w:rsidP="006B48BF">
            <w:pPr>
              <w:pStyle w:val="NoSpacing"/>
              <w:jc w:val="right"/>
            </w:pPr>
            <w:r>
              <w:t>1.6%</w:t>
            </w:r>
          </w:p>
        </w:tc>
        <w:tc>
          <w:tcPr>
            <w:tcW w:w="1701" w:type="dxa"/>
          </w:tcPr>
          <w:p w:rsidR="00DD437F" w:rsidRDefault="006B48BF" w:rsidP="006B48BF">
            <w:pPr>
              <w:pStyle w:val="NoSpacing"/>
              <w:jc w:val="right"/>
            </w:pPr>
            <w:r>
              <w:t>356,815</w:t>
            </w:r>
          </w:p>
        </w:tc>
        <w:tc>
          <w:tcPr>
            <w:tcW w:w="1701" w:type="dxa"/>
          </w:tcPr>
          <w:p w:rsidR="00DD437F" w:rsidRDefault="00DD437F" w:rsidP="006B48BF">
            <w:pPr>
              <w:pStyle w:val="NoSpacing"/>
              <w:jc w:val="right"/>
            </w:pPr>
          </w:p>
        </w:tc>
        <w:tc>
          <w:tcPr>
            <w:tcW w:w="1701" w:type="dxa"/>
          </w:tcPr>
          <w:p w:rsidR="00DD437F" w:rsidRDefault="00DD437F" w:rsidP="006B48BF">
            <w:pPr>
              <w:pStyle w:val="NoSpacing"/>
              <w:jc w:val="right"/>
            </w:pPr>
          </w:p>
        </w:tc>
        <w:tc>
          <w:tcPr>
            <w:tcW w:w="1560" w:type="dxa"/>
          </w:tcPr>
          <w:p w:rsidR="00DD437F" w:rsidRDefault="00DD437F" w:rsidP="006B48BF">
            <w:pPr>
              <w:pStyle w:val="NoSpacing"/>
              <w:jc w:val="right"/>
            </w:pPr>
          </w:p>
        </w:tc>
        <w:tc>
          <w:tcPr>
            <w:tcW w:w="1701" w:type="dxa"/>
          </w:tcPr>
          <w:p w:rsidR="00DD437F" w:rsidRDefault="00DD437F" w:rsidP="006B48BF">
            <w:pPr>
              <w:pStyle w:val="NoSpacing"/>
              <w:jc w:val="right"/>
            </w:pPr>
          </w:p>
        </w:tc>
        <w:tc>
          <w:tcPr>
            <w:tcW w:w="1417" w:type="dxa"/>
          </w:tcPr>
          <w:p w:rsidR="00DD437F" w:rsidRDefault="00DD437F" w:rsidP="006B48BF">
            <w:pPr>
              <w:pStyle w:val="NoSpacing"/>
              <w:jc w:val="right"/>
            </w:pPr>
          </w:p>
        </w:tc>
      </w:tr>
      <w:tr w:rsidR="006B48BF" w:rsidTr="00DD437F">
        <w:tc>
          <w:tcPr>
            <w:tcW w:w="2836" w:type="dxa"/>
          </w:tcPr>
          <w:p w:rsidR="00DD437F" w:rsidRDefault="00DD437F" w:rsidP="00280ED8">
            <w:pPr>
              <w:pStyle w:val="NoSpacing"/>
            </w:pPr>
            <w:r>
              <w:t>Auspiced Schools</w:t>
            </w:r>
          </w:p>
        </w:tc>
        <w:tc>
          <w:tcPr>
            <w:tcW w:w="1559" w:type="dxa"/>
          </w:tcPr>
          <w:p w:rsidR="00DD437F" w:rsidRDefault="006B48BF" w:rsidP="006B48BF">
            <w:pPr>
              <w:pStyle w:val="NoSpacing"/>
              <w:jc w:val="right"/>
            </w:pPr>
            <w:r>
              <w:t>681</w:t>
            </w:r>
          </w:p>
        </w:tc>
        <w:tc>
          <w:tcPr>
            <w:tcW w:w="1559" w:type="dxa"/>
          </w:tcPr>
          <w:p w:rsidR="00DD437F" w:rsidRDefault="006B48BF" w:rsidP="006B48BF">
            <w:pPr>
              <w:pStyle w:val="NoSpacing"/>
              <w:jc w:val="right"/>
            </w:pPr>
            <w:r>
              <w:t>1.4%</w:t>
            </w:r>
          </w:p>
        </w:tc>
        <w:tc>
          <w:tcPr>
            <w:tcW w:w="1701" w:type="dxa"/>
          </w:tcPr>
          <w:p w:rsidR="00DD437F" w:rsidRDefault="006B48BF" w:rsidP="006B48BF">
            <w:pPr>
              <w:pStyle w:val="NoSpacing"/>
              <w:jc w:val="right"/>
            </w:pPr>
            <w:r>
              <w:t>135,210</w:t>
            </w:r>
          </w:p>
        </w:tc>
        <w:tc>
          <w:tcPr>
            <w:tcW w:w="1701" w:type="dxa"/>
          </w:tcPr>
          <w:p w:rsidR="00DD437F" w:rsidRDefault="006B48BF" w:rsidP="006B48BF">
            <w:pPr>
              <w:pStyle w:val="NoSpacing"/>
              <w:jc w:val="right"/>
            </w:pPr>
            <w:r>
              <w:t>1.0%</w:t>
            </w:r>
          </w:p>
        </w:tc>
        <w:tc>
          <w:tcPr>
            <w:tcW w:w="1701" w:type="dxa"/>
          </w:tcPr>
          <w:p w:rsidR="00DD437F" w:rsidRDefault="006B48BF" w:rsidP="006B48BF">
            <w:pPr>
              <w:pStyle w:val="NoSpacing"/>
              <w:jc w:val="right"/>
            </w:pPr>
            <w:r>
              <w:t>1,003</w:t>
            </w:r>
          </w:p>
        </w:tc>
        <w:tc>
          <w:tcPr>
            <w:tcW w:w="1560" w:type="dxa"/>
          </w:tcPr>
          <w:p w:rsidR="00DD437F" w:rsidRDefault="006B48BF" w:rsidP="006B48BF">
            <w:pPr>
              <w:pStyle w:val="NoSpacing"/>
              <w:jc w:val="right"/>
            </w:pPr>
            <w:r>
              <w:t>2.2%</w:t>
            </w:r>
          </w:p>
        </w:tc>
        <w:tc>
          <w:tcPr>
            <w:tcW w:w="1701" w:type="dxa"/>
          </w:tcPr>
          <w:p w:rsidR="00DD437F" w:rsidRDefault="00650B59" w:rsidP="006B48BF">
            <w:pPr>
              <w:pStyle w:val="NoSpacing"/>
              <w:jc w:val="right"/>
            </w:pPr>
            <w:r>
              <w:t>217,153</w:t>
            </w:r>
          </w:p>
        </w:tc>
        <w:tc>
          <w:tcPr>
            <w:tcW w:w="1417" w:type="dxa"/>
          </w:tcPr>
          <w:p w:rsidR="00DD437F" w:rsidRDefault="00650B59" w:rsidP="006B48BF">
            <w:pPr>
              <w:pStyle w:val="NoSpacing"/>
              <w:jc w:val="right"/>
            </w:pPr>
            <w:r>
              <w:t>1.7%</w:t>
            </w:r>
          </w:p>
        </w:tc>
      </w:tr>
      <w:tr w:rsidR="006B48BF" w:rsidTr="00DD437F">
        <w:tc>
          <w:tcPr>
            <w:tcW w:w="2836" w:type="dxa"/>
          </w:tcPr>
          <w:p w:rsidR="00DD437F" w:rsidRDefault="00DD437F" w:rsidP="00280ED8">
            <w:pPr>
              <w:pStyle w:val="NoSpacing"/>
            </w:pPr>
            <w:r>
              <w:t>3</w:t>
            </w:r>
            <w:r w:rsidRPr="00DD437F">
              <w:rPr>
                <w:vertAlign w:val="superscript"/>
              </w:rPr>
              <w:t>rd</w:t>
            </w:r>
            <w:r>
              <w:t xml:space="preserve"> Party</w:t>
            </w:r>
          </w:p>
        </w:tc>
        <w:tc>
          <w:tcPr>
            <w:tcW w:w="1559" w:type="dxa"/>
          </w:tcPr>
          <w:p w:rsidR="00DD437F" w:rsidRDefault="006B48BF" w:rsidP="006B48BF">
            <w:pPr>
              <w:pStyle w:val="NoSpacing"/>
              <w:jc w:val="right"/>
            </w:pPr>
            <w:r>
              <w:t>676</w:t>
            </w:r>
          </w:p>
        </w:tc>
        <w:tc>
          <w:tcPr>
            <w:tcW w:w="1559" w:type="dxa"/>
          </w:tcPr>
          <w:p w:rsidR="00DD437F" w:rsidRDefault="006B48BF" w:rsidP="006B48BF">
            <w:pPr>
              <w:pStyle w:val="NoSpacing"/>
              <w:jc w:val="right"/>
            </w:pPr>
            <w:r>
              <w:t>1.4%</w:t>
            </w:r>
          </w:p>
        </w:tc>
        <w:tc>
          <w:tcPr>
            <w:tcW w:w="1701" w:type="dxa"/>
          </w:tcPr>
          <w:p w:rsidR="00DD437F" w:rsidRDefault="006B48BF" w:rsidP="006B48BF">
            <w:pPr>
              <w:pStyle w:val="NoSpacing"/>
              <w:jc w:val="right"/>
            </w:pPr>
            <w:r>
              <w:t>280,390</w:t>
            </w:r>
          </w:p>
        </w:tc>
        <w:tc>
          <w:tcPr>
            <w:tcW w:w="1701" w:type="dxa"/>
          </w:tcPr>
          <w:p w:rsidR="00DD437F" w:rsidRDefault="00DD437F" w:rsidP="006B48BF">
            <w:pPr>
              <w:pStyle w:val="NoSpacing"/>
              <w:jc w:val="right"/>
            </w:pPr>
          </w:p>
        </w:tc>
        <w:tc>
          <w:tcPr>
            <w:tcW w:w="1701" w:type="dxa"/>
          </w:tcPr>
          <w:p w:rsidR="00DD437F" w:rsidRDefault="00DD437F" w:rsidP="006B48BF">
            <w:pPr>
              <w:pStyle w:val="NoSpacing"/>
              <w:jc w:val="right"/>
            </w:pPr>
          </w:p>
        </w:tc>
        <w:tc>
          <w:tcPr>
            <w:tcW w:w="1560" w:type="dxa"/>
          </w:tcPr>
          <w:p w:rsidR="00DD437F" w:rsidRDefault="00DD437F" w:rsidP="006B48BF">
            <w:pPr>
              <w:pStyle w:val="NoSpacing"/>
              <w:jc w:val="right"/>
            </w:pPr>
          </w:p>
        </w:tc>
        <w:tc>
          <w:tcPr>
            <w:tcW w:w="1701" w:type="dxa"/>
          </w:tcPr>
          <w:p w:rsidR="00DD437F" w:rsidRDefault="00DD437F" w:rsidP="006B48BF">
            <w:pPr>
              <w:pStyle w:val="NoSpacing"/>
              <w:jc w:val="right"/>
            </w:pPr>
          </w:p>
        </w:tc>
        <w:tc>
          <w:tcPr>
            <w:tcW w:w="1417" w:type="dxa"/>
          </w:tcPr>
          <w:p w:rsidR="00DD437F" w:rsidRDefault="00DD437F" w:rsidP="006B48BF">
            <w:pPr>
              <w:pStyle w:val="NoSpacing"/>
              <w:jc w:val="right"/>
            </w:pPr>
          </w:p>
        </w:tc>
      </w:tr>
      <w:tr w:rsidR="006B48BF" w:rsidTr="00DD437F">
        <w:tc>
          <w:tcPr>
            <w:tcW w:w="2836" w:type="dxa"/>
          </w:tcPr>
          <w:p w:rsidR="00DD437F" w:rsidRDefault="00DD437F" w:rsidP="0038251B">
            <w:pPr>
              <w:pStyle w:val="NoSpacing"/>
            </w:pPr>
            <w:r>
              <w:t>Berwick TCC</w:t>
            </w:r>
          </w:p>
        </w:tc>
        <w:tc>
          <w:tcPr>
            <w:tcW w:w="1559" w:type="dxa"/>
          </w:tcPr>
          <w:p w:rsidR="00DD437F" w:rsidRDefault="006B48BF" w:rsidP="006B48BF">
            <w:pPr>
              <w:pStyle w:val="NoSpacing"/>
              <w:jc w:val="right"/>
            </w:pPr>
            <w:r>
              <w:t>644</w:t>
            </w:r>
          </w:p>
        </w:tc>
        <w:tc>
          <w:tcPr>
            <w:tcW w:w="1559" w:type="dxa"/>
          </w:tcPr>
          <w:p w:rsidR="00DD437F" w:rsidRDefault="006B48BF" w:rsidP="006B48BF">
            <w:pPr>
              <w:pStyle w:val="NoSpacing"/>
              <w:jc w:val="right"/>
            </w:pPr>
            <w:r>
              <w:t>1.3%</w:t>
            </w:r>
          </w:p>
        </w:tc>
        <w:tc>
          <w:tcPr>
            <w:tcW w:w="1701" w:type="dxa"/>
          </w:tcPr>
          <w:p w:rsidR="00DD437F" w:rsidRDefault="006B48BF" w:rsidP="006B48BF">
            <w:pPr>
              <w:pStyle w:val="NoSpacing"/>
              <w:jc w:val="right"/>
            </w:pPr>
            <w:r>
              <w:t>178,848</w:t>
            </w:r>
          </w:p>
        </w:tc>
        <w:tc>
          <w:tcPr>
            <w:tcW w:w="1701" w:type="dxa"/>
          </w:tcPr>
          <w:p w:rsidR="00DD437F" w:rsidRDefault="00DD437F" w:rsidP="006B48BF">
            <w:pPr>
              <w:pStyle w:val="NoSpacing"/>
              <w:jc w:val="right"/>
            </w:pPr>
          </w:p>
        </w:tc>
        <w:tc>
          <w:tcPr>
            <w:tcW w:w="1701" w:type="dxa"/>
          </w:tcPr>
          <w:p w:rsidR="00DD437F" w:rsidRDefault="00DD437F" w:rsidP="006B48BF">
            <w:pPr>
              <w:pStyle w:val="NoSpacing"/>
              <w:jc w:val="right"/>
            </w:pPr>
          </w:p>
        </w:tc>
        <w:tc>
          <w:tcPr>
            <w:tcW w:w="1560" w:type="dxa"/>
          </w:tcPr>
          <w:p w:rsidR="00DD437F" w:rsidRDefault="00DD437F" w:rsidP="006B48BF">
            <w:pPr>
              <w:pStyle w:val="NoSpacing"/>
              <w:jc w:val="right"/>
            </w:pPr>
          </w:p>
        </w:tc>
        <w:tc>
          <w:tcPr>
            <w:tcW w:w="1701" w:type="dxa"/>
          </w:tcPr>
          <w:p w:rsidR="00DD437F" w:rsidRDefault="00DD437F" w:rsidP="006B48BF">
            <w:pPr>
              <w:pStyle w:val="NoSpacing"/>
              <w:jc w:val="right"/>
            </w:pPr>
          </w:p>
        </w:tc>
        <w:tc>
          <w:tcPr>
            <w:tcW w:w="1417" w:type="dxa"/>
          </w:tcPr>
          <w:p w:rsidR="00DD437F" w:rsidRDefault="00DD437F" w:rsidP="006B48BF">
            <w:pPr>
              <w:pStyle w:val="NoSpacing"/>
              <w:jc w:val="right"/>
            </w:pPr>
          </w:p>
        </w:tc>
      </w:tr>
      <w:tr w:rsidR="006B48BF" w:rsidTr="00DD437F">
        <w:tc>
          <w:tcPr>
            <w:tcW w:w="2836" w:type="dxa"/>
          </w:tcPr>
          <w:p w:rsidR="00DD437F" w:rsidRDefault="00DD437F" w:rsidP="0038251B">
            <w:pPr>
              <w:pStyle w:val="NoSpacing"/>
            </w:pPr>
            <w:r>
              <w:t>Bass Coast</w:t>
            </w:r>
          </w:p>
        </w:tc>
        <w:tc>
          <w:tcPr>
            <w:tcW w:w="1559" w:type="dxa"/>
          </w:tcPr>
          <w:p w:rsidR="00DD437F" w:rsidRDefault="006B48BF" w:rsidP="006B48BF">
            <w:pPr>
              <w:pStyle w:val="NoSpacing"/>
              <w:jc w:val="right"/>
            </w:pPr>
            <w:r>
              <w:t>239</w:t>
            </w:r>
          </w:p>
        </w:tc>
        <w:tc>
          <w:tcPr>
            <w:tcW w:w="1559" w:type="dxa"/>
          </w:tcPr>
          <w:p w:rsidR="00DD437F" w:rsidRDefault="006B48BF" w:rsidP="006B48BF">
            <w:pPr>
              <w:pStyle w:val="NoSpacing"/>
              <w:jc w:val="right"/>
            </w:pPr>
            <w:r>
              <w:t>0.5%</w:t>
            </w:r>
          </w:p>
        </w:tc>
        <w:tc>
          <w:tcPr>
            <w:tcW w:w="1701" w:type="dxa"/>
          </w:tcPr>
          <w:p w:rsidR="00DD437F" w:rsidRDefault="006B48BF" w:rsidP="006B48BF">
            <w:pPr>
              <w:pStyle w:val="NoSpacing"/>
              <w:jc w:val="right"/>
            </w:pPr>
            <w:r>
              <w:t>99,865</w:t>
            </w:r>
          </w:p>
        </w:tc>
        <w:tc>
          <w:tcPr>
            <w:tcW w:w="1701" w:type="dxa"/>
          </w:tcPr>
          <w:p w:rsidR="00DD437F" w:rsidRDefault="006B48BF" w:rsidP="006B48BF">
            <w:pPr>
              <w:pStyle w:val="NoSpacing"/>
              <w:jc w:val="right"/>
            </w:pPr>
            <w:r>
              <w:t>0.7%</w:t>
            </w:r>
          </w:p>
        </w:tc>
        <w:tc>
          <w:tcPr>
            <w:tcW w:w="1701" w:type="dxa"/>
          </w:tcPr>
          <w:p w:rsidR="00DD437F" w:rsidRDefault="006B48BF" w:rsidP="006B48BF">
            <w:pPr>
              <w:pStyle w:val="NoSpacing"/>
              <w:jc w:val="right"/>
            </w:pPr>
            <w:r>
              <w:t>259</w:t>
            </w:r>
          </w:p>
        </w:tc>
        <w:tc>
          <w:tcPr>
            <w:tcW w:w="1560" w:type="dxa"/>
          </w:tcPr>
          <w:p w:rsidR="00DD437F" w:rsidRDefault="006B48BF" w:rsidP="006B48BF">
            <w:pPr>
              <w:pStyle w:val="NoSpacing"/>
              <w:jc w:val="right"/>
            </w:pPr>
            <w:r>
              <w:t>0.6%</w:t>
            </w:r>
          </w:p>
        </w:tc>
        <w:tc>
          <w:tcPr>
            <w:tcW w:w="1701" w:type="dxa"/>
          </w:tcPr>
          <w:p w:rsidR="00DD437F" w:rsidRDefault="00650B59" w:rsidP="006B48BF">
            <w:pPr>
              <w:pStyle w:val="NoSpacing"/>
              <w:jc w:val="right"/>
            </w:pPr>
            <w:r>
              <w:t>75,944</w:t>
            </w:r>
          </w:p>
        </w:tc>
        <w:tc>
          <w:tcPr>
            <w:tcW w:w="1417" w:type="dxa"/>
          </w:tcPr>
          <w:p w:rsidR="00DD437F" w:rsidRDefault="00650B59" w:rsidP="006B48BF">
            <w:pPr>
              <w:pStyle w:val="NoSpacing"/>
              <w:jc w:val="right"/>
            </w:pPr>
            <w:r>
              <w:t>0.6%</w:t>
            </w:r>
          </w:p>
        </w:tc>
      </w:tr>
      <w:tr w:rsidR="006B48BF" w:rsidTr="00DD437F">
        <w:tc>
          <w:tcPr>
            <w:tcW w:w="2836" w:type="dxa"/>
          </w:tcPr>
          <w:p w:rsidR="00DD437F" w:rsidRDefault="00DD437F" w:rsidP="0038251B">
            <w:pPr>
              <w:pStyle w:val="NoSpacing"/>
            </w:pPr>
            <w:r>
              <w:t>City Campus – Lonsdale Street</w:t>
            </w:r>
          </w:p>
        </w:tc>
        <w:tc>
          <w:tcPr>
            <w:tcW w:w="1559" w:type="dxa"/>
          </w:tcPr>
          <w:p w:rsidR="00DD437F" w:rsidRDefault="006B48BF" w:rsidP="006B48BF">
            <w:pPr>
              <w:pStyle w:val="NoSpacing"/>
              <w:jc w:val="right"/>
            </w:pPr>
            <w:r>
              <w:t>73</w:t>
            </w:r>
          </w:p>
        </w:tc>
        <w:tc>
          <w:tcPr>
            <w:tcW w:w="1559" w:type="dxa"/>
          </w:tcPr>
          <w:p w:rsidR="00DD437F" w:rsidRDefault="006B48BF" w:rsidP="006B48BF">
            <w:pPr>
              <w:pStyle w:val="NoSpacing"/>
              <w:jc w:val="right"/>
            </w:pPr>
            <w:r>
              <w:t>0.1%</w:t>
            </w:r>
          </w:p>
        </w:tc>
        <w:tc>
          <w:tcPr>
            <w:tcW w:w="1701" w:type="dxa"/>
          </w:tcPr>
          <w:p w:rsidR="00DD437F" w:rsidRDefault="006B48BF" w:rsidP="006B48BF">
            <w:pPr>
              <w:pStyle w:val="NoSpacing"/>
              <w:jc w:val="right"/>
            </w:pPr>
            <w:r>
              <w:t>11,758</w:t>
            </w:r>
          </w:p>
        </w:tc>
        <w:tc>
          <w:tcPr>
            <w:tcW w:w="1701" w:type="dxa"/>
          </w:tcPr>
          <w:p w:rsidR="00DD437F" w:rsidRDefault="006B48BF" w:rsidP="006B48BF">
            <w:pPr>
              <w:pStyle w:val="NoSpacing"/>
              <w:jc w:val="right"/>
            </w:pPr>
            <w:r>
              <w:t>0.1%</w:t>
            </w:r>
          </w:p>
        </w:tc>
        <w:tc>
          <w:tcPr>
            <w:tcW w:w="1701" w:type="dxa"/>
          </w:tcPr>
          <w:p w:rsidR="00DD437F" w:rsidRDefault="006B48BF" w:rsidP="006B48BF">
            <w:pPr>
              <w:pStyle w:val="NoSpacing"/>
              <w:jc w:val="right"/>
            </w:pPr>
            <w:r>
              <w:t>140</w:t>
            </w:r>
          </w:p>
        </w:tc>
        <w:tc>
          <w:tcPr>
            <w:tcW w:w="1560" w:type="dxa"/>
          </w:tcPr>
          <w:p w:rsidR="00DD437F" w:rsidRDefault="006B48BF" w:rsidP="006B48BF">
            <w:pPr>
              <w:pStyle w:val="NoSpacing"/>
              <w:jc w:val="right"/>
            </w:pPr>
            <w:r>
              <w:t>0.3%</w:t>
            </w:r>
          </w:p>
        </w:tc>
        <w:tc>
          <w:tcPr>
            <w:tcW w:w="1701" w:type="dxa"/>
          </w:tcPr>
          <w:p w:rsidR="00DD437F" w:rsidRDefault="00650B59" w:rsidP="006B48BF">
            <w:pPr>
              <w:pStyle w:val="NoSpacing"/>
              <w:jc w:val="right"/>
            </w:pPr>
            <w:r>
              <w:t>35,608</w:t>
            </w:r>
          </w:p>
        </w:tc>
        <w:tc>
          <w:tcPr>
            <w:tcW w:w="1417" w:type="dxa"/>
          </w:tcPr>
          <w:p w:rsidR="00DD437F" w:rsidRDefault="00650B59" w:rsidP="006B48BF">
            <w:pPr>
              <w:pStyle w:val="NoSpacing"/>
              <w:jc w:val="right"/>
            </w:pPr>
            <w:r>
              <w:t>0.3%</w:t>
            </w:r>
          </w:p>
        </w:tc>
      </w:tr>
      <w:tr w:rsidR="006B48BF" w:rsidTr="00DD437F">
        <w:tc>
          <w:tcPr>
            <w:tcW w:w="2836" w:type="dxa"/>
          </w:tcPr>
          <w:p w:rsidR="00DD437F" w:rsidRDefault="00DD437F" w:rsidP="0038251B">
            <w:pPr>
              <w:pStyle w:val="NoSpacing"/>
            </w:pPr>
            <w:r>
              <w:t>Chisholm @ 311</w:t>
            </w:r>
          </w:p>
        </w:tc>
        <w:tc>
          <w:tcPr>
            <w:tcW w:w="1559" w:type="dxa"/>
          </w:tcPr>
          <w:p w:rsidR="00DD437F" w:rsidRDefault="006B48BF" w:rsidP="006B48BF">
            <w:pPr>
              <w:pStyle w:val="NoSpacing"/>
              <w:jc w:val="right"/>
            </w:pPr>
            <w:r>
              <w:t>63</w:t>
            </w:r>
          </w:p>
        </w:tc>
        <w:tc>
          <w:tcPr>
            <w:tcW w:w="1559" w:type="dxa"/>
          </w:tcPr>
          <w:p w:rsidR="00DD437F" w:rsidRDefault="006B48BF" w:rsidP="006B48BF">
            <w:pPr>
              <w:pStyle w:val="NoSpacing"/>
              <w:jc w:val="right"/>
            </w:pPr>
            <w:r>
              <w:t>0.1%</w:t>
            </w:r>
          </w:p>
        </w:tc>
        <w:tc>
          <w:tcPr>
            <w:tcW w:w="1701" w:type="dxa"/>
          </w:tcPr>
          <w:p w:rsidR="00DD437F" w:rsidRDefault="006B48BF" w:rsidP="006B48BF">
            <w:pPr>
              <w:pStyle w:val="NoSpacing"/>
              <w:jc w:val="right"/>
            </w:pPr>
            <w:r>
              <w:t>14,477</w:t>
            </w:r>
          </w:p>
        </w:tc>
        <w:tc>
          <w:tcPr>
            <w:tcW w:w="1701" w:type="dxa"/>
          </w:tcPr>
          <w:p w:rsidR="00DD437F" w:rsidRDefault="006B48BF" w:rsidP="006B48BF">
            <w:pPr>
              <w:pStyle w:val="NoSpacing"/>
              <w:jc w:val="right"/>
            </w:pPr>
            <w:r>
              <w:t>0.1%</w:t>
            </w:r>
          </w:p>
        </w:tc>
        <w:tc>
          <w:tcPr>
            <w:tcW w:w="1701" w:type="dxa"/>
          </w:tcPr>
          <w:p w:rsidR="00DD437F" w:rsidRDefault="006B48BF" w:rsidP="006B48BF">
            <w:pPr>
              <w:pStyle w:val="NoSpacing"/>
              <w:jc w:val="right"/>
            </w:pPr>
            <w:r>
              <w:t>167</w:t>
            </w:r>
          </w:p>
        </w:tc>
        <w:tc>
          <w:tcPr>
            <w:tcW w:w="1560" w:type="dxa"/>
          </w:tcPr>
          <w:p w:rsidR="00DD437F" w:rsidRDefault="006B48BF" w:rsidP="006B48BF">
            <w:pPr>
              <w:pStyle w:val="NoSpacing"/>
              <w:jc w:val="right"/>
            </w:pPr>
            <w:r>
              <w:t>0.4%</w:t>
            </w:r>
          </w:p>
        </w:tc>
        <w:tc>
          <w:tcPr>
            <w:tcW w:w="1701" w:type="dxa"/>
          </w:tcPr>
          <w:p w:rsidR="00DD437F" w:rsidRDefault="00650B59" w:rsidP="006B48BF">
            <w:pPr>
              <w:pStyle w:val="NoSpacing"/>
              <w:jc w:val="right"/>
            </w:pPr>
            <w:r>
              <w:t>63,920</w:t>
            </w:r>
          </w:p>
        </w:tc>
        <w:tc>
          <w:tcPr>
            <w:tcW w:w="1417" w:type="dxa"/>
          </w:tcPr>
          <w:p w:rsidR="00DD437F" w:rsidRDefault="00650B59" w:rsidP="006B48BF">
            <w:pPr>
              <w:pStyle w:val="NoSpacing"/>
              <w:jc w:val="right"/>
            </w:pPr>
            <w:r>
              <w:t>0.5%</w:t>
            </w:r>
          </w:p>
        </w:tc>
      </w:tr>
      <w:tr w:rsidR="006B48BF" w:rsidTr="00DD437F">
        <w:tc>
          <w:tcPr>
            <w:tcW w:w="2836" w:type="dxa"/>
          </w:tcPr>
          <w:p w:rsidR="00DD437F" w:rsidRDefault="00DD437F" w:rsidP="0038251B">
            <w:pPr>
              <w:pStyle w:val="NoSpacing"/>
            </w:pPr>
            <w:r>
              <w:t>Geelong</w:t>
            </w:r>
          </w:p>
        </w:tc>
        <w:tc>
          <w:tcPr>
            <w:tcW w:w="1559" w:type="dxa"/>
          </w:tcPr>
          <w:p w:rsidR="00DD437F" w:rsidRDefault="006B48BF" w:rsidP="006B48BF">
            <w:pPr>
              <w:pStyle w:val="NoSpacing"/>
              <w:jc w:val="right"/>
            </w:pPr>
            <w:r>
              <w:t>62</w:t>
            </w:r>
          </w:p>
        </w:tc>
        <w:tc>
          <w:tcPr>
            <w:tcW w:w="1559" w:type="dxa"/>
          </w:tcPr>
          <w:p w:rsidR="00DD437F" w:rsidRDefault="006B48BF" w:rsidP="006B48BF">
            <w:pPr>
              <w:pStyle w:val="NoSpacing"/>
              <w:jc w:val="right"/>
            </w:pPr>
            <w:r>
              <w:t>0.1%</w:t>
            </w:r>
          </w:p>
        </w:tc>
        <w:tc>
          <w:tcPr>
            <w:tcW w:w="1701" w:type="dxa"/>
          </w:tcPr>
          <w:p w:rsidR="00DD437F" w:rsidRDefault="006B48BF" w:rsidP="006B48BF">
            <w:pPr>
              <w:pStyle w:val="NoSpacing"/>
              <w:jc w:val="right"/>
            </w:pPr>
            <w:r>
              <w:t>13,968</w:t>
            </w:r>
          </w:p>
        </w:tc>
        <w:tc>
          <w:tcPr>
            <w:tcW w:w="1701" w:type="dxa"/>
          </w:tcPr>
          <w:p w:rsidR="00DD437F" w:rsidRDefault="00DD437F" w:rsidP="006B48BF">
            <w:pPr>
              <w:pStyle w:val="NoSpacing"/>
              <w:jc w:val="right"/>
            </w:pPr>
          </w:p>
        </w:tc>
        <w:tc>
          <w:tcPr>
            <w:tcW w:w="1701" w:type="dxa"/>
          </w:tcPr>
          <w:p w:rsidR="00DD437F" w:rsidRDefault="00DD437F" w:rsidP="006B48BF">
            <w:pPr>
              <w:pStyle w:val="NoSpacing"/>
              <w:jc w:val="right"/>
            </w:pPr>
          </w:p>
        </w:tc>
        <w:tc>
          <w:tcPr>
            <w:tcW w:w="1560" w:type="dxa"/>
          </w:tcPr>
          <w:p w:rsidR="00DD437F" w:rsidRDefault="00DD437F" w:rsidP="006B48BF">
            <w:pPr>
              <w:pStyle w:val="NoSpacing"/>
              <w:jc w:val="right"/>
            </w:pPr>
          </w:p>
        </w:tc>
        <w:tc>
          <w:tcPr>
            <w:tcW w:w="1701" w:type="dxa"/>
          </w:tcPr>
          <w:p w:rsidR="00DD437F" w:rsidRDefault="00DD437F" w:rsidP="006B48BF">
            <w:pPr>
              <w:pStyle w:val="NoSpacing"/>
              <w:jc w:val="right"/>
            </w:pPr>
          </w:p>
        </w:tc>
        <w:tc>
          <w:tcPr>
            <w:tcW w:w="1417" w:type="dxa"/>
          </w:tcPr>
          <w:p w:rsidR="00DD437F" w:rsidRDefault="00DD437F" w:rsidP="006B48BF">
            <w:pPr>
              <w:pStyle w:val="NoSpacing"/>
              <w:jc w:val="right"/>
            </w:pPr>
          </w:p>
        </w:tc>
      </w:tr>
      <w:tr w:rsidR="006B48BF" w:rsidTr="00DD437F">
        <w:tc>
          <w:tcPr>
            <w:tcW w:w="2836" w:type="dxa"/>
          </w:tcPr>
          <w:p w:rsidR="00DD437F" w:rsidRDefault="00DD437F" w:rsidP="00280ED8">
            <w:pPr>
              <w:pStyle w:val="NoSpacing"/>
            </w:pPr>
            <w:r>
              <w:t>City Campus – Flinders Lane</w:t>
            </w:r>
          </w:p>
        </w:tc>
        <w:tc>
          <w:tcPr>
            <w:tcW w:w="1559" w:type="dxa"/>
          </w:tcPr>
          <w:p w:rsidR="00DD437F" w:rsidRDefault="006B48BF" w:rsidP="006B48BF">
            <w:pPr>
              <w:pStyle w:val="NoSpacing"/>
              <w:jc w:val="right"/>
            </w:pPr>
            <w:r>
              <w:t>-</w:t>
            </w:r>
          </w:p>
        </w:tc>
        <w:tc>
          <w:tcPr>
            <w:tcW w:w="1559" w:type="dxa"/>
          </w:tcPr>
          <w:p w:rsidR="00DD437F" w:rsidRDefault="006B48BF" w:rsidP="006B48BF">
            <w:pPr>
              <w:pStyle w:val="NoSpacing"/>
              <w:jc w:val="right"/>
            </w:pPr>
            <w:r>
              <w:t>0.0%</w:t>
            </w:r>
          </w:p>
        </w:tc>
        <w:tc>
          <w:tcPr>
            <w:tcW w:w="1701" w:type="dxa"/>
          </w:tcPr>
          <w:p w:rsidR="00DD437F" w:rsidRDefault="006B48BF" w:rsidP="006B48BF">
            <w:pPr>
              <w:pStyle w:val="NoSpacing"/>
              <w:jc w:val="right"/>
            </w:pPr>
            <w:r>
              <w:t>-</w:t>
            </w:r>
          </w:p>
        </w:tc>
        <w:tc>
          <w:tcPr>
            <w:tcW w:w="1701" w:type="dxa"/>
          </w:tcPr>
          <w:p w:rsidR="00DD437F" w:rsidRDefault="006B48BF" w:rsidP="006B48BF">
            <w:pPr>
              <w:pStyle w:val="NoSpacing"/>
              <w:jc w:val="right"/>
            </w:pPr>
            <w:r>
              <w:t>0.0%</w:t>
            </w:r>
          </w:p>
        </w:tc>
        <w:tc>
          <w:tcPr>
            <w:tcW w:w="1701" w:type="dxa"/>
          </w:tcPr>
          <w:p w:rsidR="00DD437F" w:rsidRDefault="006B48BF" w:rsidP="006B48BF">
            <w:pPr>
              <w:pStyle w:val="NoSpacing"/>
              <w:jc w:val="right"/>
            </w:pPr>
            <w:r>
              <w:t>118</w:t>
            </w:r>
          </w:p>
        </w:tc>
        <w:tc>
          <w:tcPr>
            <w:tcW w:w="1560" w:type="dxa"/>
          </w:tcPr>
          <w:p w:rsidR="00DD437F" w:rsidRDefault="006B48BF" w:rsidP="006B48BF">
            <w:pPr>
              <w:pStyle w:val="NoSpacing"/>
              <w:jc w:val="right"/>
            </w:pPr>
            <w:r>
              <w:t>0.3%</w:t>
            </w:r>
          </w:p>
        </w:tc>
        <w:tc>
          <w:tcPr>
            <w:tcW w:w="1701" w:type="dxa"/>
          </w:tcPr>
          <w:p w:rsidR="00DD437F" w:rsidRDefault="00650B59" w:rsidP="006B48BF">
            <w:pPr>
              <w:pStyle w:val="NoSpacing"/>
              <w:jc w:val="right"/>
            </w:pPr>
            <w:r>
              <w:t>43,933</w:t>
            </w:r>
          </w:p>
        </w:tc>
        <w:tc>
          <w:tcPr>
            <w:tcW w:w="1417" w:type="dxa"/>
          </w:tcPr>
          <w:p w:rsidR="00DD437F" w:rsidRDefault="00650B59" w:rsidP="006B48BF">
            <w:pPr>
              <w:pStyle w:val="NoSpacing"/>
              <w:jc w:val="right"/>
            </w:pPr>
            <w:r>
              <w:t>0.3%</w:t>
            </w:r>
          </w:p>
        </w:tc>
      </w:tr>
      <w:tr w:rsidR="006B48BF" w:rsidTr="00DD437F">
        <w:tc>
          <w:tcPr>
            <w:tcW w:w="2836" w:type="dxa"/>
          </w:tcPr>
          <w:p w:rsidR="00DD437F" w:rsidRDefault="00DD437F" w:rsidP="00280ED8">
            <w:pPr>
              <w:pStyle w:val="NoSpacing"/>
            </w:pPr>
            <w:r>
              <w:t>Total</w:t>
            </w:r>
          </w:p>
        </w:tc>
        <w:tc>
          <w:tcPr>
            <w:tcW w:w="1559" w:type="dxa"/>
          </w:tcPr>
          <w:p w:rsidR="00DD437F" w:rsidRDefault="006B48BF" w:rsidP="006B48BF">
            <w:pPr>
              <w:pStyle w:val="NoSpacing"/>
              <w:jc w:val="right"/>
            </w:pPr>
            <w:r>
              <w:t>49,918</w:t>
            </w:r>
          </w:p>
        </w:tc>
        <w:tc>
          <w:tcPr>
            <w:tcW w:w="1559" w:type="dxa"/>
          </w:tcPr>
          <w:p w:rsidR="00DD437F" w:rsidRDefault="006B48BF" w:rsidP="006B48BF">
            <w:pPr>
              <w:pStyle w:val="NoSpacing"/>
              <w:jc w:val="right"/>
            </w:pPr>
            <w:r>
              <w:t>100.0%</w:t>
            </w:r>
          </w:p>
        </w:tc>
        <w:tc>
          <w:tcPr>
            <w:tcW w:w="1701" w:type="dxa"/>
          </w:tcPr>
          <w:p w:rsidR="00DD437F" w:rsidRDefault="006B48BF" w:rsidP="006B48BF">
            <w:pPr>
              <w:pStyle w:val="NoSpacing"/>
              <w:jc w:val="right"/>
            </w:pPr>
            <w:r>
              <w:t>13,590,486</w:t>
            </w:r>
          </w:p>
        </w:tc>
        <w:tc>
          <w:tcPr>
            <w:tcW w:w="1701" w:type="dxa"/>
          </w:tcPr>
          <w:p w:rsidR="00DD437F" w:rsidRDefault="006B48BF" w:rsidP="006B48BF">
            <w:pPr>
              <w:pStyle w:val="NoSpacing"/>
              <w:jc w:val="right"/>
            </w:pPr>
            <w:r>
              <w:t>100.0%</w:t>
            </w:r>
          </w:p>
        </w:tc>
        <w:tc>
          <w:tcPr>
            <w:tcW w:w="1701" w:type="dxa"/>
          </w:tcPr>
          <w:p w:rsidR="00DD437F" w:rsidRDefault="006B48BF" w:rsidP="006B48BF">
            <w:pPr>
              <w:pStyle w:val="NoSpacing"/>
              <w:jc w:val="right"/>
            </w:pPr>
            <w:r>
              <w:t>45,320</w:t>
            </w:r>
          </w:p>
        </w:tc>
        <w:tc>
          <w:tcPr>
            <w:tcW w:w="1560" w:type="dxa"/>
          </w:tcPr>
          <w:p w:rsidR="00DD437F" w:rsidRDefault="006B48BF" w:rsidP="006B48BF">
            <w:pPr>
              <w:pStyle w:val="NoSpacing"/>
              <w:jc w:val="right"/>
            </w:pPr>
            <w:r>
              <w:t>100.0%</w:t>
            </w:r>
          </w:p>
        </w:tc>
        <w:tc>
          <w:tcPr>
            <w:tcW w:w="1701" w:type="dxa"/>
          </w:tcPr>
          <w:p w:rsidR="00DD437F" w:rsidRDefault="00650B59" w:rsidP="006B48BF">
            <w:pPr>
              <w:pStyle w:val="NoSpacing"/>
              <w:jc w:val="right"/>
            </w:pPr>
            <w:r>
              <w:t>12,674,254</w:t>
            </w:r>
          </w:p>
        </w:tc>
        <w:tc>
          <w:tcPr>
            <w:tcW w:w="1417" w:type="dxa"/>
          </w:tcPr>
          <w:p w:rsidR="00DD437F" w:rsidRDefault="00650B59" w:rsidP="006B48BF">
            <w:pPr>
              <w:pStyle w:val="NoSpacing"/>
              <w:jc w:val="right"/>
            </w:pPr>
            <w:r>
              <w:t>100.0%</w:t>
            </w:r>
          </w:p>
        </w:tc>
      </w:tr>
    </w:tbl>
    <w:p w:rsidR="00DD437F" w:rsidRDefault="00DD437F" w:rsidP="0038251B">
      <w:pPr>
        <w:pStyle w:val="NoSpacing"/>
      </w:pPr>
      <w:r>
        <w:t>*individual students can choose to enrol at multiple campuses</w:t>
      </w:r>
    </w:p>
    <w:p w:rsidR="00DD437F" w:rsidRDefault="00DD437F" w:rsidP="0038251B">
      <w:pPr>
        <w:pStyle w:val="NoSpacing"/>
      </w:pPr>
    </w:p>
    <w:p w:rsidR="00691125" w:rsidRDefault="00560929" w:rsidP="0038251B">
      <w:pPr>
        <w:pStyle w:val="NoSpacing"/>
        <w:sectPr w:rsidR="00691125" w:rsidSect="00DD437F">
          <w:pgSz w:w="16838" w:h="11906" w:orient="landscape"/>
          <w:pgMar w:top="1440" w:right="1440" w:bottom="1440" w:left="1440" w:header="709" w:footer="709" w:gutter="0"/>
          <w:cols w:space="708"/>
          <w:docGrid w:linePitch="360"/>
        </w:sectPr>
      </w:pPr>
      <w:r>
        <w:t xml:space="preserve">&lt;page 32&gt;  </w:t>
      </w:r>
    </w:p>
    <w:p w:rsidR="0038251B" w:rsidRDefault="0038251B" w:rsidP="0038251B">
      <w:pPr>
        <w:pStyle w:val="Heading2"/>
      </w:pPr>
      <w:r>
        <w:lastRenderedPageBreak/>
        <w:t>Financial Performance Summary</w:t>
      </w:r>
    </w:p>
    <w:p w:rsidR="005942B8" w:rsidRDefault="005942B8" w:rsidP="005942B8">
      <w:pPr>
        <w:pStyle w:val="NoSpacing"/>
      </w:pPr>
    </w:p>
    <w:p w:rsidR="00560929" w:rsidRPr="00560929" w:rsidRDefault="00560929" w:rsidP="00560929">
      <w:pPr>
        <w:autoSpaceDE w:val="0"/>
        <w:autoSpaceDN w:val="0"/>
        <w:adjustRightInd w:val="0"/>
        <w:spacing w:after="0" w:line="240" w:lineRule="auto"/>
        <w:rPr>
          <w:rFonts w:cs="ProximaNovaA-Light"/>
        </w:rPr>
      </w:pPr>
      <w:r w:rsidRPr="00560929">
        <w:rPr>
          <w:rFonts w:cs="ProximaNovaA-Light"/>
        </w:rPr>
        <w:t>Chisholm Consolidated, comprising</w:t>
      </w:r>
      <w:r>
        <w:rPr>
          <w:rFonts w:cs="ProximaNovaA-Light"/>
        </w:rPr>
        <w:t xml:space="preserve"> </w:t>
      </w:r>
      <w:r w:rsidRPr="00560929">
        <w:rPr>
          <w:rFonts w:cs="ProximaNovaA-Light"/>
        </w:rPr>
        <w:t>Chisholm Institute, Caroline Chisholm</w:t>
      </w:r>
      <w:r>
        <w:rPr>
          <w:rFonts w:cs="ProximaNovaA-Light"/>
        </w:rPr>
        <w:t xml:space="preserve"> </w:t>
      </w:r>
      <w:r w:rsidRPr="00560929">
        <w:rPr>
          <w:rFonts w:cs="ProximaNovaA-Light"/>
        </w:rPr>
        <w:t>Foundation and Chisholm Online</w:t>
      </w:r>
      <w:r>
        <w:rPr>
          <w:rFonts w:cs="ProximaNovaA-Light"/>
        </w:rPr>
        <w:t xml:space="preserve"> </w:t>
      </w:r>
      <w:r w:rsidRPr="00560929">
        <w:rPr>
          <w:rFonts w:cs="ProximaNovaA-Light"/>
        </w:rPr>
        <w:t>recorded a net surplus of $0.9</w:t>
      </w:r>
      <w:r>
        <w:rPr>
          <w:rFonts w:cs="ProximaNovaA-Light"/>
        </w:rPr>
        <w:t xml:space="preserve"> </w:t>
      </w:r>
      <w:r w:rsidRPr="00560929">
        <w:rPr>
          <w:rFonts w:cs="ProximaNovaA-Light"/>
        </w:rPr>
        <w:t>million</w:t>
      </w:r>
      <w:r>
        <w:rPr>
          <w:rFonts w:cs="ProximaNovaA-Light"/>
        </w:rPr>
        <w:t xml:space="preserve"> </w:t>
      </w:r>
      <w:r w:rsidRPr="00560929">
        <w:rPr>
          <w:rFonts w:cs="ProximaNovaA-Light"/>
        </w:rPr>
        <w:t>(2018: $25.5 million surplus)</w:t>
      </w:r>
      <w:r>
        <w:rPr>
          <w:rFonts w:cs="ProximaNovaA-Light"/>
        </w:rPr>
        <w:t xml:space="preserve"> </w:t>
      </w:r>
      <w:r w:rsidRPr="00560929">
        <w:rPr>
          <w:rFonts w:cs="ProximaNovaA-Light"/>
        </w:rPr>
        <w:t>compared to a Board approved budget</w:t>
      </w:r>
      <w:r>
        <w:rPr>
          <w:rFonts w:cs="ProximaNovaA-Light"/>
        </w:rPr>
        <w:t xml:space="preserve"> </w:t>
      </w:r>
      <w:r w:rsidRPr="00560929">
        <w:rPr>
          <w:rFonts w:cs="ProximaNovaA-Light"/>
        </w:rPr>
        <w:t>net deficit of $2.1 million, largely as a</w:t>
      </w:r>
      <w:r>
        <w:rPr>
          <w:rFonts w:cs="ProximaNovaA-Light"/>
        </w:rPr>
        <w:t xml:space="preserve"> </w:t>
      </w:r>
      <w:r w:rsidRPr="00560929">
        <w:rPr>
          <w:rFonts w:cs="ProximaNovaA-Light"/>
        </w:rPr>
        <w:t>result of higher Government revenues</w:t>
      </w:r>
      <w:r>
        <w:rPr>
          <w:rFonts w:cs="ProximaNovaA-Light"/>
        </w:rPr>
        <w:t xml:space="preserve"> </w:t>
      </w:r>
      <w:r w:rsidRPr="00560929">
        <w:rPr>
          <w:rFonts w:cs="ProximaNovaA-Light"/>
        </w:rPr>
        <w:t>driven by Free TAFE offset by lower than</w:t>
      </w:r>
      <w:r>
        <w:rPr>
          <w:rFonts w:cs="ProximaNovaA-Light"/>
        </w:rPr>
        <w:t xml:space="preserve"> </w:t>
      </w:r>
      <w:r w:rsidRPr="00560929">
        <w:rPr>
          <w:rFonts w:cs="ProximaNovaA-Light"/>
        </w:rPr>
        <w:t>anticipated Fee for Service revenue.</w:t>
      </w:r>
    </w:p>
    <w:p w:rsidR="00560929" w:rsidRDefault="00560929" w:rsidP="00560929">
      <w:pPr>
        <w:autoSpaceDE w:val="0"/>
        <w:autoSpaceDN w:val="0"/>
        <w:adjustRightInd w:val="0"/>
        <w:spacing w:after="0" w:line="240" w:lineRule="auto"/>
        <w:rPr>
          <w:rFonts w:cs="ProximaNovaA-Light"/>
        </w:rPr>
      </w:pPr>
    </w:p>
    <w:p w:rsidR="00560929" w:rsidRPr="00560929" w:rsidRDefault="00560929" w:rsidP="00560929">
      <w:pPr>
        <w:autoSpaceDE w:val="0"/>
        <w:autoSpaceDN w:val="0"/>
        <w:adjustRightInd w:val="0"/>
        <w:spacing w:after="0" w:line="240" w:lineRule="auto"/>
        <w:rPr>
          <w:rFonts w:cs="ProximaNovaA-Light"/>
        </w:rPr>
      </w:pPr>
      <w:r w:rsidRPr="00560929">
        <w:rPr>
          <w:rFonts w:cs="ProximaNovaA-Light"/>
        </w:rPr>
        <w:t>Growth through the introduction of Free</w:t>
      </w:r>
      <w:r>
        <w:rPr>
          <w:rFonts w:cs="ProximaNovaA-Light"/>
        </w:rPr>
        <w:t xml:space="preserve"> </w:t>
      </w:r>
      <w:r w:rsidRPr="00560929">
        <w:rPr>
          <w:rFonts w:cs="ProximaNovaA-Light"/>
        </w:rPr>
        <w:t>TAFE has resulted in higher teaching</w:t>
      </w:r>
      <w:r>
        <w:rPr>
          <w:rFonts w:cs="ProximaNovaA-Light"/>
        </w:rPr>
        <w:t xml:space="preserve"> </w:t>
      </w:r>
      <w:r w:rsidRPr="00560929">
        <w:rPr>
          <w:rFonts w:cs="ProximaNovaA-Light"/>
        </w:rPr>
        <w:t>salaries, however this has been offset</w:t>
      </w:r>
      <w:r>
        <w:rPr>
          <w:rFonts w:cs="ProximaNovaA-Light"/>
        </w:rPr>
        <w:t xml:space="preserve"> </w:t>
      </w:r>
      <w:r w:rsidRPr="00560929">
        <w:rPr>
          <w:rFonts w:cs="ProximaNovaA-Light"/>
        </w:rPr>
        <w:t>by controlling operational spend.</w:t>
      </w:r>
      <w:r>
        <w:rPr>
          <w:rFonts w:cs="ProximaNovaA-Light"/>
        </w:rPr>
        <w:t xml:space="preserve"> </w:t>
      </w:r>
      <w:r w:rsidRPr="00560929">
        <w:rPr>
          <w:rFonts w:cs="ProximaNovaA-Light"/>
        </w:rPr>
        <w:t>Redevelopment of the Frankston,</w:t>
      </w:r>
      <w:r>
        <w:rPr>
          <w:rFonts w:cs="ProximaNovaA-Light"/>
        </w:rPr>
        <w:t xml:space="preserve"> </w:t>
      </w:r>
      <w:r w:rsidRPr="00560929">
        <w:rPr>
          <w:rFonts w:cs="ProximaNovaA-Light"/>
        </w:rPr>
        <w:t>Berwick and Casey Technology</w:t>
      </w:r>
      <w:r>
        <w:rPr>
          <w:rFonts w:cs="ProximaNovaA-Light"/>
        </w:rPr>
        <w:t xml:space="preserve"> </w:t>
      </w:r>
      <w:r w:rsidRPr="00560929">
        <w:rPr>
          <w:rFonts w:cs="ProximaNovaA-Light"/>
        </w:rPr>
        <w:t>campuses and continued investment in</w:t>
      </w:r>
      <w:r>
        <w:rPr>
          <w:rFonts w:cs="ProximaNovaA-Light"/>
        </w:rPr>
        <w:t xml:space="preserve"> </w:t>
      </w:r>
      <w:r w:rsidRPr="00560929">
        <w:rPr>
          <w:rFonts w:cs="ProximaNovaA-Light"/>
        </w:rPr>
        <w:t>information technology was forefront</w:t>
      </w:r>
      <w:r>
        <w:rPr>
          <w:rFonts w:cs="ProximaNovaA-Light"/>
        </w:rPr>
        <w:t xml:space="preserve"> </w:t>
      </w:r>
      <w:r w:rsidRPr="00560929">
        <w:rPr>
          <w:rFonts w:cs="ProximaNovaA-Light"/>
        </w:rPr>
        <w:t>throughout the year.</w:t>
      </w:r>
    </w:p>
    <w:p w:rsidR="00560929" w:rsidRDefault="00560929" w:rsidP="00560929">
      <w:pPr>
        <w:autoSpaceDE w:val="0"/>
        <w:autoSpaceDN w:val="0"/>
        <w:adjustRightInd w:val="0"/>
        <w:spacing w:after="0" w:line="240" w:lineRule="auto"/>
        <w:rPr>
          <w:rFonts w:cs="ProximaNovaA-Light"/>
        </w:rPr>
      </w:pPr>
    </w:p>
    <w:p w:rsidR="00560929" w:rsidRDefault="00560929" w:rsidP="00560929">
      <w:pPr>
        <w:autoSpaceDE w:val="0"/>
        <w:autoSpaceDN w:val="0"/>
        <w:adjustRightInd w:val="0"/>
        <w:spacing w:after="0" w:line="240" w:lineRule="auto"/>
        <w:rPr>
          <w:rFonts w:cs="ProximaNovaA-Light"/>
        </w:rPr>
      </w:pPr>
      <w:r w:rsidRPr="00560929">
        <w:rPr>
          <w:rFonts w:cs="ProximaNovaA-Light"/>
        </w:rPr>
        <w:t>Chisholm Consolidated is focused</w:t>
      </w:r>
      <w:r>
        <w:rPr>
          <w:rFonts w:cs="ProximaNovaA-Light"/>
        </w:rPr>
        <w:t xml:space="preserve"> </w:t>
      </w:r>
      <w:r w:rsidRPr="00560929">
        <w:rPr>
          <w:rFonts w:cs="ProximaNovaA-Light"/>
        </w:rPr>
        <w:t>on its strategic priorities of quality</w:t>
      </w:r>
      <w:r>
        <w:rPr>
          <w:rFonts w:cs="ProximaNovaA-Light"/>
        </w:rPr>
        <w:t xml:space="preserve"> </w:t>
      </w:r>
      <w:r w:rsidRPr="00560929">
        <w:rPr>
          <w:rFonts w:cs="ProximaNovaA-Light"/>
        </w:rPr>
        <w:t>training and education, revenue growth</w:t>
      </w:r>
      <w:r>
        <w:rPr>
          <w:rFonts w:cs="ProximaNovaA-Light"/>
        </w:rPr>
        <w:t xml:space="preserve"> </w:t>
      </w:r>
      <w:r w:rsidRPr="00560929">
        <w:rPr>
          <w:rFonts w:cs="ProximaNovaA-Light"/>
        </w:rPr>
        <w:t>and diversification, its people and</w:t>
      </w:r>
      <w:r>
        <w:rPr>
          <w:rFonts w:cs="ProximaNovaA-Light"/>
        </w:rPr>
        <w:t xml:space="preserve"> </w:t>
      </w:r>
      <w:r w:rsidRPr="00560929">
        <w:rPr>
          <w:rFonts w:cs="ProximaNovaA-Light"/>
        </w:rPr>
        <w:t>student experience, while continuing</w:t>
      </w:r>
      <w:r>
        <w:rPr>
          <w:rFonts w:cs="ProximaNovaA-Light"/>
        </w:rPr>
        <w:t xml:space="preserve"> </w:t>
      </w:r>
      <w:r w:rsidRPr="00560929">
        <w:rPr>
          <w:rFonts w:cs="ProximaNovaA-Light"/>
        </w:rPr>
        <w:t>to improve efficiency and productivity,</w:t>
      </w:r>
      <w:r>
        <w:rPr>
          <w:rFonts w:cs="ProximaNovaA-Light"/>
        </w:rPr>
        <w:t xml:space="preserve"> </w:t>
      </w:r>
      <w:r w:rsidRPr="00560929">
        <w:rPr>
          <w:rFonts w:cs="ProximaNovaA-Light"/>
        </w:rPr>
        <w:t>and continuing investment in capital</w:t>
      </w:r>
      <w:r>
        <w:rPr>
          <w:rFonts w:cs="ProximaNovaA-Light"/>
        </w:rPr>
        <w:t xml:space="preserve"> </w:t>
      </w:r>
      <w:r w:rsidRPr="00560929">
        <w:rPr>
          <w:rFonts w:cs="ProximaNovaA-Light"/>
        </w:rPr>
        <w:t>initiatives where viable.</w:t>
      </w:r>
    </w:p>
    <w:p w:rsidR="00560929" w:rsidRDefault="00560929" w:rsidP="00560929">
      <w:pPr>
        <w:autoSpaceDE w:val="0"/>
        <w:autoSpaceDN w:val="0"/>
        <w:adjustRightInd w:val="0"/>
        <w:spacing w:after="0" w:line="240" w:lineRule="auto"/>
        <w:rPr>
          <w:rFonts w:cs="ProximaNovaA-Light"/>
        </w:rPr>
      </w:pPr>
    </w:p>
    <w:tbl>
      <w:tblPr>
        <w:tblStyle w:val="TableGrid"/>
        <w:tblW w:w="11058" w:type="dxa"/>
        <w:tblInd w:w="-998" w:type="dxa"/>
        <w:tblLook w:val="04A0" w:firstRow="1" w:lastRow="0" w:firstColumn="1" w:lastColumn="0" w:noHBand="0" w:noVBand="1"/>
      </w:tblPr>
      <w:tblGrid>
        <w:gridCol w:w="5388"/>
        <w:gridCol w:w="1134"/>
        <w:gridCol w:w="1134"/>
        <w:gridCol w:w="1134"/>
        <w:gridCol w:w="1134"/>
        <w:gridCol w:w="1134"/>
      </w:tblGrid>
      <w:tr w:rsidR="00560929" w:rsidTr="00560929">
        <w:trPr>
          <w:gridBefore w:val="1"/>
          <w:wBefore w:w="5388" w:type="dxa"/>
        </w:trPr>
        <w:tc>
          <w:tcPr>
            <w:tcW w:w="1134" w:type="dxa"/>
          </w:tcPr>
          <w:p w:rsidR="00560929" w:rsidRDefault="00560929" w:rsidP="00560929">
            <w:pPr>
              <w:autoSpaceDE w:val="0"/>
              <w:autoSpaceDN w:val="0"/>
              <w:adjustRightInd w:val="0"/>
              <w:jc w:val="right"/>
            </w:pPr>
            <w:r>
              <w:t>2019</w:t>
            </w:r>
          </w:p>
        </w:tc>
        <w:tc>
          <w:tcPr>
            <w:tcW w:w="1134" w:type="dxa"/>
          </w:tcPr>
          <w:p w:rsidR="00560929" w:rsidRDefault="00560929" w:rsidP="00560929">
            <w:pPr>
              <w:autoSpaceDE w:val="0"/>
              <w:autoSpaceDN w:val="0"/>
              <w:adjustRightInd w:val="0"/>
              <w:jc w:val="right"/>
            </w:pPr>
            <w:r>
              <w:t>2018</w:t>
            </w:r>
          </w:p>
        </w:tc>
        <w:tc>
          <w:tcPr>
            <w:tcW w:w="1134" w:type="dxa"/>
          </w:tcPr>
          <w:p w:rsidR="00560929" w:rsidRDefault="00560929" w:rsidP="00560929">
            <w:pPr>
              <w:autoSpaceDE w:val="0"/>
              <w:autoSpaceDN w:val="0"/>
              <w:adjustRightInd w:val="0"/>
              <w:jc w:val="right"/>
            </w:pPr>
            <w:r>
              <w:t>2017</w:t>
            </w:r>
          </w:p>
        </w:tc>
        <w:tc>
          <w:tcPr>
            <w:tcW w:w="1134" w:type="dxa"/>
          </w:tcPr>
          <w:p w:rsidR="00560929" w:rsidRDefault="00560929" w:rsidP="00560929">
            <w:pPr>
              <w:autoSpaceDE w:val="0"/>
              <w:autoSpaceDN w:val="0"/>
              <w:adjustRightInd w:val="0"/>
              <w:jc w:val="right"/>
            </w:pPr>
            <w:r>
              <w:t>2016</w:t>
            </w:r>
          </w:p>
        </w:tc>
        <w:tc>
          <w:tcPr>
            <w:tcW w:w="1134" w:type="dxa"/>
          </w:tcPr>
          <w:p w:rsidR="00560929" w:rsidRDefault="00560929" w:rsidP="00560929">
            <w:pPr>
              <w:autoSpaceDE w:val="0"/>
              <w:autoSpaceDN w:val="0"/>
              <w:adjustRightInd w:val="0"/>
              <w:jc w:val="right"/>
            </w:pPr>
            <w:r>
              <w:t>2015</w:t>
            </w:r>
          </w:p>
        </w:tc>
      </w:tr>
      <w:tr w:rsidR="00560929" w:rsidTr="00560929">
        <w:trPr>
          <w:gridBefore w:val="1"/>
          <w:wBefore w:w="5388" w:type="dxa"/>
        </w:trPr>
        <w:tc>
          <w:tcPr>
            <w:tcW w:w="1134" w:type="dxa"/>
          </w:tcPr>
          <w:p w:rsidR="00560929" w:rsidRDefault="00560929" w:rsidP="00560929">
            <w:pPr>
              <w:autoSpaceDE w:val="0"/>
              <w:autoSpaceDN w:val="0"/>
              <w:adjustRightInd w:val="0"/>
              <w:jc w:val="right"/>
            </w:pPr>
            <w:r>
              <w:t>$’000</w:t>
            </w:r>
          </w:p>
        </w:tc>
        <w:tc>
          <w:tcPr>
            <w:tcW w:w="1134" w:type="dxa"/>
          </w:tcPr>
          <w:p w:rsidR="00560929" w:rsidRDefault="00560929" w:rsidP="00560929">
            <w:pPr>
              <w:autoSpaceDE w:val="0"/>
              <w:autoSpaceDN w:val="0"/>
              <w:adjustRightInd w:val="0"/>
              <w:jc w:val="right"/>
            </w:pPr>
            <w:r>
              <w:t>$’000</w:t>
            </w:r>
          </w:p>
        </w:tc>
        <w:tc>
          <w:tcPr>
            <w:tcW w:w="1134" w:type="dxa"/>
          </w:tcPr>
          <w:p w:rsidR="00560929" w:rsidRDefault="00560929" w:rsidP="00560929">
            <w:pPr>
              <w:autoSpaceDE w:val="0"/>
              <w:autoSpaceDN w:val="0"/>
              <w:adjustRightInd w:val="0"/>
              <w:jc w:val="right"/>
            </w:pPr>
            <w:r>
              <w:t>$’000</w:t>
            </w:r>
          </w:p>
        </w:tc>
        <w:tc>
          <w:tcPr>
            <w:tcW w:w="1134" w:type="dxa"/>
          </w:tcPr>
          <w:p w:rsidR="00560929" w:rsidRDefault="00560929" w:rsidP="00560929">
            <w:pPr>
              <w:autoSpaceDE w:val="0"/>
              <w:autoSpaceDN w:val="0"/>
              <w:adjustRightInd w:val="0"/>
              <w:jc w:val="right"/>
            </w:pPr>
            <w:r>
              <w:t>$’000</w:t>
            </w:r>
          </w:p>
        </w:tc>
        <w:tc>
          <w:tcPr>
            <w:tcW w:w="1134" w:type="dxa"/>
          </w:tcPr>
          <w:p w:rsidR="00560929" w:rsidRDefault="00560929" w:rsidP="00560929">
            <w:pPr>
              <w:autoSpaceDE w:val="0"/>
              <w:autoSpaceDN w:val="0"/>
              <w:adjustRightInd w:val="0"/>
              <w:jc w:val="right"/>
            </w:pPr>
            <w:r>
              <w:t>$’000</w:t>
            </w:r>
          </w:p>
        </w:tc>
      </w:tr>
      <w:tr w:rsidR="00560929" w:rsidTr="00AA492C">
        <w:tc>
          <w:tcPr>
            <w:tcW w:w="11058" w:type="dxa"/>
            <w:gridSpan w:val="6"/>
          </w:tcPr>
          <w:p w:rsidR="00560929" w:rsidRDefault="00560929" w:rsidP="00560929">
            <w:pPr>
              <w:pStyle w:val="NoSpacing"/>
            </w:pPr>
            <w:r>
              <w:t>Consolidated</w:t>
            </w:r>
          </w:p>
        </w:tc>
      </w:tr>
      <w:tr w:rsidR="00560929" w:rsidTr="00AA492C">
        <w:tc>
          <w:tcPr>
            <w:tcW w:w="11058" w:type="dxa"/>
            <w:gridSpan w:val="6"/>
          </w:tcPr>
          <w:p w:rsidR="00560929" w:rsidRDefault="00560929" w:rsidP="00560929">
            <w:pPr>
              <w:pStyle w:val="NoSpacing"/>
            </w:pPr>
            <w:r>
              <w:t>Summary of financial results</w:t>
            </w:r>
          </w:p>
        </w:tc>
      </w:tr>
      <w:tr w:rsidR="00560929" w:rsidTr="00560929">
        <w:tc>
          <w:tcPr>
            <w:tcW w:w="5388" w:type="dxa"/>
          </w:tcPr>
          <w:p w:rsidR="00560929" w:rsidRDefault="00560929" w:rsidP="005942B8">
            <w:pPr>
              <w:pStyle w:val="NoSpacing"/>
            </w:pPr>
            <w:r>
              <w:t>Total income from transactions</w:t>
            </w:r>
          </w:p>
        </w:tc>
        <w:tc>
          <w:tcPr>
            <w:tcW w:w="1134" w:type="dxa"/>
          </w:tcPr>
          <w:p w:rsidR="00560929" w:rsidRDefault="00560929" w:rsidP="00560929">
            <w:pPr>
              <w:pStyle w:val="NoSpacing"/>
              <w:jc w:val="right"/>
            </w:pPr>
            <w:r>
              <w:t>174,449</w:t>
            </w:r>
          </w:p>
        </w:tc>
        <w:tc>
          <w:tcPr>
            <w:tcW w:w="1134" w:type="dxa"/>
          </w:tcPr>
          <w:p w:rsidR="00560929" w:rsidRDefault="00560929" w:rsidP="00560929">
            <w:pPr>
              <w:pStyle w:val="NoSpacing"/>
              <w:jc w:val="right"/>
            </w:pPr>
            <w:r>
              <w:t>175,735</w:t>
            </w:r>
          </w:p>
        </w:tc>
        <w:tc>
          <w:tcPr>
            <w:tcW w:w="1134" w:type="dxa"/>
          </w:tcPr>
          <w:p w:rsidR="00560929" w:rsidRDefault="00560929" w:rsidP="00560929">
            <w:pPr>
              <w:pStyle w:val="NoSpacing"/>
              <w:jc w:val="right"/>
            </w:pPr>
            <w:r>
              <w:t>165,564</w:t>
            </w:r>
          </w:p>
        </w:tc>
        <w:tc>
          <w:tcPr>
            <w:tcW w:w="1134" w:type="dxa"/>
          </w:tcPr>
          <w:p w:rsidR="00560929" w:rsidRDefault="00560929" w:rsidP="00560929">
            <w:pPr>
              <w:pStyle w:val="NoSpacing"/>
              <w:jc w:val="right"/>
            </w:pPr>
            <w:r>
              <w:t>141,123</w:t>
            </w:r>
          </w:p>
        </w:tc>
        <w:tc>
          <w:tcPr>
            <w:tcW w:w="1134" w:type="dxa"/>
          </w:tcPr>
          <w:p w:rsidR="00560929" w:rsidRDefault="00560929" w:rsidP="00560929">
            <w:pPr>
              <w:pStyle w:val="NoSpacing"/>
              <w:jc w:val="right"/>
            </w:pPr>
            <w:r>
              <w:t>125,453</w:t>
            </w:r>
          </w:p>
        </w:tc>
      </w:tr>
      <w:tr w:rsidR="00CE1D4E" w:rsidTr="00560929">
        <w:tc>
          <w:tcPr>
            <w:tcW w:w="5388" w:type="dxa"/>
          </w:tcPr>
          <w:p w:rsidR="00CE1D4E" w:rsidRDefault="00CE1D4E" w:rsidP="00CE1D4E">
            <w:pPr>
              <w:pStyle w:val="NoSpacing"/>
            </w:pPr>
            <w:r>
              <w:t>Total expenses from transactions</w:t>
            </w:r>
          </w:p>
        </w:tc>
        <w:tc>
          <w:tcPr>
            <w:tcW w:w="1134" w:type="dxa"/>
          </w:tcPr>
          <w:p w:rsidR="00CE1D4E" w:rsidRDefault="00CE1D4E" w:rsidP="00CE1D4E">
            <w:pPr>
              <w:pStyle w:val="NoSpacing"/>
              <w:jc w:val="right"/>
            </w:pPr>
            <w:r>
              <w:t>173,607</w:t>
            </w:r>
          </w:p>
        </w:tc>
        <w:tc>
          <w:tcPr>
            <w:tcW w:w="1134" w:type="dxa"/>
          </w:tcPr>
          <w:p w:rsidR="00CE1D4E" w:rsidRDefault="00CE1D4E" w:rsidP="00CE1D4E">
            <w:pPr>
              <w:pStyle w:val="NoSpacing"/>
              <w:jc w:val="right"/>
            </w:pPr>
            <w:r>
              <w:t>150,205</w:t>
            </w:r>
          </w:p>
        </w:tc>
        <w:tc>
          <w:tcPr>
            <w:tcW w:w="1134" w:type="dxa"/>
          </w:tcPr>
          <w:p w:rsidR="00CE1D4E" w:rsidRDefault="00CE1D4E" w:rsidP="00CE1D4E">
            <w:pPr>
              <w:pStyle w:val="NoSpacing"/>
              <w:jc w:val="right"/>
            </w:pPr>
            <w:r>
              <w:t>132,216</w:t>
            </w:r>
          </w:p>
        </w:tc>
        <w:tc>
          <w:tcPr>
            <w:tcW w:w="1134" w:type="dxa"/>
          </w:tcPr>
          <w:p w:rsidR="00CE1D4E" w:rsidRDefault="00CE1D4E" w:rsidP="00CE1D4E">
            <w:pPr>
              <w:pStyle w:val="NoSpacing"/>
              <w:jc w:val="right"/>
            </w:pPr>
            <w:r>
              <w:t>121,724</w:t>
            </w:r>
          </w:p>
        </w:tc>
        <w:tc>
          <w:tcPr>
            <w:tcW w:w="1134" w:type="dxa"/>
          </w:tcPr>
          <w:p w:rsidR="00CE1D4E" w:rsidRDefault="00CE1D4E" w:rsidP="00CE1D4E">
            <w:pPr>
              <w:pStyle w:val="NoSpacing"/>
              <w:jc w:val="right"/>
            </w:pPr>
            <w:r>
              <w:t>119,284</w:t>
            </w:r>
          </w:p>
        </w:tc>
      </w:tr>
      <w:tr w:rsidR="00CE1D4E" w:rsidTr="00560929">
        <w:tc>
          <w:tcPr>
            <w:tcW w:w="5388" w:type="dxa"/>
          </w:tcPr>
          <w:p w:rsidR="00CE1D4E" w:rsidRDefault="00CE1D4E" w:rsidP="00CE1D4E">
            <w:pPr>
              <w:pStyle w:val="NoSpacing"/>
            </w:pPr>
            <w:r>
              <w:t>Net result from transactions (net operating balance)</w:t>
            </w:r>
          </w:p>
        </w:tc>
        <w:tc>
          <w:tcPr>
            <w:tcW w:w="1134" w:type="dxa"/>
          </w:tcPr>
          <w:p w:rsidR="00CE1D4E" w:rsidRDefault="00CE1D4E" w:rsidP="00CE1D4E">
            <w:pPr>
              <w:pStyle w:val="NoSpacing"/>
              <w:jc w:val="right"/>
            </w:pPr>
            <w:r>
              <w:t>842</w:t>
            </w:r>
          </w:p>
        </w:tc>
        <w:tc>
          <w:tcPr>
            <w:tcW w:w="1134" w:type="dxa"/>
          </w:tcPr>
          <w:p w:rsidR="00CE1D4E" w:rsidRDefault="00CE1D4E" w:rsidP="00CE1D4E">
            <w:pPr>
              <w:pStyle w:val="NoSpacing"/>
              <w:jc w:val="right"/>
            </w:pPr>
            <w:r>
              <w:t>25,530</w:t>
            </w:r>
          </w:p>
        </w:tc>
        <w:tc>
          <w:tcPr>
            <w:tcW w:w="1134" w:type="dxa"/>
          </w:tcPr>
          <w:p w:rsidR="00CE1D4E" w:rsidRDefault="00CE1D4E" w:rsidP="00CE1D4E">
            <w:pPr>
              <w:pStyle w:val="NoSpacing"/>
              <w:jc w:val="right"/>
            </w:pPr>
            <w:r>
              <w:t>33,348</w:t>
            </w:r>
          </w:p>
        </w:tc>
        <w:tc>
          <w:tcPr>
            <w:tcW w:w="1134" w:type="dxa"/>
          </w:tcPr>
          <w:p w:rsidR="00CE1D4E" w:rsidRDefault="00CE1D4E" w:rsidP="00CE1D4E">
            <w:pPr>
              <w:pStyle w:val="NoSpacing"/>
              <w:jc w:val="right"/>
            </w:pPr>
            <w:r>
              <w:t>19,399</w:t>
            </w:r>
          </w:p>
        </w:tc>
        <w:tc>
          <w:tcPr>
            <w:tcW w:w="1134" w:type="dxa"/>
          </w:tcPr>
          <w:p w:rsidR="00CE1D4E" w:rsidRDefault="00CE1D4E" w:rsidP="00CE1D4E">
            <w:pPr>
              <w:pStyle w:val="NoSpacing"/>
              <w:jc w:val="right"/>
            </w:pPr>
            <w:r>
              <w:t>6,169</w:t>
            </w:r>
          </w:p>
        </w:tc>
      </w:tr>
      <w:tr w:rsidR="00CE1D4E" w:rsidTr="00560929">
        <w:tc>
          <w:tcPr>
            <w:tcW w:w="5388" w:type="dxa"/>
          </w:tcPr>
          <w:p w:rsidR="00CE1D4E" w:rsidRDefault="00CE1D4E" w:rsidP="00CE1D4E">
            <w:pPr>
              <w:pStyle w:val="NoSpacing"/>
            </w:pPr>
            <w:r>
              <w:t>Other economic flows included in net result</w:t>
            </w:r>
          </w:p>
        </w:tc>
        <w:tc>
          <w:tcPr>
            <w:tcW w:w="1134" w:type="dxa"/>
          </w:tcPr>
          <w:p w:rsidR="00CE1D4E" w:rsidRDefault="00CE1D4E" w:rsidP="00CE1D4E">
            <w:pPr>
              <w:pStyle w:val="NoSpacing"/>
              <w:jc w:val="right"/>
            </w:pPr>
            <w:r>
              <w:t>58</w:t>
            </w:r>
          </w:p>
        </w:tc>
        <w:tc>
          <w:tcPr>
            <w:tcW w:w="1134" w:type="dxa"/>
          </w:tcPr>
          <w:p w:rsidR="00CE1D4E" w:rsidRDefault="00CE1D4E" w:rsidP="00CE1D4E">
            <w:pPr>
              <w:pStyle w:val="NoSpacing"/>
              <w:jc w:val="right"/>
            </w:pPr>
            <w:r>
              <w:t>(23)</w:t>
            </w:r>
          </w:p>
        </w:tc>
        <w:tc>
          <w:tcPr>
            <w:tcW w:w="1134" w:type="dxa"/>
          </w:tcPr>
          <w:p w:rsidR="00CE1D4E" w:rsidRDefault="00CE1D4E" w:rsidP="00CE1D4E">
            <w:pPr>
              <w:pStyle w:val="NoSpacing"/>
              <w:jc w:val="right"/>
            </w:pPr>
            <w:r>
              <w:t>(156)</w:t>
            </w:r>
          </w:p>
        </w:tc>
        <w:tc>
          <w:tcPr>
            <w:tcW w:w="1134" w:type="dxa"/>
          </w:tcPr>
          <w:p w:rsidR="00CE1D4E" w:rsidRDefault="00CE1D4E" w:rsidP="00CE1D4E">
            <w:pPr>
              <w:pStyle w:val="NoSpacing"/>
              <w:jc w:val="right"/>
            </w:pPr>
            <w:r>
              <w:t>(5,954)</w:t>
            </w:r>
          </w:p>
        </w:tc>
        <w:tc>
          <w:tcPr>
            <w:tcW w:w="1134" w:type="dxa"/>
          </w:tcPr>
          <w:p w:rsidR="00CE1D4E" w:rsidRDefault="00CE1D4E" w:rsidP="00CE1D4E">
            <w:pPr>
              <w:pStyle w:val="NoSpacing"/>
              <w:jc w:val="right"/>
            </w:pPr>
            <w:r>
              <w:t>(91)</w:t>
            </w:r>
          </w:p>
        </w:tc>
      </w:tr>
      <w:tr w:rsidR="00CE1D4E" w:rsidTr="00560929">
        <w:tc>
          <w:tcPr>
            <w:tcW w:w="5388" w:type="dxa"/>
          </w:tcPr>
          <w:p w:rsidR="00CE1D4E" w:rsidRDefault="00CE1D4E" w:rsidP="00CE1D4E">
            <w:pPr>
              <w:pStyle w:val="NoSpacing"/>
            </w:pPr>
            <w:r>
              <w:t>Net result</w:t>
            </w:r>
          </w:p>
        </w:tc>
        <w:tc>
          <w:tcPr>
            <w:tcW w:w="1134" w:type="dxa"/>
          </w:tcPr>
          <w:p w:rsidR="00CE1D4E" w:rsidRDefault="00CE1D4E" w:rsidP="00CE1D4E">
            <w:pPr>
              <w:pStyle w:val="NoSpacing"/>
              <w:jc w:val="right"/>
            </w:pPr>
            <w:r>
              <w:t>900</w:t>
            </w:r>
          </w:p>
        </w:tc>
        <w:tc>
          <w:tcPr>
            <w:tcW w:w="1134" w:type="dxa"/>
          </w:tcPr>
          <w:p w:rsidR="00CE1D4E" w:rsidRDefault="00CE1D4E" w:rsidP="00CE1D4E">
            <w:pPr>
              <w:pStyle w:val="NoSpacing"/>
              <w:jc w:val="right"/>
            </w:pPr>
            <w:r>
              <w:t>25,507</w:t>
            </w:r>
          </w:p>
        </w:tc>
        <w:tc>
          <w:tcPr>
            <w:tcW w:w="1134" w:type="dxa"/>
          </w:tcPr>
          <w:p w:rsidR="00CE1D4E" w:rsidRDefault="00CE1D4E" w:rsidP="00CE1D4E">
            <w:pPr>
              <w:pStyle w:val="NoSpacing"/>
              <w:jc w:val="right"/>
            </w:pPr>
            <w:r>
              <w:t>33,192</w:t>
            </w:r>
          </w:p>
        </w:tc>
        <w:tc>
          <w:tcPr>
            <w:tcW w:w="1134" w:type="dxa"/>
          </w:tcPr>
          <w:p w:rsidR="00CE1D4E" w:rsidRDefault="00CE1D4E" w:rsidP="00CE1D4E">
            <w:pPr>
              <w:pStyle w:val="NoSpacing"/>
              <w:jc w:val="right"/>
            </w:pPr>
            <w:r>
              <w:t>13,445</w:t>
            </w:r>
          </w:p>
        </w:tc>
        <w:tc>
          <w:tcPr>
            <w:tcW w:w="1134" w:type="dxa"/>
          </w:tcPr>
          <w:p w:rsidR="00CE1D4E" w:rsidRDefault="00CE1D4E" w:rsidP="00CE1D4E">
            <w:pPr>
              <w:pStyle w:val="NoSpacing"/>
              <w:jc w:val="right"/>
            </w:pPr>
            <w:r>
              <w:t>6,078</w:t>
            </w:r>
          </w:p>
        </w:tc>
      </w:tr>
      <w:tr w:rsidR="00CE1D4E" w:rsidTr="00560929">
        <w:tc>
          <w:tcPr>
            <w:tcW w:w="5388" w:type="dxa"/>
          </w:tcPr>
          <w:p w:rsidR="00CE1D4E" w:rsidRDefault="00CE1D4E" w:rsidP="00CE1D4E">
            <w:pPr>
              <w:pStyle w:val="NoSpacing"/>
            </w:pPr>
            <w:r>
              <w:t>Other economic flows – other comprehensive income</w:t>
            </w:r>
          </w:p>
        </w:tc>
        <w:tc>
          <w:tcPr>
            <w:tcW w:w="1134" w:type="dxa"/>
          </w:tcPr>
          <w:p w:rsidR="00CE1D4E" w:rsidRDefault="00CA42D3" w:rsidP="00CE1D4E">
            <w:pPr>
              <w:pStyle w:val="NoSpacing"/>
              <w:jc w:val="right"/>
            </w:pPr>
            <w:r>
              <w:t>-</w:t>
            </w:r>
          </w:p>
        </w:tc>
        <w:tc>
          <w:tcPr>
            <w:tcW w:w="1134" w:type="dxa"/>
          </w:tcPr>
          <w:p w:rsidR="00CE1D4E" w:rsidRDefault="00CA42D3" w:rsidP="00CE1D4E">
            <w:pPr>
              <w:pStyle w:val="NoSpacing"/>
              <w:jc w:val="right"/>
            </w:pPr>
            <w:r>
              <w:t>-</w:t>
            </w:r>
          </w:p>
        </w:tc>
        <w:tc>
          <w:tcPr>
            <w:tcW w:w="1134" w:type="dxa"/>
          </w:tcPr>
          <w:p w:rsidR="00CE1D4E" w:rsidRDefault="00CA42D3" w:rsidP="00CE1D4E">
            <w:pPr>
              <w:pStyle w:val="NoSpacing"/>
              <w:jc w:val="right"/>
            </w:pPr>
            <w:r>
              <w:t>18,325</w:t>
            </w:r>
          </w:p>
        </w:tc>
        <w:tc>
          <w:tcPr>
            <w:tcW w:w="1134" w:type="dxa"/>
          </w:tcPr>
          <w:p w:rsidR="00CE1D4E" w:rsidRDefault="00CA42D3" w:rsidP="00CE1D4E">
            <w:pPr>
              <w:pStyle w:val="NoSpacing"/>
              <w:jc w:val="right"/>
            </w:pPr>
            <w:r>
              <w:t>9,804</w:t>
            </w:r>
          </w:p>
        </w:tc>
        <w:tc>
          <w:tcPr>
            <w:tcW w:w="1134" w:type="dxa"/>
          </w:tcPr>
          <w:p w:rsidR="00CE1D4E" w:rsidRDefault="00CA42D3" w:rsidP="00CE1D4E">
            <w:pPr>
              <w:pStyle w:val="NoSpacing"/>
              <w:jc w:val="right"/>
            </w:pPr>
            <w:r>
              <w:t>-</w:t>
            </w:r>
          </w:p>
        </w:tc>
      </w:tr>
      <w:tr w:rsidR="00560929" w:rsidTr="00560929">
        <w:tc>
          <w:tcPr>
            <w:tcW w:w="5388" w:type="dxa"/>
          </w:tcPr>
          <w:p w:rsidR="00560929" w:rsidRDefault="00560929" w:rsidP="005942B8">
            <w:pPr>
              <w:pStyle w:val="NoSpacing"/>
            </w:pPr>
            <w:r>
              <w:t>Comprehensive result</w:t>
            </w:r>
          </w:p>
        </w:tc>
        <w:tc>
          <w:tcPr>
            <w:tcW w:w="1134" w:type="dxa"/>
          </w:tcPr>
          <w:p w:rsidR="00560929" w:rsidRDefault="00CA42D3" w:rsidP="00560929">
            <w:pPr>
              <w:pStyle w:val="NoSpacing"/>
              <w:jc w:val="right"/>
            </w:pPr>
            <w:r>
              <w:t>900</w:t>
            </w:r>
          </w:p>
        </w:tc>
        <w:tc>
          <w:tcPr>
            <w:tcW w:w="1134" w:type="dxa"/>
          </w:tcPr>
          <w:p w:rsidR="00560929" w:rsidRDefault="00CA42D3" w:rsidP="00560929">
            <w:pPr>
              <w:pStyle w:val="NoSpacing"/>
              <w:jc w:val="right"/>
            </w:pPr>
            <w:r>
              <w:t>25,507</w:t>
            </w:r>
          </w:p>
        </w:tc>
        <w:tc>
          <w:tcPr>
            <w:tcW w:w="1134" w:type="dxa"/>
          </w:tcPr>
          <w:p w:rsidR="00560929" w:rsidRDefault="00CA42D3" w:rsidP="00560929">
            <w:pPr>
              <w:pStyle w:val="NoSpacing"/>
              <w:jc w:val="right"/>
            </w:pPr>
            <w:r>
              <w:t>51,517</w:t>
            </w:r>
          </w:p>
        </w:tc>
        <w:tc>
          <w:tcPr>
            <w:tcW w:w="1134" w:type="dxa"/>
          </w:tcPr>
          <w:p w:rsidR="00560929" w:rsidRDefault="00CA42D3" w:rsidP="00560929">
            <w:pPr>
              <w:pStyle w:val="NoSpacing"/>
              <w:jc w:val="right"/>
            </w:pPr>
            <w:r>
              <w:t>23,249</w:t>
            </w:r>
          </w:p>
        </w:tc>
        <w:tc>
          <w:tcPr>
            <w:tcW w:w="1134" w:type="dxa"/>
          </w:tcPr>
          <w:p w:rsidR="00560929" w:rsidRDefault="00CA42D3" w:rsidP="00560929">
            <w:pPr>
              <w:pStyle w:val="NoSpacing"/>
              <w:jc w:val="right"/>
            </w:pPr>
            <w:r>
              <w:t>6,078</w:t>
            </w:r>
          </w:p>
        </w:tc>
      </w:tr>
    </w:tbl>
    <w:p w:rsidR="00560929" w:rsidRDefault="00560929" w:rsidP="005942B8">
      <w:pPr>
        <w:pStyle w:val="NoSpacing"/>
      </w:pPr>
    </w:p>
    <w:p w:rsidR="00CA42D3" w:rsidRDefault="00CA42D3" w:rsidP="005942B8">
      <w:pPr>
        <w:pStyle w:val="NoSpacing"/>
      </w:pPr>
      <w:r>
        <w:t>At 31 December 2019, Chisholm Institute’s consolidated net assets were $401 million (2018: $400.1 million):</w:t>
      </w:r>
    </w:p>
    <w:p w:rsidR="00CA42D3" w:rsidRDefault="00CA42D3" w:rsidP="00925530">
      <w:pPr>
        <w:pStyle w:val="NoSpacing"/>
        <w:numPr>
          <w:ilvl w:val="0"/>
          <w:numId w:val="37"/>
        </w:numPr>
      </w:pPr>
      <w:r>
        <w:t>Increase in assets is due to the redevelopment projects in Frankston, Berwick and Casey Technology campuses as well as continued investment in information technology projects.</w:t>
      </w:r>
    </w:p>
    <w:p w:rsidR="00CA42D3" w:rsidRDefault="00CA42D3" w:rsidP="00925530">
      <w:pPr>
        <w:pStyle w:val="NoSpacing"/>
        <w:numPr>
          <w:ilvl w:val="0"/>
          <w:numId w:val="37"/>
        </w:numPr>
      </w:pPr>
      <w:r>
        <w:t>Increase in liabilities in primarily due to an increase in one off Grant funds received but help as prepayments.</w:t>
      </w:r>
    </w:p>
    <w:p w:rsidR="00CA42D3" w:rsidRDefault="00CA42D3" w:rsidP="005942B8">
      <w:pPr>
        <w:pStyle w:val="NoSpacing"/>
      </w:pPr>
    </w:p>
    <w:tbl>
      <w:tblPr>
        <w:tblStyle w:val="TableGrid"/>
        <w:tblW w:w="11058" w:type="dxa"/>
        <w:tblInd w:w="-998" w:type="dxa"/>
        <w:tblLook w:val="04A0" w:firstRow="1" w:lastRow="0" w:firstColumn="1" w:lastColumn="0" w:noHBand="0" w:noVBand="1"/>
      </w:tblPr>
      <w:tblGrid>
        <w:gridCol w:w="5388"/>
        <w:gridCol w:w="1134"/>
        <w:gridCol w:w="1134"/>
        <w:gridCol w:w="1134"/>
        <w:gridCol w:w="1134"/>
        <w:gridCol w:w="1134"/>
      </w:tblGrid>
      <w:tr w:rsidR="00CA42D3" w:rsidTr="00AA492C">
        <w:trPr>
          <w:gridBefore w:val="1"/>
          <w:wBefore w:w="5388" w:type="dxa"/>
        </w:trPr>
        <w:tc>
          <w:tcPr>
            <w:tcW w:w="1134" w:type="dxa"/>
          </w:tcPr>
          <w:p w:rsidR="00CA42D3" w:rsidRDefault="00CA42D3" w:rsidP="00AA492C">
            <w:pPr>
              <w:autoSpaceDE w:val="0"/>
              <w:autoSpaceDN w:val="0"/>
              <w:adjustRightInd w:val="0"/>
              <w:jc w:val="right"/>
            </w:pPr>
            <w:r>
              <w:t>2019</w:t>
            </w:r>
          </w:p>
        </w:tc>
        <w:tc>
          <w:tcPr>
            <w:tcW w:w="1134" w:type="dxa"/>
          </w:tcPr>
          <w:p w:rsidR="00CA42D3" w:rsidRDefault="00CA42D3" w:rsidP="00AA492C">
            <w:pPr>
              <w:autoSpaceDE w:val="0"/>
              <w:autoSpaceDN w:val="0"/>
              <w:adjustRightInd w:val="0"/>
              <w:jc w:val="right"/>
            </w:pPr>
            <w:r>
              <w:t>2018</w:t>
            </w:r>
          </w:p>
        </w:tc>
        <w:tc>
          <w:tcPr>
            <w:tcW w:w="1134" w:type="dxa"/>
          </w:tcPr>
          <w:p w:rsidR="00CA42D3" w:rsidRDefault="00CA42D3" w:rsidP="00AA492C">
            <w:pPr>
              <w:autoSpaceDE w:val="0"/>
              <w:autoSpaceDN w:val="0"/>
              <w:adjustRightInd w:val="0"/>
              <w:jc w:val="right"/>
            </w:pPr>
            <w:r>
              <w:t>2017</w:t>
            </w:r>
          </w:p>
        </w:tc>
        <w:tc>
          <w:tcPr>
            <w:tcW w:w="1134" w:type="dxa"/>
          </w:tcPr>
          <w:p w:rsidR="00CA42D3" w:rsidRDefault="00CA42D3" w:rsidP="00AA492C">
            <w:pPr>
              <w:autoSpaceDE w:val="0"/>
              <w:autoSpaceDN w:val="0"/>
              <w:adjustRightInd w:val="0"/>
              <w:jc w:val="right"/>
            </w:pPr>
            <w:r>
              <w:t>2016</w:t>
            </w:r>
          </w:p>
        </w:tc>
        <w:tc>
          <w:tcPr>
            <w:tcW w:w="1134" w:type="dxa"/>
          </w:tcPr>
          <w:p w:rsidR="00CA42D3" w:rsidRDefault="00CA42D3" w:rsidP="00AA492C">
            <w:pPr>
              <w:autoSpaceDE w:val="0"/>
              <w:autoSpaceDN w:val="0"/>
              <w:adjustRightInd w:val="0"/>
              <w:jc w:val="right"/>
            </w:pPr>
            <w:r>
              <w:t>2015</w:t>
            </w:r>
          </w:p>
        </w:tc>
      </w:tr>
      <w:tr w:rsidR="00CA42D3" w:rsidTr="00AA492C">
        <w:trPr>
          <w:gridBefore w:val="1"/>
          <w:wBefore w:w="5388" w:type="dxa"/>
        </w:trPr>
        <w:tc>
          <w:tcPr>
            <w:tcW w:w="1134" w:type="dxa"/>
          </w:tcPr>
          <w:p w:rsidR="00CA42D3" w:rsidRDefault="00CA42D3" w:rsidP="00AA492C">
            <w:pPr>
              <w:autoSpaceDE w:val="0"/>
              <w:autoSpaceDN w:val="0"/>
              <w:adjustRightInd w:val="0"/>
              <w:jc w:val="right"/>
            </w:pPr>
            <w:r>
              <w:t>$’000</w:t>
            </w:r>
          </w:p>
        </w:tc>
        <w:tc>
          <w:tcPr>
            <w:tcW w:w="1134" w:type="dxa"/>
          </w:tcPr>
          <w:p w:rsidR="00CA42D3" w:rsidRDefault="00CA42D3" w:rsidP="00AA492C">
            <w:pPr>
              <w:autoSpaceDE w:val="0"/>
              <w:autoSpaceDN w:val="0"/>
              <w:adjustRightInd w:val="0"/>
              <w:jc w:val="right"/>
            </w:pPr>
            <w:r>
              <w:t>$’000</w:t>
            </w:r>
          </w:p>
        </w:tc>
        <w:tc>
          <w:tcPr>
            <w:tcW w:w="1134" w:type="dxa"/>
          </w:tcPr>
          <w:p w:rsidR="00CA42D3" w:rsidRDefault="00CA42D3" w:rsidP="00AA492C">
            <w:pPr>
              <w:autoSpaceDE w:val="0"/>
              <w:autoSpaceDN w:val="0"/>
              <w:adjustRightInd w:val="0"/>
              <w:jc w:val="right"/>
            </w:pPr>
            <w:r>
              <w:t>$’000</w:t>
            </w:r>
          </w:p>
        </w:tc>
        <w:tc>
          <w:tcPr>
            <w:tcW w:w="1134" w:type="dxa"/>
          </w:tcPr>
          <w:p w:rsidR="00CA42D3" w:rsidRDefault="00CA42D3" w:rsidP="00AA492C">
            <w:pPr>
              <w:autoSpaceDE w:val="0"/>
              <w:autoSpaceDN w:val="0"/>
              <w:adjustRightInd w:val="0"/>
              <w:jc w:val="right"/>
            </w:pPr>
            <w:r>
              <w:t>$’000</w:t>
            </w:r>
          </w:p>
        </w:tc>
        <w:tc>
          <w:tcPr>
            <w:tcW w:w="1134" w:type="dxa"/>
          </w:tcPr>
          <w:p w:rsidR="00CA42D3" w:rsidRDefault="00CA42D3" w:rsidP="00AA492C">
            <w:pPr>
              <w:autoSpaceDE w:val="0"/>
              <w:autoSpaceDN w:val="0"/>
              <w:adjustRightInd w:val="0"/>
              <w:jc w:val="right"/>
            </w:pPr>
            <w:r>
              <w:t>$’000</w:t>
            </w:r>
          </w:p>
        </w:tc>
      </w:tr>
      <w:tr w:rsidR="00CA42D3" w:rsidTr="00AA492C">
        <w:tc>
          <w:tcPr>
            <w:tcW w:w="11058" w:type="dxa"/>
            <w:gridSpan w:val="6"/>
          </w:tcPr>
          <w:p w:rsidR="00CA42D3" w:rsidRDefault="00CA42D3" w:rsidP="00AA492C">
            <w:pPr>
              <w:pStyle w:val="NoSpacing"/>
            </w:pPr>
            <w:r>
              <w:t>Consolidated</w:t>
            </w:r>
          </w:p>
        </w:tc>
      </w:tr>
      <w:tr w:rsidR="00CA42D3" w:rsidTr="00AA492C">
        <w:tc>
          <w:tcPr>
            <w:tcW w:w="11058" w:type="dxa"/>
            <w:gridSpan w:val="6"/>
          </w:tcPr>
          <w:p w:rsidR="00CA42D3" w:rsidRDefault="00CA42D3" w:rsidP="00CA42D3">
            <w:pPr>
              <w:pStyle w:val="NoSpacing"/>
            </w:pPr>
            <w:r>
              <w:t>Summary of financial position</w:t>
            </w:r>
          </w:p>
        </w:tc>
      </w:tr>
      <w:tr w:rsidR="00CA42D3" w:rsidTr="00AA492C">
        <w:tc>
          <w:tcPr>
            <w:tcW w:w="5388" w:type="dxa"/>
          </w:tcPr>
          <w:p w:rsidR="00CA42D3" w:rsidRDefault="00CA42D3" w:rsidP="00AA492C">
            <w:pPr>
              <w:pStyle w:val="NoSpacing"/>
            </w:pPr>
            <w:r>
              <w:t xml:space="preserve">Total assets </w:t>
            </w:r>
          </w:p>
        </w:tc>
        <w:tc>
          <w:tcPr>
            <w:tcW w:w="1134" w:type="dxa"/>
          </w:tcPr>
          <w:p w:rsidR="00CA42D3" w:rsidRDefault="00CA42D3" w:rsidP="00AA492C">
            <w:pPr>
              <w:pStyle w:val="NoSpacing"/>
              <w:jc w:val="right"/>
            </w:pPr>
            <w:r>
              <w:t>442,380</w:t>
            </w:r>
          </w:p>
        </w:tc>
        <w:tc>
          <w:tcPr>
            <w:tcW w:w="1134" w:type="dxa"/>
          </w:tcPr>
          <w:p w:rsidR="00CA42D3" w:rsidRDefault="00CA42D3" w:rsidP="00AA492C">
            <w:pPr>
              <w:pStyle w:val="NoSpacing"/>
              <w:jc w:val="right"/>
            </w:pPr>
            <w:r>
              <w:t>431,765</w:t>
            </w:r>
          </w:p>
        </w:tc>
        <w:tc>
          <w:tcPr>
            <w:tcW w:w="1134" w:type="dxa"/>
          </w:tcPr>
          <w:p w:rsidR="00CA42D3" w:rsidRDefault="00CA42D3" w:rsidP="00AA492C">
            <w:pPr>
              <w:pStyle w:val="NoSpacing"/>
              <w:jc w:val="right"/>
            </w:pPr>
            <w:r>
              <w:t>396,949</w:t>
            </w:r>
          </w:p>
        </w:tc>
        <w:tc>
          <w:tcPr>
            <w:tcW w:w="1134" w:type="dxa"/>
          </w:tcPr>
          <w:p w:rsidR="00CA42D3" w:rsidRDefault="00CA42D3" w:rsidP="00AA492C">
            <w:pPr>
              <w:pStyle w:val="NoSpacing"/>
              <w:jc w:val="right"/>
            </w:pPr>
            <w:r>
              <w:t>344,822</w:t>
            </w:r>
          </w:p>
        </w:tc>
        <w:tc>
          <w:tcPr>
            <w:tcW w:w="1134" w:type="dxa"/>
          </w:tcPr>
          <w:p w:rsidR="00CA42D3" w:rsidRDefault="00CA42D3" w:rsidP="00AA492C">
            <w:pPr>
              <w:pStyle w:val="NoSpacing"/>
              <w:jc w:val="right"/>
            </w:pPr>
            <w:r>
              <w:t>319,549</w:t>
            </w:r>
          </w:p>
        </w:tc>
      </w:tr>
      <w:tr w:rsidR="00CA42D3" w:rsidTr="00AA492C">
        <w:tc>
          <w:tcPr>
            <w:tcW w:w="5388" w:type="dxa"/>
          </w:tcPr>
          <w:p w:rsidR="00CA42D3" w:rsidRDefault="00CA42D3" w:rsidP="00AA492C">
            <w:pPr>
              <w:pStyle w:val="NoSpacing"/>
            </w:pPr>
            <w:r>
              <w:t xml:space="preserve">Total liabilities </w:t>
            </w:r>
          </w:p>
        </w:tc>
        <w:tc>
          <w:tcPr>
            <w:tcW w:w="1134" w:type="dxa"/>
          </w:tcPr>
          <w:p w:rsidR="00CA42D3" w:rsidRDefault="00CA42D3" w:rsidP="00AA492C">
            <w:pPr>
              <w:pStyle w:val="NoSpacing"/>
              <w:jc w:val="right"/>
            </w:pPr>
            <w:r>
              <w:t>41,367</w:t>
            </w:r>
          </w:p>
        </w:tc>
        <w:tc>
          <w:tcPr>
            <w:tcW w:w="1134" w:type="dxa"/>
          </w:tcPr>
          <w:p w:rsidR="00CA42D3" w:rsidRDefault="00CA42D3" w:rsidP="00AA492C">
            <w:pPr>
              <w:pStyle w:val="NoSpacing"/>
              <w:jc w:val="right"/>
            </w:pPr>
            <w:r>
              <w:t>31,652</w:t>
            </w:r>
          </w:p>
        </w:tc>
        <w:tc>
          <w:tcPr>
            <w:tcW w:w="1134" w:type="dxa"/>
          </w:tcPr>
          <w:p w:rsidR="00CA42D3" w:rsidRDefault="00CA42D3" w:rsidP="00AA492C">
            <w:pPr>
              <w:pStyle w:val="NoSpacing"/>
              <w:jc w:val="right"/>
            </w:pPr>
            <w:r>
              <w:t>22,343</w:t>
            </w:r>
          </w:p>
        </w:tc>
        <w:tc>
          <w:tcPr>
            <w:tcW w:w="1134" w:type="dxa"/>
          </w:tcPr>
          <w:p w:rsidR="00CA42D3" w:rsidRDefault="00CA42D3" w:rsidP="00AA492C">
            <w:pPr>
              <w:pStyle w:val="NoSpacing"/>
              <w:jc w:val="right"/>
            </w:pPr>
            <w:r>
              <w:t>21,732</w:t>
            </w:r>
          </w:p>
        </w:tc>
        <w:tc>
          <w:tcPr>
            <w:tcW w:w="1134" w:type="dxa"/>
          </w:tcPr>
          <w:p w:rsidR="00CA42D3" w:rsidRDefault="00CA42D3" w:rsidP="00AA492C">
            <w:pPr>
              <w:pStyle w:val="NoSpacing"/>
              <w:jc w:val="right"/>
            </w:pPr>
            <w:r>
              <w:t>19,707</w:t>
            </w:r>
          </w:p>
        </w:tc>
      </w:tr>
      <w:tr w:rsidR="00CA42D3" w:rsidTr="00AA492C">
        <w:tc>
          <w:tcPr>
            <w:tcW w:w="5388" w:type="dxa"/>
          </w:tcPr>
          <w:p w:rsidR="00CA42D3" w:rsidRDefault="00CA42D3" w:rsidP="00AA492C">
            <w:pPr>
              <w:pStyle w:val="NoSpacing"/>
            </w:pPr>
            <w:r>
              <w:t>Net assets</w:t>
            </w:r>
          </w:p>
        </w:tc>
        <w:tc>
          <w:tcPr>
            <w:tcW w:w="1134" w:type="dxa"/>
          </w:tcPr>
          <w:p w:rsidR="00CA42D3" w:rsidRDefault="00CA42D3" w:rsidP="00AA492C">
            <w:pPr>
              <w:pStyle w:val="NoSpacing"/>
              <w:jc w:val="right"/>
            </w:pPr>
            <w:r>
              <w:t>401,013</w:t>
            </w:r>
          </w:p>
        </w:tc>
        <w:tc>
          <w:tcPr>
            <w:tcW w:w="1134" w:type="dxa"/>
          </w:tcPr>
          <w:p w:rsidR="00CA42D3" w:rsidRDefault="00CA42D3" w:rsidP="00AA492C">
            <w:pPr>
              <w:pStyle w:val="NoSpacing"/>
              <w:jc w:val="right"/>
            </w:pPr>
            <w:r>
              <w:t>400,113</w:t>
            </w:r>
          </w:p>
        </w:tc>
        <w:tc>
          <w:tcPr>
            <w:tcW w:w="1134" w:type="dxa"/>
          </w:tcPr>
          <w:p w:rsidR="00CA42D3" w:rsidRDefault="00CA42D3" w:rsidP="00AA492C">
            <w:pPr>
              <w:pStyle w:val="NoSpacing"/>
              <w:jc w:val="right"/>
            </w:pPr>
            <w:r>
              <w:t>374,606</w:t>
            </w:r>
          </w:p>
        </w:tc>
        <w:tc>
          <w:tcPr>
            <w:tcW w:w="1134" w:type="dxa"/>
          </w:tcPr>
          <w:p w:rsidR="00CA42D3" w:rsidRDefault="00CA42D3" w:rsidP="00AA492C">
            <w:pPr>
              <w:pStyle w:val="NoSpacing"/>
              <w:jc w:val="right"/>
            </w:pPr>
            <w:r>
              <w:t>323,090</w:t>
            </w:r>
          </w:p>
        </w:tc>
        <w:tc>
          <w:tcPr>
            <w:tcW w:w="1134" w:type="dxa"/>
          </w:tcPr>
          <w:p w:rsidR="00CA42D3" w:rsidRDefault="00CA42D3" w:rsidP="00AA492C">
            <w:pPr>
              <w:pStyle w:val="NoSpacing"/>
              <w:jc w:val="right"/>
            </w:pPr>
            <w:r>
              <w:t>299,842</w:t>
            </w:r>
          </w:p>
        </w:tc>
      </w:tr>
    </w:tbl>
    <w:p w:rsidR="00560929" w:rsidRDefault="00560929" w:rsidP="005942B8">
      <w:pPr>
        <w:pStyle w:val="NoSpacing"/>
      </w:pPr>
    </w:p>
    <w:p w:rsidR="006557A2" w:rsidRPr="006557A2" w:rsidRDefault="006557A2" w:rsidP="006557A2">
      <w:pPr>
        <w:autoSpaceDE w:val="0"/>
        <w:autoSpaceDN w:val="0"/>
        <w:adjustRightInd w:val="0"/>
        <w:spacing w:after="0" w:line="240" w:lineRule="auto"/>
        <w:rPr>
          <w:rFonts w:cstheme="minorHAnsi"/>
          <w:color w:val="231F20"/>
        </w:rPr>
      </w:pPr>
      <w:r w:rsidRPr="006557A2">
        <w:rPr>
          <w:rFonts w:cstheme="minorHAnsi"/>
          <w:color w:val="231F20"/>
        </w:rPr>
        <w:t>At the time of finalising the financial statements in this Annual</w:t>
      </w:r>
      <w:r>
        <w:rPr>
          <w:rFonts w:cstheme="minorHAnsi"/>
          <w:color w:val="231F20"/>
        </w:rPr>
        <w:t xml:space="preserve"> Report and receiving the audit </w:t>
      </w:r>
      <w:r w:rsidRPr="006557A2">
        <w:rPr>
          <w:rFonts w:cstheme="minorHAnsi"/>
          <w:color w:val="231F20"/>
        </w:rPr>
        <w:t>opinion from the Victorian Auditor-General’ Office, the potential impact of COVID-19 on subsequent reporting periods was not known. Chisholm Group has since</w:t>
      </w:r>
      <w:r>
        <w:rPr>
          <w:rFonts w:cstheme="minorHAnsi"/>
          <w:color w:val="231F20"/>
        </w:rPr>
        <w:t xml:space="preserve"> </w:t>
      </w:r>
      <w:r w:rsidRPr="006557A2">
        <w:rPr>
          <w:rFonts w:cstheme="minorHAnsi"/>
          <w:color w:val="231F20"/>
        </w:rPr>
        <w:t>introduced measures to assist those affected, including ongoing advice and support, as the situation continues to evolve.</w:t>
      </w:r>
    </w:p>
    <w:p w:rsidR="006557A2" w:rsidRPr="006557A2" w:rsidRDefault="006557A2" w:rsidP="006557A2">
      <w:pPr>
        <w:autoSpaceDE w:val="0"/>
        <w:autoSpaceDN w:val="0"/>
        <w:adjustRightInd w:val="0"/>
        <w:spacing w:after="0" w:line="240" w:lineRule="auto"/>
        <w:rPr>
          <w:rFonts w:cstheme="minorHAnsi"/>
          <w:color w:val="231F20"/>
        </w:rPr>
      </w:pPr>
      <w:r w:rsidRPr="006557A2">
        <w:rPr>
          <w:rFonts w:cstheme="minorHAnsi"/>
          <w:color w:val="231F20"/>
        </w:rPr>
        <w:t>Chisholm Group continues to monitor the non-financial and financial impacts of COVID-19 on its operations and cash flow</w:t>
      </w:r>
      <w:r>
        <w:rPr>
          <w:rFonts w:cstheme="minorHAnsi"/>
          <w:color w:val="231F20"/>
        </w:rPr>
        <w:t xml:space="preserve"> </w:t>
      </w:r>
      <w:r w:rsidRPr="006557A2">
        <w:rPr>
          <w:rFonts w:cstheme="minorHAnsi"/>
          <w:color w:val="231F20"/>
        </w:rPr>
        <w:t>however, due to the significant amount of material uncertainty, it is not possible to quantify the full economic outflow at present.</w:t>
      </w:r>
    </w:p>
    <w:p w:rsidR="006557A2" w:rsidRPr="006557A2" w:rsidRDefault="006557A2" w:rsidP="006557A2">
      <w:pPr>
        <w:autoSpaceDE w:val="0"/>
        <w:autoSpaceDN w:val="0"/>
        <w:adjustRightInd w:val="0"/>
        <w:spacing w:after="0" w:line="240" w:lineRule="auto"/>
        <w:rPr>
          <w:rFonts w:cstheme="minorHAnsi"/>
          <w:color w:val="231F20"/>
        </w:rPr>
      </w:pPr>
      <w:r w:rsidRPr="006557A2">
        <w:rPr>
          <w:rFonts w:cstheme="minorHAnsi"/>
          <w:color w:val="231F20"/>
        </w:rPr>
        <w:lastRenderedPageBreak/>
        <w:t>To mitigate this risk, the Department of Education and Training has provided a letter of comfort to Chisholm Group to provide</w:t>
      </w:r>
      <w:r>
        <w:rPr>
          <w:rFonts w:cstheme="minorHAnsi"/>
          <w:color w:val="231F20"/>
        </w:rPr>
        <w:t xml:space="preserve"> </w:t>
      </w:r>
      <w:r w:rsidRPr="006557A2">
        <w:rPr>
          <w:rFonts w:cstheme="minorHAnsi"/>
          <w:color w:val="231F20"/>
        </w:rPr>
        <w:t>a level of assurance that financial assistance will be made available for Chisholm Group to continue as a going concern.</w:t>
      </w:r>
    </w:p>
    <w:p w:rsidR="006557A2" w:rsidRPr="006557A2" w:rsidRDefault="006557A2" w:rsidP="006557A2">
      <w:pPr>
        <w:autoSpaceDE w:val="0"/>
        <w:autoSpaceDN w:val="0"/>
        <w:adjustRightInd w:val="0"/>
        <w:spacing w:after="0" w:line="240" w:lineRule="auto"/>
        <w:rPr>
          <w:rFonts w:cstheme="minorHAnsi"/>
        </w:rPr>
      </w:pPr>
      <w:r w:rsidRPr="006557A2">
        <w:rPr>
          <w:rFonts w:cstheme="minorHAnsi"/>
          <w:color w:val="231F20"/>
        </w:rPr>
        <w:t>Chisholm Group is working closely with the Department of Education and Training to ensure that an appropriate funding model is</w:t>
      </w:r>
      <w:r>
        <w:rPr>
          <w:rFonts w:cstheme="minorHAnsi"/>
          <w:color w:val="231F20"/>
        </w:rPr>
        <w:t xml:space="preserve"> </w:t>
      </w:r>
      <w:r w:rsidRPr="006557A2">
        <w:rPr>
          <w:rFonts w:cstheme="minorHAnsi"/>
          <w:color w:val="231F20"/>
        </w:rPr>
        <w:t>developed to minimise the loss in training revenue in the event that this should occur.</w:t>
      </w:r>
    </w:p>
    <w:p w:rsidR="006557A2" w:rsidRDefault="006557A2" w:rsidP="005942B8">
      <w:pPr>
        <w:pStyle w:val="NoSpacing"/>
      </w:pPr>
    </w:p>
    <w:p w:rsidR="00560929" w:rsidRDefault="0056370A" w:rsidP="005942B8">
      <w:pPr>
        <w:pStyle w:val="NoSpacing"/>
      </w:pPr>
      <w:r>
        <w:t>&lt;page 33&gt;</w:t>
      </w:r>
    </w:p>
    <w:p w:rsidR="005942B8" w:rsidRDefault="005942B8" w:rsidP="005942B8">
      <w:pPr>
        <w:pStyle w:val="NoSpacing"/>
      </w:pPr>
    </w:p>
    <w:p w:rsidR="005942B8" w:rsidRDefault="005942B8" w:rsidP="00E32EFE">
      <w:pPr>
        <w:pStyle w:val="Heading2"/>
      </w:pPr>
      <w:r>
        <w:t>Board and Committees</w:t>
      </w:r>
    </w:p>
    <w:p w:rsidR="005942B8" w:rsidRDefault="005942B8" w:rsidP="005942B8">
      <w:pPr>
        <w:pStyle w:val="NoSpacing"/>
      </w:pPr>
    </w:p>
    <w:p w:rsidR="005942B8" w:rsidRDefault="005942B8" w:rsidP="005942B8">
      <w:pPr>
        <w:pStyle w:val="NoSpacing"/>
      </w:pPr>
      <w:r>
        <w:t>Chisholm is Victoria’s premier public VET provider, prominently located across Melbourne’s south east industrial heartland and residential growth corridors.</w:t>
      </w:r>
    </w:p>
    <w:p w:rsidR="005942B8" w:rsidRDefault="005942B8" w:rsidP="005942B8">
      <w:pPr>
        <w:pStyle w:val="NoSpacing"/>
      </w:pPr>
    </w:p>
    <w:p w:rsidR="005942B8" w:rsidRDefault="005942B8" w:rsidP="005942B8">
      <w:pPr>
        <w:pStyle w:val="NoSpacing"/>
      </w:pPr>
      <w:r>
        <w:t>The Institute is structured to encourage innovative and responsive leadership from within and across all levels. Teaching and professional business areas are organised in business groups under the responsibility or directors.</w:t>
      </w:r>
    </w:p>
    <w:p w:rsidR="005942B8" w:rsidRDefault="005942B8" w:rsidP="005942B8">
      <w:pPr>
        <w:pStyle w:val="NoSpacing"/>
      </w:pPr>
    </w:p>
    <w:p w:rsidR="005942B8" w:rsidRDefault="005942B8" w:rsidP="0096170A">
      <w:pPr>
        <w:pStyle w:val="Heading3"/>
      </w:pPr>
      <w:r>
        <w:t>2019</w:t>
      </w:r>
      <w:r w:rsidR="00E32EFE">
        <w:t xml:space="preserve"> Board Members </w:t>
      </w:r>
    </w:p>
    <w:p w:rsidR="00E32EFE" w:rsidRDefault="00E32EFE" w:rsidP="005942B8">
      <w:pPr>
        <w:pStyle w:val="NoSpacing"/>
      </w:pPr>
    </w:p>
    <w:tbl>
      <w:tblPr>
        <w:tblStyle w:val="TableGrid"/>
        <w:tblW w:w="10774" w:type="dxa"/>
        <w:tblInd w:w="-856" w:type="dxa"/>
        <w:tblLook w:val="04A0" w:firstRow="1" w:lastRow="0" w:firstColumn="1" w:lastColumn="0" w:noHBand="0" w:noVBand="1"/>
      </w:tblPr>
      <w:tblGrid>
        <w:gridCol w:w="2411"/>
        <w:gridCol w:w="6378"/>
        <w:gridCol w:w="1985"/>
      </w:tblGrid>
      <w:tr w:rsidR="00E32EFE" w:rsidTr="00E32EFE">
        <w:tc>
          <w:tcPr>
            <w:tcW w:w="2411" w:type="dxa"/>
          </w:tcPr>
          <w:p w:rsidR="00E32EFE" w:rsidRDefault="00E32EFE" w:rsidP="005942B8">
            <w:pPr>
              <w:pStyle w:val="NoSpacing"/>
            </w:pPr>
            <w:r>
              <w:t>Full name</w:t>
            </w:r>
          </w:p>
        </w:tc>
        <w:tc>
          <w:tcPr>
            <w:tcW w:w="6378" w:type="dxa"/>
          </w:tcPr>
          <w:p w:rsidR="00E32EFE" w:rsidRDefault="00E32EFE" w:rsidP="005942B8">
            <w:pPr>
              <w:pStyle w:val="NoSpacing"/>
            </w:pPr>
            <w:r>
              <w:t>Category</w:t>
            </w:r>
          </w:p>
        </w:tc>
        <w:tc>
          <w:tcPr>
            <w:tcW w:w="1985" w:type="dxa"/>
          </w:tcPr>
          <w:p w:rsidR="00E32EFE" w:rsidRDefault="00E32EFE" w:rsidP="005942B8">
            <w:pPr>
              <w:pStyle w:val="NoSpacing"/>
            </w:pPr>
            <w:r>
              <w:t>Term</w:t>
            </w:r>
          </w:p>
        </w:tc>
      </w:tr>
      <w:tr w:rsidR="00E32EFE" w:rsidTr="00E32EFE">
        <w:tc>
          <w:tcPr>
            <w:tcW w:w="2411" w:type="dxa"/>
          </w:tcPr>
          <w:p w:rsidR="00E32EFE" w:rsidRDefault="00E32EFE" w:rsidP="005942B8">
            <w:pPr>
              <w:pStyle w:val="NoSpacing"/>
            </w:pPr>
            <w:r>
              <w:t>Stephen G. Marks</w:t>
            </w:r>
          </w:p>
        </w:tc>
        <w:tc>
          <w:tcPr>
            <w:tcW w:w="6378" w:type="dxa"/>
          </w:tcPr>
          <w:p w:rsidR="00E32EFE" w:rsidRDefault="00E32EFE" w:rsidP="005942B8">
            <w:pPr>
              <w:pStyle w:val="NoSpacing"/>
            </w:pPr>
            <w:r>
              <w:t xml:space="preserve">Ministerial Appointed Director, Elected Board Chair </w:t>
            </w:r>
          </w:p>
        </w:tc>
        <w:tc>
          <w:tcPr>
            <w:tcW w:w="1985" w:type="dxa"/>
          </w:tcPr>
          <w:p w:rsidR="00E32EFE" w:rsidRDefault="00E32EFE" w:rsidP="005942B8">
            <w:pPr>
              <w:pStyle w:val="NoSpacing"/>
            </w:pPr>
            <w:r>
              <w:t>Full year</w:t>
            </w:r>
          </w:p>
        </w:tc>
      </w:tr>
      <w:tr w:rsidR="00E32EFE" w:rsidTr="00E32EFE">
        <w:tc>
          <w:tcPr>
            <w:tcW w:w="2411" w:type="dxa"/>
          </w:tcPr>
          <w:p w:rsidR="00E32EFE" w:rsidRDefault="00E32EFE" w:rsidP="005942B8">
            <w:pPr>
              <w:pStyle w:val="NoSpacing"/>
            </w:pPr>
            <w:r>
              <w:t>Dr Rick Ede</w:t>
            </w:r>
          </w:p>
        </w:tc>
        <w:tc>
          <w:tcPr>
            <w:tcW w:w="6378" w:type="dxa"/>
          </w:tcPr>
          <w:p w:rsidR="00E32EFE" w:rsidRDefault="00E32EFE" w:rsidP="005942B8">
            <w:pPr>
              <w:pStyle w:val="NoSpacing"/>
            </w:pPr>
            <w:r>
              <w:t>Director and Chief Executive Officer</w:t>
            </w:r>
          </w:p>
        </w:tc>
        <w:tc>
          <w:tcPr>
            <w:tcW w:w="1985" w:type="dxa"/>
          </w:tcPr>
          <w:p w:rsidR="00E32EFE" w:rsidRDefault="00E32EFE" w:rsidP="005942B8">
            <w:pPr>
              <w:pStyle w:val="NoSpacing"/>
            </w:pPr>
            <w:r>
              <w:t>Up to 08/04/2019</w:t>
            </w:r>
          </w:p>
        </w:tc>
      </w:tr>
      <w:tr w:rsidR="00E32EFE" w:rsidTr="00E32EFE">
        <w:tc>
          <w:tcPr>
            <w:tcW w:w="2411" w:type="dxa"/>
          </w:tcPr>
          <w:p w:rsidR="00E32EFE" w:rsidRDefault="00E32EFE" w:rsidP="005942B8">
            <w:pPr>
              <w:pStyle w:val="NoSpacing"/>
            </w:pPr>
            <w:r>
              <w:t>Stephen Varty</w:t>
            </w:r>
          </w:p>
        </w:tc>
        <w:tc>
          <w:tcPr>
            <w:tcW w:w="6378" w:type="dxa"/>
          </w:tcPr>
          <w:p w:rsidR="00E32EFE" w:rsidRDefault="00E32EFE" w:rsidP="005942B8">
            <w:pPr>
              <w:pStyle w:val="NoSpacing"/>
            </w:pPr>
            <w:r>
              <w:t>Director and Chief Executive Officer</w:t>
            </w:r>
          </w:p>
        </w:tc>
        <w:tc>
          <w:tcPr>
            <w:tcW w:w="1985" w:type="dxa"/>
          </w:tcPr>
          <w:p w:rsidR="00E32EFE" w:rsidRDefault="00E32EFE" w:rsidP="005942B8">
            <w:pPr>
              <w:pStyle w:val="NoSpacing"/>
            </w:pPr>
            <w:r>
              <w:t>From 18/11/2019</w:t>
            </w:r>
          </w:p>
        </w:tc>
      </w:tr>
      <w:tr w:rsidR="00E32EFE" w:rsidTr="00E32EFE">
        <w:tc>
          <w:tcPr>
            <w:tcW w:w="2411" w:type="dxa"/>
          </w:tcPr>
          <w:p w:rsidR="00E32EFE" w:rsidRDefault="00E32EFE" w:rsidP="005942B8">
            <w:pPr>
              <w:pStyle w:val="NoSpacing"/>
            </w:pPr>
            <w:r>
              <w:t>John Bennie</w:t>
            </w:r>
          </w:p>
        </w:tc>
        <w:tc>
          <w:tcPr>
            <w:tcW w:w="6378" w:type="dxa"/>
          </w:tcPr>
          <w:p w:rsidR="00E32EFE" w:rsidRDefault="00E32EFE" w:rsidP="005942B8">
            <w:pPr>
              <w:pStyle w:val="NoSpacing"/>
            </w:pPr>
            <w:r>
              <w:t>Ministerial Appointed Director</w:t>
            </w:r>
          </w:p>
        </w:tc>
        <w:tc>
          <w:tcPr>
            <w:tcW w:w="1985" w:type="dxa"/>
          </w:tcPr>
          <w:p w:rsidR="00E32EFE" w:rsidRDefault="00E32EFE" w:rsidP="005942B8">
            <w:pPr>
              <w:pStyle w:val="NoSpacing"/>
            </w:pPr>
            <w:r>
              <w:t>Full year</w:t>
            </w:r>
          </w:p>
        </w:tc>
      </w:tr>
      <w:tr w:rsidR="00E32EFE" w:rsidTr="00E32EFE">
        <w:tc>
          <w:tcPr>
            <w:tcW w:w="2411" w:type="dxa"/>
          </w:tcPr>
          <w:p w:rsidR="00E32EFE" w:rsidRDefault="00E32EFE" w:rsidP="005942B8">
            <w:pPr>
              <w:pStyle w:val="NoSpacing"/>
            </w:pPr>
            <w:r>
              <w:t>Dr Anne Jones</w:t>
            </w:r>
          </w:p>
        </w:tc>
        <w:tc>
          <w:tcPr>
            <w:tcW w:w="6378" w:type="dxa"/>
          </w:tcPr>
          <w:p w:rsidR="00E32EFE" w:rsidRDefault="00E32EFE" w:rsidP="005942B8">
            <w:pPr>
              <w:pStyle w:val="NoSpacing"/>
            </w:pPr>
            <w:r>
              <w:t>Ministerial Appointed Director, Chair of Education Committee</w:t>
            </w:r>
          </w:p>
        </w:tc>
        <w:tc>
          <w:tcPr>
            <w:tcW w:w="1985" w:type="dxa"/>
          </w:tcPr>
          <w:p w:rsidR="00E32EFE" w:rsidRDefault="00E32EFE" w:rsidP="005942B8">
            <w:pPr>
              <w:pStyle w:val="NoSpacing"/>
            </w:pPr>
            <w:r>
              <w:t xml:space="preserve">Full year </w:t>
            </w:r>
          </w:p>
        </w:tc>
      </w:tr>
      <w:tr w:rsidR="00E32EFE" w:rsidTr="00E32EFE">
        <w:tc>
          <w:tcPr>
            <w:tcW w:w="2411" w:type="dxa"/>
          </w:tcPr>
          <w:p w:rsidR="00E32EFE" w:rsidRDefault="00E32EFE" w:rsidP="005942B8">
            <w:pPr>
              <w:pStyle w:val="NoSpacing"/>
            </w:pPr>
            <w:r>
              <w:t>Dr Mei Ling Doery</w:t>
            </w:r>
          </w:p>
        </w:tc>
        <w:tc>
          <w:tcPr>
            <w:tcW w:w="6378" w:type="dxa"/>
          </w:tcPr>
          <w:p w:rsidR="00E32EFE" w:rsidRDefault="00E32EFE" w:rsidP="005942B8">
            <w:pPr>
              <w:pStyle w:val="NoSpacing"/>
            </w:pPr>
            <w:r>
              <w:t xml:space="preserve">Ministerial Appointed Director </w:t>
            </w:r>
          </w:p>
        </w:tc>
        <w:tc>
          <w:tcPr>
            <w:tcW w:w="1985" w:type="dxa"/>
          </w:tcPr>
          <w:p w:rsidR="00E32EFE" w:rsidRDefault="00E32EFE" w:rsidP="005942B8">
            <w:pPr>
              <w:pStyle w:val="NoSpacing"/>
            </w:pPr>
            <w:r>
              <w:t xml:space="preserve">Full year </w:t>
            </w:r>
          </w:p>
        </w:tc>
      </w:tr>
      <w:tr w:rsidR="00E32EFE" w:rsidTr="00E32EFE">
        <w:tc>
          <w:tcPr>
            <w:tcW w:w="2411" w:type="dxa"/>
          </w:tcPr>
          <w:p w:rsidR="00E32EFE" w:rsidRDefault="00E32EFE" w:rsidP="005942B8">
            <w:pPr>
              <w:pStyle w:val="NoSpacing"/>
            </w:pPr>
            <w:r>
              <w:t>Prue Digby</w:t>
            </w:r>
          </w:p>
        </w:tc>
        <w:tc>
          <w:tcPr>
            <w:tcW w:w="6378" w:type="dxa"/>
          </w:tcPr>
          <w:p w:rsidR="00E32EFE" w:rsidRDefault="00E32EFE" w:rsidP="005942B8">
            <w:pPr>
              <w:pStyle w:val="NoSpacing"/>
            </w:pPr>
            <w:r>
              <w:t>Ministerial Appointed Director</w:t>
            </w:r>
          </w:p>
        </w:tc>
        <w:tc>
          <w:tcPr>
            <w:tcW w:w="1985" w:type="dxa"/>
          </w:tcPr>
          <w:p w:rsidR="00E32EFE" w:rsidRDefault="00E32EFE" w:rsidP="005942B8">
            <w:pPr>
              <w:pStyle w:val="NoSpacing"/>
            </w:pPr>
            <w:r>
              <w:t xml:space="preserve">Full year </w:t>
            </w:r>
          </w:p>
        </w:tc>
      </w:tr>
      <w:tr w:rsidR="00E32EFE" w:rsidTr="00E32EFE">
        <w:tc>
          <w:tcPr>
            <w:tcW w:w="2411" w:type="dxa"/>
          </w:tcPr>
          <w:p w:rsidR="00E32EFE" w:rsidRDefault="00E32EFE" w:rsidP="005942B8">
            <w:pPr>
              <w:pStyle w:val="NoSpacing"/>
            </w:pPr>
            <w:r>
              <w:t xml:space="preserve">Peter Malone </w:t>
            </w:r>
          </w:p>
        </w:tc>
        <w:tc>
          <w:tcPr>
            <w:tcW w:w="6378" w:type="dxa"/>
          </w:tcPr>
          <w:p w:rsidR="00E32EFE" w:rsidRDefault="00E32EFE" w:rsidP="005942B8">
            <w:pPr>
              <w:pStyle w:val="NoSpacing"/>
            </w:pPr>
            <w:r>
              <w:t xml:space="preserve">Staff Elected Director </w:t>
            </w:r>
          </w:p>
        </w:tc>
        <w:tc>
          <w:tcPr>
            <w:tcW w:w="1985" w:type="dxa"/>
          </w:tcPr>
          <w:p w:rsidR="00E32EFE" w:rsidRDefault="00E32EFE" w:rsidP="005942B8">
            <w:pPr>
              <w:pStyle w:val="NoSpacing"/>
            </w:pPr>
            <w:r>
              <w:t>Full year</w:t>
            </w:r>
          </w:p>
        </w:tc>
      </w:tr>
      <w:tr w:rsidR="00E32EFE" w:rsidTr="00E32EFE">
        <w:tc>
          <w:tcPr>
            <w:tcW w:w="2411" w:type="dxa"/>
          </w:tcPr>
          <w:p w:rsidR="00E32EFE" w:rsidRDefault="00E32EFE" w:rsidP="005942B8">
            <w:pPr>
              <w:pStyle w:val="NoSpacing"/>
            </w:pPr>
            <w:r>
              <w:t>Lisa Norman</w:t>
            </w:r>
          </w:p>
        </w:tc>
        <w:tc>
          <w:tcPr>
            <w:tcW w:w="6378" w:type="dxa"/>
          </w:tcPr>
          <w:p w:rsidR="00E32EFE" w:rsidRDefault="00E32EFE" w:rsidP="005942B8">
            <w:pPr>
              <w:pStyle w:val="NoSpacing"/>
            </w:pPr>
            <w:r>
              <w:t xml:space="preserve">Board Co-opted Director </w:t>
            </w:r>
          </w:p>
        </w:tc>
        <w:tc>
          <w:tcPr>
            <w:tcW w:w="1985" w:type="dxa"/>
          </w:tcPr>
          <w:p w:rsidR="00E32EFE" w:rsidRDefault="00E32EFE" w:rsidP="005942B8">
            <w:pPr>
              <w:pStyle w:val="NoSpacing"/>
            </w:pPr>
            <w:r>
              <w:t>Full year</w:t>
            </w:r>
          </w:p>
        </w:tc>
      </w:tr>
      <w:tr w:rsidR="00E32EFE" w:rsidTr="00E32EFE">
        <w:tc>
          <w:tcPr>
            <w:tcW w:w="2411" w:type="dxa"/>
          </w:tcPr>
          <w:p w:rsidR="00E32EFE" w:rsidRDefault="00E32EFE" w:rsidP="005942B8">
            <w:pPr>
              <w:pStyle w:val="NoSpacing"/>
            </w:pPr>
            <w:r>
              <w:t>Sandra Andersen</w:t>
            </w:r>
          </w:p>
        </w:tc>
        <w:tc>
          <w:tcPr>
            <w:tcW w:w="6378" w:type="dxa"/>
          </w:tcPr>
          <w:p w:rsidR="00E32EFE" w:rsidRDefault="00E32EFE" w:rsidP="005942B8">
            <w:pPr>
              <w:pStyle w:val="NoSpacing"/>
            </w:pPr>
            <w:r>
              <w:t xml:space="preserve">Board Co-opted Director </w:t>
            </w:r>
          </w:p>
        </w:tc>
        <w:tc>
          <w:tcPr>
            <w:tcW w:w="1985" w:type="dxa"/>
          </w:tcPr>
          <w:p w:rsidR="00E32EFE" w:rsidRDefault="00E32EFE" w:rsidP="005942B8">
            <w:pPr>
              <w:pStyle w:val="NoSpacing"/>
            </w:pPr>
            <w:r>
              <w:t>Up to 31/07/2019</w:t>
            </w:r>
          </w:p>
        </w:tc>
      </w:tr>
      <w:tr w:rsidR="00E32EFE" w:rsidTr="00E32EFE">
        <w:tc>
          <w:tcPr>
            <w:tcW w:w="2411" w:type="dxa"/>
          </w:tcPr>
          <w:p w:rsidR="00E32EFE" w:rsidRDefault="00E32EFE" w:rsidP="005942B8">
            <w:pPr>
              <w:pStyle w:val="NoSpacing"/>
            </w:pPr>
            <w:r>
              <w:t>David Mann</w:t>
            </w:r>
          </w:p>
        </w:tc>
        <w:tc>
          <w:tcPr>
            <w:tcW w:w="6378" w:type="dxa"/>
          </w:tcPr>
          <w:p w:rsidR="00E32EFE" w:rsidRDefault="00E32EFE" w:rsidP="005942B8">
            <w:pPr>
              <w:pStyle w:val="NoSpacing"/>
            </w:pPr>
            <w:r>
              <w:t>Board Co-opted Director</w:t>
            </w:r>
          </w:p>
        </w:tc>
        <w:tc>
          <w:tcPr>
            <w:tcW w:w="1985" w:type="dxa"/>
          </w:tcPr>
          <w:p w:rsidR="00E32EFE" w:rsidRDefault="00E32EFE" w:rsidP="005942B8">
            <w:pPr>
              <w:pStyle w:val="NoSpacing"/>
            </w:pPr>
            <w:r>
              <w:t xml:space="preserve">Full year </w:t>
            </w:r>
          </w:p>
        </w:tc>
      </w:tr>
      <w:tr w:rsidR="00E32EFE" w:rsidTr="00E32EFE">
        <w:tc>
          <w:tcPr>
            <w:tcW w:w="2411" w:type="dxa"/>
          </w:tcPr>
          <w:p w:rsidR="00E32EFE" w:rsidRDefault="00155D5D" w:rsidP="005942B8">
            <w:pPr>
              <w:pStyle w:val="NoSpacing"/>
            </w:pPr>
            <w:r>
              <w:t>Geoffrey Culle</w:t>
            </w:r>
            <w:r w:rsidR="00E32EFE">
              <w:t>n</w:t>
            </w:r>
          </w:p>
        </w:tc>
        <w:tc>
          <w:tcPr>
            <w:tcW w:w="6378" w:type="dxa"/>
          </w:tcPr>
          <w:p w:rsidR="00E32EFE" w:rsidRDefault="00E32EFE" w:rsidP="005942B8">
            <w:pPr>
              <w:pStyle w:val="NoSpacing"/>
            </w:pPr>
            <w:r>
              <w:t xml:space="preserve">Board Co-opted Director </w:t>
            </w:r>
          </w:p>
        </w:tc>
        <w:tc>
          <w:tcPr>
            <w:tcW w:w="1985" w:type="dxa"/>
          </w:tcPr>
          <w:p w:rsidR="00E32EFE" w:rsidRDefault="00E32EFE" w:rsidP="005942B8">
            <w:pPr>
              <w:pStyle w:val="NoSpacing"/>
            </w:pPr>
            <w:r>
              <w:t>From 12/11/2019</w:t>
            </w:r>
          </w:p>
        </w:tc>
      </w:tr>
    </w:tbl>
    <w:p w:rsidR="00E32EFE" w:rsidRDefault="00E32EFE" w:rsidP="005942B8">
      <w:pPr>
        <w:pStyle w:val="NoSpacing"/>
      </w:pPr>
    </w:p>
    <w:p w:rsidR="00E32EFE" w:rsidRDefault="00E32EFE" w:rsidP="0096170A">
      <w:pPr>
        <w:pStyle w:val="Heading3"/>
      </w:pPr>
      <w:r>
        <w:t>Stephen Varty MAICD</w:t>
      </w:r>
    </w:p>
    <w:p w:rsidR="00E32EFE" w:rsidRDefault="00E32EFE" w:rsidP="005942B8">
      <w:pPr>
        <w:pStyle w:val="NoSpacing"/>
      </w:pPr>
      <w:r>
        <w:t xml:space="preserve">Chief Executive Officer and Director </w:t>
      </w:r>
    </w:p>
    <w:p w:rsidR="00E32EFE" w:rsidRDefault="00E32EFE" w:rsidP="005942B8">
      <w:pPr>
        <w:pStyle w:val="NoSpacing"/>
      </w:pPr>
    </w:p>
    <w:p w:rsidR="00E32EFE" w:rsidRPr="00361E14" w:rsidRDefault="00E32EFE" w:rsidP="00E32EFE">
      <w:pPr>
        <w:pStyle w:val="BHBBodyText"/>
        <w:jc w:val="left"/>
        <w:rPr>
          <w:rFonts w:ascii="Calibri" w:eastAsia="Calibri" w:hAnsi="Calibri" w:cs="Calibri"/>
          <w:sz w:val="22"/>
          <w:szCs w:val="22"/>
        </w:rPr>
      </w:pPr>
      <w:r w:rsidRPr="00361E14">
        <w:rPr>
          <w:rFonts w:ascii="Calibri" w:eastAsia="Calibri" w:hAnsi="Calibri" w:cs="Calibri"/>
          <w:sz w:val="22"/>
          <w:szCs w:val="22"/>
        </w:rPr>
        <w:t>Stephen was appointed to the position of Director and Chief Executive Officer from the 18 November 2019 having held the position of interim Chief Executive Officer April.  Previous to this, he held the position of Chief of Education, having joined Chisholm in 2015 from Victoria University where he was the Director of Innovation and Engagement.  Stephen has held a number of senior managerial leadership positions across the VET and HE sectors both in the UK and Australia. </w:t>
      </w:r>
    </w:p>
    <w:p w:rsidR="00E32EFE" w:rsidRPr="00361E14" w:rsidRDefault="00E32EFE" w:rsidP="00E32EFE">
      <w:pPr>
        <w:pStyle w:val="BHBBodyText"/>
        <w:jc w:val="left"/>
        <w:rPr>
          <w:rFonts w:ascii="Calibri" w:eastAsia="Calibri" w:hAnsi="Calibri" w:cs="Calibri"/>
          <w:sz w:val="22"/>
          <w:szCs w:val="22"/>
        </w:rPr>
      </w:pPr>
      <w:r w:rsidRPr="00361E14">
        <w:rPr>
          <w:rFonts w:ascii="Calibri" w:eastAsia="Calibri" w:hAnsi="Calibri" w:cs="Calibri"/>
          <w:sz w:val="22"/>
          <w:szCs w:val="22"/>
        </w:rPr>
        <w:t>Stephen has wide ranging experience in the Education and Training sectors and a passion for education and implementation of innovative practice, creative training solutions, coaching and leadership execution to transform and increase the competence and productivity of individuals and business.</w:t>
      </w:r>
    </w:p>
    <w:p w:rsidR="00E32EFE" w:rsidRPr="00361E14" w:rsidRDefault="00E32EFE" w:rsidP="00E32EFE">
      <w:pPr>
        <w:pStyle w:val="BHBBodyText"/>
        <w:jc w:val="left"/>
        <w:rPr>
          <w:rFonts w:ascii="Calibri" w:eastAsia="Calibri" w:hAnsi="Calibri" w:cs="Calibri"/>
          <w:sz w:val="22"/>
          <w:szCs w:val="22"/>
        </w:rPr>
      </w:pPr>
      <w:r w:rsidRPr="00361E14">
        <w:rPr>
          <w:rFonts w:ascii="Calibri" w:eastAsia="Calibri" w:hAnsi="Calibri" w:cs="Calibri"/>
          <w:sz w:val="22"/>
          <w:szCs w:val="22"/>
        </w:rPr>
        <w:t>Stephen holds a Bachelor of Education - VET (Charles Sturt University), a Graduate Certificate in Educational Leadership (Victoria University) and a Masters of Education (Victoria University).</w:t>
      </w:r>
    </w:p>
    <w:p w:rsidR="00E32EFE" w:rsidRDefault="00E32EFE" w:rsidP="005942B8">
      <w:pPr>
        <w:pStyle w:val="NoSpacing"/>
      </w:pPr>
    </w:p>
    <w:p w:rsidR="00E32EFE" w:rsidRDefault="00E32EFE" w:rsidP="0096170A">
      <w:pPr>
        <w:pStyle w:val="Heading3"/>
      </w:pPr>
      <w:r>
        <w:lastRenderedPageBreak/>
        <w:t>Stephen G. Marks</w:t>
      </w:r>
    </w:p>
    <w:p w:rsidR="00E32EFE" w:rsidRDefault="00E32EFE" w:rsidP="005942B8">
      <w:pPr>
        <w:pStyle w:val="NoSpacing"/>
      </w:pPr>
      <w:r>
        <w:t xml:space="preserve">Ministerial Appointee and Elected Board Chair </w:t>
      </w:r>
    </w:p>
    <w:p w:rsidR="00E32EFE" w:rsidRDefault="00E32EFE" w:rsidP="005942B8">
      <w:pPr>
        <w:pStyle w:val="NoSpacing"/>
      </w:pPr>
    </w:p>
    <w:p w:rsidR="00E32EFE" w:rsidRDefault="00E32EFE" w:rsidP="00E32EFE">
      <w:pPr>
        <w:pStyle w:val="Body"/>
        <w:rPr>
          <w:lang w:val="en-US"/>
        </w:rPr>
      </w:pPr>
      <w:r w:rsidRPr="009B47E1">
        <w:rPr>
          <w:lang w:val="en-US"/>
        </w:rPr>
        <w:t>Stephen is a Fellow of the Institute of Chartered Accountants in Australia with over 40 years</w:t>
      </w:r>
      <w:r w:rsidRPr="009B47E1">
        <w:t xml:space="preserve">’ </w:t>
      </w:r>
      <w:r w:rsidRPr="009B47E1">
        <w:rPr>
          <w:lang w:val="en-US"/>
        </w:rPr>
        <w:t>experience. He was formerly National Chairman of Sothertons Chartered Accountants. He has also acted as a Probity auditor and advisor to various State and Federal Governments. Stephen is now a professional director having been as a director of numerous companies and organisations throughout his career. He currently acts as a board member of St. Vincent's Institute and The Production Company.</w:t>
      </w:r>
    </w:p>
    <w:p w:rsidR="00465646" w:rsidRDefault="00465646" w:rsidP="00465646">
      <w:pPr>
        <w:pStyle w:val="Heading3"/>
      </w:pPr>
      <w:r>
        <w:t>Stephen Varty MAICD</w:t>
      </w:r>
    </w:p>
    <w:p w:rsidR="00465646" w:rsidRDefault="00465646" w:rsidP="00465646">
      <w:pPr>
        <w:pStyle w:val="NoSpacing"/>
      </w:pPr>
      <w:r>
        <w:t xml:space="preserve">Chief Executive Officer and Director </w:t>
      </w:r>
    </w:p>
    <w:p w:rsidR="00465646" w:rsidRDefault="00465646" w:rsidP="00465646">
      <w:pPr>
        <w:pStyle w:val="NoSpacing"/>
      </w:pPr>
    </w:p>
    <w:p w:rsidR="00465646" w:rsidRPr="00361E14" w:rsidRDefault="00465646" w:rsidP="00465646">
      <w:pPr>
        <w:pStyle w:val="BHBBodyText"/>
        <w:jc w:val="left"/>
        <w:rPr>
          <w:rFonts w:ascii="Calibri" w:eastAsia="Calibri" w:hAnsi="Calibri" w:cs="Calibri"/>
          <w:sz w:val="22"/>
          <w:szCs w:val="22"/>
        </w:rPr>
      </w:pPr>
      <w:r w:rsidRPr="00361E14">
        <w:rPr>
          <w:rFonts w:ascii="Calibri" w:eastAsia="Calibri" w:hAnsi="Calibri" w:cs="Calibri"/>
          <w:sz w:val="22"/>
          <w:szCs w:val="22"/>
        </w:rPr>
        <w:t>Stephen was appointed to the position of Director and Chief Executive Officer from the 18 November 2019 having held the position of interim Chief Executive Officer April.  Previous to this, he held the position of Chief of Education, having joined Chisholm in 2015 from Victoria University where he was the Director of Innovation and Engagement.  Stephen has held a number of senior managerial leadership positions across the VET and HE sectors both in the UK and Australia. </w:t>
      </w:r>
    </w:p>
    <w:p w:rsidR="00465646" w:rsidRPr="00361E14" w:rsidRDefault="00465646" w:rsidP="00465646">
      <w:pPr>
        <w:pStyle w:val="BHBBodyText"/>
        <w:jc w:val="left"/>
        <w:rPr>
          <w:rFonts w:ascii="Calibri" w:eastAsia="Calibri" w:hAnsi="Calibri" w:cs="Calibri"/>
          <w:sz w:val="22"/>
          <w:szCs w:val="22"/>
        </w:rPr>
      </w:pPr>
      <w:r w:rsidRPr="00361E14">
        <w:rPr>
          <w:rFonts w:ascii="Calibri" w:eastAsia="Calibri" w:hAnsi="Calibri" w:cs="Calibri"/>
          <w:sz w:val="22"/>
          <w:szCs w:val="22"/>
        </w:rPr>
        <w:t>Stephen has wide ranging experience in the Education and Training sectors and a passion for education and implementation of innovative practice, creative training solutions, coaching and leadership execution to transform and increase the competence and productivity of individuals and business.</w:t>
      </w:r>
    </w:p>
    <w:p w:rsidR="00465646" w:rsidRPr="00465646" w:rsidRDefault="00465646" w:rsidP="00465646">
      <w:pPr>
        <w:pStyle w:val="BHBBodyText"/>
        <w:jc w:val="left"/>
        <w:rPr>
          <w:rFonts w:ascii="Calibri" w:eastAsia="Calibri" w:hAnsi="Calibri" w:cs="Calibri"/>
          <w:sz w:val="22"/>
          <w:szCs w:val="22"/>
        </w:rPr>
      </w:pPr>
      <w:r w:rsidRPr="00361E14">
        <w:rPr>
          <w:rFonts w:ascii="Calibri" w:eastAsia="Calibri" w:hAnsi="Calibri" w:cs="Calibri"/>
          <w:sz w:val="22"/>
          <w:szCs w:val="22"/>
        </w:rPr>
        <w:t>Stephen holds a Bachelor of Education - VET (Charles Sturt University), a Graduate Certificate in Educational Leadership (Victoria University) and a Masters of Education (Victoria Univ</w:t>
      </w:r>
      <w:r>
        <w:rPr>
          <w:rFonts w:ascii="Calibri" w:eastAsia="Calibri" w:hAnsi="Calibri" w:cs="Calibri"/>
          <w:sz w:val="22"/>
          <w:szCs w:val="22"/>
        </w:rPr>
        <w:t>ersity).</w:t>
      </w:r>
    </w:p>
    <w:p w:rsidR="00DA3CC8" w:rsidRDefault="00DA3CC8" w:rsidP="00E32EFE">
      <w:pPr>
        <w:pStyle w:val="Body"/>
        <w:rPr>
          <w:lang w:val="en-US"/>
        </w:rPr>
      </w:pPr>
      <w:r>
        <w:rPr>
          <w:lang w:val="en-US"/>
        </w:rPr>
        <w:t>&lt;page 34&gt;</w:t>
      </w:r>
    </w:p>
    <w:p w:rsidR="00465646" w:rsidRDefault="00465646" w:rsidP="00465646">
      <w:pPr>
        <w:pStyle w:val="Heading3"/>
      </w:pPr>
      <w:r>
        <w:t>Prue Digby</w:t>
      </w:r>
    </w:p>
    <w:p w:rsidR="00465646" w:rsidRDefault="00465646" w:rsidP="00465646">
      <w:pPr>
        <w:pStyle w:val="NoSpacing"/>
      </w:pPr>
      <w:r>
        <w:t>Ministerial Appointee</w:t>
      </w:r>
    </w:p>
    <w:p w:rsidR="00465646" w:rsidRDefault="00465646" w:rsidP="00465646">
      <w:pPr>
        <w:pStyle w:val="NoSpacing"/>
      </w:pPr>
    </w:p>
    <w:p w:rsidR="00465646" w:rsidRPr="00361E14" w:rsidRDefault="00465646" w:rsidP="00465646">
      <w:pPr>
        <w:pStyle w:val="Body"/>
      </w:pPr>
      <w:r w:rsidRPr="00361E14">
        <w:rPr>
          <w:lang w:val="en-US"/>
        </w:rPr>
        <w:t>Prue has had over 30 years’ experience working in senior executive roles providing community and publicly related services to Melbourne and regional Victoria in the state, local and non-Government sectors. Prue is the former Chief Executive Officer of the Victorian Building Authority, Deputy Secretary of Planning and Local Government in Victoria and Chief Executive Officer of the City of Yarra. Prue currently serves on a number of statutory and charitable Boards.</w:t>
      </w:r>
    </w:p>
    <w:p w:rsidR="00465646" w:rsidRDefault="00465646" w:rsidP="00465646">
      <w:pPr>
        <w:pStyle w:val="Heading3"/>
      </w:pPr>
    </w:p>
    <w:p w:rsidR="00465646" w:rsidRDefault="00465646" w:rsidP="00465646">
      <w:pPr>
        <w:pStyle w:val="Heading3"/>
      </w:pPr>
      <w:r>
        <w:t xml:space="preserve">John Bennie PSM </w:t>
      </w:r>
    </w:p>
    <w:p w:rsidR="00465646" w:rsidRDefault="00465646" w:rsidP="00465646">
      <w:pPr>
        <w:pStyle w:val="NoSpacing"/>
      </w:pPr>
      <w:r>
        <w:t>Ministerial Appointee</w:t>
      </w:r>
    </w:p>
    <w:p w:rsidR="00465646" w:rsidRDefault="00465646" w:rsidP="00465646">
      <w:pPr>
        <w:pStyle w:val="NoSpacing"/>
      </w:pPr>
    </w:p>
    <w:p w:rsidR="00DA3CC8" w:rsidRPr="009B47E1" w:rsidRDefault="00465646" w:rsidP="00465646">
      <w:pPr>
        <w:pStyle w:val="Body"/>
      </w:pPr>
      <w:r w:rsidRPr="00570E2A">
        <w:rPr>
          <w:lang w:val="en-US"/>
        </w:rPr>
        <w:t>John has been CEO of Greater Dandenong City Council since 2006. He is a former director of the South East Melbourne Manufacturers' Alliance, immediate past Chair of the Southern Melbourne Regional Development Australia Committee and National President of LGMA. He was previously CEO of Manningham City Council and a board member of South East Development (Melbourne) Area Consultative Committee</w:t>
      </w:r>
    </w:p>
    <w:p w:rsidR="00E32EFE" w:rsidRDefault="00155D5D" w:rsidP="0096170A">
      <w:pPr>
        <w:pStyle w:val="Heading3"/>
      </w:pPr>
      <w:r>
        <w:t xml:space="preserve">Dr Anne Jones </w:t>
      </w:r>
    </w:p>
    <w:p w:rsidR="00155D5D" w:rsidRDefault="00155D5D" w:rsidP="005942B8">
      <w:pPr>
        <w:pStyle w:val="NoSpacing"/>
      </w:pPr>
      <w:r>
        <w:t>Ministerial Appointee</w:t>
      </w:r>
    </w:p>
    <w:p w:rsidR="00155D5D" w:rsidRDefault="00155D5D" w:rsidP="005942B8">
      <w:pPr>
        <w:pStyle w:val="NoSpacing"/>
      </w:pPr>
    </w:p>
    <w:p w:rsidR="00155D5D" w:rsidRDefault="00155D5D" w:rsidP="00465646">
      <w:pPr>
        <w:pStyle w:val="Body"/>
      </w:pPr>
      <w:r>
        <w:rPr>
          <w:lang w:val="en-US"/>
        </w:rPr>
        <w:lastRenderedPageBreak/>
        <w:t>Anne is a researcher and consultant in VET policy. She is a member of Tradeswomen Australia’s Strategy Council and an Emeritus Professor at Victoria University.  Her work has included 16 years in senior executive roles such as Deputy Vice Chancellor (Academic and Students), Deputy Vice Chancellor and Director TAFE at Victoria University and Executive Director Learning and Academic Affairs at Box Hill Institute. Anne has led a wide range of VET and higher educational programs.</w:t>
      </w:r>
      <w:r w:rsidR="00465646">
        <w:t> </w:t>
      </w:r>
    </w:p>
    <w:p w:rsidR="00465646" w:rsidRDefault="00465646" w:rsidP="00465646">
      <w:pPr>
        <w:pStyle w:val="Body"/>
      </w:pPr>
    </w:p>
    <w:p w:rsidR="00E32EFE" w:rsidRDefault="00155D5D" w:rsidP="0096170A">
      <w:pPr>
        <w:pStyle w:val="Heading3"/>
      </w:pPr>
      <w:r>
        <w:t>Dr Mei Ling Doery</w:t>
      </w:r>
    </w:p>
    <w:p w:rsidR="00155D5D" w:rsidRDefault="00155D5D" w:rsidP="005942B8">
      <w:pPr>
        <w:pStyle w:val="NoSpacing"/>
      </w:pPr>
      <w:r>
        <w:t>Ministerial Appointee</w:t>
      </w:r>
    </w:p>
    <w:p w:rsidR="00155D5D" w:rsidRDefault="00155D5D" w:rsidP="005942B8">
      <w:pPr>
        <w:pStyle w:val="NoSpacing"/>
      </w:pPr>
    </w:p>
    <w:p w:rsidR="00155D5D" w:rsidRDefault="00155D5D" w:rsidP="005942B8">
      <w:pPr>
        <w:pStyle w:val="NoSpacing"/>
        <w:rPr>
          <w:rFonts w:ascii="Calibri" w:hAnsi="Calibri" w:cs="Calibri"/>
        </w:rPr>
      </w:pPr>
      <w:r w:rsidRPr="00A32D72">
        <w:rPr>
          <w:rFonts w:ascii="Calibri" w:hAnsi="Calibri" w:cs="Calibri"/>
        </w:rPr>
        <w:t>Mei is a Physician strategist and founder of MDMD a boutique strategy and design</w:t>
      </w:r>
      <w:r>
        <w:rPr>
          <w:rFonts w:ascii="Calibri" w:hAnsi="Calibri" w:cs="Calibri"/>
        </w:rPr>
        <w:t xml:space="preserve"> practice that operates at the </w:t>
      </w:r>
      <w:r w:rsidRPr="00A32D72">
        <w:rPr>
          <w:rFonts w:ascii="Calibri" w:hAnsi="Calibri" w:cs="Calibri"/>
        </w:rPr>
        <w:t>intersection of health and innovation. Mei has with a particular interest in the emotional factors that impact decision making relating to health and performance. Her mission is to better align capital with people and businesses that serve the creation of long-term human value.   Mei’s perspective on contemporary health challenges is informed roles as medical advisor for the Department of Veteran Affairs, and past roles with the Australian Defence Force, team doctor for an AFL Football Team, Executive Physician at BUPA Wellness, Board Member to the Victorian Health Promotion Foundation, and as independent advisor to several organisations including the Parliament of Victoria and Commonwealth Scientific Research and Industrial Organisation.</w:t>
      </w:r>
    </w:p>
    <w:p w:rsidR="00155D5D" w:rsidRDefault="00155D5D" w:rsidP="005942B8">
      <w:pPr>
        <w:pStyle w:val="NoSpacing"/>
        <w:rPr>
          <w:rFonts w:ascii="Calibri" w:hAnsi="Calibri" w:cs="Calibri"/>
        </w:rPr>
      </w:pPr>
    </w:p>
    <w:p w:rsidR="00DA3CC8" w:rsidRDefault="00DA3CC8" w:rsidP="005942B8">
      <w:pPr>
        <w:pStyle w:val="NoSpacing"/>
        <w:rPr>
          <w:rFonts w:ascii="Calibri" w:hAnsi="Calibri" w:cs="Calibri"/>
        </w:rPr>
      </w:pPr>
      <w:r>
        <w:rPr>
          <w:rFonts w:ascii="Calibri" w:hAnsi="Calibri" w:cs="Calibri"/>
        </w:rPr>
        <w:t>&lt;page 35&gt;</w:t>
      </w:r>
    </w:p>
    <w:p w:rsidR="00DA3CC8" w:rsidRDefault="00DA3CC8" w:rsidP="005942B8">
      <w:pPr>
        <w:pStyle w:val="NoSpacing"/>
        <w:rPr>
          <w:rFonts w:ascii="Calibri" w:hAnsi="Calibri" w:cs="Calibri"/>
        </w:rPr>
      </w:pPr>
    </w:p>
    <w:p w:rsidR="00465646" w:rsidRDefault="00465646" w:rsidP="00465646">
      <w:pPr>
        <w:pStyle w:val="Heading3"/>
      </w:pPr>
      <w:r>
        <w:t>Lisa Norman</w:t>
      </w:r>
    </w:p>
    <w:p w:rsidR="00465646" w:rsidRDefault="00465646" w:rsidP="00465646">
      <w:pPr>
        <w:pStyle w:val="NoSpacing"/>
        <w:rPr>
          <w:rFonts w:ascii="Calibri" w:hAnsi="Calibri" w:cs="Calibri"/>
        </w:rPr>
      </w:pPr>
      <w:r>
        <w:rPr>
          <w:rFonts w:ascii="Calibri" w:hAnsi="Calibri" w:cs="Calibri"/>
        </w:rPr>
        <w:t xml:space="preserve">Board Co-opted </w:t>
      </w:r>
    </w:p>
    <w:p w:rsidR="00465646" w:rsidRDefault="00465646" w:rsidP="00465646">
      <w:pPr>
        <w:pStyle w:val="NoSpacing"/>
        <w:rPr>
          <w:rFonts w:ascii="Calibri" w:hAnsi="Calibri" w:cs="Calibri"/>
        </w:rPr>
      </w:pPr>
    </w:p>
    <w:p w:rsidR="00465646" w:rsidRDefault="00465646" w:rsidP="00465646">
      <w:pPr>
        <w:pStyle w:val="Body"/>
        <w:rPr>
          <w:lang w:val="en-US"/>
        </w:rPr>
      </w:pPr>
      <w:r>
        <w:rPr>
          <w:lang w:val="en-US"/>
        </w:rPr>
        <w:t xml:space="preserve">Lisa is CEO of St John of God Berwick Hospital. Lisa has worked in the health industry for 30 years and in Executive leadership roles for 17 years. Initially gaining qualifications as a Registered Nurse, she went on to gain qualifications in critical care nursing specialising in emergency and trauma nursing. She also has a Graduate Certificate in Catholic Leadership and Culture. Lisa has recently been appointed by the Department of Health and Human Services to the Victorian Clinical Council. Lisa is the chair of the Infrastructure, Systems and Planning Committee. </w:t>
      </w:r>
    </w:p>
    <w:p w:rsidR="00465646" w:rsidRDefault="00465646" w:rsidP="00465646">
      <w:pPr>
        <w:pStyle w:val="Heading3"/>
      </w:pPr>
    </w:p>
    <w:p w:rsidR="00465646" w:rsidRDefault="00465646" w:rsidP="00465646">
      <w:pPr>
        <w:pStyle w:val="Heading3"/>
      </w:pPr>
      <w:r>
        <w:t xml:space="preserve">David Mann AM, FAICD </w:t>
      </w:r>
    </w:p>
    <w:p w:rsidR="00465646" w:rsidRDefault="00465646" w:rsidP="00465646">
      <w:pPr>
        <w:pStyle w:val="NoSpacing"/>
      </w:pPr>
      <w:r>
        <w:t>Board Co-opted</w:t>
      </w:r>
    </w:p>
    <w:p w:rsidR="00465646" w:rsidRDefault="00465646" w:rsidP="00465646">
      <w:pPr>
        <w:pStyle w:val="NoSpacing"/>
      </w:pPr>
    </w:p>
    <w:p w:rsidR="00465646" w:rsidRDefault="00465646" w:rsidP="00465646">
      <w:pPr>
        <w:pStyle w:val="Body"/>
        <w:rPr>
          <w:lang w:val="en-US"/>
        </w:rPr>
      </w:pPr>
      <w:r w:rsidRPr="00361E14">
        <w:rPr>
          <w:lang w:val="en-US"/>
        </w:rPr>
        <w:t>David is Chairman of Entertainment Assist, the Victoria Police Blue Ribbon Foundation, the Victoria Police Blue Ribbon Day Community Council, and the Mount Macedon Memorial Cross Community Committee of Management. David is also a board member of The Production Company, Connected Communities Melbourne, and Managing Director, Mann Promotions Pty Ltd a company for promotions, marketing, public relations and crisis management.</w:t>
      </w:r>
    </w:p>
    <w:p w:rsidR="00465646" w:rsidRDefault="00465646" w:rsidP="00465646">
      <w:pPr>
        <w:pStyle w:val="Heading3"/>
      </w:pPr>
    </w:p>
    <w:p w:rsidR="00465646" w:rsidRDefault="00465646" w:rsidP="00465646">
      <w:pPr>
        <w:pStyle w:val="Heading3"/>
      </w:pPr>
      <w:r>
        <w:t xml:space="preserve">Geoffrey Cullen </w:t>
      </w:r>
    </w:p>
    <w:p w:rsidR="00465646" w:rsidRDefault="00465646" w:rsidP="00465646">
      <w:pPr>
        <w:pStyle w:val="NoSpacing"/>
      </w:pPr>
      <w:r>
        <w:t>Board Co-opted</w:t>
      </w:r>
    </w:p>
    <w:p w:rsidR="00465646" w:rsidRDefault="00465646" w:rsidP="00465646">
      <w:pPr>
        <w:pStyle w:val="NoSpacing"/>
      </w:pPr>
    </w:p>
    <w:p w:rsidR="00465646" w:rsidRDefault="00465646" w:rsidP="00465646">
      <w:pPr>
        <w:pStyle w:val="NoSpacing"/>
      </w:pPr>
      <w:r w:rsidRPr="00FC500E">
        <w:rPr>
          <w:lang w:val="en-US"/>
        </w:rPr>
        <w:t xml:space="preserve">Geoff is a finance professional with over 40 years’ experience in banking, finance and risk management. He has held senior executive positions in Australia, New Zealand, the UK and the </w:t>
      </w:r>
      <w:r w:rsidRPr="00FC500E">
        <w:rPr>
          <w:lang w:val="en-US"/>
        </w:rPr>
        <w:lastRenderedPageBreak/>
        <w:t>United States. Geoff has worked in the not for profit sector in risk management, governance, compliance and finance and is a member of the Finance Risk and Governance Committee of Skyline Education Foundation, where he previously served as the Director responsible for Finance and Risk. He currently chairs a Risk Committee in the private sector and serves as an independent mem</w:t>
      </w:r>
      <w:r>
        <w:rPr>
          <w:lang w:val="en-US"/>
        </w:rPr>
        <w:t>ber on the Investment Committee</w:t>
      </w:r>
      <w:r w:rsidRPr="00FC500E">
        <w:rPr>
          <w:lang w:val="en-US"/>
        </w:rPr>
        <w:t>s of two unlisted property finance funds.</w:t>
      </w:r>
    </w:p>
    <w:p w:rsidR="00465646" w:rsidRDefault="00465646" w:rsidP="00465646">
      <w:pPr>
        <w:pStyle w:val="Body"/>
        <w:rPr>
          <w:lang w:val="en-US"/>
        </w:rPr>
      </w:pPr>
    </w:p>
    <w:p w:rsidR="00155D5D" w:rsidRDefault="00155D5D" w:rsidP="0096170A">
      <w:pPr>
        <w:pStyle w:val="Heading3"/>
      </w:pPr>
      <w:r>
        <w:t xml:space="preserve">Peter Malone </w:t>
      </w:r>
    </w:p>
    <w:p w:rsidR="00155D5D" w:rsidRDefault="00155D5D" w:rsidP="005942B8">
      <w:pPr>
        <w:pStyle w:val="NoSpacing"/>
        <w:rPr>
          <w:rFonts w:ascii="Calibri" w:hAnsi="Calibri" w:cs="Calibri"/>
        </w:rPr>
      </w:pPr>
      <w:r>
        <w:rPr>
          <w:rFonts w:ascii="Calibri" w:hAnsi="Calibri" w:cs="Calibri"/>
        </w:rPr>
        <w:t xml:space="preserve">Staff Elected </w:t>
      </w:r>
    </w:p>
    <w:p w:rsidR="00155D5D" w:rsidRDefault="00155D5D" w:rsidP="005942B8">
      <w:pPr>
        <w:pStyle w:val="NoSpacing"/>
        <w:rPr>
          <w:rFonts w:ascii="Calibri" w:hAnsi="Calibri" w:cs="Calibri"/>
        </w:rPr>
      </w:pPr>
    </w:p>
    <w:p w:rsidR="00155D5D" w:rsidRDefault="00155D5D" w:rsidP="005942B8">
      <w:pPr>
        <w:pStyle w:val="NoSpacing"/>
        <w:rPr>
          <w:rFonts w:ascii="Calibri" w:hAnsi="Calibri" w:cs="Calibri"/>
        </w:rPr>
      </w:pPr>
      <w:r w:rsidRPr="00A32D72">
        <w:rPr>
          <w:rFonts w:ascii="Calibri" w:hAnsi="Calibri" w:cs="Calibri"/>
        </w:rPr>
        <w:t>Peter has served as an officer in the Royal Australian Navy where he performed duties such as Formation Ground Safety Officer (RAAF Williams), Training Development Manager (HMAS CERBERUS), an Indonesian linguist and interpreter in Australia, overseas and on foreign warships. Peter has a diverse background including research assistant at CSIRO, teaching English as another language (EAL Monash University), foreign language teaching (Indonesian Swinburne University), all the traditional sciences (pure and applied), manager of a multimedia development centre, curriculum developer and a project manager for a number of major materials development projects. Peter has a Bachelor of Applied Science, Graduate Diploma in Education, Masters of Education, Post Graduate Certificate in Computing, Post Graduate Diploma in TESOL and a Graduate Certificate in Indonesian.</w:t>
      </w:r>
    </w:p>
    <w:p w:rsidR="00155D5D" w:rsidRDefault="00155D5D" w:rsidP="005942B8">
      <w:pPr>
        <w:pStyle w:val="NoSpacing"/>
        <w:rPr>
          <w:rFonts w:ascii="Calibri" w:hAnsi="Calibri" w:cs="Calibri"/>
        </w:rPr>
      </w:pPr>
    </w:p>
    <w:p w:rsidR="005942B8" w:rsidRDefault="005942B8" w:rsidP="005942B8">
      <w:pPr>
        <w:pStyle w:val="NoSpacing"/>
      </w:pPr>
      <w:r>
        <w:t>&lt;page</w:t>
      </w:r>
      <w:r w:rsidR="00DA3CC8">
        <w:t xml:space="preserve"> 36</w:t>
      </w:r>
      <w:r>
        <w:t>&gt;</w:t>
      </w:r>
    </w:p>
    <w:p w:rsidR="00155D5D" w:rsidRDefault="00155D5D" w:rsidP="005942B8">
      <w:pPr>
        <w:pStyle w:val="NoSpacing"/>
      </w:pPr>
    </w:p>
    <w:p w:rsidR="00DA3CC8" w:rsidRDefault="00DA3CC8" w:rsidP="005942B8">
      <w:pPr>
        <w:pStyle w:val="NoSpacing"/>
      </w:pPr>
    </w:p>
    <w:p w:rsidR="00155D5D" w:rsidRDefault="00155D5D" w:rsidP="00155D5D">
      <w:pPr>
        <w:pStyle w:val="Heading2"/>
      </w:pPr>
      <w:r>
        <w:t>Executive Directors Group</w:t>
      </w:r>
    </w:p>
    <w:p w:rsidR="00155D5D" w:rsidRDefault="00155D5D" w:rsidP="005942B8">
      <w:pPr>
        <w:pStyle w:val="NoSpacing"/>
      </w:pPr>
    </w:p>
    <w:p w:rsidR="00DA3CC8" w:rsidRDefault="00745332" w:rsidP="00745332">
      <w:pPr>
        <w:pStyle w:val="Heading3"/>
      </w:pPr>
      <w:r>
        <w:t>Chief Executive Officer</w:t>
      </w:r>
    </w:p>
    <w:p w:rsidR="00745332" w:rsidRDefault="00745332" w:rsidP="005942B8">
      <w:pPr>
        <w:pStyle w:val="NoSpacing"/>
      </w:pPr>
    </w:p>
    <w:p w:rsidR="00745332" w:rsidRDefault="00745332" w:rsidP="005942B8">
      <w:pPr>
        <w:pStyle w:val="NoSpacing"/>
      </w:pPr>
      <w:r>
        <w:t>18 February 2019 – 8 April 2019: Dr Rick Ede</w:t>
      </w:r>
    </w:p>
    <w:p w:rsidR="00745332" w:rsidRDefault="00745332" w:rsidP="005942B8">
      <w:pPr>
        <w:pStyle w:val="NoSpacing"/>
      </w:pPr>
    </w:p>
    <w:p w:rsidR="00745332" w:rsidRDefault="00745332" w:rsidP="005942B8">
      <w:pPr>
        <w:pStyle w:val="NoSpacing"/>
      </w:pPr>
      <w:r>
        <w:t>18 November 2019 – 31 December 2019: Stephen Varty</w:t>
      </w:r>
    </w:p>
    <w:p w:rsidR="00DA3CC8" w:rsidRDefault="00DA3CC8" w:rsidP="005942B8">
      <w:pPr>
        <w:pStyle w:val="NoSpacing"/>
      </w:pPr>
    </w:p>
    <w:p w:rsidR="00745332" w:rsidRPr="00745332" w:rsidRDefault="00745332" w:rsidP="00745332">
      <w:pPr>
        <w:autoSpaceDE w:val="0"/>
        <w:autoSpaceDN w:val="0"/>
        <w:adjustRightInd w:val="0"/>
        <w:spacing w:after="0" w:line="240" w:lineRule="auto"/>
        <w:rPr>
          <w:rFonts w:cs="ProximaNovaA-Light"/>
        </w:rPr>
      </w:pPr>
      <w:r w:rsidRPr="00745332">
        <w:rPr>
          <w:rFonts w:cs="ProximaNovaA-Light"/>
        </w:rPr>
        <w:t>The Chief Executive Officer (CEO) is</w:t>
      </w:r>
      <w:r>
        <w:rPr>
          <w:rFonts w:cs="ProximaNovaA-Light"/>
        </w:rPr>
        <w:t xml:space="preserve"> </w:t>
      </w:r>
      <w:r w:rsidRPr="00745332">
        <w:rPr>
          <w:rFonts w:cs="ProximaNovaA-Light"/>
        </w:rPr>
        <w:t>responsible for providing strategic and</w:t>
      </w:r>
      <w:r>
        <w:rPr>
          <w:rFonts w:cs="ProximaNovaA-Light"/>
        </w:rPr>
        <w:t xml:space="preserve"> </w:t>
      </w:r>
      <w:r w:rsidRPr="00745332">
        <w:rPr>
          <w:rFonts w:cs="ProximaNovaA-Light"/>
        </w:rPr>
        <w:t>operational leadership of Chisholm</w:t>
      </w:r>
      <w:r>
        <w:rPr>
          <w:rFonts w:cs="ProximaNovaA-Light"/>
        </w:rPr>
        <w:t xml:space="preserve"> </w:t>
      </w:r>
      <w:r w:rsidRPr="00745332">
        <w:rPr>
          <w:rFonts w:cs="ProximaNovaA-Light"/>
        </w:rPr>
        <w:t>Institute and its entities. The position</w:t>
      </w:r>
      <w:r>
        <w:rPr>
          <w:rFonts w:cs="ProximaNovaA-Light"/>
        </w:rPr>
        <w:t xml:space="preserve"> </w:t>
      </w:r>
      <w:r w:rsidRPr="00745332">
        <w:rPr>
          <w:rFonts w:cs="ProximaNovaA-Light"/>
        </w:rPr>
        <w:t>contributes to the achievement of</w:t>
      </w:r>
      <w:r>
        <w:rPr>
          <w:rFonts w:cs="ProximaNovaA-Light"/>
        </w:rPr>
        <w:t xml:space="preserve"> </w:t>
      </w:r>
      <w:r w:rsidRPr="00745332">
        <w:rPr>
          <w:rFonts w:cs="ProximaNovaA-Light"/>
        </w:rPr>
        <w:t>our 2020 vision of leading the way in</w:t>
      </w:r>
      <w:r>
        <w:rPr>
          <w:rFonts w:cs="ProximaNovaA-Light"/>
        </w:rPr>
        <w:t xml:space="preserve"> </w:t>
      </w:r>
      <w:r w:rsidRPr="00745332">
        <w:rPr>
          <w:rFonts w:cs="ProximaNovaA-Light"/>
        </w:rPr>
        <w:t>education and training. The CEO leads</w:t>
      </w:r>
      <w:r>
        <w:rPr>
          <w:rFonts w:cs="ProximaNovaA-Light"/>
        </w:rPr>
        <w:t xml:space="preserve"> </w:t>
      </w:r>
      <w:r w:rsidRPr="00745332">
        <w:rPr>
          <w:rFonts w:cs="ProximaNovaA-Light"/>
        </w:rPr>
        <w:t>and drives the achievement of Chisholm’s</w:t>
      </w:r>
      <w:r>
        <w:rPr>
          <w:rFonts w:cs="ProximaNovaA-Light"/>
        </w:rPr>
        <w:t xml:space="preserve"> </w:t>
      </w:r>
      <w:r w:rsidRPr="00745332">
        <w:rPr>
          <w:rFonts w:cs="ProximaNovaA-Light"/>
        </w:rPr>
        <w:t>strategic vision to be Institute, Partner and</w:t>
      </w:r>
      <w:r>
        <w:rPr>
          <w:rFonts w:cs="ProximaNovaA-Light"/>
        </w:rPr>
        <w:t xml:space="preserve"> </w:t>
      </w:r>
      <w:r w:rsidRPr="00745332">
        <w:rPr>
          <w:rFonts w:cs="ProximaNovaA-Light"/>
        </w:rPr>
        <w:t>Workplace of Choice.</w:t>
      </w:r>
    </w:p>
    <w:p w:rsidR="00745332" w:rsidRDefault="00745332" w:rsidP="00745332">
      <w:pPr>
        <w:autoSpaceDE w:val="0"/>
        <w:autoSpaceDN w:val="0"/>
        <w:adjustRightInd w:val="0"/>
        <w:spacing w:after="0" w:line="240" w:lineRule="auto"/>
        <w:rPr>
          <w:rFonts w:cs="ProximaNovaA-Light"/>
        </w:rPr>
      </w:pPr>
    </w:p>
    <w:p w:rsidR="00745332" w:rsidRPr="00745332" w:rsidRDefault="00745332" w:rsidP="00745332">
      <w:pPr>
        <w:autoSpaceDE w:val="0"/>
        <w:autoSpaceDN w:val="0"/>
        <w:adjustRightInd w:val="0"/>
        <w:spacing w:after="0" w:line="240" w:lineRule="auto"/>
        <w:rPr>
          <w:rFonts w:cs="ProximaNovaA-Light"/>
        </w:rPr>
      </w:pPr>
      <w:r w:rsidRPr="00745332">
        <w:rPr>
          <w:rFonts w:cs="ProximaNovaA-Light"/>
        </w:rPr>
        <w:t xml:space="preserve">1 January 2019 – </w:t>
      </w:r>
      <w:r w:rsidR="00465646">
        <w:rPr>
          <w:rFonts w:cs="ProximaNovaA-Light"/>
        </w:rPr>
        <w:t>17 February</w:t>
      </w:r>
      <w:r w:rsidRPr="00745332">
        <w:rPr>
          <w:rFonts w:cs="ProximaNovaA-Light"/>
        </w:rPr>
        <w:t xml:space="preserve"> 2019:</w:t>
      </w:r>
      <w:r>
        <w:rPr>
          <w:rFonts w:cs="ProximaNovaA-Light"/>
        </w:rPr>
        <w:t xml:space="preserve"> </w:t>
      </w:r>
      <w:r w:rsidRPr="00745332">
        <w:rPr>
          <w:rFonts w:cs="ProximaNovaA-Light"/>
        </w:rPr>
        <w:t>Stephen Varty (</w:t>
      </w:r>
      <w:r w:rsidR="00465646">
        <w:rPr>
          <w:rFonts w:cs="ProximaNovaA-Light"/>
        </w:rPr>
        <w:t>Interim</w:t>
      </w:r>
      <w:r w:rsidRPr="00745332">
        <w:rPr>
          <w:rFonts w:cs="ProximaNovaA-Light"/>
        </w:rPr>
        <w:t>)</w:t>
      </w:r>
    </w:p>
    <w:p w:rsidR="00745332" w:rsidRDefault="00745332" w:rsidP="00745332">
      <w:pPr>
        <w:autoSpaceDE w:val="0"/>
        <w:autoSpaceDN w:val="0"/>
        <w:adjustRightInd w:val="0"/>
        <w:spacing w:after="0" w:line="240" w:lineRule="auto"/>
        <w:rPr>
          <w:rFonts w:cs="ProximaNovaA-Light"/>
        </w:rPr>
      </w:pPr>
    </w:p>
    <w:p w:rsidR="00745332" w:rsidRPr="00745332" w:rsidRDefault="00745332" w:rsidP="00745332">
      <w:pPr>
        <w:autoSpaceDE w:val="0"/>
        <w:autoSpaceDN w:val="0"/>
        <w:adjustRightInd w:val="0"/>
        <w:spacing w:after="0" w:line="240" w:lineRule="auto"/>
      </w:pPr>
      <w:r w:rsidRPr="00745332">
        <w:rPr>
          <w:rFonts w:cs="ProximaNovaA-Light"/>
        </w:rPr>
        <w:t>9 April 2019 – 17 November 2019:</w:t>
      </w:r>
      <w:r>
        <w:rPr>
          <w:rFonts w:cs="ProximaNovaA-Light"/>
        </w:rPr>
        <w:t xml:space="preserve"> </w:t>
      </w:r>
      <w:r w:rsidRPr="00745332">
        <w:rPr>
          <w:rFonts w:cs="ProximaNovaA-Light"/>
        </w:rPr>
        <w:t>Stephen Varty (</w:t>
      </w:r>
      <w:r w:rsidR="00465646">
        <w:rPr>
          <w:rFonts w:cs="ProximaNovaA-Light"/>
        </w:rPr>
        <w:t>Interim</w:t>
      </w:r>
      <w:r w:rsidRPr="00745332">
        <w:rPr>
          <w:rFonts w:cs="ProximaNovaA-Light"/>
        </w:rPr>
        <w:t>)</w:t>
      </w:r>
    </w:p>
    <w:p w:rsidR="00DA3CC8" w:rsidRDefault="00DA3CC8" w:rsidP="005942B8">
      <w:pPr>
        <w:pStyle w:val="NoSpacing"/>
      </w:pPr>
    </w:p>
    <w:p w:rsidR="00745332" w:rsidRDefault="00745332" w:rsidP="00745332">
      <w:pPr>
        <w:pStyle w:val="Heading3"/>
      </w:pPr>
      <w:r>
        <w:t>Executive Director – People, Culture and Safety</w:t>
      </w:r>
    </w:p>
    <w:p w:rsidR="00745332" w:rsidRDefault="00745332" w:rsidP="005942B8">
      <w:pPr>
        <w:pStyle w:val="NoSpacing"/>
      </w:pPr>
    </w:p>
    <w:p w:rsidR="00745332" w:rsidRDefault="00745332" w:rsidP="005942B8">
      <w:pPr>
        <w:pStyle w:val="NoSpacing"/>
      </w:pPr>
      <w:r>
        <w:t>1 January 2019 – 31 December 2019: Delia McIver</w:t>
      </w:r>
    </w:p>
    <w:p w:rsidR="00745332" w:rsidRDefault="00745332" w:rsidP="005942B8">
      <w:pPr>
        <w:pStyle w:val="NoSpacing"/>
      </w:pPr>
    </w:p>
    <w:p w:rsidR="00745332" w:rsidRPr="00745332" w:rsidRDefault="00745332" w:rsidP="00745332">
      <w:pPr>
        <w:autoSpaceDE w:val="0"/>
        <w:autoSpaceDN w:val="0"/>
        <w:adjustRightInd w:val="0"/>
        <w:spacing w:after="0" w:line="240" w:lineRule="auto"/>
      </w:pPr>
      <w:r w:rsidRPr="00745332">
        <w:rPr>
          <w:rFonts w:cs="ProximaNovaA-Light"/>
        </w:rPr>
        <w:t>The Executive Director People,</w:t>
      </w:r>
      <w:r>
        <w:rPr>
          <w:rFonts w:cs="ProximaNovaA-Light"/>
        </w:rPr>
        <w:t xml:space="preserve"> </w:t>
      </w:r>
      <w:r w:rsidRPr="00745332">
        <w:rPr>
          <w:rFonts w:cs="ProximaNovaA-Light"/>
        </w:rPr>
        <w:t>Culture and Safety (ED-PCS) leads</w:t>
      </w:r>
      <w:r>
        <w:rPr>
          <w:rFonts w:cs="ProximaNovaA-Light"/>
        </w:rPr>
        <w:t xml:space="preserve"> </w:t>
      </w:r>
      <w:r w:rsidRPr="00745332">
        <w:rPr>
          <w:rFonts w:cs="ProximaNovaA-Light"/>
        </w:rPr>
        <w:t>the development and implementation</w:t>
      </w:r>
      <w:r>
        <w:rPr>
          <w:rFonts w:cs="ProximaNovaA-Light"/>
        </w:rPr>
        <w:t xml:space="preserve"> </w:t>
      </w:r>
      <w:r w:rsidRPr="00745332">
        <w:rPr>
          <w:rFonts w:cs="ProximaNovaA-Light"/>
        </w:rPr>
        <w:t>of Chisholm’s People strategy for its</w:t>
      </w:r>
      <w:r>
        <w:rPr>
          <w:rFonts w:cs="ProximaNovaA-Light"/>
        </w:rPr>
        <w:t xml:space="preserve"> </w:t>
      </w:r>
      <w:r w:rsidRPr="00745332">
        <w:rPr>
          <w:rFonts w:cs="ProximaNovaA-Light"/>
        </w:rPr>
        <w:t>workforce including organisational</w:t>
      </w:r>
      <w:r>
        <w:rPr>
          <w:rFonts w:cs="ProximaNovaA-Light"/>
        </w:rPr>
        <w:t xml:space="preserve"> </w:t>
      </w:r>
      <w:r w:rsidRPr="00745332">
        <w:rPr>
          <w:rFonts w:cs="ProximaNovaA-Light"/>
        </w:rPr>
        <w:t>development, workforce planning,</w:t>
      </w:r>
      <w:r>
        <w:rPr>
          <w:rFonts w:cs="ProximaNovaA-Light"/>
        </w:rPr>
        <w:t xml:space="preserve"> </w:t>
      </w:r>
      <w:r w:rsidRPr="00745332">
        <w:rPr>
          <w:rFonts w:cs="ProximaNovaA-Light"/>
        </w:rPr>
        <w:t>human resource management,</w:t>
      </w:r>
      <w:r>
        <w:rPr>
          <w:rFonts w:cs="ProximaNovaA-Light"/>
        </w:rPr>
        <w:t xml:space="preserve"> </w:t>
      </w:r>
      <w:r w:rsidRPr="00745332">
        <w:rPr>
          <w:rFonts w:cs="ProximaNovaA-Light"/>
        </w:rPr>
        <w:t>employee relations and health,</w:t>
      </w:r>
      <w:r>
        <w:rPr>
          <w:rFonts w:cs="ProximaNovaA-Light"/>
        </w:rPr>
        <w:t xml:space="preserve"> </w:t>
      </w:r>
      <w:r w:rsidRPr="00745332">
        <w:rPr>
          <w:rFonts w:cs="ProximaNovaA-Light"/>
        </w:rPr>
        <w:t>safety and wellbeing. The position is</w:t>
      </w:r>
      <w:r>
        <w:rPr>
          <w:rFonts w:cs="ProximaNovaA-Light"/>
        </w:rPr>
        <w:t xml:space="preserve"> </w:t>
      </w:r>
      <w:r w:rsidRPr="00745332">
        <w:rPr>
          <w:rFonts w:cs="ProximaNovaA-Light"/>
        </w:rPr>
        <w:t>responsible for driving a high performing</w:t>
      </w:r>
      <w:r>
        <w:rPr>
          <w:rFonts w:cs="ProximaNovaA-Light"/>
        </w:rPr>
        <w:t xml:space="preserve"> </w:t>
      </w:r>
      <w:r w:rsidRPr="00745332">
        <w:rPr>
          <w:rFonts w:cs="ProximaNovaA-Light"/>
        </w:rPr>
        <w:t>organisation and supporting cultural</w:t>
      </w:r>
      <w:r>
        <w:rPr>
          <w:rFonts w:cs="ProximaNovaA-Light"/>
        </w:rPr>
        <w:t xml:space="preserve"> </w:t>
      </w:r>
      <w:r w:rsidRPr="00745332">
        <w:rPr>
          <w:rFonts w:cs="ProximaNovaA-Light"/>
        </w:rPr>
        <w:t>change. The ED-PCS has a strong</w:t>
      </w:r>
      <w:r>
        <w:rPr>
          <w:rFonts w:cs="ProximaNovaA-Light"/>
        </w:rPr>
        <w:t xml:space="preserve"> </w:t>
      </w:r>
      <w:r w:rsidRPr="00745332">
        <w:rPr>
          <w:rFonts w:cs="ProximaNovaA-Light"/>
        </w:rPr>
        <w:t>focus on Chisholm’s people and their</w:t>
      </w:r>
      <w:r>
        <w:rPr>
          <w:rFonts w:cs="ProximaNovaA-Light"/>
        </w:rPr>
        <w:t xml:space="preserve"> </w:t>
      </w:r>
      <w:r w:rsidRPr="00745332">
        <w:rPr>
          <w:rFonts w:cs="ProximaNovaA-Light"/>
        </w:rPr>
        <w:t>capability profile, and is responsible for</w:t>
      </w:r>
      <w:r>
        <w:rPr>
          <w:rFonts w:cs="ProximaNovaA-Light"/>
        </w:rPr>
        <w:t xml:space="preserve"> </w:t>
      </w:r>
      <w:r w:rsidRPr="00745332">
        <w:rPr>
          <w:rFonts w:cs="ProximaNovaA-Light"/>
        </w:rPr>
        <w:t>realising potential to achieve greater</w:t>
      </w:r>
      <w:r>
        <w:rPr>
          <w:rFonts w:cs="ProximaNovaA-Light"/>
        </w:rPr>
        <w:t xml:space="preserve"> </w:t>
      </w:r>
      <w:r w:rsidRPr="00745332">
        <w:rPr>
          <w:rFonts w:cs="ProximaNovaA-Light"/>
        </w:rPr>
        <w:t>organisational effectiveness.</w:t>
      </w:r>
    </w:p>
    <w:p w:rsidR="00745332" w:rsidRDefault="00745332" w:rsidP="005942B8">
      <w:pPr>
        <w:pStyle w:val="NoSpacing"/>
      </w:pPr>
    </w:p>
    <w:p w:rsidR="00745332" w:rsidRDefault="00745332" w:rsidP="00745332">
      <w:pPr>
        <w:pStyle w:val="Heading3"/>
      </w:pPr>
      <w:r>
        <w:t xml:space="preserve">Chief Operating Officer </w:t>
      </w:r>
    </w:p>
    <w:p w:rsidR="00745332" w:rsidRDefault="00745332" w:rsidP="005942B8">
      <w:pPr>
        <w:pStyle w:val="NoSpacing"/>
      </w:pPr>
    </w:p>
    <w:p w:rsidR="00745332" w:rsidRDefault="00745332" w:rsidP="005942B8">
      <w:pPr>
        <w:pStyle w:val="NoSpacing"/>
      </w:pPr>
      <w:r>
        <w:t>14 January 2019 – 31 December 2019: David Colliver</w:t>
      </w:r>
    </w:p>
    <w:p w:rsidR="00745332" w:rsidRDefault="00745332" w:rsidP="005942B8">
      <w:pPr>
        <w:pStyle w:val="NoSpacing"/>
      </w:pPr>
    </w:p>
    <w:p w:rsidR="00745332" w:rsidRPr="00745332" w:rsidRDefault="00745332" w:rsidP="00745332">
      <w:pPr>
        <w:autoSpaceDE w:val="0"/>
        <w:autoSpaceDN w:val="0"/>
        <w:adjustRightInd w:val="0"/>
        <w:spacing w:after="0" w:line="240" w:lineRule="auto"/>
      </w:pPr>
      <w:r w:rsidRPr="00745332">
        <w:rPr>
          <w:rFonts w:cs="ProximaNovaA-Light"/>
        </w:rPr>
        <w:t>The Chief Operating Officer (COO)</w:t>
      </w:r>
      <w:r>
        <w:rPr>
          <w:rFonts w:cs="ProximaNovaA-Light"/>
        </w:rPr>
        <w:t xml:space="preserve"> </w:t>
      </w:r>
      <w:r w:rsidRPr="00745332">
        <w:rPr>
          <w:rFonts w:cs="ProximaNovaA-Light"/>
        </w:rPr>
        <w:t>develops and improves Chisholm’s</w:t>
      </w:r>
      <w:r>
        <w:rPr>
          <w:rFonts w:cs="ProximaNovaA-Light"/>
        </w:rPr>
        <w:t xml:space="preserve"> </w:t>
      </w:r>
      <w:r w:rsidRPr="00745332">
        <w:rPr>
          <w:rFonts w:cs="ProximaNovaA-Light"/>
        </w:rPr>
        <w:t>core operating systems to enable the</w:t>
      </w:r>
      <w:r>
        <w:rPr>
          <w:rFonts w:cs="ProximaNovaA-Light"/>
        </w:rPr>
        <w:t xml:space="preserve"> </w:t>
      </w:r>
      <w:r w:rsidRPr="00745332">
        <w:rPr>
          <w:rFonts w:cs="ProximaNovaA-Light"/>
        </w:rPr>
        <w:t>achievement of Chisholm’s Strategic</w:t>
      </w:r>
      <w:r>
        <w:rPr>
          <w:rFonts w:cs="ProximaNovaA-Light"/>
        </w:rPr>
        <w:t xml:space="preserve"> </w:t>
      </w:r>
      <w:r w:rsidRPr="00745332">
        <w:rPr>
          <w:rFonts w:cs="ProximaNovaA-Light"/>
        </w:rPr>
        <w:t>Plan 2020 and Operational Plans. The</w:t>
      </w:r>
      <w:r>
        <w:rPr>
          <w:rFonts w:cs="ProximaNovaA-Light"/>
        </w:rPr>
        <w:t xml:space="preserve"> </w:t>
      </w:r>
      <w:r w:rsidRPr="00745332">
        <w:rPr>
          <w:rFonts w:cs="ProximaNovaA-Light"/>
        </w:rPr>
        <w:t>role is responsible for ensuring Chisholm</w:t>
      </w:r>
      <w:r>
        <w:rPr>
          <w:rFonts w:cs="ProximaNovaA-Light"/>
        </w:rPr>
        <w:t xml:space="preserve"> </w:t>
      </w:r>
      <w:r w:rsidRPr="00745332">
        <w:rPr>
          <w:rFonts w:cs="ProximaNovaA-Light"/>
        </w:rPr>
        <w:t>achieves its strategic directions by</w:t>
      </w:r>
      <w:r>
        <w:rPr>
          <w:rFonts w:cs="ProximaNovaA-Light"/>
        </w:rPr>
        <w:t xml:space="preserve"> </w:t>
      </w:r>
      <w:r w:rsidRPr="00745332">
        <w:rPr>
          <w:rFonts w:cs="ProximaNovaA-Light"/>
        </w:rPr>
        <w:t>being a key driver of infrastructure for</w:t>
      </w:r>
      <w:r>
        <w:rPr>
          <w:rFonts w:cs="ProximaNovaA-Light"/>
        </w:rPr>
        <w:t xml:space="preserve"> </w:t>
      </w:r>
      <w:r w:rsidRPr="00745332">
        <w:rPr>
          <w:rFonts w:cs="ProximaNovaA-Light"/>
        </w:rPr>
        <w:t>facilities and information technology,</w:t>
      </w:r>
      <w:r>
        <w:rPr>
          <w:rFonts w:cs="ProximaNovaA-Light"/>
        </w:rPr>
        <w:t xml:space="preserve"> </w:t>
      </w:r>
      <w:r w:rsidRPr="00745332">
        <w:rPr>
          <w:rFonts w:cs="ProximaNovaA-Light"/>
        </w:rPr>
        <w:t>as well as essential student functions</w:t>
      </w:r>
      <w:r>
        <w:rPr>
          <w:rFonts w:cs="ProximaNovaA-Light"/>
        </w:rPr>
        <w:t xml:space="preserve"> </w:t>
      </w:r>
      <w:r w:rsidRPr="00745332">
        <w:rPr>
          <w:rFonts w:cs="ProximaNovaA-Light"/>
        </w:rPr>
        <w:t>including academic administration and</w:t>
      </w:r>
      <w:r>
        <w:rPr>
          <w:rFonts w:cs="ProximaNovaA-Light"/>
        </w:rPr>
        <w:t xml:space="preserve"> </w:t>
      </w:r>
      <w:r w:rsidRPr="00745332">
        <w:rPr>
          <w:rFonts w:cs="ProximaNovaA-Light"/>
        </w:rPr>
        <w:t>the student on-boarding experience.</w:t>
      </w:r>
    </w:p>
    <w:p w:rsidR="00745332" w:rsidRDefault="00745332" w:rsidP="005942B8">
      <w:pPr>
        <w:pStyle w:val="NoSpacing"/>
      </w:pPr>
    </w:p>
    <w:p w:rsidR="00745332" w:rsidRDefault="00745332" w:rsidP="005942B8">
      <w:pPr>
        <w:pStyle w:val="NoSpacing"/>
      </w:pPr>
      <w:r>
        <w:t>1 January 2019 – 31</w:t>
      </w:r>
      <w:r w:rsidR="00465646">
        <w:t xml:space="preserve"> </w:t>
      </w:r>
      <w:r>
        <w:t>January 2019: David Collier (Acting)</w:t>
      </w:r>
    </w:p>
    <w:p w:rsidR="00745332" w:rsidRDefault="00745332" w:rsidP="005942B8">
      <w:pPr>
        <w:pStyle w:val="NoSpacing"/>
      </w:pPr>
    </w:p>
    <w:p w:rsidR="00745332" w:rsidRPr="00001069" w:rsidRDefault="00745332" w:rsidP="00001069">
      <w:pPr>
        <w:pStyle w:val="Heading3"/>
      </w:pPr>
      <w:r w:rsidRPr="00001069">
        <w:t>Chief of Education</w:t>
      </w:r>
    </w:p>
    <w:p w:rsidR="00745332" w:rsidRDefault="00745332" w:rsidP="005942B8">
      <w:pPr>
        <w:pStyle w:val="NoSpacing"/>
      </w:pPr>
    </w:p>
    <w:p w:rsidR="00745332" w:rsidRDefault="00465646" w:rsidP="005942B8">
      <w:pPr>
        <w:pStyle w:val="NoSpacing"/>
      </w:pPr>
      <w:r>
        <w:t>18 February</w:t>
      </w:r>
      <w:r w:rsidR="00745332">
        <w:t xml:space="preserve"> 2019 – 8 April 2019: Stephen Varty</w:t>
      </w:r>
    </w:p>
    <w:p w:rsidR="00745332" w:rsidRDefault="00745332" w:rsidP="005942B8">
      <w:pPr>
        <w:pStyle w:val="NoSpacing"/>
      </w:pPr>
    </w:p>
    <w:p w:rsidR="00745332" w:rsidRPr="00745332" w:rsidRDefault="00745332" w:rsidP="00745332">
      <w:pPr>
        <w:autoSpaceDE w:val="0"/>
        <w:autoSpaceDN w:val="0"/>
        <w:adjustRightInd w:val="0"/>
        <w:spacing w:after="0" w:line="240" w:lineRule="auto"/>
      </w:pPr>
      <w:r w:rsidRPr="00745332">
        <w:rPr>
          <w:rFonts w:cs="ProximaNovaA-Light"/>
        </w:rPr>
        <w:t>The Chief of Education leads the</w:t>
      </w:r>
      <w:r>
        <w:rPr>
          <w:rFonts w:cs="ProximaNovaA-Light"/>
        </w:rPr>
        <w:t xml:space="preserve"> </w:t>
      </w:r>
      <w:r w:rsidRPr="00745332">
        <w:rPr>
          <w:rFonts w:cs="ProximaNovaA-Light"/>
        </w:rPr>
        <w:t>development and implementation of</w:t>
      </w:r>
      <w:r>
        <w:rPr>
          <w:rFonts w:cs="ProximaNovaA-Light"/>
        </w:rPr>
        <w:t xml:space="preserve"> </w:t>
      </w:r>
      <w:r w:rsidRPr="00745332">
        <w:rPr>
          <w:rFonts w:cs="ProximaNovaA-Light"/>
        </w:rPr>
        <w:t>the educational strategy, aligned to</w:t>
      </w:r>
      <w:r>
        <w:rPr>
          <w:rFonts w:cs="ProximaNovaA-Light"/>
        </w:rPr>
        <w:t xml:space="preserve"> </w:t>
      </w:r>
      <w:r w:rsidRPr="00745332">
        <w:rPr>
          <w:rFonts w:cs="ProximaNovaA-Light"/>
        </w:rPr>
        <w:t>Chisholm’s 2020 vision. The position</w:t>
      </w:r>
      <w:r>
        <w:rPr>
          <w:rFonts w:cs="ProximaNovaA-Light"/>
        </w:rPr>
        <w:t xml:space="preserve"> </w:t>
      </w:r>
      <w:r w:rsidRPr="00745332">
        <w:rPr>
          <w:rFonts w:cs="ProximaNovaA-Light"/>
        </w:rPr>
        <w:t>provides strategic educational</w:t>
      </w:r>
      <w:r>
        <w:rPr>
          <w:rFonts w:cs="ProximaNovaA-Light"/>
        </w:rPr>
        <w:t xml:space="preserve"> </w:t>
      </w:r>
      <w:r w:rsidRPr="00745332">
        <w:rPr>
          <w:rFonts w:cs="ProximaNovaA-Light"/>
        </w:rPr>
        <w:t>leadership and expertise across</w:t>
      </w:r>
      <w:r>
        <w:rPr>
          <w:rFonts w:cs="ProximaNovaA-Light"/>
        </w:rPr>
        <w:t xml:space="preserve"> </w:t>
      </w:r>
      <w:r w:rsidRPr="00745332">
        <w:rPr>
          <w:rFonts w:cs="ProximaNovaA-Light"/>
        </w:rPr>
        <w:t>all aspects of educational delivery,</w:t>
      </w:r>
      <w:r>
        <w:rPr>
          <w:rFonts w:cs="ProximaNovaA-Light"/>
        </w:rPr>
        <w:t xml:space="preserve"> </w:t>
      </w:r>
      <w:r w:rsidRPr="00745332">
        <w:rPr>
          <w:rFonts w:cs="ProximaNovaA-Light"/>
        </w:rPr>
        <w:t>planning and performance for students</w:t>
      </w:r>
      <w:r>
        <w:rPr>
          <w:rFonts w:cs="ProximaNovaA-Light"/>
        </w:rPr>
        <w:t xml:space="preserve"> </w:t>
      </w:r>
      <w:r w:rsidRPr="00745332">
        <w:rPr>
          <w:rFonts w:cs="ProximaNovaA-Light"/>
        </w:rPr>
        <w:t>and partners, allowing the best in class</w:t>
      </w:r>
      <w:r>
        <w:rPr>
          <w:rFonts w:cs="ProximaNovaA-Light"/>
        </w:rPr>
        <w:t xml:space="preserve"> </w:t>
      </w:r>
      <w:r w:rsidRPr="00745332">
        <w:rPr>
          <w:rFonts w:cs="ProximaNovaA-Light"/>
        </w:rPr>
        <w:t>outcomes for students. This includes</w:t>
      </w:r>
      <w:r>
        <w:rPr>
          <w:rFonts w:cs="ProximaNovaA-Light"/>
        </w:rPr>
        <w:t xml:space="preserve"> </w:t>
      </w:r>
      <w:r w:rsidRPr="00745332">
        <w:rPr>
          <w:rFonts w:cs="ProximaNovaA-Light"/>
        </w:rPr>
        <w:t>all sectors of educational delivery –</w:t>
      </w:r>
      <w:r>
        <w:rPr>
          <w:rFonts w:cs="ProximaNovaA-Light"/>
        </w:rPr>
        <w:t xml:space="preserve"> </w:t>
      </w:r>
      <w:r w:rsidRPr="00745332">
        <w:rPr>
          <w:rFonts w:cs="ProximaNovaA-Light"/>
        </w:rPr>
        <w:t>vocational, higher education, senior</w:t>
      </w:r>
      <w:r>
        <w:rPr>
          <w:rFonts w:cs="ProximaNovaA-Light"/>
        </w:rPr>
        <w:t xml:space="preserve"> </w:t>
      </w:r>
      <w:r w:rsidRPr="00745332">
        <w:rPr>
          <w:rFonts w:cs="ProximaNovaA-Light"/>
        </w:rPr>
        <w:t>secondary both domestically and</w:t>
      </w:r>
      <w:r>
        <w:rPr>
          <w:rFonts w:cs="ProximaNovaA-Light"/>
        </w:rPr>
        <w:t xml:space="preserve"> </w:t>
      </w:r>
      <w:r w:rsidRPr="00745332">
        <w:rPr>
          <w:rFonts w:cs="ProximaNovaA-Light"/>
        </w:rPr>
        <w:t>internationally. The Chief of Education</w:t>
      </w:r>
      <w:r>
        <w:rPr>
          <w:rFonts w:cs="ProximaNovaA-Light"/>
        </w:rPr>
        <w:t xml:space="preserve"> </w:t>
      </w:r>
      <w:r w:rsidRPr="00745332">
        <w:rPr>
          <w:rFonts w:cs="ProximaNovaA-Light"/>
        </w:rPr>
        <w:t>also drives innovative educational</w:t>
      </w:r>
      <w:r>
        <w:rPr>
          <w:rFonts w:cs="ProximaNovaA-Light"/>
        </w:rPr>
        <w:t xml:space="preserve"> </w:t>
      </w:r>
      <w:r w:rsidRPr="00745332">
        <w:rPr>
          <w:rFonts w:cs="ProximaNovaA-Light"/>
        </w:rPr>
        <w:t>initiatives to ensure that delivery</w:t>
      </w:r>
      <w:r>
        <w:rPr>
          <w:rFonts w:cs="ProximaNovaA-Light"/>
        </w:rPr>
        <w:t xml:space="preserve"> </w:t>
      </w:r>
      <w:r w:rsidRPr="00745332">
        <w:rPr>
          <w:rFonts w:cs="ProximaNovaA-Light"/>
        </w:rPr>
        <w:t>remains at the forefront of current and</w:t>
      </w:r>
      <w:r>
        <w:rPr>
          <w:rFonts w:cs="ProximaNovaA-Light"/>
        </w:rPr>
        <w:t xml:space="preserve"> </w:t>
      </w:r>
      <w:r w:rsidRPr="00745332">
        <w:rPr>
          <w:rFonts w:cs="ProximaNovaA-Light"/>
        </w:rPr>
        <w:t>future Institute needs.</w:t>
      </w:r>
    </w:p>
    <w:p w:rsidR="00745332" w:rsidRDefault="00745332" w:rsidP="005942B8">
      <w:pPr>
        <w:pStyle w:val="NoSpacing"/>
      </w:pPr>
    </w:p>
    <w:p w:rsidR="00745332" w:rsidRPr="00745332" w:rsidRDefault="00745332" w:rsidP="00745332">
      <w:pPr>
        <w:autoSpaceDE w:val="0"/>
        <w:autoSpaceDN w:val="0"/>
        <w:adjustRightInd w:val="0"/>
        <w:spacing w:after="0" w:line="240" w:lineRule="auto"/>
        <w:rPr>
          <w:rFonts w:cs="ProximaNovaA-Light"/>
        </w:rPr>
      </w:pPr>
      <w:r w:rsidRPr="00745332">
        <w:rPr>
          <w:rFonts w:cs="ProximaNovaA-Light"/>
        </w:rPr>
        <w:t>1 January 2019 – 29 January 2019: Amanda Achterberg (Acting)</w:t>
      </w:r>
    </w:p>
    <w:p w:rsidR="00745332" w:rsidRDefault="00745332" w:rsidP="00745332">
      <w:pPr>
        <w:autoSpaceDE w:val="0"/>
        <w:autoSpaceDN w:val="0"/>
        <w:adjustRightInd w:val="0"/>
        <w:spacing w:after="0" w:line="240" w:lineRule="auto"/>
        <w:rPr>
          <w:rFonts w:cs="ProximaNovaA-Light"/>
        </w:rPr>
      </w:pPr>
    </w:p>
    <w:p w:rsidR="00745332" w:rsidRPr="00745332" w:rsidRDefault="00745332" w:rsidP="00745332">
      <w:pPr>
        <w:autoSpaceDE w:val="0"/>
        <w:autoSpaceDN w:val="0"/>
        <w:adjustRightInd w:val="0"/>
        <w:spacing w:after="0" w:line="240" w:lineRule="auto"/>
        <w:rPr>
          <w:rFonts w:cs="ProximaNovaA-Light"/>
        </w:rPr>
      </w:pPr>
      <w:r w:rsidRPr="00745332">
        <w:rPr>
          <w:rFonts w:cs="ProximaNovaA-Light"/>
        </w:rPr>
        <w:t xml:space="preserve">30 January 2019 – </w:t>
      </w:r>
      <w:r w:rsidR="00465646">
        <w:rPr>
          <w:rFonts w:cs="ProximaNovaA-Light"/>
        </w:rPr>
        <w:t>17 February 2019</w:t>
      </w:r>
      <w:r w:rsidRPr="00745332">
        <w:rPr>
          <w:rFonts w:cs="ProximaNovaA-Light"/>
        </w:rPr>
        <w:t xml:space="preserve">: (Vacant) </w:t>
      </w:r>
    </w:p>
    <w:p w:rsidR="00745332" w:rsidRDefault="00745332" w:rsidP="00745332">
      <w:pPr>
        <w:autoSpaceDE w:val="0"/>
        <w:autoSpaceDN w:val="0"/>
        <w:adjustRightInd w:val="0"/>
        <w:spacing w:after="0" w:line="240" w:lineRule="auto"/>
        <w:rPr>
          <w:rFonts w:cs="ProximaNovaA-Light"/>
        </w:rPr>
      </w:pPr>
      <w:r>
        <w:rPr>
          <w:rFonts w:cs="ProximaNovaA-Light"/>
        </w:rPr>
        <w:t xml:space="preserve"> </w:t>
      </w:r>
    </w:p>
    <w:p w:rsidR="00745332" w:rsidRPr="00745332" w:rsidRDefault="00745332" w:rsidP="00745332">
      <w:pPr>
        <w:autoSpaceDE w:val="0"/>
        <w:autoSpaceDN w:val="0"/>
        <w:adjustRightInd w:val="0"/>
        <w:spacing w:after="0" w:line="240" w:lineRule="auto"/>
        <w:rPr>
          <w:rFonts w:cs="ProximaNovaA-Light"/>
        </w:rPr>
      </w:pPr>
      <w:r w:rsidRPr="00745332">
        <w:rPr>
          <w:rFonts w:cs="ProximaNovaA-Light"/>
        </w:rPr>
        <w:t>6 May 2019 – 12 July 2019: Nita Schultz (Interim)</w:t>
      </w:r>
    </w:p>
    <w:p w:rsidR="00745332" w:rsidRDefault="00745332" w:rsidP="00745332">
      <w:pPr>
        <w:autoSpaceDE w:val="0"/>
        <w:autoSpaceDN w:val="0"/>
        <w:adjustRightInd w:val="0"/>
        <w:spacing w:after="0" w:line="240" w:lineRule="auto"/>
        <w:rPr>
          <w:rFonts w:cs="ProximaNovaA-Light"/>
        </w:rPr>
      </w:pPr>
    </w:p>
    <w:p w:rsidR="00745332" w:rsidRPr="00745332" w:rsidRDefault="00745332" w:rsidP="00745332">
      <w:pPr>
        <w:autoSpaceDE w:val="0"/>
        <w:autoSpaceDN w:val="0"/>
        <w:adjustRightInd w:val="0"/>
        <w:spacing w:after="0" w:line="240" w:lineRule="auto"/>
      </w:pPr>
      <w:r w:rsidRPr="00745332">
        <w:rPr>
          <w:rFonts w:cs="ProximaNovaA-Light"/>
        </w:rPr>
        <w:t>13 July 2019 – 31 December 2019: (Vacant)</w:t>
      </w:r>
    </w:p>
    <w:p w:rsidR="00745332" w:rsidRPr="00745332" w:rsidRDefault="00745332" w:rsidP="005942B8">
      <w:pPr>
        <w:pStyle w:val="NoSpacing"/>
      </w:pPr>
    </w:p>
    <w:p w:rsidR="00745332" w:rsidRDefault="00001069" w:rsidP="00001069">
      <w:pPr>
        <w:pStyle w:val="Heading3"/>
      </w:pPr>
      <w:r>
        <w:t xml:space="preserve">Chief of Staff </w:t>
      </w:r>
    </w:p>
    <w:p w:rsidR="00001069" w:rsidRDefault="00001069" w:rsidP="005942B8">
      <w:pPr>
        <w:pStyle w:val="NoSpacing"/>
      </w:pPr>
    </w:p>
    <w:p w:rsidR="00001069" w:rsidRDefault="00001069" w:rsidP="005942B8">
      <w:pPr>
        <w:pStyle w:val="NoSpacing"/>
      </w:pPr>
      <w:r>
        <w:t>1 January 2019 – 18 August 20</w:t>
      </w:r>
      <w:r w:rsidR="00465646">
        <w:t>1</w:t>
      </w:r>
      <w:r>
        <w:t>9: Jane Mclennan</w:t>
      </w:r>
    </w:p>
    <w:p w:rsidR="00001069" w:rsidRDefault="00001069" w:rsidP="005942B8">
      <w:pPr>
        <w:pStyle w:val="NoSpacing"/>
      </w:pPr>
    </w:p>
    <w:p w:rsidR="00001069" w:rsidRDefault="00001069" w:rsidP="005942B8">
      <w:pPr>
        <w:pStyle w:val="NoSpacing"/>
      </w:pPr>
      <w:r>
        <w:t>11 November 2019 – 31 December 2019: Caitlin Crosby</w:t>
      </w:r>
    </w:p>
    <w:p w:rsidR="00001069" w:rsidRDefault="00001069" w:rsidP="005942B8">
      <w:pPr>
        <w:pStyle w:val="NoSpacing"/>
      </w:pPr>
    </w:p>
    <w:p w:rsidR="00001069" w:rsidRDefault="00001069" w:rsidP="00001069">
      <w:pPr>
        <w:autoSpaceDE w:val="0"/>
        <w:autoSpaceDN w:val="0"/>
        <w:adjustRightInd w:val="0"/>
        <w:spacing w:after="0" w:line="240" w:lineRule="auto"/>
        <w:rPr>
          <w:rFonts w:cs="ProximaNovaA-Light"/>
        </w:rPr>
      </w:pPr>
      <w:r w:rsidRPr="00001069">
        <w:rPr>
          <w:rFonts w:cs="ProximaNovaA-Light"/>
        </w:rPr>
        <w:t>The Chief of Staff supports the</w:t>
      </w:r>
      <w:r>
        <w:rPr>
          <w:rFonts w:cs="ProximaNovaA-Light"/>
        </w:rPr>
        <w:t xml:space="preserve"> </w:t>
      </w:r>
      <w:r w:rsidRPr="00001069">
        <w:rPr>
          <w:rFonts w:cs="ProximaNovaA-Light"/>
        </w:rPr>
        <w:t>Chief Executive’s office and is a key</w:t>
      </w:r>
      <w:r>
        <w:rPr>
          <w:rFonts w:cs="ProximaNovaA-Light"/>
        </w:rPr>
        <w:t xml:space="preserve"> </w:t>
      </w:r>
      <w:r w:rsidRPr="00001069">
        <w:rPr>
          <w:rFonts w:cs="ProximaNovaA-Light"/>
        </w:rPr>
        <w:t>point of contact for interaction with</w:t>
      </w:r>
      <w:r>
        <w:rPr>
          <w:rFonts w:cs="ProximaNovaA-Light"/>
        </w:rPr>
        <w:t xml:space="preserve"> </w:t>
      </w:r>
      <w:r w:rsidRPr="00001069">
        <w:rPr>
          <w:rFonts w:cs="ProximaNovaA-Light"/>
        </w:rPr>
        <w:t>external stakeholders, particularly</w:t>
      </w:r>
      <w:r>
        <w:rPr>
          <w:rFonts w:cs="ProximaNovaA-Light"/>
        </w:rPr>
        <w:t xml:space="preserve"> </w:t>
      </w:r>
      <w:r w:rsidRPr="00001069">
        <w:rPr>
          <w:rFonts w:cs="ProximaNovaA-Light"/>
        </w:rPr>
        <w:t>government relations. The position</w:t>
      </w:r>
      <w:r>
        <w:rPr>
          <w:rFonts w:cs="ProximaNovaA-Light"/>
        </w:rPr>
        <w:t xml:space="preserve"> </w:t>
      </w:r>
      <w:r w:rsidRPr="00001069">
        <w:rPr>
          <w:rFonts w:cs="ProximaNovaA-Light"/>
        </w:rPr>
        <w:t>manages the Office of the CEO and</w:t>
      </w:r>
      <w:r>
        <w:rPr>
          <w:rFonts w:cs="ProximaNovaA-Light"/>
        </w:rPr>
        <w:t xml:space="preserve"> </w:t>
      </w:r>
      <w:r w:rsidRPr="00001069">
        <w:rPr>
          <w:rFonts w:cs="ProximaNovaA-Light"/>
        </w:rPr>
        <w:t>is a key role supporting the functions</w:t>
      </w:r>
      <w:r>
        <w:rPr>
          <w:rFonts w:cs="ProximaNovaA-Light"/>
        </w:rPr>
        <w:t xml:space="preserve"> </w:t>
      </w:r>
      <w:r w:rsidRPr="00001069">
        <w:rPr>
          <w:rFonts w:cs="ProximaNovaA-Light"/>
        </w:rPr>
        <w:t>of the Executive team and contributes</w:t>
      </w:r>
      <w:r>
        <w:rPr>
          <w:rFonts w:cs="ProximaNovaA-Light"/>
        </w:rPr>
        <w:t xml:space="preserve"> </w:t>
      </w:r>
      <w:r w:rsidRPr="00001069">
        <w:rPr>
          <w:rFonts w:cs="ProximaNovaA-Light"/>
        </w:rPr>
        <w:t>strategic analysis of the Institute’s</w:t>
      </w:r>
      <w:r>
        <w:rPr>
          <w:rFonts w:cs="ProximaNovaA-Light"/>
        </w:rPr>
        <w:t xml:space="preserve"> </w:t>
      </w:r>
      <w:r w:rsidRPr="00001069">
        <w:rPr>
          <w:rFonts w:cs="ProximaNovaA-Light"/>
        </w:rPr>
        <w:t>program profile.</w:t>
      </w:r>
    </w:p>
    <w:p w:rsidR="00001069" w:rsidRPr="00001069" w:rsidRDefault="00001069" w:rsidP="00001069">
      <w:pPr>
        <w:autoSpaceDE w:val="0"/>
        <w:autoSpaceDN w:val="0"/>
        <w:adjustRightInd w:val="0"/>
        <w:spacing w:after="0" w:line="240" w:lineRule="auto"/>
        <w:rPr>
          <w:rFonts w:cs="ProximaNovaA-Light"/>
        </w:rPr>
      </w:pPr>
    </w:p>
    <w:p w:rsidR="00001069" w:rsidRPr="00001069" w:rsidRDefault="00001069" w:rsidP="00001069">
      <w:pPr>
        <w:autoSpaceDE w:val="0"/>
        <w:autoSpaceDN w:val="0"/>
        <w:adjustRightInd w:val="0"/>
        <w:spacing w:after="0" w:line="240" w:lineRule="auto"/>
        <w:rPr>
          <w:rFonts w:cs="ProximaNovaA-Light"/>
        </w:rPr>
      </w:pPr>
      <w:r w:rsidRPr="00001069">
        <w:rPr>
          <w:rFonts w:cs="ProximaNovaA-Light"/>
        </w:rPr>
        <w:t xml:space="preserve">19 </w:t>
      </w:r>
      <w:r>
        <w:rPr>
          <w:rFonts w:cs="ProximaNovaA-Light"/>
        </w:rPr>
        <w:t xml:space="preserve">August 2019 – 10 November 2019: </w:t>
      </w:r>
      <w:r w:rsidRPr="00001069">
        <w:rPr>
          <w:rFonts w:cs="ProximaNovaA-Light"/>
        </w:rPr>
        <w:t>(Vacant)</w:t>
      </w:r>
    </w:p>
    <w:p w:rsidR="00001069" w:rsidRDefault="00001069" w:rsidP="005942B8">
      <w:pPr>
        <w:pStyle w:val="NoSpacing"/>
      </w:pPr>
    </w:p>
    <w:p w:rsidR="00001069" w:rsidRDefault="00001069" w:rsidP="005942B8">
      <w:pPr>
        <w:pStyle w:val="NoSpacing"/>
      </w:pPr>
    </w:p>
    <w:p w:rsidR="00001069" w:rsidRDefault="00001069" w:rsidP="00001069">
      <w:pPr>
        <w:pStyle w:val="Heading3"/>
      </w:pPr>
      <w:r>
        <w:t xml:space="preserve">Chief Commercial Officer </w:t>
      </w:r>
    </w:p>
    <w:p w:rsidR="00001069" w:rsidRDefault="00001069" w:rsidP="005942B8">
      <w:pPr>
        <w:pStyle w:val="NoSpacing"/>
      </w:pPr>
    </w:p>
    <w:p w:rsidR="00001069" w:rsidRDefault="00001069" w:rsidP="005942B8">
      <w:pPr>
        <w:pStyle w:val="NoSpacing"/>
      </w:pPr>
      <w:r>
        <w:t>1 January 2019 – 31 December 2019: Noel Lyons</w:t>
      </w:r>
    </w:p>
    <w:p w:rsidR="00001069" w:rsidRDefault="00001069" w:rsidP="005942B8">
      <w:pPr>
        <w:pStyle w:val="NoSpacing"/>
      </w:pPr>
    </w:p>
    <w:p w:rsidR="00001069" w:rsidRPr="00001069" w:rsidRDefault="00001069" w:rsidP="00001069">
      <w:pPr>
        <w:autoSpaceDE w:val="0"/>
        <w:autoSpaceDN w:val="0"/>
        <w:adjustRightInd w:val="0"/>
        <w:spacing w:after="0" w:line="240" w:lineRule="auto"/>
      </w:pPr>
      <w:r w:rsidRPr="00001069">
        <w:rPr>
          <w:rFonts w:cs="ProximaNovaA-Light"/>
        </w:rPr>
        <w:t>The Chief Commercial Officer is</w:t>
      </w:r>
      <w:r>
        <w:rPr>
          <w:rFonts w:cs="ProximaNovaA-Light"/>
        </w:rPr>
        <w:t xml:space="preserve"> </w:t>
      </w:r>
      <w:r w:rsidRPr="00001069">
        <w:rPr>
          <w:rFonts w:cs="ProximaNovaA-Light"/>
        </w:rPr>
        <w:t>accountable for providing strategic and</w:t>
      </w:r>
      <w:r>
        <w:rPr>
          <w:rFonts w:cs="ProximaNovaA-Light"/>
        </w:rPr>
        <w:t xml:space="preserve"> </w:t>
      </w:r>
      <w:r w:rsidRPr="00001069">
        <w:rPr>
          <w:rFonts w:cs="ProximaNovaA-Light"/>
        </w:rPr>
        <w:t>operation leadership to the Institute’s</w:t>
      </w:r>
      <w:r>
        <w:rPr>
          <w:rFonts w:cs="ProximaNovaA-Light"/>
        </w:rPr>
        <w:t xml:space="preserve"> </w:t>
      </w:r>
      <w:r w:rsidRPr="00001069">
        <w:rPr>
          <w:rFonts w:cs="ProximaNovaA-Light"/>
        </w:rPr>
        <w:t>commercial functions, both domestically</w:t>
      </w:r>
      <w:r>
        <w:rPr>
          <w:rFonts w:cs="ProximaNovaA-Light"/>
        </w:rPr>
        <w:t xml:space="preserve"> </w:t>
      </w:r>
      <w:r w:rsidRPr="00001069">
        <w:rPr>
          <w:rFonts w:cs="ProximaNovaA-Light"/>
        </w:rPr>
        <w:t>and internationally. The role identifies</w:t>
      </w:r>
      <w:r>
        <w:rPr>
          <w:rFonts w:cs="ProximaNovaA-Light"/>
        </w:rPr>
        <w:t xml:space="preserve"> </w:t>
      </w:r>
      <w:r w:rsidRPr="00001069">
        <w:rPr>
          <w:rFonts w:cs="ProximaNovaA-Light"/>
        </w:rPr>
        <w:t>business opportunities aligned to</w:t>
      </w:r>
      <w:r>
        <w:rPr>
          <w:rFonts w:cs="ProximaNovaA-Light"/>
        </w:rPr>
        <w:t xml:space="preserve"> </w:t>
      </w:r>
      <w:r w:rsidRPr="00001069">
        <w:rPr>
          <w:rFonts w:cs="ProximaNovaA-Light"/>
        </w:rPr>
        <w:t>Chisholm’s 2020 vision to drive growth</w:t>
      </w:r>
      <w:r>
        <w:rPr>
          <w:rFonts w:cs="ProximaNovaA-Light"/>
        </w:rPr>
        <w:t xml:space="preserve"> </w:t>
      </w:r>
      <w:r w:rsidRPr="00001069">
        <w:rPr>
          <w:rFonts w:cs="ProximaNovaA-Light"/>
        </w:rPr>
        <w:t>and deliver revenue targets. The role</w:t>
      </w:r>
      <w:r>
        <w:rPr>
          <w:rFonts w:cs="ProximaNovaA-Light"/>
        </w:rPr>
        <w:t xml:space="preserve"> </w:t>
      </w:r>
      <w:r w:rsidRPr="00001069">
        <w:rPr>
          <w:rFonts w:cs="ProximaNovaA-Light"/>
        </w:rPr>
        <w:t>focuses on business development and</w:t>
      </w:r>
      <w:r>
        <w:rPr>
          <w:rFonts w:cs="ProximaNovaA-Light"/>
        </w:rPr>
        <w:t xml:space="preserve"> </w:t>
      </w:r>
      <w:r w:rsidRPr="00001069">
        <w:rPr>
          <w:rFonts w:cs="ProximaNovaA-Light"/>
        </w:rPr>
        <w:t>operational delivery and management</w:t>
      </w:r>
      <w:r>
        <w:rPr>
          <w:rFonts w:cs="ProximaNovaA-Light"/>
        </w:rPr>
        <w:t xml:space="preserve"> </w:t>
      </w:r>
      <w:r w:rsidRPr="00001069">
        <w:rPr>
          <w:rFonts w:cs="ProximaNovaA-Light"/>
        </w:rPr>
        <w:t>of projects, and plays a key role in</w:t>
      </w:r>
      <w:r>
        <w:rPr>
          <w:rFonts w:cs="ProximaNovaA-Light"/>
        </w:rPr>
        <w:t xml:space="preserve"> </w:t>
      </w:r>
      <w:r w:rsidRPr="00001069">
        <w:rPr>
          <w:rFonts w:cs="ProximaNovaA-Light"/>
        </w:rPr>
        <w:t>supporting international students.</w:t>
      </w:r>
    </w:p>
    <w:p w:rsidR="00001069" w:rsidRDefault="00001069" w:rsidP="005942B8">
      <w:pPr>
        <w:pStyle w:val="NoSpacing"/>
      </w:pPr>
      <w:r>
        <w:t xml:space="preserve"> </w:t>
      </w:r>
    </w:p>
    <w:p w:rsidR="00001069" w:rsidRDefault="00001069" w:rsidP="005942B8">
      <w:pPr>
        <w:pStyle w:val="NoSpacing"/>
      </w:pPr>
    </w:p>
    <w:p w:rsidR="00001069" w:rsidRDefault="00001069" w:rsidP="00001069">
      <w:pPr>
        <w:pStyle w:val="Heading3"/>
      </w:pPr>
      <w:r>
        <w:t xml:space="preserve">Chief Financial Officer </w:t>
      </w:r>
    </w:p>
    <w:p w:rsidR="00001069" w:rsidRDefault="00001069" w:rsidP="005942B8">
      <w:pPr>
        <w:pStyle w:val="NoSpacing"/>
      </w:pPr>
    </w:p>
    <w:p w:rsidR="00001069" w:rsidRPr="00001069" w:rsidRDefault="00001069" w:rsidP="00001069">
      <w:pPr>
        <w:autoSpaceDE w:val="0"/>
        <w:autoSpaceDN w:val="0"/>
        <w:adjustRightInd w:val="0"/>
        <w:spacing w:after="0" w:line="240" w:lineRule="auto"/>
        <w:rPr>
          <w:rFonts w:cs="ProximaNovaA-Bold"/>
          <w:bCs/>
        </w:rPr>
      </w:pPr>
      <w:r w:rsidRPr="00001069">
        <w:rPr>
          <w:rFonts w:cs="ProximaNovaA-Bold"/>
          <w:bCs/>
        </w:rPr>
        <w:t>18</w:t>
      </w:r>
      <w:r>
        <w:rPr>
          <w:rFonts w:cs="ProximaNovaA-Bold"/>
          <w:bCs/>
        </w:rPr>
        <w:t xml:space="preserve"> March 2019 - 31 December 2019: </w:t>
      </w:r>
      <w:r w:rsidRPr="00001069">
        <w:rPr>
          <w:rFonts w:cs="ProximaNovaA-Bold"/>
          <w:bCs/>
        </w:rPr>
        <w:t>Toniann Stitz</w:t>
      </w:r>
    </w:p>
    <w:p w:rsidR="00001069" w:rsidRDefault="00001069" w:rsidP="00001069">
      <w:pPr>
        <w:autoSpaceDE w:val="0"/>
        <w:autoSpaceDN w:val="0"/>
        <w:adjustRightInd w:val="0"/>
        <w:spacing w:after="0" w:line="240" w:lineRule="auto"/>
        <w:rPr>
          <w:rFonts w:cs="ProximaNovaA-Light"/>
        </w:rPr>
      </w:pPr>
    </w:p>
    <w:p w:rsidR="00001069" w:rsidRPr="00001069" w:rsidRDefault="00001069" w:rsidP="00001069">
      <w:pPr>
        <w:autoSpaceDE w:val="0"/>
        <w:autoSpaceDN w:val="0"/>
        <w:adjustRightInd w:val="0"/>
        <w:spacing w:after="0" w:line="240" w:lineRule="auto"/>
        <w:rPr>
          <w:rFonts w:cs="ProximaNovaA-Light"/>
        </w:rPr>
      </w:pPr>
      <w:r w:rsidRPr="00001069">
        <w:rPr>
          <w:rFonts w:cs="ProximaNovaA-Light"/>
        </w:rPr>
        <w:t>The Chief Financial Officer (CFO) is</w:t>
      </w:r>
      <w:r>
        <w:rPr>
          <w:rFonts w:cs="ProximaNovaA-Light"/>
        </w:rPr>
        <w:t xml:space="preserve"> </w:t>
      </w:r>
      <w:r w:rsidRPr="00001069">
        <w:rPr>
          <w:rFonts w:cs="ProximaNovaA-Light"/>
        </w:rPr>
        <w:t>responsible for providing leadership,</w:t>
      </w:r>
      <w:r>
        <w:rPr>
          <w:rFonts w:cs="ProximaNovaA-Light"/>
        </w:rPr>
        <w:t xml:space="preserve"> </w:t>
      </w:r>
      <w:r w:rsidRPr="00001069">
        <w:rPr>
          <w:rFonts w:cs="ProximaNovaA-Light"/>
        </w:rPr>
        <w:t>strategic direction and advice on the</w:t>
      </w:r>
      <w:r>
        <w:rPr>
          <w:rFonts w:cs="ProximaNovaA-Light"/>
        </w:rPr>
        <w:t xml:space="preserve"> </w:t>
      </w:r>
      <w:r w:rsidRPr="00001069">
        <w:rPr>
          <w:rFonts w:cs="ProximaNovaA-Light"/>
        </w:rPr>
        <w:t>Institute’s financial plan and investments,</w:t>
      </w:r>
      <w:r>
        <w:rPr>
          <w:rFonts w:cs="ProximaNovaA-Light"/>
        </w:rPr>
        <w:t xml:space="preserve"> </w:t>
      </w:r>
      <w:r w:rsidRPr="00001069">
        <w:rPr>
          <w:rFonts w:cs="ProximaNovaA-Light"/>
        </w:rPr>
        <w:t>as well as financial operations and</w:t>
      </w:r>
      <w:r>
        <w:rPr>
          <w:rFonts w:cs="ProximaNovaA-Light"/>
        </w:rPr>
        <w:t xml:space="preserve"> </w:t>
      </w:r>
      <w:r w:rsidRPr="00001069">
        <w:rPr>
          <w:rFonts w:cs="ProximaNovaA-Light"/>
        </w:rPr>
        <w:t>activities. The CFO ensures that a</w:t>
      </w:r>
      <w:r>
        <w:rPr>
          <w:rFonts w:cs="ProximaNovaA-Light"/>
        </w:rPr>
        <w:t xml:space="preserve"> </w:t>
      </w:r>
      <w:r w:rsidRPr="00001069">
        <w:rPr>
          <w:rFonts w:cs="ProximaNovaA-Light"/>
        </w:rPr>
        <w:t>financial governance framework is in</w:t>
      </w:r>
      <w:r>
        <w:rPr>
          <w:rFonts w:cs="ProximaNovaA-Light"/>
        </w:rPr>
        <w:t xml:space="preserve"> </w:t>
      </w:r>
      <w:r w:rsidRPr="00001069">
        <w:rPr>
          <w:rFonts w:cs="ProximaNovaA-Light"/>
        </w:rPr>
        <w:t>place and that policies, accounting</w:t>
      </w:r>
      <w:r>
        <w:rPr>
          <w:rFonts w:cs="ProximaNovaA-Light"/>
        </w:rPr>
        <w:t xml:space="preserve"> </w:t>
      </w:r>
      <w:r w:rsidRPr="00001069">
        <w:rPr>
          <w:rFonts w:cs="ProximaNovaA-Light"/>
        </w:rPr>
        <w:t>standards and sound financial</w:t>
      </w:r>
      <w:r>
        <w:rPr>
          <w:rFonts w:cs="ProximaNovaA-Light"/>
        </w:rPr>
        <w:t xml:space="preserve"> </w:t>
      </w:r>
      <w:r w:rsidRPr="00001069">
        <w:rPr>
          <w:rFonts w:cs="ProximaNovaA-Light"/>
        </w:rPr>
        <w:t>management practices are adhered to.</w:t>
      </w:r>
    </w:p>
    <w:p w:rsidR="00001069" w:rsidRDefault="00001069" w:rsidP="00001069">
      <w:pPr>
        <w:autoSpaceDE w:val="0"/>
        <w:autoSpaceDN w:val="0"/>
        <w:adjustRightInd w:val="0"/>
        <w:spacing w:after="0" w:line="240" w:lineRule="auto"/>
        <w:rPr>
          <w:rFonts w:cs="ProximaNovaA-Light"/>
        </w:rPr>
      </w:pPr>
    </w:p>
    <w:p w:rsidR="00001069" w:rsidRPr="00001069" w:rsidRDefault="00001069" w:rsidP="00001069">
      <w:pPr>
        <w:autoSpaceDE w:val="0"/>
        <w:autoSpaceDN w:val="0"/>
        <w:adjustRightInd w:val="0"/>
        <w:spacing w:after="0" w:line="240" w:lineRule="auto"/>
        <w:rPr>
          <w:rFonts w:cs="ProximaNovaA-Light"/>
        </w:rPr>
      </w:pPr>
      <w:r>
        <w:rPr>
          <w:rFonts w:cs="ProximaNovaA-Light"/>
        </w:rPr>
        <w:t xml:space="preserve">1 January 2019 – 17 March 2019: </w:t>
      </w:r>
      <w:r w:rsidRPr="00001069">
        <w:rPr>
          <w:rFonts w:cs="ProximaNovaA-Light"/>
        </w:rPr>
        <w:t>Toniann Stitz (Interim)</w:t>
      </w:r>
    </w:p>
    <w:p w:rsidR="00001069" w:rsidRDefault="00001069" w:rsidP="005942B8">
      <w:pPr>
        <w:pStyle w:val="NoSpacing"/>
      </w:pPr>
    </w:p>
    <w:p w:rsidR="00001069" w:rsidRDefault="00001069" w:rsidP="005942B8">
      <w:pPr>
        <w:pStyle w:val="NoSpacing"/>
      </w:pPr>
    </w:p>
    <w:p w:rsidR="00001069" w:rsidRPr="00001069" w:rsidRDefault="00001069" w:rsidP="00001069">
      <w:pPr>
        <w:pStyle w:val="Heading3"/>
      </w:pPr>
      <w:r w:rsidRPr="00001069">
        <w:t>Executive Director – Teaching and Learning</w:t>
      </w:r>
    </w:p>
    <w:p w:rsidR="00001069" w:rsidRPr="00001069" w:rsidRDefault="00001069" w:rsidP="00001069">
      <w:pPr>
        <w:autoSpaceDE w:val="0"/>
        <w:autoSpaceDN w:val="0"/>
        <w:adjustRightInd w:val="0"/>
        <w:spacing w:after="0" w:line="240" w:lineRule="auto"/>
        <w:rPr>
          <w:rFonts w:cs="ProximaNovaA-Bold"/>
          <w:bCs/>
        </w:rPr>
      </w:pPr>
    </w:p>
    <w:p w:rsidR="00001069" w:rsidRPr="00001069" w:rsidRDefault="00001069" w:rsidP="00001069">
      <w:pPr>
        <w:autoSpaceDE w:val="0"/>
        <w:autoSpaceDN w:val="0"/>
        <w:adjustRightInd w:val="0"/>
        <w:spacing w:after="0" w:line="240" w:lineRule="auto"/>
        <w:rPr>
          <w:rFonts w:cs="ProximaNovaA-Light"/>
        </w:rPr>
      </w:pPr>
      <w:r w:rsidRPr="00001069">
        <w:rPr>
          <w:rFonts w:cs="ProximaNovaA-Light"/>
        </w:rPr>
        <w:t>The Executive Director Teaching and</w:t>
      </w:r>
      <w:r>
        <w:rPr>
          <w:rFonts w:cs="ProximaNovaA-Light"/>
        </w:rPr>
        <w:t xml:space="preserve"> </w:t>
      </w:r>
      <w:r w:rsidRPr="00001069">
        <w:rPr>
          <w:rFonts w:cs="ProximaNovaA-Light"/>
        </w:rPr>
        <w:t>Learning role ensures that Chisholm</w:t>
      </w:r>
      <w:r>
        <w:rPr>
          <w:rFonts w:cs="ProximaNovaA-Light"/>
        </w:rPr>
        <w:t xml:space="preserve"> </w:t>
      </w:r>
      <w:r w:rsidRPr="00001069">
        <w:rPr>
          <w:rFonts w:cs="ProximaNovaA-Light"/>
        </w:rPr>
        <w:t>provides the best possible education,</w:t>
      </w:r>
      <w:r>
        <w:rPr>
          <w:rFonts w:cs="ProximaNovaA-Light"/>
        </w:rPr>
        <w:t xml:space="preserve"> </w:t>
      </w:r>
      <w:r w:rsidRPr="00001069">
        <w:rPr>
          <w:rFonts w:cs="ProximaNovaA-Light"/>
        </w:rPr>
        <w:t>training and learning experiences for all</w:t>
      </w:r>
      <w:r>
        <w:rPr>
          <w:rFonts w:cs="ProximaNovaA-Light"/>
        </w:rPr>
        <w:t xml:space="preserve"> </w:t>
      </w:r>
      <w:r w:rsidRPr="00001069">
        <w:rPr>
          <w:rFonts w:cs="ProximaNovaA-Light"/>
        </w:rPr>
        <w:t>student groups and drives educational</w:t>
      </w:r>
      <w:r>
        <w:rPr>
          <w:rFonts w:cs="ProximaNovaA-Light"/>
        </w:rPr>
        <w:t xml:space="preserve"> </w:t>
      </w:r>
      <w:r w:rsidRPr="00001069">
        <w:rPr>
          <w:rFonts w:cs="ProximaNovaA-Light"/>
        </w:rPr>
        <w:t>excellence across the Institute. The</w:t>
      </w:r>
      <w:r>
        <w:rPr>
          <w:rFonts w:cs="ProximaNovaA-Light"/>
        </w:rPr>
        <w:t xml:space="preserve"> </w:t>
      </w:r>
      <w:r w:rsidRPr="00001069">
        <w:rPr>
          <w:rFonts w:cs="ProximaNovaA-Light"/>
        </w:rPr>
        <w:t>position is also responsible for ensuring</w:t>
      </w:r>
      <w:r>
        <w:rPr>
          <w:rFonts w:cs="ProximaNovaA-Light"/>
        </w:rPr>
        <w:t xml:space="preserve"> </w:t>
      </w:r>
      <w:r w:rsidRPr="00001069">
        <w:rPr>
          <w:rFonts w:cs="ProximaNovaA-Light"/>
        </w:rPr>
        <w:t>that the Institute provides high quality,</w:t>
      </w:r>
      <w:r>
        <w:rPr>
          <w:rFonts w:cs="ProximaNovaA-Light"/>
        </w:rPr>
        <w:t xml:space="preserve"> </w:t>
      </w:r>
      <w:r w:rsidRPr="00001069">
        <w:rPr>
          <w:rFonts w:cs="ProximaNovaA-Light"/>
        </w:rPr>
        <w:t>innovative and responsive education</w:t>
      </w:r>
      <w:r>
        <w:rPr>
          <w:rFonts w:cs="ProximaNovaA-Light"/>
        </w:rPr>
        <w:t xml:space="preserve"> </w:t>
      </w:r>
      <w:r w:rsidRPr="00001069">
        <w:rPr>
          <w:rFonts w:cs="ProximaNovaA-Light"/>
        </w:rPr>
        <w:t>and training that meets the needs of</w:t>
      </w:r>
      <w:r>
        <w:rPr>
          <w:rFonts w:cs="ProximaNovaA-Light"/>
        </w:rPr>
        <w:t xml:space="preserve"> </w:t>
      </w:r>
      <w:r w:rsidRPr="00001069">
        <w:rPr>
          <w:rFonts w:cs="ProximaNovaA-Light"/>
        </w:rPr>
        <w:t>students, industry and other clients.</w:t>
      </w:r>
    </w:p>
    <w:p w:rsidR="00001069" w:rsidRDefault="00001069" w:rsidP="00001069">
      <w:pPr>
        <w:autoSpaceDE w:val="0"/>
        <w:autoSpaceDN w:val="0"/>
        <w:adjustRightInd w:val="0"/>
        <w:spacing w:after="0" w:line="240" w:lineRule="auto"/>
        <w:rPr>
          <w:rFonts w:cs="ProximaNovaA-Light"/>
        </w:rPr>
      </w:pPr>
    </w:p>
    <w:p w:rsidR="00001069" w:rsidRPr="00001069" w:rsidRDefault="00001069" w:rsidP="00001069">
      <w:pPr>
        <w:autoSpaceDE w:val="0"/>
        <w:autoSpaceDN w:val="0"/>
        <w:adjustRightInd w:val="0"/>
        <w:spacing w:after="0" w:line="240" w:lineRule="auto"/>
        <w:rPr>
          <w:rFonts w:cs="ProximaNovaA-Light"/>
        </w:rPr>
      </w:pPr>
      <w:r w:rsidRPr="00001069">
        <w:rPr>
          <w:rFonts w:cs="ProximaNovaA-Light"/>
        </w:rPr>
        <w:t xml:space="preserve">1 </w:t>
      </w:r>
      <w:r>
        <w:rPr>
          <w:rFonts w:cs="ProximaNovaA-Light"/>
        </w:rPr>
        <w:t xml:space="preserve">January 2019 – 13 January 2019: </w:t>
      </w:r>
      <w:r w:rsidRPr="00001069">
        <w:rPr>
          <w:rFonts w:cs="ProximaNovaA-Light"/>
        </w:rPr>
        <w:t>(Vacant)</w:t>
      </w:r>
    </w:p>
    <w:p w:rsidR="00001069" w:rsidRDefault="00001069" w:rsidP="00001069">
      <w:pPr>
        <w:autoSpaceDE w:val="0"/>
        <w:autoSpaceDN w:val="0"/>
        <w:adjustRightInd w:val="0"/>
        <w:spacing w:after="0" w:line="240" w:lineRule="auto"/>
        <w:rPr>
          <w:rFonts w:cs="ProximaNovaA-Light"/>
        </w:rPr>
      </w:pPr>
    </w:p>
    <w:p w:rsidR="00001069" w:rsidRPr="00001069" w:rsidRDefault="00001069" w:rsidP="00001069">
      <w:pPr>
        <w:autoSpaceDE w:val="0"/>
        <w:autoSpaceDN w:val="0"/>
        <w:adjustRightInd w:val="0"/>
        <w:spacing w:after="0" w:line="240" w:lineRule="auto"/>
      </w:pPr>
      <w:r w:rsidRPr="00001069">
        <w:rPr>
          <w:rFonts w:cs="ProximaNovaA-Light"/>
        </w:rPr>
        <w:t>14 January 2019 – 12 July 2019:</w:t>
      </w:r>
      <w:r>
        <w:rPr>
          <w:rFonts w:cs="ProximaNovaA-Light"/>
        </w:rPr>
        <w:t xml:space="preserve"> </w:t>
      </w:r>
      <w:r w:rsidRPr="00001069">
        <w:rPr>
          <w:rFonts w:cs="ProximaNovaA-Light"/>
        </w:rPr>
        <w:t>Nita Schultz (Acting)</w:t>
      </w:r>
    </w:p>
    <w:p w:rsidR="00001069" w:rsidRDefault="00001069" w:rsidP="005942B8">
      <w:pPr>
        <w:pStyle w:val="NoSpacing"/>
      </w:pPr>
    </w:p>
    <w:p w:rsidR="00681D4D" w:rsidRDefault="00681D4D" w:rsidP="005942B8">
      <w:pPr>
        <w:pStyle w:val="NoSpacing"/>
      </w:pPr>
    </w:p>
    <w:p w:rsidR="00001069" w:rsidRPr="00001069" w:rsidRDefault="00001069" w:rsidP="00001069">
      <w:pPr>
        <w:pStyle w:val="Heading3"/>
      </w:pPr>
      <w:r w:rsidRPr="00001069">
        <w:t>Executive Director – Student Success &amp; Support</w:t>
      </w:r>
    </w:p>
    <w:p w:rsidR="00001069" w:rsidRPr="00001069" w:rsidRDefault="00001069" w:rsidP="00001069">
      <w:pPr>
        <w:autoSpaceDE w:val="0"/>
        <w:autoSpaceDN w:val="0"/>
        <w:adjustRightInd w:val="0"/>
        <w:spacing w:after="0" w:line="240" w:lineRule="auto"/>
        <w:rPr>
          <w:rFonts w:cs="ProximaNovaA-Bold"/>
          <w:bCs/>
        </w:rPr>
      </w:pPr>
    </w:p>
    <w:p w:rsidR="00001069" w:rsidRPr="00001069" w:rsidRDefault="00001069" w:rsidP="00001069">
      <w:pPr>
        <w:autoSpaceDE w:val="0"/>
        <w:autoSpaceDN w:val="0"/>
        <w:adjustRightInd w:val="0"/>
        <w:spacing w:after="0" w:line="240" w:lineRule="auto"/>
        <w:rPr>
          <w:rFonts w:cs="ProximaNovaA-Bold"/>
          <w:bCs/>
        </w:rPr>
      </w:pPr>
      <w:r w:rsidRPr="00001069">
        <w:rPr>
          <w:rFonts w:cs="ProximaNovaA-Bold"/>
          <w:bCs/>
        </w:rPr>
        <w:t>19 August 2019 – 31 December 2019: Jane McLennan</w:t>
      </w:r>
    </w:p>
    <w:p w:rsidR="00001069" w:rsidRPr="00001069" w:rsidRDefault="00001069" w:rsidP="00001069">
      <w:pPr>
        <w:autoSpaceDE w:val="0"/>
        <w:autoSpaceDN w:val="0"/>
        <w:adjustRightInd w:val="0"/>
        <w:spacing w:after="0" w:line="240" w:lineRule="auto"/>
        <w:rPr>
          <w:rFonts w:cs="ProximaNovaA-Light"/>
        </w:rPr>
      </w:pPr>
    </w:p>
    <w:p w:rsidR="00001069" w:rsidRPr="00001069" w:rsidRDefault="00001069" w:rsidP="00CC690B">
      <w:pPr>
        <w:autoSpaceDE w:val="0"/>
        <w:autoSpaceDN w:val="0"/>
        <w:adjustRightInd w:val="0"/>
        <w:spacing w:after="0" w:line="240" w:lineRule="auto"/>
      </w:pPr>
      <w:r w:rsidRPr="00001069">
        <w:rPr>
          <w:rFonts w:cs="ProximaNovaA-Light"/>
        </w:rPr>
        <w:t>The Executive Director Student Success</w:t>
      </w:r>
      <w:r w:rsidR="00CC690B">
        <w:rPr>
          <w:rFonts w:cs="ProximaNovaA-Light"/>
        </w:rPr>
        <w:t xml:space="preserve"> </w:t>
      </w:r>
      <w:r w:rsidRPr="00001069">
        <w:rPr>
          <w:rFonts w:cs="ProximaNovaA-Light"/>
        </w:rPr>
        <w:t>and Support is a new portfolio and role</w:t>
      </w:r>
      <w:r w:rsidR="00CC690B">
        <w:rPr>
          <w:rFonts w:cs="ProximaNovaA-Light"/>
        </w:rPr>
        <w:t xml:space="preserve"> </w:t>
      </w:r>
      <w:r w:rsidRPr="00001069">
        <w:rPr>
          <w:rFonts w:cs="ProximaNovaA-Light"/>
        </w:rPr>
        <w:t>created during 2019 with a focus on</w:t>
      </w:r>
      <w:r w:rsidR="00CC690B">
        <w:rPr>
          <w:rFonts w:cs="ProximaNovaA-Light"/>
        </w:rPr>
        <w:t xml:space="preserve"> </w:t>
      </w:r>
      <w:r w:rsidRPr="00001069">
        <w:rPr>
          <w:rFonts w:cs="ProximaNovaA-Light"/>
        </w:rPr>
        <w:t>ensuring seamless and enriching end-to-end student service provision. The</w:t>
      </w:r>
      <w:r w:rsidR="00CC690B">
        <w:rPr>
          <w:rFonts w:cs="ProximaNovaA-Light"/>
        </w:rPr>
        <w:t xml:space="preserve"> </w:t>
      </w:r>
      <w:r w:rsidRPr="00001069">
        <w:rPr>
          <w:rFonts w:cs="ProximaNovaA-Light"/>
        </w:rPr>
        <w:t>role drives revenue growth and student</w:t>
      </w:r>
      <w:r w:rsidR="00CC690B">
        <w:rPr>
          <w:rFonts w:cs="ProximaNovaA-Light"/>
        </w:rPr>
        <w:t xml:space="preserve"> </w:t>
      </w:r>
      <w:r w:rsidRPr="00001069">
        <w:rPr>
          <w:rFonts w:cs="ProximaNovaA-Light"/>
        </w:rPr>
        <w:t>retention in an increasingly competitive</w:t>
      </w:r>
      <w:r w:rsidR="00CC690B">
        <w:rPr>
          <w:rFonts w:cs="ProximaNovaA-Light"/>
        </w:rPr>
        <w:t xml:space="preserve"> </w:t>
      </w:r>
      <w:r w:rsidRPr="00001069">
        <w:rPr>
          <w:rFonts w:cs="ProximaNovaA-Light"/>
        </w:rPr>
        <w:t>national and international marketplace,</w:t>
      </w:r>
      <w:r w:rsidR="00CC690B">
        <w:rPr>
          <w:rFonts w:cs="ProximaNovaA-Light"/>
        </w:rPr>
        <w:t xml:space="preserve"> </w:t>
      </w:r>
      <w:r w:rsidRPr="00001069">
        <w:rPr>
          <w:rFonts w:cs="ProximaNovaA-Light"/>
        </w:rPr>
        <w:t>with focus aligned to Chisholm Institute’s</w:t>
      </w:r>
      <w:r w:rsidR="00CC690B">
        <w:rPr>
          <w:rFonts w:cs="ProximaNovaA-Light"/>
        </w:rPr>
        <w:t xml:space="preserve"> </w:t>
      </w:r>
      <w:r w:rsidRPr="00001069">
        <w:rPr>
          <w:rFonts w:cs="ProximaNovaA-Light"/>
        </w:rPr>
        <w:t>2020 vision.</w:t>
      </w:r>
    </w:p>
    <w:p w:rsidR="00001069" w:rsidRDefault="00001069" w:rsidP="005942B8">
      <w:pPr>
        <w:pStyle w:val="NoSpacing"/>
      </w:pPr>
    </w:p>
    <w:p w:rsidR="00155D5D" w:rsidRDefault="00155D5D" w:rsidP="005942B8">
      <w:pPr>
        <w:pStyle w:val="NoSpacing"/>
      </w:pPr>
      <w:r>
        <w:t>&lt;page</w:t>
      </w:r>
      <w:r w:rsidR="00CC690B">
        <w:t xml:space="preserve"> 37</w:t>
      </w:r>
      <w:r>
        <w:t>&gt;</w:t>
      </w:r>
    </w:p>
    <w:p w:rsidR="00155D5D" w:rsidRDefault="00155D5D" w:rsidP="005942B8">
      <w:pPr>
        <w:pStyle w:val="NoSpacing"/>
      </w:pPr>
    </w:p>
    <w:p w:rsidR="00155D5D" w:rsidRDefault="00155D5D" w:rsidP="00747175">
      <w:pPr>
        <w:pStyle w:val="Heading2"/>
      </w:pPr>
      <w:r>
        <w:t xml:space="preserve">Corporate Governance </w:t>
      </w:r>
    </w:p>
    <w:p w:rsidR="00155D5D" w:rsidRDefault="00155D5D" w:rsidP="005942B8">
      <w:pPr>
        <w:pStyle w:val="NoSpacing"/>
      </w:pPr>
    </w:p>
    <w:p w:rsidR="00155D5D" w:rsidRDefault="00155D5D" w:rsidP="005942B8">
      <w:pPr>
        <w:pStyle w:val="NoSpacing"/>
      </w:pPr>
      <w:r>
        <w:t>Chisholm Institute</w:t>
      </w:r>
      <w:r w:rsidR="00747175">
        <w:t xml:space="preserve"> and the governing Board of Chisholm Institute are established by the Education and Training Reform Act 2006 (Vic).</w:t>
      </w:r>
    </w:p>
    <w:p w:rsidR="00747175" w:rsidRDefault="00747175" w:rsidP="005942B8">
      <w:pPr>
        <w:pStyle w:val="NoSpacing"/>
      </w:pPr>
    </w:p>
    <w:p w:rsidR="00747175" w:rsidRPr="00747175" w:rsidRDefault="00747175" w:rsidP="00747175">
      <w:pPr>
        <w:autoSpaceDE w:val="0"/>
        <w:autoSpaceDN w:val="0"/>
        <w:adjustRightInd w:val="0"/>
        <w:spacing w:after="0" w:line="240" w:lineRule="auto"/>
        <w:rPr>
          <w:rFonts w:cstheme="minorHAnsi"/>
        </w:rPr>
      </w:pPr>
      <w:r w:rsidRPr="00747175">
        <w:rPr>
          <w:rFonts w:cstheme="minorHAnsi"/>
        </w:rPr>
        <w:lastRenderedPageBreak/>
        <w:t>Chisholm Institute is governed by a Board representative of government, industry and community. The Board’s governance structure includes a number of committees which support the work of the Board in executing its governance responsibilities:</w:t>
      </w:r>
    </w:p>
    <w:p w:rsidR="00747175" w:rsidRPr="00747175" w:rsidRDefault="00747175" w:rsidP="00747175">
      <w:pPr>
        <w:autoSpaceDE w:val="0"/>
        <w:autoSpaceDN w:val="0"/>
        <w:adjustRightInd w:val="0"/>
        <w:spacing w:after="0" w:line="240" w:lineRule="auto"/>
        <w:rPr>
          <w:rFonts w:cstheme="minorHAnsi"/>
        </w:rPr>
      </w:pPr>
    </w:p>
    <w:p w:rsidR="00747175" w:rsidRPr="00747175" w:rsidRDefault="00747175" w:rsidP="00747175">
      <w:pPr>
        <w:autoSpaceDE w:val="0"/>
        <w:autoSpaceDN w:val="0"/>
        <w:adjustRightInd w:val="0"/>
        <w:spacing w:after="0" w:line="240" w:lineRule="auto"/>
        <w:rPr>
          <w:rFonts w:cstheme="minorHAnsi"/>
        </w:rPr>
      </w:pPr>
      <w:r w:rsidRPr="00747175">
        <w:rPr>
          <w:rFonts w:cstheme="minorHAnsi"/>
        </w:rPr>
        <w:t>• Audit and Risk Management Committee</w:t>
      </w:r>
    </w:p>
    <w:p w:rsidR="00747175" w:rsidRPr="00747175" w:rsidRDefault="00747175" w:rsidP="00747175">
      <w:pPr>
        <w:autoSpaceDE w:val="0"/>
        <w:autoSpaceDN w:val="0"/>
        <w:adjustRightInd w:val="0"/>
        <w:spacing w:after="0" w:line="240" w:lineRule="auto"/>
        <w:rPr>
          <w:rFonts w:cstheme="minorHAnsi"/>
        </w:rPr>
      </w:pPr>
      <w:r w:rsidRPr="00747175">
        <w:rPr>
          <w:rFonts w:cstheme="minorHAnsi"/>
        </w:rPr>
        <w:t>• Education Committee</w:t>
      </w:r>
    </w:p>
    <w:p w:rsidR="00747175" w:rsidRPr="00747175" w:rsidRDefault="00747175" w:rsidP="00747175">
      <w:pPr>
        <w:autoSpaceDE w:val="0"/>
        <w:autoSpaceDN w:val="0"/>
        <w:adjustRightInd w:val="0"/>
        <w:spacing w:after="0" w:line="240" w:lineRule="auto"/>
        <w:rPr>
          <w:rFonts w:cstheme="minorHAnsi"/>
        </w:rPr>
      </w:pPr>
      <w:r w:rsidRPr="00747175">
        <w:rPr>
          <w:rFonts w:cstheme="minorHAnsi"/>
        </w:rPr>
        <w:t>• Infrastructure, Systems and Planning Committee</w:t>
      </w:r>
    </w:p>
    <w:p w:rsidR="00747175" w:rsidRPr="00747175" w:rsidRDefault="00747175" w:rsidP="00747175">
      <w:pPr>
        <w:autoSpaceDE w:val="0"/>
        <w:autoSpaceDN w:val="0"/>
        <w:adjustRightInd w:val="0"/>
        <w:spacing w:after="0" w:line="240" w:lineRule="auto"/>
        <w:rPr>
          <w:rFonts w:cstheme="minorHAnsi"/>
        </w:rPr>
      </w:pPr>
      <w:r w:rsidRPr="00747175">
        <w:rPr>
          <w:rFonts w:cstheme="minorHAnsi"/>
        </w:rPr>
        <w:t>• Remuneration Committee</w:t>
      </w:r>
    </w:p>
    <w:p w:rsidR="00747175" w:rsidRPr="00747175" w:rsidRDefault="00747175" w:rsidP="00747175">
      <w:pPr>
        <w:autoSpaceDE w:val="0"/>
        <w:autoSpaceDN w:val="0"/>
        <w:adjustRightInd w:val="0"/>
        <w:spacing w:after="0" w:line="240" w:lineRule="auto"/>
        <w:rPr>
          <w:rFonts w:cstheme="minorHAnsi"/>
        </w:rPr>
      </w:pPr>
      <w:r w:rsidRPr="00747175">
        <w:rPr>
          <w:rFonts w:cstheme="minorHAnsi"/>
        </w:rPr>
        <w:t>• Membership Committee.</w:t>
      </w:r>
    </w:p>
    <w:p w:rsidR="00747175" w:rsidRPr="00747175" w:rsidRDefault="00747175" w:rsidP="00747175">
      <w:pPr>
        <w:autoSpaceDE w:val="0"/>
        <w:autoSpaceDN w:val="0"/>
        <w:adjustRightInd w:val="0"/>
        <w:spacing w:after="0" w:line="240" w:lineRule="auto"/>
        <w:rPr>
          <w:rFonts w:cstheme="minorHAnsi"/>
        </w:rPr>
      </w:pPr>
    </w:p>
    <w:p w:rsidR="00747175" w:rsidRDefault="00747175" w:rsidP="00747175">
      <w:pPr>
        <w:autoSpaceDE w:val="0"/>
        <w:autoSpaceDN w:val="0"/>
        <w:adjustRightInd w:val="0"/>
        <w:spacing w:after="0" w:line="240" w:lineRule="auto"/>
        <w:rPr>
          <w:rFonts w:cstheme="minorHAnsi"/>
        </w:rPr>
      </w:pPr>
      <w:r w:rsidRPr="00747175">
        <w:rPr>
          <w:rFonts w:cstheme="minorHAnsi"/>
        </w:rPr>
        <w:t>The Board is ultimately responsible to the</w:t>
      </w:r>
      <w:r>
        <w:rPr>
          <w:rFonts w:cstheme="minorHAnsi"/>
        </w:rPr>
        <w:t xml:space="preserve"> </w:t>
      </w:r>
      <w:r w:rsidRPr="00747175">
        <w:rPr>
          <w:rFonts w:cstheme="minorHAnsi"/>
        </w:rPr>
        <w:t>Victorian Government for the governance</w:t>
      </w:r>
      <w:r>
        <w:rPr>
          <w:rFonts w:cstheme="minorHAnsi"/>
        </w:rPr>
        <w:t xml:space="preserve"> </w:t>
      </w:r>
      <w:r w:rsidRPr="00747175">
        <w:rPr>
          <w:rFonts w:cstheme="minorHAnsi"/>
        </w:rPr>
        <w:t>and management of the Institute and is</w:t>
      </w:r>
      <w:r>
        <w:rPr>
          <w:rFonts w:cstheme="minorHAnsi"/>
        </w:rPr>
        <w:t xml:space="preserve"> </w:t>
      </w:r>
      <w:r w:rsidRPr="00747175">
        <w:rPr>
          <w:rFonts w:cstheme="minorHAnsi"/>
        </w:rPr>
        <w:t>accountable to the relevant Victorian</w:t>
      </w:r>
      <w:r>
        <w:rPr>
          <w:rFonts w:cstheme="minorHAnsi"/>
        </w:rPr>
        <w:t xml:space="preserve"> </w:t>
      </w:r>
      <w:r w:rsidRPr="00747175">
        <w:rPr>
          <w:rFonts w:cstheme="minorHAnsi"/>
        </w:rPr>
        <w:t>Minister with accountability for Higher</w:t>
      </w:r>
      <w:r>
        <w:rPr>
          <w:rFonts w:cstheme="minorHAnsi"/>
        </w:rPr>
        <w:t xml:space="preserve"> </w:t>
      </w:r>
      <w:r w:rsidRPr="00747175">
        <w:rPr>
          <w:rFonts w:cstheme="minorHAnsi"/>
        </w:rPr>
        <w:t>Education and Skills.</w:t>
      </w:r>
    </w:p>
    <w:p w:rsidR="00747175" w:rsidRDefault="00747175" w:rsidP="00747175">
      <w:pPr>
        <w:autoSpaceDE w:val="0"/>
        <w:autoSpaceDN w:val="0"/>
        <w:adjustRightInd w:val="0"/>
        <w:spacing w:after="0" w:line="240" w:lineRule="auto"/>
        <w:rPr>
          <w:rFonts w:cstheme="minorHAnsi"/>
        </w:rPr>
      </w:pPr>
    </w:p>
    <w:p w:rsidR="00747175" w:rsidRDefault="00747175" w:rsidP="00747175">
      <w:pPr>
        <w:pStyle w:val="Heading3"/>
      </w:pPr>
      <w:r>
        <w:t>Objectives, functions, powers and duties</w:t>
      </w:r>
    </w:p>
    <w:p w:rsidR="00747175" w:rsidRDefault="00747175" w:rsidP="00747175">
      <w:pPr>
        <w:autoSpaceDE w:val="0"/>
        <w:autoSpaceDN w:val="0"/>
        <w:adjustRightInd w:val="0"/>
        <w:spacing w:after="0" w:line="240" w:lineRule="auto"/>
        <w:rPr>
          <w:rFonts w:cstheme="minorHAnsi"/>
        </w:rPr>
      </w:pPr>
    </w:p>
    <w:p w:rsidR="00747175" w:rsidRDefault="00747175" w:rsidP="00747175">
      <w:pPr>
        <w:autoSpaceDE w:val="0"/>
        <w:autoSpaceDN w:val="0"/>
        <w:adjustRightInd w:val="0"/>
        <w:spacing w:after="0" w:line="240" w:lineRule="auto"/>
        <w:rPr>
          <w:rFonts w:cstheme="minorHAnsi"/>
        </w:rPr>
      </w:pPr>
      <w:r>
        <w:rPr>
          <w:rFonts w:cstheme="minorHAnsi"/>
        </w:rPr>
        <w:t>The objectives of the Institute established by the Act and that Chisholm Institute Constitution are:</w:t>
      </w:r>
    </w:p>
    <w:p w:rsidR="00747175" w:rsidRDefault="00747175" w:rsidP="00747175">
      <w:pPr>
        <w:autoSpaceDE w:val="0"/>
        <w:autoSpaceDN w:val="0"/>
        <w:adjustRightInd w:val="0"/>
        <w:spacing w:after="0" w:line="240" w:lineRule="auto"/>
        <w:rPr>
          <w:rFonts w:cstheme="minorHAnsi"/>
        </w:rPr>
      </w:pPr>
    </w:p>
    <w:p w:rsidR="00747175" w:rsidRDefault="00747175" w:rsidP="00747175">
      <w:pPr>
        <w:pStyle w:val="ListParagraph"/>
        <w:numPr>
          <w:ilvl w:val="0"/>
          <w:numId w:val="1"/>
        </w:numPr>
        <w:autoSpaceDE w:val="0"/>
        <w:autoSpaceDN w:val="0"/>
        <w:adjustRightInd w:val="0"/>
        <w:spacing w:after="0" w:line="240" w:lineRule="auto"/>
        <w:rPr>
          <w:rFonts w:cstheme="minorHAnsi"/>
        </w:rPr>
      </w:pPr>
      <w:r>
        <w:rPr>
          <w:rFonts w:cstheme="minorHAnsi"/>
        </w:rPr>
        <w:t>To perform its functions for the public benefit by operating its businesses, delivering educational services and utilising assets that it manages on the state’s behalf as efficiently as possible and ensuring that it is sustainable in the medium to long term</w:t>
      </w:r>
    </w:p>
    <w:p w:rsidR="00747175" w:rsidRDefault="00747175" w:rsidP="00747175">
      <w:pPr>
        <w:pStyle w:val="ListParagraph"/>
        <w:numPr>
          <w:ilvl w:val="0"/>
          <w:numId w:val="1"/>
        </w:numPr>
        <w:autoSpaceDE w:val="0"/>
        <w:autoSpaceDN w:val="0"/>
        <w:adjustRightInd w:val="0"/>
        <w:spacing w:after="0" w:line="240" w:lineRule="auto"/>
        <w:rPr>
          <w:rFonts w:cstheme="minorHAnsi"/>
        </w:rPr>
      </w:pPr>
      <w:r>
        <w:rPr>
          <w:rFonts w:cstheme="minorHAnsi"/>
        </w:rPr>
        <w:t>Ensuring that its procedures, policies and practices are consistent with prudent commercial practice and endeavouring to maximise its contribution to the economy and wellbeing of the communities and industries served by the Institute and the state as a whole</w:t>
      </w:r>
    </w:p>
    <w:p w:rsidR="00747175" w:rsidRDefault="00747175" w:rsidP="00747175">
      <w:pPr>
        <w:pStyle w:val="ListParagraph"/>
        <w:numPr>
          <w:ilvl w:val="0"/>
          <w:numId w:val="1"/>
        </w:numPr>
        <w:autoSpaceDE w:val="0"/>
        <w:autoSpaceDN w:val="0"/>
        <w:adjustRightInd w:val="0"/>
        <w:spacing w:after="0" w:line="240" w:lineRule="auto"/>
        <w:rPr>
          <w:rFonts w:cstheme="minorHAnsi"/>
        </w:rPr>
      </w:pPr>
      <w:r>
        <w:rPr>
          <w:rFonts w:cstheme="minorHAnsi"/>
        </w:rPr>
        <w:t>To facilitate student learning, knowledge acquisition, skills for employment and vocational education and training through excellent teaching, innovation and educational leadership that delivers quality outcomes</w:t>
      </w:r>
    </w:p>
    <w:p w:rsidR="00747175" w:rsidRDefault="00747175" w:rsidP="00747175">
      <w:pPr>
        <w:pStyle w:val="ListParagraph"/>
        <w:numPr>
          <w:ilvl w:val="0"/>
          <w:numId w:val="1"/>
        </w:numPr>
        <w:autoSpaceDE w:val="0"/>
        <w:autoSpaceDN w:val="0"/>
        <w:adjustRightInd w:val="0"/>
        <w:spacing w:after="0" w:line="240" w:lineRule="auto"/>
        <w:rPr>
          <w:rFonts w:cstheme="minorHAnsi"/>
        </w:rPr>
      </w:pPr>
      <w:r>
        <w:rPr>
          <w:rFonts w:cstheme="minorHAnsi"/>
        </w:rPr>
        <w:t xml:space="preserve">To collaborate as part of a strong public training provider network which is mutually and commercially beneficial to enable the Institute to offer or provide educational services that meet the needs of industry partners and communities, including </w:t>
      </w:r>
      <w:r w:rsidR="009F4529">
        <w:rPr>
          <w:rFonts w:cstheme="minorHAnsi"/>
        </w:rPr>
        <w:t>persons and groups that have particular education needs</w:t>
      </w:r>
    </w:p>
    <w:p w:rsidR="009F4529" w:rsidRDefault="009F4529" w:rsidP="00747175">
      <w:pPr>
        <w:pStyle w:val="ListParagraph"/>
        <w:numPr>
          <w:ilvl w:val="0"/>
          <w:numId w:val="1"/>
        </w:numPr>
        <w:autoSpaceDE w:val="0"/>
        <w:autoSpaceDN w:val="0"/>
        <w:adjustRightInd w:val="0"/>
        <w:spacing w:after="0" w:line="240" w:lineRule="auto"/>
        <w:rPr>
          <w:rFonts w:cstheme="minorHAnsi"/>
        </w:rPr>
      </w:pPr>
      <w:r>
        <w:rPr>
          <w:rFonts w:cstheme="minorHAnsi"/>
        </w:rPr>
        <w:t>To facilitate higher education through excellent teaching, innovation and educational leadership that delivers quality outcome</w:t>
      </w:r>
    </w:p>
    <w:p w:rsidR="009F4529" w:rsidRDefault="009F4529" w:rsidP="009F4529">
      <w:pPr>
        <w:pStyle w:val="ListParagraph"/>
        <w:numPr>
          <w:ilvl w:val="0"/>
          <w:numId w:val="1"/>
        </w:numPr>
        <w:autoSpaceDE w:val="0"/>
        <w:autoSpaceDN w:val="0"/>
        <w:adjustRightInd w:val="0"/>
        <w:spacing w:after="0" w:line="240" w:lineRule="auto"/>
        <w:rPr>
          <w:rFonts w:cstheme="minorHAnsi"/>
        </w:rPr>
      </w:pPr>
      <w:r>
        <w:rPr>
          <w:rFonts w:cstheme="minorHAnsi"/>
        </w:rPr>
        <w:t>To facilitate increasing opportunities for apprenticeships and traineeships across the relevant Australian industry sectors.</w:t>
      </w:r>
    </w:p>
    <w:p w:rsidR="009F4529" w:rsidRDefault="009F4529" w:rsidP="009F4529">
      <w:pPr>
        <w:autoSpaceDE w:val="0"/>
        <w:autoSpaceDN w:val="0"/>
        <w:adjustRightInd w:val="0"/>
        <w:spacing w:after="0" w:line="240" w:lineRule="auto"/>
        <w:rPr>
          <w:rFonts w:cstheme="minorHAnsi"/>
        </w:rPr>
      </w:pPr>
    </w:p>
    <w:p w:rsidR="009F4529" w:rsidRDefault="009F4529" w:rsidP="009F4529">
      <w:pPr>
        <w:autoSpaceDE w:val="0"/>
        <w:autoSpaceDN w:val="0"/>
        <w:adjustRightInd w:val="0"/>
        <w:spacing w:after="0" w:line="240" w:lineRule="auto"/>
        <w:rPr>
          <w:rFonts w:cstheme="minorHAnsi"/>
        </w:rPr>
      </w:pPr>
      <w:r>
        <w:rPr>
          <w:rFonts w:cstheme="minorHAnsi"/>
        </w:rPr>
        <w:t>The functions of Chisholm Institute are:</w:t>
      </w:r>
    </w:p>
    <w:p w:rsidR="009F4529" w:rsidRDefault="009F4529" w:rsidP="009F4529">
      <w:pPr>
        <w:autoSpaceDE w:val="0"/>
        <w:autoSpaceDN w:val="0"/>
        <w:adjustRightInd w:val="0"/>
        <w:spacing w:after="0" w:line="240" w:lineRule="auto"/>
        <w:rPr>
          <w:rFonts w:cstheme="minorHAnsi"/>
        </w:rPr>
      </w:pPr>
    </w:p>
    <w:p w:rsidR="009F4529" w:rsidRPr="009F4529" w:rsidRDefault="009F4529" w:rsidP="00292DBB">
      <w:pPr>
        <w:pStyle w:val="ListParagraph"/>
        <w:numPr>
          <w:ilvl w:val="0"/>
          <w:numId w:val="2"/>
        </w:numPr>
        <w:autoSpaceDE w:val="0"/>
        <w:autoSpaceDN w:val="0"/>
        <w:adjustRightInd w:val="0"/>
        <w:spacing w:after="0" w:line="240" w:lineRule="auto"/>
        <w:rPr>
          <w:rFonts w:cstheme="minorHAnsi"/>
        </w:rPr>
      </w:pPr>
      <w:r w:rsidRPr="009F4529">
        <w:rPr>
          <w:rFonts w:cstheme="minorHAnsi"/>
        </w:rPr>
        <w:t>to provide the communities and industries serviced by the Institute with efficient and effective technical and further education programs</w:t>
      </w:r>
      <w:r>
        <w:rPr>
          <w:rFonts w:cstheme="minorHAnsi"/>
        </w:rPr>
        <w:t xml:space="preserve"> </w:t>
      </w:r>
      <w:r w:rsidRPr="009F4529">
        <w:rPr>
          <w:rFonts w:cstheme="minorHAnsi"/>
        </w:rPr>
        <w:t xml:space="preserve">and services </w:t>
      </w:r>
    </w:p>
    <w:p w:rsidR="009F4529" w:rsidRPr="009F4529" w:rsidRDefault="009F4529" w:rsidP="009F4529">
      <w:pPr>
        <w:pStyle w:val="ListParagraph"/>
        <w:numPr>
          <w:ilvl w:val="0"/>
          <w:numId w:val="2"/>
        </w:numPr>
        <w:autoSpaceDE w:val="0"/>
        <w:autoSpaceDN w:val="0"/>
        <w:adjustRightInd w:val="0"/>
        <w:spacing w:after="0" w:line="240" w:lineRule="auto"/>
        <w:rPr>
          <w:rFonts w:cstheme="minorHAnsi"/>
        </w:rPr>
      </w:pPr>
      <w:r w:rsidRPr="009F4529">
        <w:rPr>
          <w:rFonts w:cstheme="minorHAnsi"/>
        </w:rPr>
        <w:t xml:space="preserve">to offer and conduct courses of study leading to the conferral of higher education awards </w:t>
      </w:r>
    </w:p>
    <w:p w:rsidR="009F4529" w:rsidRDefault="009F4529" w:rsidP="009F4529">
      <w:pPr>
        <w:pStyle w:val="ListParagraph"/>
        <w:numPr>
          <w:ilvl w:val="0"/>
          <w:numId w:val="2"/>
        </w:numPr>
        <w:autoSpaceDE w:val="0"/>
        <w:autoSpaceDN w:val="0"/>
        <w:adjustRightInd w:val="0"/>
        <w:spacing w:after="0" w:line="240" w:lineRule="auto"/>
        <w:rPr>
          <w:rFonts w:cstheme="minorHAnsi"/>
        </w:rPr>
      </w:pPr>
      <w:r w:rsidRPr="009F4529">
        <w:rPr>
          <w:rFonts w:cstheme="minorHAnsi"/>
        </w:rPr>
        <w:t>subject to the requirements of the Act, to operate as a group training organisation that  employs</w:t>
      </w:r>
      <w:r>
        <w:rPr>
          <w:rFonts w:cstheme="minorHAnsi"/>
        </w:rPr>
        <w:t xml:space="preserve"> </w:t>
      </w:r>
      <w:r w:rsidRPr="009F4529">
        <w:rPr>
          <w:rFonts w:cstheme="minorHAnsi"/>
        </w:rPr>
        <w:t>apprentices and other trainees and</w:t>
      </w:r>
      <w:r>
        <w:rPr>
          <w:rFonts w:cstheme="minorHAnsi"/>
        </w:rPr>
        <w:t xml:space="preserve"> </w:t>
      </w:r>
      <w:r w:rsidRPr="009F4529">
        <w:rPr>
          <w:rFonts w:cstheme="minorHAnsi"/>
        </w:rPr>
        <w:t>places them with host employers.</w:t>
      </w:r>
    </w:p>
    <w:p w:rsidR="00656410" w:rsidRDefault="00656410" w:rsidP="00656410">
      <w:pPr>
        <w:autoSpaceDE w:val="0"/>
        <w:autoSpaceDN w:val="0"/>
        <w:adjustRightInd w:val="0"/>
        <w:spacing w:after="0" w:line="240" w:lineRule="auto"/>
        <w:rPr>
          <w:rFonts w:cstheme="minorHAnsi"/>
        </w:rPr>
      </w:pPr>
    </w:p>
    <w:p w:rsidR="00656410" w:rsidRDefault="00656410" w:rsidP="00656410">
      <w:pPr>
        <w:autoSpaceDE w:val="0"/>
        <w:autoSpaceDN w:val="0"/>
        <w:adjustRightInd w:val="0"/>
        <w:spacing w:after="0" w:line="240" w:lineRule="auto"/>
        <w:rPr>
          <w:rFonts w:cstheme="minorHAnsi"/>
        </w:rPr>
      </w:pPr>
      <w:r>
        <w:rPr>
          <w:rFonts w:cstheme="minorHAnsi"/>
        </w:rPr>
        <w:t>The Institute has the power to do all things necessary or convenient to be done for or in connection with, or as incidental to, meeting its objectives or performing its functions.</w:t>
      </w:r>
    </w:p>
    <w:p w:rsidR="00656410" w:rsidRDefault="00656410" w:rsidP="00656410">
      <w:pPr>
        <w:autoSpaceDE w:val="0"/>
        <w:autoSpaceDN w:val="0"/>
        <w:adjustRightInd w:val="0"/>
        <w:spacing w:after="0" w:line="240" w:lineRule="auto"/>
        <w:rPr>
          <w:rFonts w:cstheme="minorHAnsi"/>
        </w:rPr>
      </w:pPr>
      <w:r>
        <w:rPr>
          <w:rFonts w:cstheme="minorHAnsi"/>
        </w:rPr>
        <w:t>However, the powers of Chisholm Institute are subject to, and must be exercised in accordance with the functions, duties and obligations conferred or imposed on the Institute by:</w:t>
      </w:r>
    </w:p>
    <w:p w:rsidR="00656410" w:rsidRDefault="00656410" w:rsidP="00656410">
      <w:pPr>
        <w:autoSpaceDE w:val="0"/>
        <w:autoSpaceDN w:val="0"/>
        <w:adjustRightInd w:val="0"/>
        <w:spacing w:after="0" w:line="240" w:lineRule="auto"/>
        <w:rPr>
          <w:rFonts w:cstheme="minorHAnsi"/>
        </w:rPr>
      </w:pPr>
    </w:p>
    <w:p w:rsidR="00656410" w:rsidRDefault="00656410" w:rsidP="00656410">
      <w:pPr>
        <w:pStyle w:val="ListParagraph"/>
        <w:numPr>
          <w:ilvl w:val="0"/>
          <w:numId w:val="3"/>
        </w:numPr>
        <w:autoSpaceDE w:val="0"/>
        <w:autoSpaceDN w:val="0"/>
        <w:adjustRightInd w:val="0"/>
        <w:spacing w:after="0" w:line="240" w:lineRule="auto"/>
        <w:rPr>
          <w:rFonts w:cstheme="minorHAnsi"/>
        </w:rPr>
      </w:pPr>
      <w:r>
        <w:rPr>
          <w:rFonts w:cstheme="minorHAnsi"/>
        </w:rPr>
        <w:t>the Act and other laws</w:t>
      </w:r>
    </w:p>
    <w:p w:rsidR="00656410" w:rsidRDefault="00656410" w:rsidP="00656410">
      <w:pPr>
        <w:pStyle w:val="ListParagraph"/>
        <w:numPr>
          <w:ilvl w:val="0"/>
          <w:numId w:val="3"/>
        </w:numPr>
        <w:autoSpaceDE w:val="0"/>
        <w:autoSpaceDN w:val="0"/>
        <w:adjustRightInd w:val="0"/>
        <w:spacing w:after="0" w:line="240" w:lineRule="auto"/>
        <w:rPr>
          <w:rFonts w:cstheme="minorHAnsi"/>
        </w:rPr>
      </w:pPr>
      <w:r>
        <w:rPr>
          <w:rFonts w:cstheme="minorHAnsi"/>
        </w:rPr>
        <w:t xml:space="preserve">the Constitution </w:t>
      </w:r>
    </w:p>
    <w:p w:rsidR="00656410" w:rsidRDefault="00656410" w:rsidP="00656410">
      <w:pPr>
        <w:pStyle w:val="ListParagraph"/>
        <w:numPr>
          <w:ilvl w:val="0"/>
          <w:numId w:val="3"/>
        </w:numPr>
        <w:autoSpaceDE w:val="0"/>
        <w:autoSpaceDN w:val="0"/>
        <w:adjustRightInd w:val="0"/>
        <w:spacing w:after="0" w:line="240" w:lineRule="auto"/>
        <w:rPr>
          <w:rFonts w:cstheme="minorHAnsi"/>
        </w:rPr>
      </w:pPr>
      <w:r>
        <w:rPr>
          <w:rFonts w:cstheme="minorHAnsi"/>
        </w:rPr>
        <w:lastRenderedPageBreak/>
        <w:t>Ministerial and government directions and guidelines under the Act and other legislation, laws and conventions</w:t>
      </w:r>
    </w:p>
    <w:p w:rsidR="00656410" w:rsidRDefault="00656410" w:rsidP="00656410">
      <w:pPr>
        <w:pStyle w:val="ListParagraph"/>
        <w:numPr>
          <w:ilvl w:val="0"/>
          <w:numId w:val="3"/>
        </w:numPr>
        <w:autoSpaceDE w:val="0"/>
        <w:autoSpaceDN w:val="0"/>
        <w:adjustRightInd w:val="0"/>
        <w:spacing w:after="0" w:line="240" w:lineRule="auto"/>
        <w:rPr>
          <w:rFonts w:cstheme="minorHAnsi"/>
        </w:rPr>
      </w:pPr>
      <w:r>
        <w:rPr>
          <w:rFonts w:cstheme="minorHAnsi"/>
        </w:rPr>
        <w:t>The general administrative, social and economic directives and policies established by the Victorian Government from time to time.</w:t>
      </w:r>
    </w:p>
    <w:p w:rsidR="00656410" w:rsidRDefault="00656410" w:rsidP="00656410">
      <w:pPr>
        <w:autoSpaceDE w:val="0"/>
        <w:autoSpaceDN w:val="0"/>
        <w:adjustRightInd w:val="0"/>
        <w:spacing w:after="0" w:line="240" w:lineRule="auto"/>
        <w:rPr>
          <w:rFonts w:cstheme="minorHAnsi"/>
        </w:rPr>
      </w:pPr>
      <w:r>
        <w:rPr>
          <w:rFonts w:cstheme="minorHAnsi"/>
        </w:rPr>
        <w:t>The Chisholm Institute Board must take all reasonable steps for the advancement of the objectives or the Institute, while operating in accordance with the economic and social objectives and public sector policy established from time to time by the Minister. While meeting its objectives, the Board is also required to comply with the Chisholm Institute Constitution and provide all assistance and information to the Minister or the Minister’s delegates.</w:t>
      </w:r>
    </w:p>
    <w:p w:rsidR="00656410" w:rsidRDefault="00656410" w:rsidP="00656410">
      <w:pPr>
        <w:autoSpaceDE w:val="0"/>
        <w:autoSpaceDN w:val="0"/>
        <w:adjustRightInd w:val="0"/>
        <w:spacing w:after="0" w:line="240" w:lineRule="auto"/>
        <w:rPr>
          <w:rFonts w:cstheme="minorHAnsi"/>
        </w:rPr>
      </w:pPr>
    </w:p>
    <w:p w:rsidR="00656410" w:rsidRDefault="00656410" w:rsidP="00B10955">
      <w:pPr>
        <w:pStyle w:val="Heading3"/>
      </w:pPr>
      <w:r>
        <w:t>Audit and Risk Management Committee</w:t>
      </w:r>
    </w:p>
    <w:p w:rsidR="00B10955" w:rsidRDefault="00B10955" w:rsidP="00656410">
      <w:pPr>
        <w:autoSpaceDE w:val="0"/>
        <w:autoSpaceDN w:val="0"/>
        <w:adjustRightInd w:val="0"/>
        <w:spacing w:after="0" w:line="240" w:lineRule="auto"/>
        <w:rPr>
          <w:rFonts w:cstheme="minorHAnsi"/>
        </w:rPr>
      </w:pPr>
    </w:p>
    <w:p w:rsidR="00B10955" w:rsidRDefault="00B10955" w:rsidP="00656410">
      <w:pPr>
        <w:autoSpaceDE w:val="0"/>
        <w:autoSpaceDN w:val="0"/>
        <w:adjustRightInd w:val="0"/>
        <w:spacing w:after="0" w:line="240" w:lineRule="auto"/>
        <w:rPr>
          <w:rFonts w:cstheme="minorHAnsi"/>
        </w:rPr>
      </w:pPr>
      <w:r>
        <w:rPr>
          <w:rFonts w:cstheme="minorHAnsi"/>
        </w:rPr>
        <w:t>The Board has established an Audit and Risk Management Committee with responsibilities to assist the Board in ensuring that appropriate governance is implemented across the Institute and relevant controlled entities in relation to internal control and risk management, and external and internal audit, and to independently review the financial statements prior to recommending them to the Board for adoption and approval and release to Parliament.</w:t>
      </w:r>
    </w:p>
    <w:p w:rsidR="00B10955" w:rsidRDefault="00B10955" w:rsidP="00656410">
      <w:pPr>
        <w:autoSpaceDE w:val="0"/>
        <w:autoSpaceDN w:val="0"/>
        <w:adjustRightInd w:val="0"/>
        <w:spacing w:after="0" w:line="240" w:lineRule="auto"/>
        <w:rPr>
          <w:rFonts w:cstheme="minorHAnsi"/>
        </w:rPr>
      </w:pPr>
    </w:p>
    <w:p w:rsidR="00B10955" w:rsidRDefault="00B10955" w:rsidP="00656410">
      <w:pPr>
        <w:autoSpaceDE w:val="0"/>
        <w:autoSpaceDN w:val="0"/>
        <w:adjustRightInd w:val="0"/>
        <w:spacing w:after="0" w:line="240" w:lineRule="auto"/>
        <w:rPr>
          <w:rFonts w:cstheme="minorHAnsi"/>
        </w:rPr>
      </w:pPr>
      <w:r>
        <w:rPr>
          <w:rFonts w:cstheme="minorHAnsi"/>
        </w:rPr>
        <w:t>&lt;page</w:t>
      </w:r>
      <w:r w:rsidR="00CC690B">
        <w:rPr>
          <w:rFonts w:cstheme="minorHAnsi"/>
        </w:rPr>
        <w:t xml:space="preserve"> 38</w:t>
      </w:r>
      <w:r>
        <w:rPr>
          <w:rFonts w:cstheme="minorHAnsi"/>
        </w:rPr>
        <w:t>&gt;</w:t>
      </w:r>
    </w:p>
    <w:p w:rsidR="00B10955" w:rsidRDefault="00B10955" w:rsidP="00656410">
      <w:pPr>
        <w:autoSpaceDE w:val="0"/>
        <w:autoSpaceDN w:val="0"/>
        <w:adjustRightInd w:val="0"/>
        <w:spacing w:after="0" w:line="240" w:lineRule="auto"/>
        <w:rPr>
          <w:rFonts w:cstheme="minorHAnsi"/>
        </w:rPr>
      </w:pPr>
    </w:p>
    <w:p w:rsidR="00B10955" w:rsidRDefault="00B10955" w:rsidP="00B10955">
      <w:pPr>
        <w:pStyle w:val="Heading2"/>
      </w:pPr>
      <w:r>
        <w:t>Board Committees Chart and Membership</w:t>
      </w:r>
    </w:p>
    <w:p w:rsidR="00B10955" w:rsidRDefault="00B10955" w:rsidP="00656410">
      <w:pPr>
        <w:autoSpaceDE w:val="0"/>
        <w:autoSpaceDN w:val="0"/>
        <w:adjustRightInd w:val="0"/>
        <w:spacing w:after="0" w:line="240" w:lineRule="auto"/>
        <w:rPr>
          <w:rFonts w:cstheme="minorHAnsi"/>
        </w:rPr>
      </w:pPr>
    </w:p>
    <w:p w:rsidR="00B10955" w:rsidRDefault="00B10955" w:rsidP="00656410">
      <w:pPr>
        <w:autoSpaceDE w:val="0"/>
        <w:autoSpaceDN w:val="0"/>
        <w:adjustRightInd w:val="0"/>
        <w:spacing w:after="0" w:line="240" w:lineRule="auto"/>
        <w:rPr>
          <w:rFonts w:cstheme="minorHAnsi"/>
        </w:rPr>
      </w:pPr>
      <w:r>
        <w:rPr>
          <w:rFonts w:cstheme="minorHAnsi"/>
        </w:rPr>
        <w:t>Board</w:t>
      </w:r>
    </w:p>
    <w:p w:rsidR="00B10955" w:rsidRDefault="00B10955" w:rsidP="00656410">
      <w:pPr>
        <w:autoSpaceDE w:val="0"/>
        <w:autoSpaceDN w:val="0"/>
        <w:adjustRightInd w:val="0"/>
        <w:spacing w:after="0" w:line="240" w:lineRule="auto"/>
        <w:rPr>
          <w:rFonts w:cstheme="minorHAnsi"/>
        </w:rPr>
      </w:pPr>
    </w:p>
    <w:p w:rsidR="00B10955" w:rsidRDefault="00B10955" w:rsidP="00656410">
      <w:pPr>
        <w:autoSpaceDE w:val="0"/>
        <w:autoSpaceDN w:val="0"/>
        <w:adjustRightInd w:val="0"/>
        <w:spacing w:after="0" w:line="240" w:lineRule="auto"/>
        <w:rPr>
          <w:rFonts w:cstheme="minorHAnsi"/>
        </w:rPr>
      </w:pPr>
      <w:r>
        <w:rPr>
          <w:rFonts w:cstheme="minorHAnsi"/>
        </w:rPr>
        <w:t>Audit and Risk Management Committee</w:t>
      </w:r>
    </w:p>
    <w:p w:rsidR="00B10955" w:rsidRDefault="00B10955" w:rsidP="00656410">
      <w:pPr>
        <w:autoSpaceDE w:val="0"/>
        <w:autoSpaceDN w:val="0"/>
        <w:adjustRightInd w:val="0"/>
        <w:spacing w:after="0" w:line="240" w:lineRule="auto"/>
        <w:rPr>
          <w:rFonts w:cstheme="minorHAnsi"/>
        </w:rPr>
      </w:pPr>
      <w:r>
        <w:rPr>
          <w:rFonts w:cstheme="minorHAnsi"/>
        </w:rPr>
        <w:t>Education Committee</w:t>
      </w:r>
    </w:p>
    <w:p w:rsidR="00B10955" w:rsidRDefault="00B10955" w:rsidP="00656410">
      <w:pPr>
        <w:autoSpaceDE w:val="0"/>
        <w:autoSpaceDN w:val="0"/>
        <w:adjustRightInd w:val="0"/>
        <w:spacing w:after="0" w:line="240" w:lineRule="auto"/>
        <w:rPr>
          <w:rFonts w:cstheme="minorHAnsi"/>
        </w:rPr>
      </w:pPr>
      <w:r>
        <w:rPr>
          <w:rFonts w:cstheme="minorHAnsi"/>
        </w:rPr>
        <w:t>Infrastructure Systems and Planning Committee</w:t>
      </w:r>
    </w:p>
    <w:p w:rsidR="00B10955" w:rsidRDefault="00B10955" w:rsidP="00656410">
      <w:pPr>
        <w:autoSpaceDE w:val="0"/>
        <w:autoSpaceDN w:val="0"/>
        <w:adjustRightInd w:val="0"/>
        <w:spacing w:after="0" w:line="240" w:lineRule="auto"/>
        <w:rPr>
          <w:rFonts w:cstheme="minorHAnsi"/>
        </w:rPr>
      </w:pPr>
      <w:r>
        <w:rPr>
          <w:rFonts w:cstheme="minorHAnsi"/>
        </w:rPr>
        <w:t>Remuneration Committee</w:t>
      </w:r>
    </w:p>
    <w:p w:rsidR="00B10955" w:rsidRDefault="00B10955" w:rsidP="00656410">
      <w:pPr>
        <w:autoSpaceDE w:val="0"/>
        <w:autoSpaceDN w:val="0"/>
        <w:adjustRightInd w:val="0"/>
        <w:spacing w:after="0" w:line="240" w:lineRule="auto"/>
        <w:rPr>
          <w:rFonts w:cstheme="minorHAnsi"/>
        </w:rPr>
      </w:pPr>
      <w:r>
        <w:rPr>
          <w:rFonts w:cstheme="minorHAnsi"/>
        </w:rPr>
        <w:t>Membership Committee</w:t>
      </w:r>
    </w:p>
    <w:p w:rsidR="00B10955" w:rsidRDefault="00B10955" w:rsidP="00656410">
      <w:pPr>
        <w:autoSpaceDE w:val="0"/>
        <w:autoSpaceDN w:val="0"/>
        <w:adjustRightInd w:val="0"/>
        <w:spacing w:after="0" w:line="240" w:lineRule="auto"/>
        <w:rPr>
          <w:rFonts w:cstheme="minorHAnsi"/>
        </w:rPr>
      </w:pPr>
    </w:p>
    <w:p w:rsidR="00B10955" w:rsidRDefault="00B10955" w:rsidP="008C4A7E">
      <w:pPr>
        <w:pStyle w:val="Heading3"/>
      </w:pPr>
      <w:r>
        <w:t>Audit and Risk Management Committee</w:t>
      </w:r>
    </w:p>
    <w:p w:rsidR="00B10955" w:rsidRDefault="00B10955" w:rsidP="00B10955">
      <w:pPr>
        <w:autoSpaceDE w:val="0"/>
        <w:autoSpaceDN w:val="0"/>
        <w:adjustRightInd w:val="0"/>
        <w:spacing w:after="0" w:line="240" w:lineRule="auto"/>
        <w:rPr>
          <w:rFonts w:cstheme="minorHAnsi"/>
        </w:rPr>
      </w:pPr>
    </w:p>
    <w:p w:rsidR="00B10955" w:rsidRDefault="00B10955" w:rsidP="00B10955">
      <w:pPr>
        <w:autoSpaceDE w:val="0"/>
        <w:autoSpaceDN w:val="0"/>
        <w:adjustRightInd w:val="0"/>
        <w:spacing w:after="0" w:line="240" w:lineRule="auto"/>
        <w:rPr>
          <w:rFonts w:cstheme="minorHAnsi"/>
        </w:rPr>
      </w:pPr>
      <w:r>
        <w:rPr>
          <w:rFonts w:cstheme="minorHAnsi"/>
        </w:rPr>
        <w:t>Prue Digby</w:t>
      </w:r>
      <w:r>
        <w:rPr>
          <w:rFonts w:cstheme="minorHAnsi"/>
        </w:rPr>
        <w:tab/>
      </w:r>
      <w:r w:rsidR="00CF7DB1">
        <w:rPr>
          <w:rFonts w:cstheme="minorHAnsi"/>
        </w:rPr>
        <w:tab/>
      </w:r>
      <w:r>
        <w:rPr>
          <w:rFonts w:cstheme="minorHAnsi"/>
        </w:rPr>
        <w:t>Board Director and Committee Chair</w:t>
      </w:r>
      <w:r>
        <w:rPr>
          <w:rFonts w:cstheme="minorHAnsi"/>
        </w:rPr>
        <w:tab/>
        <w:t>from 01/08/2019</w:t>
      </w:r>
    </w:p>
    <w:p w:rsidR="00CF7DB1" w:rsidRDefault="00CF7DB1" w:rsidP="00B10955">
      <w:pPr>
        <w:autoSpaceDE w:val="0"/>
        <w:autoSpaceDN w:val="0"/>
        <w:adjustRightInd w:val="0"/>
        <w:spacing w:after="0" w:line="240" w:lineRule="auto"/>
        <w:rPr>
          <w:rFonts w:cstheme="minorHAnsi"/>
        </w:rPr>
      </w:pPr>
      <w:r>
        <w:rPr>
          <w:rFonts w:cstheme="minorHAnsi"/>
        </w:rPr>
        <w:t>Sandra (Sam) Andersen</w:t>
      </w:r>
      <w:r>
        <w:rPr>
          <w:rFonts w:cstheme="minorHAnsi"/>
        </w:rPr>
        <w:tab/>
        <w:t xml:space="preserve">Board Director and Committee Chair </w:t>
      </w:r>
      <w:r>
        <w:rPr>
          <w:rFonts w:cstheme="minorHAnsi"/>
        </w:rPr>
        <w:tab/>
        <w:t>to 31/07/2019</w:t>
      </w:r>
    </w:p>
    <w:p w:rsidR="00CF7DB1" w:rsidRDefault="00CF7DB1" w:rsidP="00B10955">
      <w:pPr>
        <w:autoSpaceDE w:val="0"/>
        <w:autoSpaceDN w:val="0"/>
        <w:adjustRightInd w:val="0"/>
        <w:spacing w:after="0" w:line="240" w:lineRule="auto"/>
        <w:rPr>
          <w:rFonts w:cstheme="minorHAnsi"/>
        </w:rPr>
      </w:pPr>
      <w:r>
        <w:rPr>
          <w:rFonts w:cstheme="minorHAnsi"/>
        </w:rPr>
        <w:t>Dr Anne Jones</w:t>
      </w:r>
      <w:r>
        <w:rPr>
          <w:rFonts w:cstheme="minorHAnsi"/>
        </w:rPr>
        <w:tab/>
      </w:r>
      <w:r>
        <w:rPr>
          <w:rFonts w:cstheme="minorHAnsi"/>
        </w:rPr>
        <w:tab/>
        <w:t>Board Director</w:t>
      </w:r>
      <w:r>
        <w:rPr>
          <w:rFonts w:cstheme="minorHAnsi"/>
        </w:rPr>
        <w:tab/>
      </w:r>
      <w:r>
        <w:rPr>
          <w:rFonts w:cstheme="minorHAnsi"/>
        </w:rPr>
        <w:tab/>
      </w:r>
      <w:r>
        <w:rPr>
          <w:rFonts w:cstheme="minorHAnsi"/>
        </w:rPr>
        <w:tab/>
      </w:r>
    </w:p>
    <w:p w:rsidR="00CF7DB1" w:rsidRDefault="00CF7DB1" w:rsidP="00B10955">
      <w:pPr>
        <w:autoSpaceDE w:val="0"/>
        <w:autoSpaceDN w:val="0"/>
        <w:adjustRightInd w:val="0"/>
        <w:spacing w:after="0" w:line="240" w:lineRule="auto"/>
        <w:rPr>
          <w:rFonts w:cstheme="minorHAnsi"/>
        </w:rPr>
      </w:pPr>
      <w:r>
        <w:rPr>
          <w:rFonts w:cstheme="minorHAnsi"/>
        </w:rPr>
        <w:t>Geoffrey Cullen</w:t>
      </w:r>
      <w:r>
        <w:rPr>
          <w:rFonts w:cstheme="minorHAnsi"/>
        </w:rPr>
        <w:tab/>
      </w:r>
      <w:r>
        <w:rPr>
          <w:rFonts w:cstheme="minorHAnsi"/>
        </w:rPr>
        <w:tab/>
        <w:t>Board Director</w:t>
      </w:r>
      <w:r>
        <w:rPr>
          <w:rFonts w:cstheme="minorHAnsi"/>
        </w:rPr>
        <w:tab/>
      </w:r>
      <w:r>
        <w:rPr>
          <w:rFonts w:cstheme="minorHAnsi"/>
        </w:rPr>
        <w:tab/>
      </w:r>
      <w:r>
        <w:rPr>
          <w:rFonts w:cstheme="minorHAnsi"/>
        </w:rPr>
        <w:tab/>
      </w:r>
      <w:r>
        <w:rPr>
          <w:rFonts w:cstheme="minorHAnsi"/>
        </w:rPr>
        <w:tab/>
        <w:t>from 27/11/2019</w:t>
      </w:r>
    </w:p>
    <w:p w:rsidR="00CF7DB1" w:rsidRDefault="00CF7DB1" w:rsidP="00B10955">
      <w:pPr>
        <w:autoSpaceDE w:val="0"/>
        <w:autoSpaceDN w:val="0"/>
        <w:adjustRightInd w:val="0"/>
        <w:spacing w:after="0" w:line="240" w:lineRule="auto"/>
        <w:rPr>
          <w:rFonts w:cstheme="minorHAnsi"/>
        </w:rPr>
      </w:pPr>
      <w:r>
        <w:rPr>
          <w:rFonts w:cstheme="minorHAnsi"/>
        </w:rPr>
        <w:t>Robert Comelli</w:t>
      </w:r>
      <w:r>
        <w:rPr>
          <w:rFonts w:cstheme="minorHAnsi"/>
        </w:rPr>
        <w:tab/>
      </w:r>
      <w:r>
        <w:rPr>
          <w:rFonts w:cstheme="minorHAnsi"/>
        </w:rPr>
        <w:tab/>
        <w:t>Board Co-opted Independent member</w:t>
      </w:r>
      <w:r>
        <w:rPr>
          <w:rFonts w:cstheme="minorHAnsi"/>
        </w:rPr>
        <w:tab/>
      </w:r>
    </w:p>
    <w:p w:rsidR="00CF7DB1" w:rsidRDefault="00CF7DB1" w:rsidP="00B10955">
      <w:pPr>
        <w:autoSpaceDE w:val="0"/>
        <w:autoSpaceDN w:val="0"/>
        <w:adjustRightInd w:val="0"/>
        <w:spacing w:after="0" w:line="240" w:lineRule="auto"/>
        <w:rPr>
          <w:rFonts w:cstheme="minorHAnsi"/>
        </w:rPr>
      </w:pPr>
      <w:r>
        <w:rPr>
          <w:rFonts w:cstheme="minorHAnsi"/>
        </w:rPr>
        <w:t xml:space="preserve">Geoff Harry </w:t>
      </w:r>
      <w:r>
        <w:rPr>
          <w:rFonts w:cstheme="minorHAnsi"/>
        </w:rPr>
        <w:tab/>
      </w:r>
      <w:r>
        <w:rPr>
          <w:rFonts w:cstheme="minorHAnsi"/>
        </w:rPr>
        <w:tab/>
        <w:t>Board Co-opted Independent member</w:t>
      </w:r>
    </w:p>
    <w:p w:rsidR="00CC690B" w:rsidRDefault="00CC690B" w:rsidP="00B10955">
      <w:pPr>
        <w:autoSpaceDE w:val="0"/>
        <w:autoSpaceDN w:val="0"/>
        <w:adjustRightInd w:val="0"/>
        <w:spacing w:after="0" w:line="240" w:lineRule="auto"/>
        <w:rPr>
          <w:rFonts w:cstheme="minorHAnsi"/>
        </w:rPr>
      </w:pPr>
    </w:p>
    <w:p w:rsidR="00CC690B" w:rsidRDefault="00CC690B" w:rsidP="00CC690B">
      <w:pPr>
        <w:pStyle w:val="Heading3"/>
      </w:pPr>
      <w:r>
        <w:t>Remuneration Committee</w:t>
      </w:r>
    </w:p>
    <w:p w:rsidR="00CC690B" w:rsidRDefault="00CC690B" w:rsidP="00CC690B">
      <w:pPr>
        <w:autoSpaceDE w:val="0"/>
        <w:autoSpaceDN w:val="0"/>
        <w:adjustRightInd w:val="0"/>
        <w:spacing w:after="0" w:line="240" w:lineRule="auto"/>
        <w:rPr>
          <w:rFonts w:cstheme="minorHAnsi"/>
        </w:rPr>
      </w:pPr>
    </w:p>
    <w:p w:rsidR="00CC690B" w:rsidRDefault="00CC690B" w:rsidP="00CC690B">
      <w:pPr>
        <w:autoSpaceDE w:val="0"/>
        <w:autoSpaceDN w:val="0"/>
        <w:adjustRightInd w:val="0"/>
        <w:spacing w:after="0" w:line="240" w:lineRule="auto"/>
        <w:rPr>
          <w:rFonts w:cstheme="minorHAnsi"/>
        </w:rPr>
      </w:pPr>
      <w:r>
        <w:rPr>
          <w:rFonts w:cstheme="minorHAnsi"/>
        </w:rPr>
        <w:t>Stephen G. Marks</w:t>
      </w:r>
      <w:r>
        <w:rPr>
          <w:rFonts w:cstheme="minorHAnsi"/>
        </w:rPr>
        <w:tab/>
        <w:t>Board Director and Committee Chair</w:t>
      </w:r>
    </w:p>
    <w:p w:rsidR="00CC690B" w:rsidRDefault="00CC690B" w:rsidP="00CC690B">
      <w:pPr>
        <w:autoSpaceDE w:val="0"/>
        <w:autoSpaceDN w:val="0"/>
        <w:adjustRightInd w:val="0"/>
        <w:spacing w:after="0" w:line="240" w:lineRule="auto"/>
        <w:rPr>
          <w:rFonts w:cstheme="minorHAnsi"/>
        </w:rPr>
      </w:pPr>
      <w:r>
        <w:rPr>
          <w:rFonts w:cstheme="minorHAnsi"/>
        </w:rPr>
        <w:t>John Bennie</w:t>
      </w:r>
      <w:r>
        <w:rPr>
          <w:rFonts w:cstheme="minorHAnsi"/>
        </w:rPr>
        <w:tab/>
      </w:r>
      <w:r>
        <w:rPr>
          <w:rFonts w:cstheme="minorHAnsi"/>
        </w:rPr>
        <w:tab/>
        <w:t xml:space="preserve">Board Director </w:t>
      </w:r>
    </w:p>
    <w:p w:rsidR="00CC690B" w:rsidRDefault="00CC690B" w:rsidP="00CC690B">
      <w:pPr>
        <w:autoSpaceDE w:val="0"/>
        <w:autoSpaceDN w:val="0"/>
        <w:adjustRightInd w:val="0"/>
        <w:spacing w:after="0" w:line="240" w:lineRule="auto"/>
        <w:rPr>
          <w:rFonts w:cstheme="minorHAnsi"/>
        </w:rPr>
      </w:pPr>
      <w:r>
        <w:rPr>
          <w:rFonts w:cstheme="minorHAnsi"/>
        </w:rPr>
        <w:t>Dr Anne Jones</w:t>
      </w:r>
      <w:r>
        <w:rPr>
          <w:rFonts w:cstheme="minorHAnsi"/>
        </w:rPr>
        <w:tab/>
      </w:r>
      <w:r>
        <w:rPr>
          <w:rFonts w:cstheme="minorHAnsi"/>
        </w:rPr>
        <w:tab/>
        <w:t xml:space="preserve">Board Director </w:t>
      </w:r>
    </w:p>
    <w:p w:rsidR="00CF7DB1" w:rsidRDefault="00CF7DB1" w:rsidP="00B10955">
      <w:pPr>
        <w:autoSpaceDE w:val="0"/>
        <w:autoSpaceDN w:val="0"/>
        <w:adjustRightInd w:val="0"/>
        <w:spacing w:after="0" w:line="240" w:lineRule="auto"/>
        <w:rPr>
          <w:rFonts w:cstheme="minorHAnsi"/>
        </w:rPr>
      </w:pPr>
    </w:p>
    <w:p w:rsidR="00B10955" w:rsidRDefault="00B10955" w:rsidP="008C4A7E">
      <w:pPr>
        <w:pStyle w:val="Heading3"/>
      </w:pPr>
      <w:r>
        <w:t>Education Committee</w:t>
      </w:r>
    </w:p>
    <w:p w:rsidR="00487097" w:rsidRDefault="00487097" w:rsidP="00B10955">
      <w:pPr>
        <w:autoSpaceDE w:val="0"/>
        <w:autoSpaceDN w:val="0"/>
        <w:adjustRightInd w:val="0"/>
        <w:spacing w:after="0" w:line="240" w:lineRule="auto"/>
        <w:rPr>
          <w:rFonts w:cstheme="minorHAnsi"/>
        </w:rPr>
      </w:pPr>
    </w:p>
    <w:p w:rsidR="00B10955" w:rsidRDefault="00CF7DB1" w:rsidP="00B10955">
      <w:pPr>
        <w:autoSpaceDE w:val="0"/>
        <w:autoSpaceDN w:val="0"/>
        <w:adjustRightInd w:val="0"/>
        <w:spacing w:after="0" w:line="240" w:lineRule="auto"/>
        <w:rPr>
          <w:rFonts w:cstheme="minorHAnsi"/>
        </w:rPr>
      </w:pPr>
      <w:r>
        <w:rPr>
          <w:rFonts w:cstheme="minorHAnsi"/>
        </w:rPr>
        <w:t xml:space="preserve">Dr Anne Jones </w:t>
      </w:r>
      <w:r>
        <w:rPr>
          <w:rFonts w:cstheme="minorHAnsi"/>
        </w:rPr>
        <w:tab/>
      </w:r>
      <w:r>
        <w:rPr>
          <w:rFonts w:cstheme="minorHAnsi"/>
        </w:rPr>
        <w:tab/>
        <w:t>Board Director and Committee Chair</w:t>
      </w:r>
    </w:p>
    <w:p w:rsidR="00CF7DB1" w:rsidRDefault="00CF7DB1" w:rsidP="00B10955">
      <w:pPr>
        <w:autoSpaceDE w:val="0"/>
        <w:autoSpaceDN w:val="0"/>
        <w:adjustRightInd w:val="0"/>
        <w:spacing w:after="0" w:line="240" w:lineRule="auto"/>
        <w:rPr>
          <w:rFonts w:cstheme="minorHAnsi"/>
        </w:rPr>
      </w:pPr>
      <w:r>
        <w:rPr>
          <w:rFonts w:cstheme="minorHAnsi"/>
        </w:rPr>
        <w:t>Peter Malone</w:t>
      </w:r>
      <w:r>
        <w:rPr>
          <w:rFonts w:cstheme="minorHAnsi"/>
        </w:rPr>
        <w:tab/>
      </w:r>
      <w:r>
        <w:rPr>
          <w:rFonts w:cstheme="minorHAnsi"/>
        </w:rPr>
        <w:tab/>
        <w:t xml:space="preserve">Board Director </w:t>
      </w:r>
    </w:p>
    <w:p w:rsidR="00CF7DB1" w:rsidRDefault="00CF7DB1" w:rsidP="00B10955">
      <w:pPr>
        <w:autoSpaceDE w:val="0"/>
        <w:autoSpaceDN w:val="0"/>
        <w:adjustRightInd w:val="0"/>
        <w:spacing w:after="0" w:line="240" w:lineRule="auto"/>
        <w:rPr>
          <w:rFonts w:cstheme="minorHAnsi"/>
        </w:rPr>
      </w:pPr>
      <w:r>
        <w:rPr>
          <w:rFonts w:cstheme="minorHAnsi"/>
        </w:rPr>
        <w:t>Stephen Varty</w:t>
      </w:r>
      <w:r>
        <w:rPr>
          <w:rFonts w:cstheme="minorHAnsi"/>
        </w:rPr>
        <w:tab/>
      </w:r>
      <w:r>
        <w:rPr>
          <w:rFonts w:cstheme="minorHAnsi"/>
        </w:rPr>
        <w:tab/>
        <w:t>Board Director and CEO</w:t>
      </w:r>
      <w:r>
        <w:rPr>
          <w:rFonts w:cstheme="minorHAnsi"/>
        </w:rPr>
        <w:tab/>
      </w:r>
      <w:r>
        <w:rPr>
          <w:rFonts w:cstheme="minorHAnsi"/>
        </w:rPr>
        <w:tab/>
      </w:r>
      <w:r>
        <w:rPr>
          <w:rFonts w:cstheme="minorHAnsi"/>
        </w:rPr>
        <w:tab/>
        <w:t>from 18/11/2019</w:t>
      </w:r>
    </w:p>
    <w:p w:rsidR="00CF7DB1" w:rsidRDefault="00CF7DB1" w:rsidP="00B10955">
      <w:pPr>
        <w:autoSpaceDE w:val="0"/>
        <w:autoSpaceDN w:val="0"/>
        <w:adjustRightInd w:val="0"/>
        <w:spacing w:after="0" w:line="240" w:lineRule="auto"/>
        <w:rPr>
          <w:rFonts w:cstheme="minorHAnsi"/>
        </w:rPr>
      </w:pPr>
      <w:r>
        <w:rPr>
          <w:rFonts w:cstheme="minorHAnsi"/>
        </w:rPr>
        <w:lastRenderedPageBreak/>
        <w:t>Dr Mei Ling Doery</w:t>
      </w:r>
      <w:r>
        <w:rPr>
          <w:rFonts w:cstheme="minorHAnsi"/>
        </w:rPr>
        <w:tab/>
        <w:t>Board Director</w:t>
      </w:r>
      <w:r>
        <w:rPr>
          <w:rFonts w:cstheme="minorHAnsi"/>
        </w:rPr>
        <w:tab/>
      </w:r>
      <w:r>
        <w:rPr>
          <w:rFonts w:cstheme="minorHAnsi"/>
        </w:rPr>
        <w:tab/>
      </w:r>
      <w:r>
        <w:rPr>
          <w:rFonts w:cstheme="minorHAnsi"/>
        </w:rPr>
        <w:tab/>
      </w:r>
      <w:r>
        <w:rPr>
          <w:rFonts w:cstheme="minorHAnsi"/>
        </w:rPr>
        <w:tab/>
        <w:t>to 31/07/2019</w:t>
      </w:r>
    </w:p>
    <w:p w:rsidR="00CF7DB1" w:rsidRDefault="00CF7DB1" w:rsidP="00B10955">
      <w:pPr>
        <w:autoSpaceDE w:val="0"/>
        <w:autoSpaceDN w:val="0"/>
        <w:adjustRightInd w:val="0"/>
        <w:spacing w:after="0" w:line="240" w:lineRule="auto"/>
        <w:rPr>
          <w:rFonts w:cstheme="minorHAnsi"/>
        </w:rPr>
      </w:pPr>
      <w:r>
        <w:rPr>
          <w:rFonts w:cstheme="minorHAnsi"/>
        </w:rPr>
        <w:t>Kirsten Bright</w:t>
      </w:r>
      <w:r>
        <w:rPr>
          <w:rFonts w:cstheme="minorHAnsi"/>
        </w:rPr>
        <w:tab/>
      </w:r>
      <w:r>
        <w:rPr>
          <w:rFonts w:cstheme="minorHAnsi"/>
        </w:rPr>
        <w:tab/>
        <w:t>Co-opted Independent Member</w:t>
      </w:r>
      <w:r>
        <w:rPr>
          <w:rFonts w:cstheme="minorHAnsi"/>
        </w:rPr>
        <w:tab/>
      </w:r>
      <w:r>
        <w:rPr>
          <w:rFonts w:cstheme="minorHAnsi"/>
        </w:rPr>
        <w:tab/>
        <w:t>to 12/02/2019</w:t>
      </w:r>
    </w:p>
    <w:p w:rsidR="00CF7DB1" w:rsidRDefault="00CF7DB1" w:rsidP="00B10955">
      <w:pPr>
        <w:autoSpaceDE w:val="0"/>
        <w:autoSpaceDN w:val="0"/>
        <w:adjustRightInd w:val="0"/>
        <w:spacing w:after="0" w:line="240" w:lineRule="auto"/>
        <w:rPr>
          <w:rFonts w:cstheme="minorHAnsi"/>
        </w:rPr>
      </w:pPr>
      <w:r>
        <w:rPr>
          <w:rFonts w:cstheme="minorHAnsi"/>
        </w:rPr>
        <w:t>Ben Jenkinson</w:t>
      </w:r>
      <w:r>
        <w:rPr>
          <w:rFonts w:cstheme="minorHAnsi"/>
        </w:rPr>
        <w:tab/>
      </w:r>
      <w:r>
        <w:rPr>
          <w:rFonts w:cstheme="minorHAnsi"/>
        </w:rPr>
        <w:tab/>
        <w:t xml:space="preserve">Co-opted Independent Member </w:t>
      </w:r>
      <w:r>
        <w:rPr>
          <w:rFonts w:cstheme="minorHAnsi"/>
        </w:rPr>
        <w:tab/>
        <w:t>from 28/08/2019</w:t>
      </w:r>
    </w:p>
    <w:p w:rsidR="00CF7DB1" w:rsidRDefault="00CF7DB1" w:rsidP="00B10955">
      <w:pPr>
        <w:autoSpaceDE w:val="0"/>
        <w:autoSpaceDN w:val="0"/>
        <w:adjustRightInd w:val="0"/>
        <w:spacing w:after="0" w:line="240" w:lineRule="auto"/>
        <w:rPr>
          <w:rFonts w:cstheme="minorHAnsi"/>
        </w:rPr>
      </w:pPr>
      <w:r>
        <w:rPr>
          <w:rFonts w:cstheme="minorHAnsi"/>
        </w:rPr>
        <w:t>Dr Rick Ede</w:t>
      </w:r>
      <w:r>
        <w:rPr>
          <w:rFonts w:cstheme="minorHAnsi"/>
        </w:rPr>
        <w:tab/>
      </w:r>
      <w:r>
        <w:rPr>
          <w:rFonts w:cstheme="minorHAnsi"/>
        </w:rPr>
        <w:tab/>
        <w:t>Board Director and CEO</w:t>
      </w:r>
      <w:r>
        <w:rPr>
          <w:rFonts w:cstheme="minorHAnsi"/>
        </w:rPr>
        <w:tab/>
      </w:r>
      <w:r>
        <w:rPr>
          <w:rFonts w:cstheme="minorHAnsi"/>
        </w:rPr>
        <w:tab/>
      </w:r>
      <w:r>
        <w:rPr>
          <w:rFonts w:cstheme="minorHAnsi"/>
        </w:rPr>
        <w:tab/>
        <w:t>to 08/04/2019</w:t>
      </w:r>
    </w:p>
    <w:p w:rsidR="00CC690B" w:rsidRDefault="00CC690B" w:rsidP="00B10955">
      <w:pPr>
        <w:autoSpaceDE w:val="0"/>
        <w:autoSpaceDN w:val="0"/>
        <w:adjustRightInd w:val="0"/>
        <w:spacing w:after="0" w:line="240" w:lineRule="auto"/>
        <w:rPr>
          <w:rFonts w:cstheme="minorHAnsi"/>
        </w:rPr>
      </w:pPr>
    </w:p>
    <w:p w:rsidR="00CC690B" w:rsidRDefault="00CC690B" w:rsidP="00CC690B">
      <w:pPr>
        <w:pStyle w:val="Heading3"/>
      </w:pPr>
      <w:r>
        <w:t>Membership Committee</w:t>
      </w:r>
    </w:p>
    <w:p w:rsidR="00CC690B" w:rsidRDefault="00CC690B" w:rsidP="00CC690B">
      <w:pPr>
        <w:autoSpaceDE w:val="0"/>
        <w:autoSpaceDN w:val="0"/>
        <w:adjustRightInd w:val="0"/>
        <w:spacing w:after="0" w:line="240" w:lineRule="auto"/>
        <w:rPr>
          <w:rFonts w:cstheme="minorHAnsi"/>
        </w:rPr>
      </w:pPr>
    </w:p>
    <w:p w:rsidR="00CC690B" w:rsidRDefault="00CC690B" w:rsidP="00CC690B">
      <w:pPr>
        <w:autoSpaceDE w:val="0"/>
        <w:autoSpaceDN w:val="0"/>
        <w:adjustRightInd w:val="0"/>
        <w:spacing w:after="0" w:line="240" w:lineRule="auto"/>
        <w:rPr>
          <w:rFonts w:cstheme="minorHAnsi"/>
        </w:rPr>
      </w:pPr>
      <w:r>
        <w:rPr>
          <w:rFonts w:cstheme="minorHAnsi"/>
        </w:rPr>
        <w:t xml:space="preserve">Stephen Marks </w:t>
      </w:r>
      <w:r>
        <w:rPr>
          <w:rFonts w:cstheme="minorHAnsi"/>
        </w:rPr>
        <w:tab/>
      </w:r>
      <w:r>
        <w:rPr>
          <w:rFonts w:cstheme="minorHAnsi"/>
        </w:rPr>
        <w:tab/>
        <w:t xml:space="preserve">Board Director and Committee Chair </w:t>
      </w:r>
    </w:p>
    <w:p w:rsidR="00CC690B" w:rsidRDefault="00CC690B" w:rsidP="00CC690B">
      <w:pPr>
        <w:autoSpaceDE w:val="0"/>
        <w:autoSpaceDN w:val="0"/>
        <w:adjustRightInd w:val="0"/>
        <w:spacing w:after="0" w:line="240" w:lineRule="auto"/>
        <w:rPr>
          <w:rFonts w:cstheme="minorHAnsi"/>
        </w:rPr>
      </w:pPr>
      <w:r>
        <w:rPr>
          <w:rFonts w:cstheme="minorHAnsi"/>
        </w:rPr>
        <w:t>Dr Anne Jones</w:t>
      </w:r>
      <w:r>
        <w:rPr>
          <w:rFonts w:cstheme="minorHAnsi"/>
        </w:rPr>
        <w:tab/>
      </w:r>
      <w:r>
        <w:rPr>
          <w:rFonts w:cstheme="minorHAnsi"/>
        </w:rPr>
        <w:tab/>
        <w:t xml:space="preserve">Board Director </w:t>
      </w:r>
    </w:p>
    <w:p w:rsidR="00CC690B" w:rsidRDefault="00CC690B" w:rsidP="00CC690B">
      <w:pPr>
        <w:autoSpaceDE w:val="0"/>
        <w:autoSpaceDN w:val="0"/>
        <w:adjustRightInd w:val="0"/>
        <w:spacing w:after="0" w:line="240" w:lineRule="auto"/>
        <w:rPr>
          <w:rFonts w:cstheme="minorHAnsi"/>
        </w:rPr>
      </w:pPr>
      <w:r>
        <w:rPr>
          <w:rFonts w:cstheme="minorHAnsi"/>
        </w:rPr>
        <w:t xml:space="preserve">Stephen Varty </w:t>
      </w:r>
      <w:r>
        <w:rPr>
          <w:rFonts w:cstheme="minorHAnsi"/>
        </w:rPr>
        <w:tab/>
      </w:r>
      <w:r>
        <w:rPr>
          <w:rFonts w:cstheme="minorHAnsi"/>
        </w:rPr>
        <w:tab/>
        <w:t>Board Director and CEO</w:t>
      </w:r>
      <w:r>
        <w:rPr>
          <w:rFonts w:cstheme="minorHAnsi"/>
        </w:rPr>
        <w:tab/>
      </w:r>
      <w:r>
        <w:rPr>
          <w:rFonts w:cstheme="minorHAnsi"/>
        </w:rPr>
        <w:tab/>
      </w:r>
      <w:r>
        <w:rPr>
          <w:rFonts w:cstheme="minorHAnsi"/>
        </w:rPr>
        <w:tab/>
        <w:t>from 18/11/2019</w:t>
      </w:r>
    </w:p>
    <w:p w:rsidR="00CC690B" w:rsidRDefault="00CC690B" w:rsidP="00CC690B">
      <w:pPr>
        <w:autoSpaceDE w:val="0"/>
        <w:autoSpaceDN w:val="0"/>
        <w:adjustRightInd w:val="0"/>
        <w:spacing w:after="0" w:line="240" w:lineRule="auto"/>
        <w:rPr>
          <w:rFonts w:cstheme="minorHAnsi"/>
        </w:rPr>
      </w:pPr>
      <w:r>
        <w:rPr>
          <w:rFonts w:cstheme="minorHAnsi"/>
        </w:rPr>
        <w:t>Dr Rick Ede</w:t>
      </w:r>
      <w:r>
        <w:rPr>
          <w:rFonts w:cstheme="minorHAnsi"/>
        </w:rPr>
        <w:tab/>
      </w:r>
      <w:r>
        <w:rPr>
          <w:rFonts w:cstheme="minorHAnsi"/>
        </w:rPr>
        <w:tab/>
        <w:t>Board Director and CEO</w:t>
      </w:r>
      <w:r>
        <w:rPr>
          <w:rFonts w:cstheme="minorHAnsi"/>
        </w:rPr>
        <w:tab/>
      </w:r>
      <w:r>
        <w:rPr>
          <w:rFonts w:cstheme="minorHAnsi"/>
        </w:rPr>
        <w:tab/>
      </w:r>
      <w:r>
        <w:rPr>
          <w:rFonts w:cstheme="minorHAnsi"/>
        </w:rPr>
        <w:tab/>
        <w:t>to 08/04/2019</w:t>
      </w:r>
    </w:p>
    <w:p w:rsidR="00CC690B" w:rsidRPr="00656410" w:rsidRDefault="00CC690B" w:rsidP="00CC690B">
      <w:pPr>
        <w:autoSpaceDE w:val="0"/>
        <w:autoSpaceDN w:val="0"/>
        <w:adjustRightInd w:val="0"/>
        <w:spacing w:after="0" w:line="240" w:lineRule="auto"/>
        <w:rPr>
          <w:rFonts w:cstheme="minorHAnsi"/>
        </w:rPr>
      </w:pPr>
      <w:r>
        <w:rPr>
          <w:rFonts w:cstheme="minorHAnsi"/>
        </w:rPr>
        <w:t>David Mann</w:t>
      </w:r>
      <w:r>
        <w:rPr>
          <w:rFonts w:cstheme="minorHAnsi"/>
        </w:rPr>
        <w:tab/>
      </w:r>
      <w:r>
        <w:rPr>
          <w:rFonts w:cstheme="minorHAnsi"/>
        </w:rPr>
        <w:tab/>
        <w:t>Board Director</w:t>
      </w:r>
    </w:p>
    <w:p w:rsidR="00CF7DB1" w:rsidRDefault="00CF7DB1" w:rsidP="00B10955">
      <w:pPr>
        <w:autoSpaceDE w:val="0"/>
        <w:autoSpaceDN w:val="0"/>
        <w:adjustRightInd w:val="0"/>
        <w:spacing w:after="0" w:line="240" w:lineRule="auto"/>
        <w:rPr>
          <w:rFonts w:cstheme="minorHAnsi"/>
        </w:rPr>
      </w:pPr>
    </w:p>
    <w:p w:rsidR="00B10955" w:rsidRDefault="00B10955" w:rsidP="008C4A7E">
      <w:pPr>
        <w:pStyle w:val="Heading3"/>
      </w:pPr>
      <w:r>
        <w:t>Infrastructure Systems and Planning Committee</w:t>
      </w:r>
    </w:p>
    <w:p w:rsidR="00B10955" w:rsidRDefault="00B10955" w:rsidP="00B10955">
      <w:pPr>
        <w:autoSpaceDE w:val="0"/>
        <w:autoSpaceDN w:val="0"/>
        <w:adjustRightInd w:val="0"/>
        <w:spacing w:after="0" w:line="240" w:lineRule="auto"/>
        <w:rPr>
          <w:rFonts w:cstheme="minorHAnsi"/>
        </w:rPr>
      </w:pPr>
    </w:p>
    <w:p w:rsidR="00487097" w:rsidRDefault="00487097" w:rsidP="00B10955">
      <w:pPr>
        <w:autoSpaceDE w:val="0"/>
        <w:autoSpaceDN w:val="0"/>
        <w:adjustRightInd w:val="0"/>
        <w:spacing w:after="0" w:line="240" w:lineRule="auto"/>
        <w:rPr>
          <w:rFonts w:cstheme="minorHAnsi"/>
        </w:rPr>
      </w:pPr>
      <w:r>
        <w:rPr>
          <w:rFonts w:cstheme="minorHAnsi"/>
        </w:rPr>
        <w:t>Lisa Norman</w:t>
      </w:r>
      <w:r>
        <w:rPr>
          <w:rFonts w:cstheme="minorHAnsi"/>
        </w:rPr>
        <w:tab/>
      </w:r>
      <w:r>
        <w:rPr>
          <w:rFonts w:cstheme="minorHAnsi"/>
        </w:rPr>
        <w:tab/>
        <w:t>Board Director and Committee Chair</w:t>
      </w:r>
    </w:p>
    <w:p w:rsidR="00487097" w:rsidRDefault="00487097" w:rsidP="00B10955">
      <w:pPr>
        <w:autoSpaceDE w:val="0"/>
        <w:autoSpaceDN w:val="0"/>
        <w:adjustRightInd w:val="0"/>
        <w:spacing w:after="0" w:line="240" w:lineRule="auto"/>
        <w:rPr>
          <w:rFonts w:cstheme="minorHAnsi"/>
        </w:rPr>
      </w:pPr>
      <w:r>
        <w:rPr>
          <w:rFonts w:cstheme="minorHAnsi"/>
        </w:rPr>
        <w:t>John Bennie</w:t>
      </w:r>
      <w:r>
        <w:rPr>
          <w:rFonts w:cstheme="minorHAnsi"/>
        </w:rPr>
        <w:tab/>
      </w:r>
      <w:r>
        <w:rPr>
          <w:rFonts w:cstheme="minorHAnsi"/>
        </w:rPr>
        <w:tab/>
        <w:t>Board Director</w:t>
      </w:r>
    </w:p>
    <w:p w:rsidR="00487097" w:rsidRDefault="00487097" w:rsidP="00B10955">
      <w:pPr>
        <w:autoSpaceDE w:val="0"/>
        <w:autoSpaceDN w:val="0"/>
        <w:adjustRightInd w:val="0"/>
        <w:spacing w:after="0" w:line="240" w:lineRule="auto"/>
        <w:rPr>
          <w:rFonts w:cstheme="minorHAnsi"/>
        </w:rPr>
      </w:pPr>
      <w:r>
        <w:rPr>
          <w:rFonts w:cstheme="minorHAnsi"/>
        </w:rPr>
        <w:t>Dr Mei Ling Doery</w:t>
      </w:r>
      <w:r>
        <w:rPr>
          <w:rFonts w:cstheme="minorHAnsi"/>
        </w:rPr>
        <w:tab/>
        <w:t>Board Director</w:t>
      </w:r>
    </w:p>
    <w:p w:rsidR="00487097" w:rsidRDefault="00487097" w:rsidP="00B10955">
      <w:pPr>
        <w:autoSpaceDE w:val="0"/>
        <w:autoSpaceDN w:val="0"/>
        <w:adjustRightInd w:val="0"/>
        <w:spacing w:after="0" w:line="240" w:lineRule="auto"/>
        <w:rPr>
          <w:rFonts w:cstheme="minorHAnsi"/>
        </w:rPr>
      </w:pPr>
      <w:r>
        <w:rPr>
          <w:rFonts w:cstheme="minorHAnsi"/>
        </w:rPr>
        <w:t xml:space="preserve">Robert Johnson </w:t>
      </w:r>
      <w:r>
        <w:rPr>
          <w:rFonts w:cstheme="minorHAnsi"/>
        </w:rPr>
        <w:tab/>
        <w:t xml:space="preserve">Board Co-opted Member </w:t>
      </w:r>
    </w:p>
    <w:p w:rsidR="00CF7DB1" w:rsidRDefault="00CF7DB1" w:rsidP="00B10955">
      <w:pPr>
        <w:autoSpaceDE w:val="0"/>
        <w:autoSpaceDN w:val="0"/>
        <w:adjustRightInd w:val="0"/>
        <w:spacing w:after="0" w:line="240" w:lineRule="auto"/>
        <w:rPr>
          <w:rFonts w:cstheme="minorHAnsi"/>
        </w:rPr>
      </w:pPr>
    </w:p>
    <w:p w:rsidR="00155D5D" w:rsidRDefault="008C4A7E" w:rsidP="005942B8">
      <w:pPr>
        <w:pStyle w:val="NoSpacing"/>
      </w:pPr>
      <w:r>
        <w:t>&lt;page</w:t>
      </w:r>
      <w:r w:rsidR="00CC690B">
        <w:t xml:space="preserve"> 39</w:t>
      </w:r>
      <w:r>
        <w:t>&gt;</w:t>
      </w:r>
    </w:p>
    <w:p w:rsidR="00360BC8" w:rsidRDefault="00360BC8" w:rsidP="005942B8">
      <w:pPr>
        <w:pStyle w:val="NoSpacing"/>
      </w:pPr>
    </w:p>
    <w:p w:rsidR="00360BC8" w:rsidRDefault="00360BC8" w:rsidP="00360BC8">
      <w:pPr>
        <w:pStyle w:val="Heading2"/>
      </w:pPr>
      <w:r>
        <w:t>Controlled Entities</w:t>
      </w:r>
    </w:p>
    <w:p w:rsidR="00360BC8" w:rsidRDefault="00360BC8" w:rsidP="005942B8">
      <w:pPr>
        <w:pStyle w:val="NoSpacing"/>
      </w:pPr>
    </w:p>
    <w:p w:rsidR="00360BC8" w:rsidRDefault="00360BC8" w:rsidP="00360BC8">
      <w:pPr>
        <w:pStyle w:val="Heading3"/>
      </w:pPr>
      <w:r>
        <w:t>Board of Chisholm Institute</w:t>
      </w:r>
    </w:p>
    <w:p w:rsidR="00360BC8" w:rsidRDefault="00360BC8" w:rsidP="005942B8">
      <w:pPr>
        <w:pStyle w:val="NoSpacing"/>
      </w:pPr>
    </w:p>
    <w:p w:rsidR="00360BC8" w:rsidRDefault="00360BC8" w:rsidP="005942B8">
      <w:pPr>
        <w:pStyle w:val="NoSpacing"/>
      </w:pPr>
      <w:r>
        <w:t>Chisholm Institute (Victorian State Government Entity established by the Education and Training Reform Act 2006)</w:t>
      </w:r>
    </w:p>
    <w:p w:rsidR="00360BC8" w:rsidRDefault="00360BC8" w:rsidP="00360BC8">
      <w:pPr>
        <w:pStyle w:val="NoSpacing"/>
      </w:pPr>
    </w:p>
    <w:p w:rsidR="00360BC8" w:rsidRDefault="00360BC8" w:rsidP="00360BC8">
      <w:pPr>
        <w:pStyle w:val="Heading3"/>
      </w:pPr>
      <w:r>
        <w:t>Controlled Entities</w:t>
      </w:r>
    </w:p>
    <w:p w:rsidR="00360BC8" w:rsidRDefault="00360BC8" w:rsidP="005942B8">
      <w:pPr>
        <w:pStyle w:val="NoSpacing"/>
      </w:pPr>
    </w:p>
    <w:p w:rsidR="00360BC8" w:rsidRDefault="00360BC8" w:rsidP="005942B8">
      <w:pPr>
        <w:pStyle w:val="NoSpacing"/>
      </w:pPr>
      <w:r>
        <w:t>TAFE Online Pty Ltd (Trading as Chisholm Online) an Australian company under the Corporations Act 2001</w:t>
      </w:r>
    </w:p>
    <w:p w:rsidR="00360BC8" w:rsidRDefault="00360BC8" w:rsidP="005942B8">
      <w:pPr>
        <w:pStyle w:val="NoSpacing"/>
      </w:pPr>
    </w:p>
    <w:p w:rsidR="00360BC8" w:rsidRDefault="00360BC8" w:rsidP="005942B8">
      <w:pPr>
        <w:pStyle w:val="NoSpacing"/>
      </w:pPr>
      <w:r>
        <w:t>Caroline Chisholm Education Foundation, a legal trust and charity registered with the Australian Charities and Not-for-profits Commission</w:t>
      </w:r>
    </w:p>
    <w:p w:rsidR="00360BC8" w:rsidRDefault="00360BC8" w:rsidP="005942B8">
      <w:pPr>
        <w:pStyle w:val="NoSpacing"/>
      </w:pPr>
    </w:p>
    <w:p w:rsidR="00360BC8" w:rsidRDefault="00360BC8" w:rsidP="00360BC8">
      <w:pPr>
        <w:pStyle w:val="Heading3"/>
      </w:pPr>
      <w:r>
        <w:t>Directors of TAFE Online Pty Ltd (Chisholm Online)</w:t>
      </w:r>
    </w:p>
    <w:p w:rsidR="00360BC8" w:rsidRDefault="00360BC8" w:rsidP="005942B8">
      <w:pPr>
        <w:pStyle w:val="NoSpacing"/>
      </w:pPr>
    </w:p>
    <w:p w:rsidR="00360BC8" w:rsidRDefault="00360BC8" w:rsidP="005942B8">
      <w:pPr>
        <w:pStyle w:val="NoSpacing"/>
      </w:pPr>
      <w:r>
        <w:t xml:space="preserve">Stephen G. Marks </w:t>
      </w:r>
      <w:r>
        <w:tab/>
      </w:r>
      <w:r>
        <w:tab/>
        <w:t>Chisholm Online Chair</w:t>
      </w:r>
    </w:p>
    <w:p w:rsidR="00360BC8" w:rsidRDefault="00360BC8" w:rsidP="005942B8">
      <w:pPr>
        <w:pStyle w:val="NoSpacing"/>
      </w:pPr>
      <w:r>
        <w:t>Sandra (Sam) Andersen</w:t>
      </w:r>
      <w:r>
        <w:tab/>
      </w:r>
      <w:r>
        <w:tab/>
        <w:t xml:space="preserve">Director </w:t>
      </w:r>
      <w:r>
        <w:tab/>
      </w:r>
      <w:r>
        <w:tab/>
        <w:t>to 31/07/2019</w:t>
      </w:r>
    </w:p>
    <w:p w:rsidR="00360BC8" w:rsidRDefault="00360BC8" w:rsidP="005942B8">
      <w:pPr>
        <w:pStyle w:val="NoSpacing"/>
      </w:pPr>
      <w:r>
        <w:t xml:space="preserve">Dr Mei Ling Doery </w:t>
      </w:r>
      <w:r>
        <w:tab/>
      </w:r>
      <w:r>
        <w:tab/>
        <w:t xml:space="preserve">Director </w:t>
      </w:r>
    </w:p>
    <w:p w:rsidR="00360BC8" w:rsidRDefault="00360BC8" w:rsidP="005942B8">
      <w:pPr>
        <w:pStyle w:val="NoSpacing"/>
      </w:pPr>
      <w:r>
        <w:t>Dr Rick Ede</w:t>
      </w:r>
      <w:r>
        <w:tab/>
      </w:r>
      <w:r>
        <w:tab/>
      </w:r>
      <w:r>
        <w:tab/>
        <w:t xml:space="preserve">Managing Director </w:t>
      </w:r>
      <w:r>
        <w:tab/>
        <w:t>to 08/04/2019</w:t>
      </w:r>
    </w:p>
    <w:p w:rsidR="00360BC8" w:rsidRDefault="00360BC8" w:rsidP="005942B8">
      <w:pPr>
        <w:pStyle w:val="NoSpacing"/>
      </w:pPr>
    </w:p>
    <w:p w:rsidR="00360BC8" w:rsidRDefault="00360BC8" w:rsidP="003C5D04">
      <w:pPr>
        <w:pStyle w:val="Heading3"/>
      </w:pPr>
      <w:r>
        <w:t xml:space="preserve">Trustees of Caroline Chisholm Education Foundation </w:t>
      </w:r>
    </w:p>
    <w:p w:rsidR="00360BC8" w:rsidRDefault="00360BC8" w:rsidP="005942B8">
      <w:pPr>
        <w:pStyle w:val="NoSpacing"/>
      </w:pPr>
    </w:p>
    <w:p w:rsidR="00360BC8" w:rsidRDefault="00360BC8" w:rsidP="005942B8">
      <w:pPr>
        <w:pStyle w:val="NoSpacing"/>
      </w:pPr>
      <w:r>
        <w:t>David Willersdorf</w:t>
      </w:r>
      <w:r>
        <w:tab/>
      </w:r>
      <w:r>
        <w:tab/>
        <w:t xml:space="preserve">Chair </w:t>
      </w:r>
    </w:p>
    <w:p w:rsidR="00360BC8" w:rsidRDefault="00360BC8" w:rsidP="005942B8">
      <w:pPr>
        <w:pStyle w:val="NoSpacing"/>
      </w:pPr>
      <w:r>
        <w:t>David Mann</w:t>
      </w:r>
      <w:r>
        <w:tab/>
      </w:r>
      <w:r>
        <w:tab/>
      </w:r>
      <w:r>
        <w:tab/>
        <w:t>Chisholm Board</w:t>
      </w:r>
    </w:p>
    <w:p w:rsidR="00360BC8" w:rsidRDefault="003C5D04" w:rsidP="005942B8">
      <w:pPr>
        <w:pStyle w:val="NoSpacing"/>
      </w:pPr>
      <w:r>
        <w:t>Dr Rick Ede</w:t>
      </w:r>
      <w:r>
        <w:tab/>
      </w:r>
      <w:r>
        <w:tab/>
      </w:r>
      <w:r>
        <w:tab/>
        <w:t>Chisholm Institute CEO</w:t>
      </w:r>
      <w:r>
        <w:tab/>
        <w:t>to 08/04/2019</w:t>
      </w:r>
    </w:p>
    <w:p w:rsidR="0099389C" w:rsidRDefault="0099389C" w:rsidP="005942B8">
      <w:pPr>
        <w:pStyle w:val="NoSpacing"/>
      </w:pPr>
      <w:r>
        <w:lastRenderedPageBreak/>
        <w:t>Stephen Varty</w:t>
      </w:r>
      <w:r>
        <w:tab/>
      </w:r>
      <w:r>
        <w:tab/>
      </w:r>
      <w:r>
        <w:tab/>
        <w:t>Chisholm Institute CEO (from 18/11/2019)</w:t>
      </w:r>
    </w:p>
    <w:p w:rsidR="0099389C" w:rsidRDefault="0099389C" w:rsidP="005942B8">
      <w:pPr>
        <w:pStyle w:val="NoSpacing"/>
      </w:pPr>
      <w:r>
        <w:t>Jane Mclennan</w:t>
      </w:r>
      <w:r>
        <w:tab/>
      </w:r>
      <w:r>
        <w:tab/>
      </w:r>
      <w:r>
        <w:tab/>
        <w:t>Chisholm Institute staff member (from 01/03/2019)</w:t>
      </w:r>
    </w:p>
    <w:p w:rsidR="003C5D04" w:rsidRDefault="003C5D04" w:rsidP="005942B8">
      <w:pPr>
        <w:pStyle w:val="NoSpacing"/>
      </w:pPr>
      <w:r>
        <w:t>Amanda Ac</w:t>
      </w:r>
      <w:r w:rsidR="0099389C">
        <w:t>hterberg</w:t>
      </w:r>
      <w:r w:rsidR="0099389C">
        <w:tab/>
      </w:r>
      <w:r w:rsidR="0099389C">
        <w:tab/>
        <w:t>Chisholm Institute staff member (</w:t>
      </w:r>
      <w:r>
        <w:t>to 30/01/2019</w:t>
      </w:r>
      <w:r w:rsidR="0099389C">
        <w:t>)</w:t>
      </w:r>
    </w:p>
    <w:p w:rsidR="0099389C" w:rsidRDefault="0099389C" w:rsidP="005942B8">
      <w:pPr>
        <w:pStyle w:val="NoSpacing"/>
      </w:pPr>
      <w:r>
        <w:t>Trish Wilson</w:t>
      </w:r>
      <w:r>
        <w:tab/>
      </w:r>
      <w:r>
        <w:tab/>
      </w:r>
      <w:r>
        <w:tab/>
        <w:t>Chisholm Institute staff member (from 01/03/19)</w:t>
      </w:r>
    </w:p>
    <w:p w:rsidR="003C5D04" w:rsidRDefault="003C5D04" w:rsidP="005942B8">
      <w:pPr>
        <w:pStyle w:val="NoSpacing"/>
      </w:pPr>
      <w:r>
        <w:t>Aleks Vass</w:t>
      </w:r>
      <w:r>
        <w:tab/>
      </w:r>
      <w:r>
        <w:tab/>
      </w:r>
      <w:r>
        <w:tab/>
        <w:t>Community Member</w:t>
      </w:r>
    </w:p>
    <w:p w:rsidR="003C5D04" w:rsidRDefault="003C5D04" w:rsidP="005942B8">
      <w:pPr>
        <w:pStyle w:val="NoSpacing"/>
      </w:pPr>
      <w:r>
        <w:t>Robert Hill</w:t>
      </w:r>
      <w:r>
        <w:tab/>
      </w:r>
      <w:r>
        <w:tab/>
      </w:r>
      <w:r>
        <w:tab/>
        <w:t>Community Member</w:t>
      </w:r>
    </w:p>
    <w:p w:rsidR="003C5D04" w:rsidRDefault="003C5D04" w:rsidP="005942B8">
      <w:pPr>
        <w:pStyle w:val="NoSpacing"/>
      </w:pPr>
      <w:r>
        <w:t>Ian Predl</w:t>
      </w:r>
      <w:r>
        <w:tab/>
      </w:r>
      <w:r>
        <w:tab/>
      </w:r>
      <w:r>
        <w:tab/>
        <w:t>Community Member</w:t>
      </w:r>
    </w:p>
    <w:p w:rsidR="003C5D04" w:rsidRDefault="003C5D04" w:rsidP="005942B8">
      <w:pPr>
        <w:pStyle w:val="NoSpacing"/>
      </w:pPr>
      <w:r>
        <w:t>Billie Stapleton</w:t>
      </w:r>
      <w:r>
        <w:tab/>
      </w:r>
      <w:r>
        <w:tab/>
      </w:r>
      <w:r>
        <w:tab/>
        <w:t>Community Member</w:t>
      </w:r>
      <w:r>
        <w:tab/>
        <w:t>from 01/10/2019</w:t>
      </w:r>
    </w:p>
    <w:p w:rsidR="003C5D04" w:rsidRDefault="003C5D04" w:rsidP="005942B8">
      <w:pPr>
        <w:pStyle w:val="NoSpacing"/>
      </w:pPr>
      <w:r>
        <w:t xml:space="preserve">Madonna Walters </w:t>
      </w:r>
      <w:r>
        <w:tab/>
      </w:r>
      <w:r>
        <w:tab/>
        <w:t>Community Member</w:t>
      </w:r>
      <w:r>
        <w:tab/>
        <w:t>from 01/10/2019 to 13/12/2019</w:t>
      </w:r>
    </w:p>
    <w:p w:rsidR="00C62316" w:rsidRDefault="00C62316" w:rsidP="005942B8">
      <w:pPr>
        <w:pStyle w:val="NoSpacing"/>
      </w:pPr>
    </w:p>
    <w:p w:rsidR="00C62316" w:rsidRDefault="00C62316" w:rsidP="005942B8">
      <w:pPr>
        <w:pStyle w:val="NoSpacing"/>
      </w:pPr>
      <w:r>
        <w:t>&lt;page</w:t>
      </w:r>
      <w:r w:rsidR="000A74EB">
        <w:t xml:space="preserve"> 40</w:t>
      </w:r>
      <w:r>
        <w:t>&gt;</w:t>
      </w:r>
    </w:p>
    <w:p w:rsidR="00C62316" w:rsidRDefault="00C62316" w:rsidP="005942B8">
      <w:pPr>
        <w:pStyle w:val="NoSpacing"/>
      </w:pPr>
    </w:p>
    <w:p w:rsidR="00C62316" w:rsidRDefault="00C62316" w:rsidP="005942B8">
      <w:pPr>
        <w:pStyle w:val="NoSpacing"/>
      </w:pPr>
    </w:p>
    <w:p w:rsidR="00C62316" w:rsidRDefault="00C62316" w:rsidP="00C62316">
      <w:pPr>
        <w:pStyle w:val="Heading2"/>
      </w:pPr>
      <w:r>
        <w:t>Attestations</w:t>
      </w:r>
    </w:p>
    <w:p w:rsidR="00C62316" w:rsidRDefault="00C62316" w:rsidP="005942B8">
      <w:pPr>
        <w:pStyle w:val="NoSpacing"/>
      </w:pPr>
    </w:p>
    <w:p w:rsidR="000A74EB" w:rsidRDefault="000A74EB" w:rsidP="005942B8">
      <w:pPr>
        <w:pStyle w:val="NoSpacing"/>
      </w:pPr>
      <w:r>
        <w:t>Chisholm Institute Financial Management Compliance Attestation Statement</w:t>
      </w:r>
    </w:p>
    <w:p w:rsidR="000A74EB" w:rsidRDefault="000A74EB" w:rsidP="005942B8">
      <w:pPr>
        <w:pStyle w:val="NoSpacing"/>
      </w:pPr>
    </w:p>
    <w:p w:rsidR="000A74EB" w:rsidRDefault="000A74EB" w:rsidP="005942B8">
      <w:pPr>
        <w:pStyle w:val="NoSpacing"/>
      </w:pPr>
      <w:r>
        <w:t>I, Stephen G Marks, on behalf of the Responsible Body, certify that Chisholm Institute has compiled with the applicable Standing Directions made under the Financial Management Act 1994 and instructions.</w:t>
      </w:r>
    </w:p>
    <w:p w:rsidR="000A74EB" w:rsidRDefault="000A74EB" w:rsidP="005942B8">
      <w:pPr>
        <w:pStyle w:val="NoSpacing"/>
      </w:pPr>
    </w:p>
    <w:p w:rsidR="000A74EB" w:rsidRDefault="000A74EB" w:rsidP="005942B8">
      <w:pPr>
        <w:pStyle w:val="NoSpacing"/>
      </w:pPr>
      <w:r>
        <w:t>Stephen G Marks</w:t>
      </w:r>
    </w:p>
    <w:p w:rsidR="000A74EB" w:rsidRDefault="000A74EB" w:rsidP="005942B8">
      <w:pPr>
        <w:pStyle w:val="NoSpacing"/>
      </w:pPr>
      <w:r>
        <w:t>Board Chairs</w:t>
      </w:r>
    </w:p>
    <w:p w:rsidR="000A74EB" w:rsidRDefault="000A74EB" w:rsidP="005942B8">
      <w:pPr>
        <w:pStyle w:val="NoSpacing"/>
      </w:pPr>
      <w:r>
        <w:t>Date: 26 February 2020</w:t>
      </w:r>
    </w:p>
    <w:p w:rsidR="000A74EB" w:rsidRDefault="000A74EB" w:rsidP="005942B8">
      <w:pPr>
        <w:pStyle w:val="NoSpacing"/>
      </w:pPr>
      <w:r>
        <w:t xml:space="preserve">Place: Dandenong </w:t>
      </w:r>
    </w:p>
    <w:p w:rsidR="000A74EB" w:rsidRDefault="000A74EB" w:rsidP="005942B8">
      <w:pPr>
        <w:pStyle w:val="NoSpacing"/>
      </w:pPr>
    </w:p>
    <w:p w:rsidR="00C62316" w:rsidRDefault="00C62316" w:rsidP="005942B8">
      <w:pPr>
        <w:pStyle w:val="NoSpacing"/>
      </w:pPr>
      <w:r>
        <w:t>&lt;page</w:t>
      </w:r>
      <w:r w:rsidR="000A74EB">
        <w:t xml:space="preserve"> 41</w:t>
      </w:r>
      <w:r>
        <w:t>&gt;</w:t>
      </w:r>
    </w:p>
    <w:p w:rsidR="00C62316" w:rsidRDefault="00C62316" w:rsidP="005942B8">
      <w:pPr>
        <w:pStyle w:val="NoSpacing"/>
      </w:pPr>
    </w:p>
    <w:p w:rsidR="00C62316" w:rsidRDefault="00C62316" w:rsidP="00C62316">
      <w:pPr>
        <w:pStyle w:val="Heading2"/>
      </w:pPr>
      <w:r>
        <w:t xml:space="preserve">Consolidated Financial Statements </w:t>
      </w:r>
    </w:p>
    <w:p w:rsidR="00C62316" w:rsidRDefault="00C62316" w:rsidP="005942B8">
      <w:pPr>
        <w:pStyle w:val="NoSpacing"/>
      </w:pPr>
    </w:p>
    <w:p w:rsidR="00C62316" w:rsidRDefault="00C62316" w:rsidP="005942B8">
      <w:pPr>
        <w:pStyle w:val="NoSpacing"/>
      </w:pPr>
      <w:r>
        <w:t>For the year ending 31 December 2019</w:t>
      </w:r>
    </w:p>
    <w:p w:rsidR="00C62316" w:rsidRDefault="00C62316" w:rsidP="005942B8">
      <w:pPr>
        <w:pStyle w:val="NoSpacing"/>
      </w:pPr>
    </w:p>
    <w:p w:rsidR="00C62316" w:rsidRDefault="00C62316" w:rsidP="005942B8">
      <w:pPr>
        <w:pStyle w:val="NoSpacing"/>
      </w:pPr>
      <w:r>
        <w:t>&lt;page</w:t>
      </w:r>
      <w:r w:rsidR="000A74EB">
        <w:t xml:space="preserve"> 42</w:t>
      </w:r>
      <w:r>
        <w:t>&gt;</w:t>
      </w:r>
    </w:p>
    <w:p w:rsidR="00C62316" w:rsidRDefault="00C62316" w:rsidP="005942B8">
      <w:pPr>
        <w:pStyle w:val="NoSpacing"/>
      </w:pPr>
    </w:p>
    <w:p w:rsidR="00C62316" w:rsidRDefault="00C62316" w:rsidP="00C62316">
      <w:pPr>
        <w:pStyle w:val="Heading2"/>
      </w:pPr>
      <w:r>
        <w:t xml:space="preserve">VAGO Independent Auditor’s Report </w:t>
      </w:r>
    </w:p>
    <w:p w:rsidR="00C62316" w:rsidRDefault="0004561D" w:rsidP="005942B8">
      <w:pPr>
        <w:pStyle w:val="NoSpacing"/>
      </w:pPr>
      <w:r>
        <w:t>To the Board of the Chisholm Institute</w:t>
      </w:r>
    </w:p>
    <w:p w:rsidR="0004561D" w:rsidRDefault="0004561D" w:rsidP="005942B8">
      <w:pPr>
        <w:pStyle w:val="NoSpacing"/>
      </w:pPr>
    </w:p>
    <w:p w:rsidR="0004561D" w:rsidRDefault="0004561D" w:rsidP="0004561D">
      <w:pPr>
        <w:pStyle w:val="Heading3"/>
      </w:pPr>
      <w:r>
        <w:t>Opinion</w:t>
      </w:r>
    </w:p>
    <w:p w:rsidR="00681D4D" w:rsidRDefault="00681D4D" w:rsidP="005942B8">
      <w:pPr>
        <w:pStyle w:val="NoSpacing"/>
      </w:pPr>
    </w:p>
    <w:p w:rsidR="0004561D" w:rsidRDefault="0004561D" w:rsidP="005942B8">
      <w:pPr>
        <w:pStyle w:val="NoSpacing"/>
      </w:pPr>
      <w:r>
        <w:t>I have audited the financial report of the Chisholm Institute (the institute) which comprises the:</w:t>
      </w:r>
    </w:p>
    <w:p w:rsidR="0004561D" w:rsidRDefault="0004561D" w:rsidP="00925530">
      <w:pPr>
        <w:pStyle w:val="NoSpacing"/>
        <w:numPr>
          <w:ilvl w:val="0"/>
          <w:numId w:val="42"/>
        </w:numPr>
      </w:pPr>
      <w:r>
        <w:t>consolidated entity and institute balance sheet as at 31 December 2019</w:t>
      </w:r>
    </w:p>
    <w:p w:rsidR="0004561D" w:rsidRDefault="0004561D" w:rsidP="00925530">
      <w:pPr>
        <w:pStyle w:val="NoSpacing"/>
        <w:numPr>
          <w:ilvl w:val="0"/>
          <w:numId w:val="42"/>
        </w:numPr>
      </w:pPr>
      <w:r>
        <w:t>consolidated entity and institute comprehensive operating statement for the year then ended</w:t>
      </w:r>
    </w:p>
    <w:p w:rsidR="0004561D" w:rsidRDefault="0004561D" w:rsidP="00925530">
      <w:pPr>
        <w:pStyle w:val="NoSpacing"/>
        <w:numPr>
          <w:ilvl w:val="0"/>
          <w:numId w:val="42"/>
        </w:numPr>
      </w:pPr>
      <w:r>
        <w:t>consolidated entity and institute statement of changes in equity for the year then ended</w:t>
      </w:r>
    </w:p>
    <w:p w:rsidR="0004561D" w:rsidRDefault="0004561D" w:rsidP="00925530">
      <w:pPr>
        <w:pStyle w:val="NoSpacing"/>
        <w:numPr>
          <w:ilvl w:val="0"/>
          <w:numId w:val="42"/>
        </w:numPr>
      </w:pPr>
      <w:r>
        <w:t>consolidated entity and institute cash flow statement for the year then ended</w:t>
      </w:r>
    </w:p>
    <w:p w:rsidR="0004561D" w:rsidRDefault="0004561D" w:rsidP="00925530">
      <w:pPr>
        <w:pStyle w:val="NoSpacing"/>
        <w:numPr>
          <w:ilvl w:val="0"/>
          <w:numId w:val="42"/>
        </w:numPr>
      </w:pPr>
      <w:r>
        <w:t>notes to the financial statements, including significant accounting policies</w:t>
      </w:r>
    </w:p>
    <w:p w:rsidR="0004561D" w:rsidRDefault="0004561D" w:rsidP="00925530">
      <w:pPr>
        <w:pStyle w:val="NoSpacing"/>
        <w:numPr>
          <w:ilvl w:val="0"/>
          <w:numId w:val="42"/>
        </w:numPr>
      </w:pPr>
      <w:r>
        <w:t>Declaration by the Chair of the Board, Chief Executive Officer and Chief Finance Officer.</w:t>
      </w:r>
    </w:p>
    <w:p w:rsidR="0004561D" w:rsidRDefault="0004561D" w:rsidP="0004561D">
      <w:pPr>
        <w:pStyle w:val="NoSpacing"/>
      </w:pPr>
      <w:r>
        <w:t xml:space="preserve">In my opinion the financial report presents fairly, in all material respects, the financial positions of the consolidated entity and the institute as at 31 December 2019 and their financial performance </w:t>
      </w:r>
      <w:r>
        <w:lastRenderedPageBreak/>
        <w:t>and cash flows for the year then ended in accordance with the financial reporting requirements of Part 7 of the Financial Management Act 1994 and applicable Australian Accounting Standards.</w:t>
      </w:r>
    </w:p>
    <w:p w:rsidR="0004561D" w:rsidRDefault="0004561D" w:rsidP="0004561D">
      <w:pPr>
        <w:pStyle w:val="NoSpacing"/>
      </w:pPr>
    </w:p>
    <w:p w:rsidR="0004561D" w:rsidRDefault="0004561D" w:rsidP="0004561D">
      <w:pPr>
        <w:pStyle w:val="Heading3"/>
      </w:pPr>
      <w:r>
        <w:t>Basis for Opinion</w:t>
      </w:r>
    </w:p>
    <w:p w:rsidR="00681D4D" w:rsidRDefault="00681D4D" w:rsidP="0004561D">
      <w:pPr>
        <w:pStyle w:val="NoSpacing"/>
      </w:pPr>
    </w:p>
    <w:p w:rsidR="0004561D" w:rsidRDefault="0004561D" w:rsidP="0004561D">
      <w:pPr>
        <w:pStyle w:val="NoSpacing"/>
      </w:pPr>
      <w:r>
        <w:t>I have conducted my audit in accordance with the Audit Act 1994 which incorporates the Australian Auditing Standards. I further describe my responsibilities under the Act and those standards in the Auditor’s Responsibilities for the Audit of the Financial Report section of my report.</w:t>
      </w:r>
    </w:p>
    <w:p w:rsidR="0004561D" w:rsidRDefault="0004561D" w:rsidP="0004561D">
      <w:pPr>
        <w:pStyle w:val="NoSpacing"/>
      </w:pPr>
      <w:r>
        <w:t xml:space="preserve">My independence is established by the Constitution Act 1975. My staff and I are independent of the institute in accordance with the ethical requirements of the Accounting Professional and Ethical Standards Board’s APES 110 Code of Ethics for Professional Accountants (the Code) that are relevant to my audit of the financial report in Victoria. My staff and I have also fulfilled our other ethical responsibilities in accordance with the Code. </w:t>
      </w:r>
    </w:p>
    <w:p w:rsidR="0004561D" w:rsidRDefault="0004561D" w:rsidP="0004561D">
      <w:pPr>
        <w:pStyle w:val="NoSpacing"/>
      </w:pPr>
      <w:r>
        <w:t>I believe that the audit evidence I have obtained in sufficient and appropriate to provide a basis for my opinion.</w:t>
      </w:r>
    </w:p>
    <w:p w:rsidR="0004561D" w:rsidRDefault="0004561D" w:rsidP="0004561D">
      <w:pPr>
        <w:pStyle w:val="NoSpacing"/>
      </w:pPr>
    </w:p>
    <w:p w:rsidR="0004561D" w:rsidRDefault="00373F63" w:rsidP="00373F63">
      <w:pPr>
        <w:pStyle w:val="Heading3"/>
      </w:pPr>
      <w:r>
        <w:t>Board’s responsibilities for the financial report</w:t>
      </w:r>
    </w:p>
    <w:p w:rsidR="00681D4D" w:rsidRDefault="00681D4D" w:rsidP="0004561D">
      <w:pPr>
        <w:pStyle w:val="NoSpacing"/>
      </w:pPr>
    </w:p>
    <w:p w:rsidR="00373F63" w:rsidRDefault="00373F63" w:rsidP="0004561D">
      <w:pPr>
        <w:pStyle w:val="NoSpacing"/>
      </w:pPr>
      <w:r>
        <w:t>The Board of the institute is responsible for the preparation and fair presentation of the financial report in accordance with Australian Accounting Standards and the Financial Management Act 1994, and for such internal control as the Board determines in necessary to enable the preparation of a financial report that is fee from material misstatement, whether due to fraud or error.</w:t>
      </w:r>
    </w:p>
    <w:p w:rsidR="00373F63" w:rsidRDefault="00373F63" w:rsidP="0004561D">
      <w:pPr>
        <w:pStyle w:val="NoSpacing"/>
      </w:pPr>
      <w:r>
        <w:t>In preparing the financial report, the Board is responsible for assessing the institute’s ability to continue as a going concern, disclosing, as applicable, matters related to going concern and using the going concern basis of accounting unless it is inappropriate to do so.</w:t>
      </w:r>
    </w:p>
    <w:p w:rsidR="0004561D" w:rsidRDefault="0004561D" w:rsidP="005942B8">
      <w:pPr>
        <w:pStyle w:val="NoSpacing"/>
      </w:pPr>
    </w:p>
    <w:p w:rsidR="00C62316" w:rsidRDefault="00C62316" w:rsidP="005942B8">
      <w:pPr>
        <w:pStyle w:val="NoSpacing"/>
      </w:pPr>
      <w:r>
        <w:t>&lt;page</w:t>
      </w:r>
      <w:r w:rsidR="000A74EB">
        <w:t xml:space="preserve"> 43</w:t>
      </w:r>
      <w:r>
        <w:t>&gt;</w:t>
      </w:r>
    </w:p>
    <w:p w:rsidR="00C62316" w:rsidRDefault="00C62316" w:rsidP="005942B8">
      <w:pPr>
        <w:pStyle w:val="NoSpacing"/>
      </w:pPr>
    </w:p>
    <w:p w:rsidR="00C62316" w:rsidRDefault="00C62316" w:rsidP="000A74EB">
      <w:pPr>
        <w:pStyle w:val="Heading3"/>
      </w:pPr>
      <w:r>
        <w:t xml:space="preserve"> VAGO Independent Auditor’s Report </w:t>
      </w:r>
    </w:p>
    <w:p w:rsidR="002110F5" w:rsidRDefault="002110F5" w:rsidP="00C62316">
      <w:pPr>
        <w:pStyle w:val="NoSpacing"/>
      </w:pPr>
    </w:p>
    <w:p w:rsidR="002110F5" w:rsidRDefault="002110F5" w:rsidP="00170680">
      <w:pPr>
        <w:pStyle w:val="Heading5"/>
      </w:pPr>
      <w:r>
        <w:t>Auditor’s responsibilities for the audit of the financial report</w:t>
      </w:r>
    </w:p>
    <w:p w:rsidR="002110F5" w:rsidRDefault="002110F5" w:rsidP="00C62316">
      <w:pPr>
        <w:pStyle w:val="NoSpacing"/>
      </w:pPr>
    </w:p>
    <w:p w:rsidR="005C2E0F" w:rsidRDefault="002110F5" w:rsidP="00C62316">
      <w:pPr>
        <w:pStyle w:val="NoSpacing"/>
      </w:pPr>
      <w:r>
        <w:t>As required by the Audit Act 1994, my responsibility is to express an opinion on the financial report based on the audit. My objectives for the audit are to obtain reasonable assurance about whether the financial report as a whole if free from material misstatement, whether due to fraud or error, and to issue</w:t>
      </w:r>
      <w:r w:rsidR="005C2E0F">
        <w:t xml:space="preserve"> an auditor’s report that includes my opinion. Reasonable assurance is a high level of assurance, but is not a guarantee that the audit conducted in accordance with the Australian Auditing Standards will always detect a misstatement when it exists. Misstatements can arise from fraud or error and are considered material if, individually or in the aggregate, they could reasonably be expected to influence the economic decisions of users taken on the basis of this financial report.</w:t>
      </w:r>
    </w:p>
    <w:p w:rsidR="005C2E0F" w:rsidRDefault="005C2E0F" w:rsidP="00C62316">
      <w:pPr>
        <w:pStyle w:val="NoSpacing"/>
      </w:pPr>
      <w:r>
        <w:t>As part of an audit in accordance with the Australian Auditing Standards, I exercise professional judgement and maintain professional scepticism throughout the audit. I also:</w:t>
      </w:r>
    </w:p>
    <w:p w:rsidR="005C2E0F" w:rsidRDefault="005C2E0F" w:rsidP="00C62316">
      <w:pPr>
        <w:pStyle w:val="NoSpacing"/>
      </w:pPr>
    </w:p>
    <w:p w:rsidR="005C2E0F" w:rsidRDefault="005C2E0F" w:rsidP="00925530">
      <w:pPr>
        <w:pStyle w:val="NoSpacing"/>
        <w:numPr>
          <w:ilvl w:val="0"/>
          <w:numId w:val="38"/>
        </w:numPr>
      </w:pPr>
      <w:r>
        <w:t>Identify and assess the risks of material misstatement of the financial report, whether due to fraud or error, design and perform audit procedures responsive to those risks, and obtain audit evidence that is sufficient and appropriate to provide a basis for my opinion. The risk of not detecting a material misstatement resulting from fraud is higher than for one resulting from error, as fraud may involve collusion, forgery, intentional omissions, misrepresentations, or the override of internal control.</w:t>
      </w:r>
    </w:p>
    <w:p w:rsidR="005C2E0F" w:rsidRDefault="005C2E0F" w:rsidP="00925530">
      <w:pPr>
        <w:pStyle w:val="NoSpacing"/>
        <w:numPr>
          <w:ilvl w:val="0"/>
          <w:numId w:val="38"/>
        </w:numPr>
      </w:pPr>
      <w:r>
        <w:lastRenderedPageBreak/>
        <w:t>Obtain an understanding of internal control relevant to the audit in order to design audit procedures that are appropriate in the circumstances</w:t>
      </w:r>
      <w:r w:rsidR="00A11ADE">
        <w:t>, but not for the purpose of expressing an opinion on the effectiveness of the institute’s internal control</w:t>
      </w:r>
    </w:p>
    <w:p w:rsidR="00A11ADE" w:rsidRDefault="00A11ADE" w:rsidP="00925530">
      <w:pPr>
        <w:pStyle w:val="NoSpacing"/>
        <w:numPr>
          <w:ilvl w:val="0"/>
          <w:numId w:val="38"/>
        </w:numPr>
      </w:pPr>
      <w:r>
        <w:t>Evaluate the appropriateness of accounting policies</w:t>
      </w:r>
      <w:r w:rsidR="00DE2875">
        <w:t xml:space="preserve"> used and the reasonableness of accounting estimates and related disclosures made by the Board</w:t>
      </w:r>
    </w:p>
    <w:p w:rsidR="00DE2875" w:rsidRDefault="00DE2875" w:rsidP="00925530">
      <w:pPr>
        <w:pStyle w:val="NoSpacing"/>
        <w:numPr>
          <w:ilvl w:val="0"/>
          <w:numId w:val="38"/>
        </w:numPr>
      </w:pPr>
      <w:r>
        <w:t>Conclude on the appropriateness of the Board’s use of the going concern basis of accounting and, based on the audit evidence obtained, whether a material uncertainty exists related to events or conditions that may cast significant doubt on the institute’s ability to continue as a growing concern. If I conclude that a material uncertainty exists, I am required to draw attention in my auditor’s report to the related disclosures in the financial report or, if such disclosures are inadequate, to modify my opinion. My conclusions are based on the audit evidence obtained up to the date of my auditor’s report. However, future events or conditions may cause the institute to cease to continue as a going concern.</w:t>
      </w:r>
    </w:p>
    <w:p w:rsidR="00DE2875" w:rsidRDefault="00DE2875" w:rsidP="00925530">
      <w:pPr>
        <w:pStyle w:val="NoSpacing"/>
        <w:numPr>
          <w:ilvl w:val="0"/>
          <w:numId w:val="38"/>
        </w:numPr>
      </w:pPr>
      <w:r>
        <w:t>Evaluate the overall presentation, structure and content of the financial report, including the disclosures, and whether the financial report represents the underlying transactions and events in a manner that achieves fair presentation.</w:t>
      </w:r>
    </w:p>
    <w:p w:rsidR="00DE2875" w:rsidRDefault="00DE2875" w:rsidP="00925530">
      <w:pPr>
        <w:pStyle w:val="NoSpacing"/>
        <w:numPr>
          <w:ilvl w:val="0"/>
          <w:numId w:val="38"/>
        </w:numPr>
      </w:pPr>
      <w:r>
        <w:t>Obtain sufficient appropriate audit evidence regarding the financial information of the entities of business activities within the institute and consolidated entity to express an opinion on the financial report. I remain responsible for the direction, supervision, and performance of the audit of the institute and consolidated entity. I remain solely responsible for my audit opinion.</w:t>
      </w:r>
    </w:p>
    <w:p w:rsidR="00DE2875" w:rsidRDefault="00DE2875" w:rsidP="00DE2875">
      <w:pPr>
        <w:pStyle w:val="NoSpacing"/>
      </w:pPr>
    </w:p>
    <w:p w:rsidR="00DE2875" w:rsidRDefault="00DE2875" w:rsidP="00DE2875">
      <w:pPr>
        <w:pStyle w:val="NoSpacing"/>
      </w:pPr>
      <w:r>
        <w:t xml:space="preserve">I communicate with the Board regarding, among other matters, the planned scope and timing of the audit and significant audit findings, including any significant deficiencies in internal control that I identify during my </w:t>
      </w:r>
      <w:r w:rsidR="00373F63">
        <w:t>audi</w:t>
      </w:r>
      <w:r>
        <w:t>t.</w:t>
      </w:r>
    </w:p>
    <w:p w:rsidR="00434FCF" w:rsidRDefault="00434FCF" w:rsidP="00C62316">
      <w:pPr>
        <w:pStyle w:val="NoSpacing"/>
      </w:pPr>
    </w:p>
    <w:p w:rsidR="00DE2875" w:rsidRDefault="00DE2875" w:rsidP="00C62316">
      <w:pPr>
        <w:pStyle w:val="NoSpacing"/>
      </w:pPr>
      <w:r>
        <w:t xml:space="preserve">MELBOURNE </w:t>
      </w:r>
    </w:p>
    <w:p w:rsidR="00DE2875" w:rsidRDefault="00DE2875" w:rsidP="00C62316">
      <w:pPr>
        <w:pStyle w:val="NoSpacing"/>
      </w:pPr>
      <w:r>
        <w:t>1 March 2020</w:t>
      </w:r>
    </w:p>
    <w:p w:rsidR="00DE2875" w:rsidRDefault="00DE2875" w:rsidP="00C62316">
      <w:pPr>
        <w:pStyle w:val="NoSpacing"/>
      </w:pPr>
    </w:p>
    <w:p w:rsidR="00DE2875" w:rsidRDefault="00DE2875" w:rsidP="00C62316">
      <w:pPr>
        <w:pStyle w:val="NoSpacing"/>
      </w:pPr>
      <w:r>
        <w:t>Charlotte Jeffries</w:t>
      </w:r>
    </w:p>
    <w:p w:rsidR="00DE2875" w:rsidRPr="00DE2875" w:rsidRDefault="00DE2875" w:rsidP="00C62316">
      <w:pPr>
        <w:pStyle w:val="NoSpacing"/>
        <w:rPr>
          <w:i/>
        </w:rPr>
      </w:pPr>
      <w:r w:rsidRPr="00DE2875">
        <w:rPr>
          <w:i/>
        </w:rPr>
        <w:t xml:space="preserve">as delegate for the Auditor-General of Victoria  </w:t>
      </w:r>
    </w:p>
    <w:p w:rsidR="00434FCF" w:rsidRDefault="00434FCF" w:rsidP="00C62316">
      <w:pPr>
        <w:pStyle w:val="NoSpacing"/>
      </w:pPr>
    </w:p>
    <w:p w:rsidR="00C62316" w:rsidRDefault="00C62316" w:rsidP="00C62316">
      <w:pPr>
        <w:pStyle w:val="NoSpacing"/>
      </w:pPr>
      <w:r>
        <w:t>&lt;page</w:t>
      </w:r>
      <w:r w:rsidR="000A74EB">
        <w:t xml:space="preserve"> 44</w:t>
      </w:r>
      <w:r>
        <w:t>&gt;</w:t>
      </w:r>
    </w:p>
    <w:p w:rsidR="00C62316" w:rsidRDefault="00C62316" w:rsidP="005942B8">
      <w:pPr>
        <w:pStyle w:val="NoSpacing"/>
      </w:pPr>
    </w:p>
    <w:p w:rsidR="00C62316" w:rsidRDefault="00DC779D" w:rsidP="00DC779D">
      <w:pPr>
        <w:pStyle w:val="Heading2"/>
      </w:pPr>
      <w:r>
        <w:t>Declaration by Chair of the Board, Chief Executive Officer and Chief Finance Officer</w:t>
      </w:r>
    </w:p>
    <w:p w:rsidR="00DC779D" w:rsidRDefault="00DC779D" w:rsidP="005942B8">
      <w:pPr>
        <w:pStyle w:val="NoSpacing"/>
      </w:pPr>
    </w:p>
    <w:p w:rsidR="00D94D29" w:rsidRPr="00D94D29" w:rsidRDefault="00D94D29" w:rsidP="00D94D29">
      <w:pPr>
        <w:autoSpaceDE w:val="0"/>
        <w:autoSpaceDN w:val="0"/>
        <w:adjustRightInd w:val="0"/>
        <w:spacing w:after="0" w:line="240" w:lineRule="auto"/>
        <w:rPr>
          <w:rFonts w:cs="ProximaNovaA-Light"/>
        </w:rPr>
      </w:pPr>
      <w:r w:rsidRPr="00D94D29">
        <w:rPr>
          <w:rFonts w:cs="ProximaNovaA-Light"/>
        </w:rPr>
        <w:t>We certify that the attached financial statements for Chisholm Institute and the consolidated entity has been prepared in accordance with Standing Direction 5.2 of the Financial Management Act 1994, applicable Financial Reporting Directions issued under that legislation, Australian Accounting Standards and other mandatory professional reporting requirements.</w:t>
      </w:r>
    </w:p>
    <w:p w:rsidR="00D94D29" w:rsidRPr="00D94D29" w:rsidRDefault="00D94D29" w:rsidP="00D94D29">
      <w:pPr>
        <w:autoSpaceDE w:val="0"/>
        <w:autoSpaceDN w:val="0"/>
        <w:adjustRightInd w:val="0"/>
        <w:spacing w:after="0" w:line="240" w:lineRule="auto"/>
        <w:rPr>
          <w:rFonts w:cs="ProximaNovaA-Light"/>
        </w:rPr>
      </w:pPr>
    </w:p>
    <w:p w:rsidR="00D94D29" w:rsidRPr="00D94D29" w:rsidRDefault="00D94D29" w:rsidP="00D94D29">
      <w:pPr>
        <w:autoSpaceDE w:val="0"/>
        <w:autoSpaceDN w:val="0"/>
        <w:adjustRightInd w:val="0"/>
        <w:spacing w:after="0" w:line="240" w:lineRule="auto"/>
        <w:rPr>
          <w:rFonts w:cs="ProximaNovaA-Light"/>
        </w:rPr>
      </w:pPr>
      <w:r w:rsidRPr="00D94D29">
        <w:rPr>
          <w:rFonts w:cs="ProximaNovaA-Light"/>
        </w:rPr>
        <w:t>We further state that, in our opinion, the information set out in the comprehensive operating statement, balance sheet, statement of changes in equity, cash flow statement and notes to and forming part of the financial report, presents fairly the financial transactions during the year ended 31 December 2019 and financial position of the Institute and the Consolidated Group as at 31 December 2019.</w:t>
      </w:r>
    </w:p>
    <w:p w:rsidR="00D94D29" w:rsidRPr="00D94D29" w:rsidRDefault="00D94D29" w:rsidP="00D94D29">
      <w:pPr>
        <w:autoSpaceDE w:val="0"/>
        <w:autoSpaceDN w:val="0"/>
        <w:adjustRightInd w:val="0"/>
        <w:spacing w:after="0" w:line="240" w:lineRule="auto"/>
        <w:rPr>
          <w:rFonts w:cs="ProximaNovaA-Light"/>
        </w:rPr>
      </w:pPr>
    </w:p>
    <w:p w:rsidR="00D94D29" w:rsidRPr="00D94D29" w:rsidRDefault="00D94D29" w:rsidP="00D94D29">
      <w:pPr>
        <w:autoSpaceDE w:val="0"/>
        <w:autoSpaceDN w:val="0"/>
        <w:adjustRightInd w:val="0"/>
        <w:spacing w:after="0" w:line="240" w:lineRule="auto"/>
        <w:rPr>
          <w:rFonts w:cs="ProximaNovaA-Light"/>
        </w:rPr>
      </w:pPr>
      <w:r w:rsidRPr="00D94D29">
        <w:rPr>
          <w:rFonts w:cs="ProximaNovaA-Light"/>
        </w:rPr>
        <w:t>At the date of signing this financial report, we are not aware of any circumstance that would render any particulars included in the financial report to be misleading or inaccurate. There are reasonable grounds to believe that the Institute and the Consolidated Group will be able to pay its debts as and when they became due and payable.</w:t>
      </w:r>
    </w:p>
    <w:p w:rsidR="00D94D29" w:rsidRPr="00D94D29" w:rsidRDefault="00D94D29" w:rsidP="00D94D29">
      <w:pPr>
        <w:autoSpaceDE w:val="0"/>
        <w:autoSpaceDN w:val="0"/>
        <w:adjustRightInd w:val="0"/>
        <w:spacing w:after="0" w:line="240" w:lineRule="auto"/>
        <w:rPr>
          <w:rFonts w:cs="ProximaNovaA-Light"/>
        </w:rPr>
      </w:pPr>
    </w:p>
    <w:p w:rsidR="000A74EB" w:rsidRPr="00D94D29" w:rsidRDefault="00D94D29" w:rsidP="00D94D29">
      <w:pPr>
        <w:autoSpaceDE w:val="0"/>
        <w:autoSpaceDN w:val="0"/>
        <w:adjustRightInd w:val="0"/>
        <w:spacing w:after="0" w:line="240" w:lineRule="auto"/>
      </w:pPr>
      <w:r w:rsidRPr="00D94D29">
        <w:rPr>
          <w:rFonts w:cs="ProximaNovaA-Light"/>
        </w:rPr>
        <w:t>The Board Chair and the Chief Executive Officer sign this declaration as delegates of, and in accordance with a resolution of, the Board of Chisholm Institute.</w:t>
      </w:r>
    </w:p>
    <w:p w:rsidR="000A74EB" w:rsidRDefault="000A74EB" w:rsidP="005942B8">
      <w:pPr>
        <w:pStyle w:val="NoSpacing"/>
      </w:pPr>
    </w:p>
    <w:p w:rsidR="000A74EB" w:rsidRDefault="000A74EB" w:rsidP="005942B8">
      <w:pPr>
        <w:pStyle w:val="NoSpacing"/>
      </w:pPr>
    </w:p>
    <w:p w:rsidR="00DC779D" w:rsidRDefault="00DC779D" w:rsidP="005942B8">
      <w:pPr>
        <w:pStyle w:val="NoSpacing"/>
      </w:pPr>
      <w:r>
        <w:t>Stephen G. Marks</w:t>
      </w:r>
    </w:p>
    <w:p w:rsidR="00DC779D" w:rsidRDefault="00DC779D" w:rsidP="005942B8">
      <w:pPr>
        <w:pStyle w:val="NoSpacing"/>
      </w:pPr>
      <w:r>
        <w:t>Board Chair</w:t>
      </w:r>
    </w:p>
    <w:p w:rsidR="00DC779D" w:rsidRDefault="00DC779D" w:rsidP="005942B8">
      <w:pPr>
        <w:pStyle w:val="NoSpacing"/>
      </w:pPr>
      <w:r>
        <w:t>Date:</w:t>
      </w:r>
      <w:r w:rsidR="00D94D29">
        <w:t xml:space="preserve"> 26 February 2020</w:t>
      </w:r>
    </w:p>
    <w:p w:rsidR="00DC779D" w:rsidRDefault="00DC779D" w:rsidP="005942B8">
      <w:pPr>
        <w:pStyle w:val="NoSpacing"/>
      </w:pPr>
      <w:r>
        <w:t>Place:</w:t>
      </w:r>
      <w:r w:rsidR="00D94D29">
        <w:t xml:space="preserve"> Dandenong</w:t>
      </w:r>
    </w:p>
    <w:p w:rsidR="00C62316" w:rsidRDefault="00C62316" w:rsidP="005942B8">
      <w:pPr>
        <w:pStyle w:val="NoSpacing"/>
      </w:pPr>
    </w:p>
    <w:p w:rsidR="00DC779D" w:rsidRDefault="00DC779D" w:rsidP="005942B8">
      <w:pPr>
        <w:pStyle w:val="NoSpacing"/>
      </w:pPr>
      <w:r>
        <w:t xml:space="preserve">Stephen Varty </w:t>
      </w:r>
    </w:p>
    <w:p w:rsidR="00DC779D" w:rsidRDefault="00DC779D" w:rsidP="005942B8">
      <w:pPr>
        <w:pStyle w:val="NoSpacing"/>
      </w:pPr>
      <w:r>
        <w:t xml:space="preserve">Chief Executive Officer </w:t>
      </w:r>
    </w:p>
    <w:p w:rsidR="00D94D29" w:rsidRDefault="00D94D29" w:rsidP="00D94D29">
      <w:pPr>
        <w:pStyle w:val="NoSpacing"/>
      </w:pPr>
      <w:r>
        <w:t>Date: 26 February 2020</w:t>
      </w:r>
    </w:p>
    <w:p w:rsidR="00DC779D" w:rsidRDefault="00D94D29" w:rsidP="00D94D29">
      <w:pPr>
        <w:pStyle w:val="NoSpacing"/>
      </w:pPr>
      <w:r>
        <w:t>Place: Dandenong</w:t>
      </w:r>
    </w:p>
    <w:p w:rsidR="00D94D29" w:rsidRDefault="00D94D29" w:rsidP="005942B8">
      <w:pPr>
        <w:pStyle w:val="NoSpacing"/>
      </w:pPr>
    </w:p>
    <w:p w:rsidR="00DC779D" w:rsidRDefault="00DC779D" w:rsidP="005942B8">
      <w:pPr>
        <w:pStyle w:val="NoSpacing"/>
      </w:pPr>
      <w:r>
        <w:t>Toniann Stitz</w:t>
      </w:r>
    </w:p>
    <w:p w:rsidR="00DC779D" w:rsidRDefault="00DC779D" w:rsidP="005942B8">
      <w:pPr>
        <w:pStyle w:val="NoSpacing"/>
      </w:pPr>
      <w:r>
        <w:t xml:space="preserve">Chief Finance Officer </w:t>
      </w:r>
    </w:p>
    <w:p w:rsidR="00D94D29" w:rsidRDefault="00D94D29" w:rsidP="00D94D29">
      <w:pPr>
        <w:pStyle w:val="NoSpacing"/>
      </w:pPr>
      <w:r>
        <w:t>Date: 26 February 2020</w:t>
      </w:r>
    </w:p>
    <w:p w:rsidR="00DC779D" w:rsidRDefault="00D94D29" w:rsidP="00D94D29">
      <w:pPr>
        <w:pStyle w:val="NoSpacing"/>
      </w:pPr>
      <w:r>
        <w:t>Place: Dandenong</w:t>
      </w:r>
    </w:p>
    <w:p w:rsidR="00D94D29" w:rsidRDefault="00D94D29" w:rsidP="00D94D29">
      <w:pPr>
        <w:pStyle w:val="NoSpacing"/>
      </w:pPr>
    </w:p>
    <w:p w:rsidR="00DC779D" w:rsidRDefault="00DC779D" w:rsidP="005942B8">
      <w:pPr>
        <w:pStyle w:val="NoSpacing"/>
      </w:pPr>
      <w:r>
        <w:t>&lt;page</w:t>
      </w:r>
      <w:r w:rsidR="00D94D29">
        <w:t xml:space="preserve"> 45</w:t>
      </w:r>
      <w:r>
        <w:t>&gt;</w:t>
      </w:r>
    </w:p>
    <w:p w:rsidR="00DC779D" w:rsidRDefault="00DC779D" w:rsidP="005942B8">
      <w:pPr>
        <w:pStyle w:val="NoSpacing"/>
      </w:pPr>
    </w:p>
    <w:p w:rsidR="00DC779D" w:rsidRDefault="00DC779D" w:rsidP="00DC779D">
      <w:pPr>
        <w:pStyle w:val="Heading2"/>
      </w:pPr>
      <w:r>
        <w:t xml:space="preserve">Comprehensive Operating Statement </w:t>
      </w:r>
    </w:p>
    <w:p w:rsidR="00DC779D" w:rsidRDefault="00DC779D" w:rsidP="005942B8">
      <w:pPr>
        <w:pStyle w:val="NoSpacing"/>
      </w:pPr>
    </w:p>
    <w:p w:rsidR="00DC779D" w:rsidRDefault="00DC779D" w:rsidP="005942B8">
      <w:pPr>
        <w:pStyle w:val="NoSpacing"/>
      </w:pPr>
      <w:r>
        <w:t>For the year ended 31 December 2019</w:t>
      </w:r>
    </w:p>
    <w:p w:rsidR="00DC779D" w:rsidRDefault="00DC779D" w:rsidP="005942B8">
      <w:pPr>
        <w:pStyle w:val="NoSpacing"/>
      </w:pPr>
    </w:p>
    <w:tbl>
      <w:tblPr>
        <w:tblStyle w:val="TableGrid"/>
        <w:tblW w:w="10774" w:type="dxa"/>
        <w:tblInd w:w="-856" w:type="dxa"/>
        <w:tblLook w:val="04A0" w:firstRow="1" w:lastRow="0" w:firstColumn="1" w:lastColumn="0" w:noHBand="0" w:noVBand="1"/>
      </w:tblPr>
      <w:tblGrid>
        <w:gridCol w:w="4201"/>
        <w:gridCol w:w="1398"/>
        <w:gridCol w:w="1388"/>
        <w:gridCol w:w="1257"/>
        <w:gridCol w:w="1272"/>
        <w:gridCol w:w="1258"/>
      </w:tblGrid>
      <w:tr w:rsidR="00F436C0" w:rsidTr="00F436C0">
        <w:trPr>
          <w:gridBefore w:val="2"/>
          <w:wBefore w:w="5599" w:type="dxa"/>
        </w:trPr>
        <w:tc>
          <w:tcPr>
            <w:tcW w:w="2645" w:type="dxa"/>
            <w:gridSpan w:val="2"/>
          </w:tcPr>
          <w:p w:rsidR="00F436C0" w:rsidRDefault="00F436C0" w:rsidP="00F436C0">
            <w:pPr>
              <w:pStyle w:val="NoSpacing"/>
              <w:jc w:val="center"/>
            </w:pPr>
            <w:r>
              <w:t>Consolidated</w:t>
            </w:r>
          </w:p>
        </w:tc>
        <w:tc>
          <w:tcPr>
            <w:tcW w:w="2530" w:type="dxa"/>
            <w:gridSpan w:val="2"/>
          </w:tcPr>
          <w:p w:rsidR="00F436C0" w:rsidRDefault="00F436C0" w:rsidP="00F436C0">
            <w:pPr>
              <w:pStyle w:val="NoSpacing"/>
              <w:jc w:val="center"/>
            </w:pPr>
            <w:r>
              <w:t>Chisholm</w:t>
            </w:r>
          </w:p>
        </w:tc>
      </w:tr>
      <w:tr w:rsidR="00F436C0" w:rsidTr="00F436C0">
        <w:trPr>
          <w:gridBefore w:val="2"/>
          <w:wBefore w:w="5599" w:type="dxa"/>
        </w:trPr>
        <w:tc>
          <w:tcPr>
            <w:tcW w:w="1388" w:type="dxa"/>
          </w:tcPr>
          <w:p w:rsidR="00F436C0" w:rsidRDefault="00F436C0" w:rsidP="007D5B55">
            <w:pPr>
              <w:pStyle w:val="NoSpacing"/>
              <w:jc w:val="right"/>
            </w:pPr>
            <w:r>
              <w:t>2019</w:t>
            </w:r>
          </w:p>
        </w:tc>
        <w:tc>
          <w:tcPr>
            <w:tcW w:w="1257" w:type="dxa"/>
          </w:tcPr>
          <w:p w:rsidR="00F436C0" w:rsidRDefault="00F436C0" w:rsidP="007D5B55">
            <w:pPr>
              <w:pStyle w:val="NoSpacing"/>
              <w:jc w:val="right"/>
            </w:pPr>
            <w:r>
              <w:t>2018</w:t>
            </w:r>
          </w:p>
        </w:tc>
        <w:tc>
          <w:tcPr>
            <w:tcW w:w="1272" w:type="dxa"/>
          </w:tcPr>
          <w:p w:rsidR="00F436C0" w:rsidRDefault="00F436C0" w:rsidP="007D5B55">
            <w:pPr>
              <w:pStyle w:val="NoSpacing"/>
              <w:jc w:val="right"/>
            </w:pPr>
            <w:r>
              <w:t>2019</w:t>
            </w:r>
          </w:p>
        </w:tc>
        <w:tc>
          <w:tcPr>
            <w:tcW w:w="1258" w:type="dxa"/>
          </w:tcPr>
          <w:p w:rsidR="00F436C0" w:rsidRDefault="00F436C0" w:rsidP="007D5B55">
            <w:pPr>
              <w:pStyle w:val="NoSpacing"/>
              <w:jc w:val="right"/>
            </w:pPr>
            <w:r>
              <w:t>2018</w:t>
            </w:r>
          </w:p>
        </w:tc>
      </w:tr>
      <w:tr w:rsidR="00F436C0" w:rsidTr="00F436C0">
        <w:trPr>
          <w:gridBefore w:val="1"/>
          <w:wBefore w:w="4201" w:type="dxa"/>
        </w:trPr>
        <w:tc>
          <w:tcPr>
            <w:tcW w:w="1398" w:type="dxa"/>
          </w:tcPr>
          <w:p w:rsidR="00F436C0" w:rsidRDefault="00F436C0" w:rsidP="005942B8">
            <w:pPr>
              <w:pStyle w:val="NoSpacing"/>
            </w:pPr>
            <w:r>
              <w:t>Notes</w:t>
            </w:r>
          </w:p>
        </w:tc>
        <w:tc>
          <w:tcPr>
            <w:tcW w:w="1388" w:type="dxa"/>
          </w:tcPr>
          <w:p w:rsidR="00F436C0" w:rsidRDefault="00F436C0" w:rsidP="007D5B55">
            <w:pPr>
              <w:pStyle w:val="NoSpacing"/>
              <w:jc w:val="right"/>
            </w:pPr>
            <w:r>
              <w:t>$’000</w:t>
            </w:r>
          </w:p>
        </w:tc>
        <w:tc>
          <w:tcPr>
            <w:tcW w:w="1257" w:type="dxa"/>
          </w:tcPr>
          <w:p w:rsidR="00F436C0" w:rsidRDefault="00F436C0" w:rsidP="007D5B55">
            <w:pPr>
              <w:pStyle w:val="NoSpacing"/>
              <w:jc w:val="right"/>
            </w:pPr>
            <w:r>
              <w:t>$’000</w:t>
            </w:r>
          </w:p>
        </w:tc>
        <w:tc>
          <w:tcPr>
            <w:tcW w:w="1272" w:type="dxa"/>
          </w:tcPr>
          <w:p w:rsidR="00F436C0" w:rsidRDefault="00F436C0" w:rsidP="007D5B55">
            <w:pPr>
              <w:pStyle w:val="NoSpacing"/>
              <w:jc w:val="right"/>
            </w:pPr>
            <w:r>
              <w:t>$’000</w:t>
            </w:r>
          </w:p>
        </w:tc>
        <w:tc>
          <w:tcPr>
            <w:tcW w:w="1258" w:type="dxa"/>
          </w:tcPr>
          <w:p w:rsidR="00F436C0" w:rsidRDefault="00F436C0" w:rsidP="007D5B55">
            <w:pPr>
              <w:pStyle w:val="NoSpacing"/>
              <w:jc w:val="right"/>
            </w:pPr>
            <w:r>
              <w:t>$’000</w:t>
            </w:r>
          </w:p>
        </w:tc>
      </w:tr>
      <w:tr w:rsidR="00F436C0" w:rsidTr="00AA492C">
        <w:tc>
          <w:tcPr>
            <w:tcW w:w="10774" w:type="dxa"/>
            <w:gridSpan w:val="6"/>
          </w:tcPr>
          <w:p w:rsidR="00F436C0" w:rsidRDefault="00F436C0" w:rsidP="005942B8">
            <w:pPr>
              <w:pStyle w:val="NoSpacing"/>
            </w:pPr>
            <w:r>
              <w:t>Continuing operations</w:t>
            </w:r>
          </w:p>
        </w:tc>
      </w:tr>
      <w:tr w:rsidR="00F436C0" w:rsidTr="00AA492C">
        <w:tc>
          <w:tcPr>
            <w:tcW w:w="10774" w:type="dxa"/>
            <w:gridSpan w:val="6"/>
          </w:tcPr>
          <w:p w:rsidR="00F436C0" w:rsidRDefault="00F436C0" w:rsidP="005942B8">
            <w:pPr>
              <w:pStyle w:val="NoSpacing"/>
            </w:pPr>
            <w:r>
              <w:t xml:space="preserve">Income from transactions </w:t>
            </w:r>
          </w:p>
        </w:tc>
      </w:tr>
      <w:tr w:rsidR="00F436C0" w:rsidTr="00F436C0">
        <w:tc>
          <w:tcPr>
            <w:tcW w:w="4201" w:type="dxa"/>
          </w:tcPr>
          <w:p w:rsidR="00F436C0" w:rsidRDefault="00F436C0" w:rsidP="005942B8">
            <w:pPr>
              <w:pStyle w:val="NoSpacing"/>
            </w:pPr>
            <w:r>
              <w:t>Government contributions</w:t>
            </w:r>
          </w:p>
        </w:tc>
        <w:tc>
          <w:tcPr>
            <w:tcW w:w="1398" w:type="dxa"/>
          </w:tcPr>
          <w:p w:rsidR="00F436C0" w:rsidRDefault="00F436C0" w:rsidP="005942B8">
            <w:pPr>
              <w:pStyle w:val="NoSpacing"/>
            </w:pPr>
            <w:r>
              <w:t>2.1</w:t>
            </w:r>
          </w:p>
        </w:tc>
        <w:tc>
          <w:tcPr>
            <w:tcW w:w="1388" w:type="dxa"/>
          </w:tcPr>
          <w:p w:rsidR="00F436C0" w:rsidRDefault="00F436C0" w:rsidP="007D5B55">
            <w:pPr>
              <w:pStyle w:val="NoSpacing"/>
              <w:jc w:val="right"/>
            </w:pPr>
            <w:r>
              <w:t>111,013</w:t>
            </w:r>
          </w:p>
        </w:tc>
        <w:tc>
          <w:tcPr>
            <w:tcW w:w="1257" w:type="dxa"/>
          </w:tcPr>
          <w:p w:rsidR="00F436C0" w:rsidRDefault="00F436C0" w:rsidP="007D5B55">
            <w:pPr>
              <w:pStyle w:val="NoSpacing"/>
              <w:jc w:val="right"/>
            </w:pPr>
            <w:r>
              <w:t>110,414</w:t>
            </w:r>
          </w:p>
        </w:tc>
        <w:tc>
          <w:tcPr>
            <w:tcW w:w="1272" w:type="dxa"/>
          </w:tcPr>
          <w:p w:rsidR="00F436C0" w:rsidRDefault="00F436C0" w:rsidP="007D5B55">
            <w:pPr>
              <w:pStyle w:val="NoSpacing"/>
              <w:jc w:val="right"/>
            </w:pPr>
            <w:r>
              <w:t>105,486</w:t>
            </w:r>
          </w:p>
        </w:tc>
        <w:tc>
          <w:tcPr>
            <w:tcW w:w="1258" w:type="dxa"/>
          </w:tcPr>
          <w:p w:rsidR="00F436C0" w:rsidRDefault="00F436C0" w:rsidP="007D5B55">
            <w:pPr>
              <w:pStyle w:val="NoSpacing"/>
              <w:jc w:val="right"/>
            </w:pPr>
            <w:r>
              <w:t>108,650</w:t>
            </w:r>
          </w:p>
        </w:tc>
      </w:tr>
      <w:tr w:rsidR="00F436C0" w:rsidTr="00F436C0">
        <w:tc>
          <w:tcPr>
            <w:tcW w:w="4201" w:type="dxa"/>
          </w:tcPr>
          <w:p w:rsidR="00F436C0" w:rsidRDefault="00F436C0" w:rsidP="005942B8">
            <w:pPr>
              <w:pStyle w:val="NoSpacing"/>
            </w:pPr>
            <w:r>
              <w:t>Revenue from contracts with customers</w:t>
            </w:r>
          </w:p>
        </w:tc>
        <w:tc>
          <w:tcPr>
            <w:tcW w:w="1398" w:type="dxa"/>
          </w:tcPr>
          <w:p w:rsidR="00F436C0" w:rsidRDefault="00F436C0" w:rsidP="005942B8">
            <w:pPr>
              <w:pStyle w:val="NoSpacing"/>
            </w:pPr>
            <w:r>
              <w:t>2.2</w:t>
            </w:r>
          </w:p>
        </w:tc>
        <w:tc>
          <w:tcPr>
            <w:tcW w:w="1388" w:type="dxa"/>
          </w:tcPr>
          <w:p w:rsidR="00F436C0" w:rsidRDefault="00F436C0" w:rsidP="007D5B55">
            <w:pPr>
              <w:pStyle w:val="NoSpacing"/>
              <w:jc w:val="right"/>
            </w:pPr>
            <w:r>
              <w:t>61,139</w:t>
            </w:r>
          </w:p>
        </w:tc>
        <w:tc>
          <w:tcPr>
            <w:tcW w:w="1257" w:type="dxa"/>
          </w:tcPr>
          <w:p w:rsidR="00F436C0" w:rsidRDefault="00F436C0" w:rsidP="007D5B55">
            <w:pPr>
              <w:pStyle w:val="NoSpacing"/>
              <w:jc w:val="right"/>
            </w:pPr>
            <w:r>
              <w:t>62,351</w:t>
            </w:r>
          </w:p>
        </w:tc>
        <w:tc>
          <w:tcPr>
            <w:tcW w:w="1272" w:type="dxa"/>
          </w:tcPr>
          <w:p w:rsidR="00F436C0" w:rsidRDefault="00F436C0" w:rsidP="007D5B55">
            <w:pPr>
              <w:pStyle w:val="NoSpacing"/>
              <w:jc w:val="right"/>
            </w:pPr>
            <w:r>
              <w:t>60,159</w:t>
            </w:r>
          </w:p>
        </w:tc>
        <w:tc>
          <w:tcPr>
            <w:tcW w:w="1258" w:type="dxa"/>
          </w:tcPr>
          <w:p w:rsidR="00F436C0" w:rsidRDefault="00F436C0" w:rsidP="007D5B55">
            <w:pPr>
              <w:pStyle w:val="NoSpacing"/>
              <w:jc w:val="right"/>
            </w:pPr>
            <w:r>
              <w:t>60,933</w:t>
            </w:r>
          </w:p>
        </w:tc>
      </w:tr>
      <w:tr w:rsidR="00F436C0" w:rsidTr="00F436C0">
        <w:tc>
          <w:tcPr>
            <w:tcW w:w="4201" w:type="dxa"/>
          </w:tcPr>
          <w:p w:rsidR="00F436C0" w:rsidRDefault="00F436C0" w:rsidP="005942B8">
            <w:pPr>
              <w:pStyle w:val="NoSpacing"/>
            </w:pPr>
            <w:r>
              <w:t>Other income</w:t>
            </w:r>
          </w:p>
        </w:tc>
        <w:tc>
          <w:tcPr>
            <w:tcW w:w="1398" w:type="dxa"/>
          </w:tcPr>
          <w:p w:rsidR="00F436C0" w:rsidRDefault="00F436C0" w:rsidP="005942B8">
            <w:pPr>
              <w:pStyle w:val="NoSpacing"/>
            </w:pPr>
            <w:r>
              <w:t>2.3</w:t>
            </w:r>
          </w:p>
        </w:tc>
        <w:tc>
          <w:tcPr>
            <w:tcW w:w="1388" w:type="dxa"/>
          </w:tcPr>
          <w:p w:rsidR="00F436C0" w:rsidRDefault="00F436C0" w:rsidP="007D5B55">
            <w:pPr>
              <w:pStyle w:val="NoSpacing"/>
              <w:jc w:val="right"/>
            </w:pPr>
            <w:r>
              <w:t>2,297</w:t>
            </w:r>
          </w:p>
        </w:tc>
        <w:tc>
          <w:tcPr>
            <w:tcW w:w="1257" w:type="dxa"/>
          </w:tcPr>
          <w:p w:rsidR="00F436C0" w:rsidRDefault="00F436C0" w:rsidP="007D5B55">
            <w:pPr>
              <w:pStyle w:val="NoSpacing"/>
              <w:jc w:val="right"/>
            </w:pPr>
            <w:r>
              <w:t>2,970</w:t>
            </w:r>
          </w:p>
        </w:tc>
        <w:tc>
          <w:tcPr>
            <w:tcW w:w="1272" w:type="dxa"/>
          </w:tcPr>
          <w:p w:rsidR="00F436C0" w:rsidRDefault="00F436C0" w:rsidP="007D5B55">
            <w:pPr>
              <w:pStyle w:val="NoSpacing"/>
              <w:jc w:val="right"/>
            </w:pPr>
            <w:r>
              <w:t>2,878</w:t>
            </w:r>
          </w:p>
        </w:tc>
        <w:tc>
          <w:tcPr>
            <w:tcW w:w="1258" w:type="dxa"/>
          </w:tcPr>
          <w:p w:rsidR="00F436C0" w:rsidRDefault="00F436C0" w:rsidP="007D5B55">
            <w:pPr>
              <w:pStyle w:val="NoSpacing"/>
              <w:jc w:val="right"/>
            </w:pPr>
            <w:r>
              <w:t>3,964</w:t>
            </w:r>
          </w:p>
        </w:tc>
      </w:tr>
      <w:tr w:rsidR="00F436C0" w:rsidTr="00F436C0">
        <w:tc>
          <w:tcPr>
            <w:tcW w:w="4201" w:type="dxa"/>
          </w:tcPr>
          <w:p w:rsidR="00F436C0" w:rsidRDefault="00F436C0" w:rsidP="005942B8">
            <w:pPr>
              <w:pStyle w:val="NoSpacing"/>
            </w:pPr>
            <w:r>
              <w:t>Total income from transactions</w:t>
            </w:r>
          </w:p>
        </w:tc>
        <w:tc>
          <w:tcPr>
            <w:tcW w:w="1398" w:type="dxa"/>
          </w:tcPr>
          <w:p w:rsidR="00F436C0" w:rsidRDefault="00F436C0" w:rsidP="005942B8">
            <w:pPr>
              <w:pStyle w:val="NoSpacing"/>
            </w:pPr>
          </w:p>
        </w:tc>
        <w:tc>
          <w:tcPr>
            <w:tcW w:w="1388" w:type="dxa"/>
          </w:tcPr>
          <w:p w:rsidR="00F436C0" w:rsidRDefault="00F436C0" w:rsidP="007D5B55">
            <w:pPr>
              <w:pStyle w:val="NoSpacing"/>
              <w:jc w:val="right"/>
            </w:pPr>
            <w:r>
              <w:t>174,449</w:t>
            </w:r>
          </w:p>
        </w:tc>
        <w:tc>
          <w:tcPr>
            <w:tcW w:w="1257" w:type="dxa"/>
          </w:tcPr>
          <w:p w:rsidR="00F436C0" w:rsidRDefault="00F436C0" w:rsidP="007D5B55">
            <w:pPr>
              <w:pStyle w:val="NoSpacing"/>
              <w:jc w:val="right"/>
            </w:pPr>
            <w:r>
              <w:t>175,735</w:t>
            </w:r>
          </w:p>
        </w:tc>
        <w:tc>
          <w:tcPr>
            <w:tcW w:w="1272" w:type="dxa"/>
          </w:tcPr>
          <w:p w:rsidR="00F436C0" w:rsidRDefault="00F436C0" w:rsidP="007D5B55">
            <w:pPr>
              <w:pStyle w:val="NoSpacing"/>
              <w:jc w:val="right"/>
            </w:pPr>
            <w:r>
              <w:t>168,523</w:t>
            </w:r>
          </w:p>
        </w:tc>
        <w:tc>
          <w:tcPr>
            <w:tcW w:w="1258" w:type="dxa"/>
          </w:tcPr>
          <w:p w:rsidR="00F436C0" w:rsidRDefault="00F436C0" w:rsidP="007D5B55">
            <w:pPr>
              <w:pStyle w:val="NoSpacing"/>
              <w:jc w:val="right"/>
            </w:pPr>
            <w:r>
              <w:t>173,547</w:t>
            </w:r>
          </w:p>
        </w:tc>
      </w:tr>
    </w:tbl>
    <w:p w:rsidR="00F436C0" w:rsidRDefault="00F436C0" w:rsidP="005942B8">
      <w:pPr>
        <w:pStyle w:val="NoSpacing"/>
      </w:pPr>
    </w:p>
    <w:tbl>
      <w:tblPr>
        <w:tblStyle w:val="TableGrid"/>
        <w:tblW w:w="10774" w:type="dxa"/>
        <w:tblInd w:w="-856" w:type="dxa"/>
        <w:tblLook w:val="04A0" w:firstRow="1" w:lastRow="0" w:firstColumn="1" w:lastColumn="0" w:noHBand="0" w:noVBand="1"/>
      </w:tblPr>
      <w:tblGrid>
        <w:gridCol w:w="4253"/>
        <w:gridCol w:w="1418"/>
        <w:gridCol w:w="1276"/>
        <w:gridCol w:w="1275"/>
        <w:gridCol w:w="1276"/>
        <w:gridCol w:w="1276"/>
      </w:tblGrid>
      <w:tr w:rsidR="00430EB7" w:rsidTr="00AA492C">
        <w:tc>
          <w:tcPr>
            <w:tcW w:w="10774" w:type="dxa"/>
            <w:gridSpan w:val="6"/>
          </w:tcPr>
          <w:p w:rsidR="00430EB7" w:rsidRDefault="00430EB7" w:rsidP="00430EB7">
            <w:pPr>
              <w:pStyle w:val="NoSpacing"/>
            </w:pPr>
            <w:r>
              <w:t>Expenses from transactions</w:t>
            </w:r>
          </w:p>
        </w:tc>
      </w:tr>
      <w:tr w:rsidR="00F436C0" w:rsidTr="00F436C0">
        <w:tc>
          <w:tcPr>
            <w:tcW w:w="4253" w:type="dxa"/>
          </w:tcPr>
          <w:p w:rsidR="00F436C0" w:rsidRDefault="007D5B55" w:rsidP="00AA492C">
            <w:pPr>
              <w:pStyle w:val="NoSpacing"/>
            </w:pPr>
            <w:r>
              <w:t>Employee benefits</w:t>
            </w:r>
          </w:p>
        </w:tc>
        <w:tc>
          <w:tcPr>
            <w:tcW w:w="1418" w:type="dxa"/>
          </w:tcPr>
          <w:p w:rsidR="00F436C0" w:rsidRDefault="00430EB7" w:rsidP="00430EB7">
            <w:pPr>
              <w:pStyle w:val="NoSpacing"/>
              <w:jc w:val="right"/>
            </w:pPr>
            <w:r>
              <w:t>3.1.1</w:t>
            </w:r>
          </w:p>
        </w:tc>
        <w:tc>
          <w:tcPr>
            <w:tcW w:w="1276" w:type="dxa"/>
          </w:tcPr>
          <w:p w:rsidR="00F436C0" w:rsidRDefault="00430EB7" w:rsidP="00430EB7">
            <w:pPr>
              <w:pStyle w:val="NoSpacing"/>
              <w:jc w:val="right"/>
            </w:pPr>
            <w:r>
              <w:t>107,411</w:t>
            </w:r>
          </w:p>
        </w:tc>
        <w:tc>
          <w:tcPr>
            <w:tcW w:w="1275" w:type="dxa"/>
          </w:tcPr>
          <w:p w:rsidR="00F436C0" w:rsidRDefault="00430EB7" w:rsidP="00430EB7">
            <w:pPr>
              <w:pStyle w:val="NoSpacing"/>
              <w:jc w:val="right"/>
            </w:pPr>
            <w:r>
              <w:t>91,045</w:t>
            </w:r>
          </w:p>
        </w:tc>
        <w:tc>
          <w:tcPr>
            <w:tcW w:w="1276" w:type="dxa"/>
          </w:tcPr>
          <w:p w:rsidR="00F436C0" w:rsidRDefault="00430EB7" w:rsidP="00430EB7">
            <w:pPr>
              <w:pStyle w:val="NoSpacing"/>
              <w:jc w:val="right"/>
            </w:pPr>
            <w:r>
              <w:t>103,097</w:t>
            </w:r>
          </w:p>
        </w:tc>
        <w:tc>
          <w:tcPr>
            <w:tcW w:w="1276" w:type="dxa"/>
          </w:tcPr>
          <w:p w:rsidR="00F436C0" w:rsidRDefault="00430EB7" w:rsidP="00430EB7">
            <w:pPr>
              <w:pStyle w:val="NoSpacing"/>
              <w:jc w:val="right"/>
            </w:pPr>
            <w:r>
              <w:t>88,570</w:t>
            </w:r>
          </w:p>
        </w:tc>
      </w:tr>
      <w:tr w:rsidR="00F436C0" w:rsidTr="00F436C0">
        <w:tc>
          <w:tcPr>
            <w:tcW w:w="4253" w:type="dxa"/>
          </w:tcPr>
          <w:p w:rsidR="00F436C0" w:rsidRDefault="007D5B55" w:rsidP="00AA492C">
            <w:pPr>
              <w:pStyle w:val="NoSpacing"/>
            </w:pPr>
            <w:r>
              <w:t>Depreciation and amortisation</w:t>
            </w:r>
          </w:p>
        </w:tc>
        <w:tc>
          <w:tcPr>
            <w:tcW w:w="1418" w:type="dxa"/>
          </w:tcPr>
          <w:p w:rsidR="00F436C0" w:rsidRDefault="00430EB7" w:rsidP="00430EB7">
            <w:pPr>
              <w:pStyle w:val="NoSpacing"/>
              <w:jc w:val="right"/>
            </w:pPr>
            <w:r>
              <w:t>4.1, 4.2</w:t>
            </w:r>
          </w:p>
        </w:tc>
        <w:tc>
          <w:tcPr>
            <w:tcW w:w="1276" w:type="dxa"/>
          </w:tcPr>
          <w:p w:rsidR="00F436C0" w:rsidRDefault="00430EB7" w:rsidP="00430EB7">
            <w:pPr>
              <w:pStyle w:val="NoSpacing"/>
              <w:jc w:val="right"/>
            </w:pPr>
            <w:r>
              <w:t>11,725</w:t>
            </w:r>
          </w:p>
        </w:tc>
        <w:tc>
          <w:tcPr>
            <w:tcW w:w="1275" w:type="dxa"/>
          </w:tcPr>
          <w:p w:rsidR="00F436C0" w:rsidRDefault="00430EB7" w:rsidP="00430EB7">
            <w:pPr>
              <w:pStyle w:val="NoSpacing"/>
              <w:jc w:val="right"/>
            </w:pPr>
            <w:r>
              <w:t>8,232</w:t>
            </w:r>
          </w:p>
        </w:tc>
        <w:tc>
          <w:tcPr>
            <w:tcW w:w="1276" w:type="dxa"/>
          </w:tcPr>
          <w:p w:rsidR="00F436C0" w:rsidRDefault="00430EB7" w:rsidP="00430EB7">
            <w:pPr>
              <w:pStyle w:val="NoSpacing"/>
              <w:jc w:val="right"/>
            </w:pPr>
            <w:r>
              <w:t>11,406</w:t>
            </w:r>
          </w:p>
        </w:tc>
        <w:tc>
          <w:tcPr>
            <w:tcW w:w="1276" w:type="dxa"/>
          </w:tcPr>
          <w:p w:rsidR="00F436C0" w:rsidRDefault="00430EB7" w:rsidP="00430EB7">
            <w:pPr>
              <w:pStyle w:val="NoSpacing"/>
              <w:jc w:val="right"/>
            </w:pPr>
            <w:r>
              <w:t>7,949</w:t>
            </w:r>
          </w:p>
        </w:tc>
      </w:tr>
      <w:tr w:rsidR="00F436C0" w:rsidTr="00F436C0">
        <w:tc>
          <w:tcPr>
            <w:tcW w:w="4253" w:type="dxa"/>
          </w:tcPr>
          <w:p w:rsidR="00F436C0" w:rsidRDefault="007D5B55" w:rsidP="00AA492C">
            <w:pPr>
              <w:pStyle w:val="NoSpacing"/>
            </w:pPr>
            <w:r>
              <w:t>Supplies and services</w:t>
            </w:r>
          </w:p>
        </w:tc>
        <w:tc>
          <w:tcPr>
            <w:tcW w:w="1418" w:type="dxa"/>
          </w:tcPr>
          <w:p w:rsidR="00F436C0" w:rsidRDefault="00430EB7" w:rsidP="00430EB7">
            <w:pPr>
              <w:pStyle w:val="NoSpacing"/>
              <w:jc w:val="right"/>
            </w:pPr>
            <w:r>
              <w:t>3.3</w:t>
            </w:r>
          </w:p>
        </w:tc>
        <w:tc>
          <w:tcPr>
            <w:tcW w:w="1276" w:type="dxa"/>
          </w:tcPr>
          <w:p w:rsidR="00F436C0" w:rsidRDefault="00430EB7" w:rsidP="00430EB7">
            <w:pPr>
              <w:pStyle w:val="NoSpacing"/>
              <w:jc w:val="right"/>
            </w:pPr>
            <w:r>
              <w:t>37,995</w:t>
            </w:r>
          </w:p>
        </w:tc>
        <w:tc>
          <w:tcPr>
            <w:tcW w:w="1275" w:type="dxa"/>
          </w:tcPr>
          <w:p w:rsidR="00F436C0" w:rsidRDefault="00430EB7" w:rsidP="00430EB7">
            <w:pPr>
              <w:pStyle w:val="NoSpacing"/>
              <w:jc w:val="right"/>
            </w:pPr>
            <w:r>
              <w:t>33,695</w:t>
            </w:r>
          </w:p>
        </w:tc>
        <w:tc>
          <w:tcPr>
            <w:tcW w:w="1276" w:type="dxa"/>
          </w:tcPr>
          <w:p w:rsidR="00F436C0" w:rsidRDefault="00430EB7" w:rsidP="00430EB7">
            <w:pPr>
              <w:pStyle w:val="NoSpacing"/>
              <w:jc w:val="right"/>
            </w:pPr>
            <w:r>
              <w:t>37,894</w:t>
            </w:r>
          </w:p>
        </w:tc>
        <w:tc>
          <w:tcPr>
            <w:tcW w:w="1276" w:type="dxa"/>
          </w:tcPr>
          <w:p w:rsidR="00F436C0" w:rsidRDefault="00430EB7" w:rsidP="00430EB7">
            <w:pPr>
              <w:pStyle w:val="NoSpacing"/>
              <w:jc w:val="right"/>
            </w:pPr>
            <w:r>
              <w:t>33,576</w:t>
            </w:r>
          </w:p>
        </w:tc>
      </w:tr>
      <w:tr w:rsidR="00F436C0" w:rsidTr="00F436C0">
        <w:tc>
          <w:tcPr>
            <w:tcW w:w="4253" w:type="dxa"/>
          </w:tcPr>
          <w:p w:rsidR="00F436C0" w:rsidRDefault="007D5B55" w:rsidP="00AA492C">
            <w:pPr>
              <w:pStyle w:val="NoSpacing"/>
            </w:pPr>
            <w:r>
              <w:t>Finance costs – right of use assets</w:t>
            </w:r>
          </w:p>
        </w:tc>
        <w:tc>
          <w:tcPr>
            <w:tcW w:w="1418" w:type="dxa"/>
          </w:tcPr>
          <w:p w:rsidR="00F436C0" w:rsidRDefault="00F436C0" w:rsidP="00430EB7">
            <w:pPr>
              <w:pStyle w:val="NoSpacing"/>
              <w:jc w:val="right"/>
            </w:pPr>
          </w:p>
        </w:tc>
        <w:tc>
          <w:tcPr>
            <w:tcW w:w="1276" w:type="dxa"/>
          </w:tcPr>
          <w:p w:rsidR="00F436C0" w:rsidRDefault="00430EB7" w:rsidP="00430EB7">
            <w:pPr>
              <w:pStyle w:val="NoSpacing"/>
              <w:jc w:val="right"/>
            </w:pPr>
            <w:r>
              <w:t>89</w:t>
            </w:r>
          </w:p>
        </w:tc>
        <w:tc>
          <w:tcPr>
            <w:tcW w:w="1275" w:type="dxa"/>
          </w:tcPr>
          <w:p w:rsidR="00F436C0" w:rsidRDefault="00430EB7" w:rsidP="00430EB7">
            <w:pPr>
              <w:pStyle w:val="NoSpacing"/>
              <w:jc w:val="right"/>
            </w:pPr>
            <w:r>
              <w:t>-</w:t>
            </w:r>
          </w:p>
        </w:tc>
        <w:tc>
          <w:tcPr>
            <w:tcW w:w="1276" w:type="dxa"/>
          </w:tcPr>
          <w:p w:rsidR="00F436C0" w:rsidRDefault="00430EB7" w:rsidP="00430EB7">
            <w:pPr>
              <w:pStyle w:val="NoSpacing"/>
              <w:jc w:val="right"/>
            </w:pPr>
            <w:r>
              <w:t>89</w:t>
            </w:r>
          </w:p>
        </w:tc>
        <w:tc>
          <w:tcPr>
            <w:tcW w:w="1276" w:type="dxa"/>
          </w:tcPr>
          <w:p w:rsidR="00F436C0" w:rsidRDefault="00430EB7" w:rsidP="00430EB7">
            <w:pPr>
              <w:pStyle w:val="NoSpacing"/>
              <w:jc w:val="right"/>
            </w:pPr>
            <w:r>
              <w:t>-</w:t>
            </w:r>
          </w:p>
        </w:tc>
      </w:tr>
      <w:tr w:rsidR="00F436C0" w:rsidTr="00F436C0">
        <w:tc>
          <w:tcPr>
            <w:tcW w:w="4253" w:type="dxa"/>
          </w:tcPr>
          <w:p w:rsidR="00F436C0" w:rsidRDefault="007D5B55" w:rsidP="00AA492C">
            <w:pPr>
              <w:pStyle w:val="NoSpacing"/>
            </w:pPr>
            <w:r>
              <w:t>Other operating expenses</w:t>
            </w:r>
          </w:p>
        </w:tc>
        <w:tc>
          <w:tcPr>
            <w:tcW w:w="1418" w:type="dxa"/>
          </w:tcPr>
          <w:p w:rsidR="00F436C0" w:rsidRDefault="00430EB7" w:rsidP="00430EB7">
            <w:pPr>
              <w:pStyle w:val="NoSpacing"/>
              <w:jc w:val="right"/>
            </w:pPr>
            <w:r>
              <w:t>3.3.3</w:t>
            </w:r>
          </w:p>
        </w:tc>
        <w:tc>
          <w:tcPr>
            <w:tcW w:w="1276" w:type="dxa"/>
          </w:tcPr>
          <w:p w:rsidR="00F436C0" w:rsidRDefault="00430EB7" w:rsidP="00430EB7">
            <w:pPr>
              <w:pStyle w:val="NoSpacing"/>
              <w:jc w:val="right"/>
            </w:pPr>
            <w:r>
              <w:t>16,387</w:t>
            </w:r>
          </w:p>
        </w:tc>
        <w:tc>
          <w:tcPr>
            <w:tcW w:w="1275" w:type="dxa"/>
          </w:tcPr>
          <w:p w:rsidR="00F436C0" w:rsidRDefault="00430EB7" w:rsidP="00430EB7">
            <w:pPr>
              <w:pStyle w:val="NoSpacing"/>
              <w:jc w:val="right"/>
            </w:pPr>
            <w:r>
              <w:t>17,233</w:t>
            </w:r>
          </w:p>
        </w:tc>
        <w:tc>
          <w:tcPr>
            <w:tcW w:w="1276" w:type="dxa"/>
          </w:tcPr>
          <w:p w:rsidR="00F436C0" w:rsidRDefault="00430EB7" w:rsidP="00430EB7">
            <w:pPr>
              <w:pStyle w:val="NoSpacing"/>
              <w:jc w:val="right"/>
            </w:pPr>
            <w:r>
              <w:t>16,239</w:t>
            </w:r>
          </w:p>
        </w:tc>
        <w:tc>
          <w:tcPr>
            <w:tcW w:w="1276" w:type="dxa"/>
          </w:tcPr>
          <w:p w:rsidR="00F436C0" w:rsidRDefault="00430EB7" w:rsidP="00430EB7">
            <w:pPr>
              <w:pStyle w:val="NoSpacing"/>
              <w:jc w:val="right"/>
            </w:pPr>
            <w:r>
              <w:t>17,068</w:t>
            </w:r>
          </w:p>
        </w:tc>
      </w:tr>
      <w:tr w:rsidR="00F436C0" w:rsidTr="00F436C0">
        <w:tc>
          <w:tcPr>
            <w:tcW w:w="4253" w:type="dxa"/>
          </w:tcPr>
          <w:p w:rsidR="00F436C0" w:rsidRDefault="007D5B55" w:rsidP="00AA492C">
            <w:pPr>
              <w:pStyle w:val="NoSpacing"/>
            </w:pPr>
            <w:r>
              <w:t xml:space="preserve">Total expenses from transactions </w:t>
            </w:r>
          </w:p>
        </w:tc>
        <w:tc>
          <w:tcPr>
            <w:tcW w:w="1418" w:type="dxa"/>
          </w:tcPr>
          <w:p w:rsidR="00F436C0" w:rsidRDefault="00F436C0" w:rsidP="00430EB7">
            <w:pPr>
              <w:pStyle w:val="NoSpacing"/>
              <w:jc w:val="right"/>
            </w:pPr>
          </w:p>
        </w:tc>
        <w:tc>
          <w:tcPr>
            <w:tcW w:w="1276" w:type="dxa"/>
          </w:tcPr>
          <w:p w:rsidR="00F436C0" w:rsidRDefault="00430EB7" w:rsidP="00430EB7">
            <w:pPr>
              <w:pStyle w:val="NoSpacing"/>
              <w:jc w:val="right"/>
            </w:pPr>
            <w:r>
              <w:t>173,607</w:t>
            </w:r>
          </w:p>
        </w:tc>
        <w:tc>
          <w:tcPr>
            <w:tcW w:w="1275" w:type="dxa"/>
          </w:tcPr>
          <w:p w:rsidR="00F436C0" w:rsidRDefault="00430EB7" w:rsidP="00430EB7">
            <w:pPr>
              <w:pStyle w:val="NoSpacing"/>
              <w:jc w:val="right"/>
            </w:pPr>
            <w:r>
              <w:t>150,205</w:t>
            </w:r>
          </w:p>
        </w:tc>
        <w:tc>
          <w:tcPr>
            <w:tcW w:w="1276" w:type="dxa"/>
          </w:tcPr>
          <w:p w:rsidR="00F436C0" w:rsidRDefault="00430EB7" w:rsidP="00430EB7">
            <w:pPr>
              <w:pStyle w:val="NoSpacing"/>
              <w:jc w:val="right"/>
            </w:pPr>
            <w:r>
              <w:t>168,725</w:t>
            </w:r>
          </w:p>
        </w:tc>
        <w:tc>
          <w:tcPr>
            <w:tcW w:w="1276" w:type="dxa"/>
          </w:tcPr>
          <w:p w:rsidR="00F436C0" w:rsidRDefault="00430EB7" w:rsidP="00430EB7">
            <w:pPr>
              <w:pStyle w:val="NoSpacing"/>
              <w:jc w:val="right"/>
            </w:pPr>
            <w:r>
              <w:t>147,163</w:t>
            </w:r>
          </w:p>
        </w:tc>
      </w:tr>
    </w:tbl>
    <w:p w:rsidR="00F436C0" w:rsidRDefault="00F436C0" w:rsidP="005942B8">
      <w:pPr>
        <w:pStyle w:val="NoSpacing"/>
      </w:pPr>
    </w:p>
    <w:tbl>
      <w:tblPr>
        <w:tblStyle w:val="TableGrid"/>
        <w:tblW w:w="10774" w:type="dxa"/>
        <w:tblInd w:w="-856" w:type="dxa"/>
        <w:tblLook w:val="04A0" w:firstRow="1" w:lastRow="0" w:firstColumn="1" w:lastColumn="0" w:noHBand="0" w:noVBand="1"/>
      </w:tblPr>
      <w:tblGrid>
        <w:gridCol w:w="4253"/>
        <w:gridCol w:w="1418"/>
        <w:gridCol w:w="1276"/>
        <w:gridCol w:w="1275"/>
        <w:gridCol w:w="1276"/>
        <w:gridCol w:w="1276"/>
      </w:tblGrid>
      <w:tr w:rsidR="00F436C0" w:rsidTr="00F436C0">
        <w:tc>
          <w:tcPr>
            <w:tcW w:w="4253" w:type="dxa"/>
          </w:tcPr>
          <w:p w:rsidR="00F436C0" w:rsidRDefault="007D5B55" w:rsidP="00AA492C">
            <w:pPr>
              <w:pStyle w:val="NoSpacing"/>
            </w:pPr>
            <w:r>
              <w:t>Net result from transactions</w:t>
            </w:r>
          </w:p>
        </w:tc>
        <w:tc>
          <w:tcPr>
            <w:tcW w:w="1418" w:type="dxa"/>
          </w:tcPr>
          <w:p w:rsidR="00F436C0" w:rsidRDefault="00F436C0" w:rsidP="00430EB7">
            <w:pPr>
              <w:pStyle w:val="NoSpacing"/>
              <w:jc w:val="right"/>
            </w:pPr>
          </w:p>
        </w:tc>
        <w:tc>
          <w:tcPr>
            <w:tcW w:w="1276" w:type="dxa"/>
          </w:tcPr>
          <w:p w:rsidR="00F436C0" w:rsidRDefault="00430EB7" w:rsidP="00430EB7">
            <w:pPr>
              <w:pStyle w:val="NoSpacing"/>
              <w:jc w:val="right"/>
            </w:pPr>
            <w:r>
              <w:t>842</w:t>
            </w:r>
          </w:p>
        </w:tc>
        <w:tc>
          <w:tcPr>
            <w:tcW w:w="1275" w:type="dxa"/>
          </w:tcPr>
          <w:p w:rsidR="00F436C0" w:rsidRDefault="00430EB7" w:rsidP="00430EB7">
            <w:pPr>
              <w:pStyle w:val="NoSpacing"/>
              <w:jc w:val="right"/>
            </w:pPr>
            <w:r>
              <w:t>25,530</w:t>
            </w:r>
          </w:p>
        </w:tc>
        <w:tc>
          <w:tcPr>
            <w:tcW w:w="1276" w:type="dxa"/>
          </w:tcPr>
          <w:p w:rsidR="00F436C0" w:rsidRDefault="00430EB7" w:rsidP="00430EB7">
            <w:pPr>
              <w:pStyle w:val="NoSpacing"/>
              <w:jc w:val="right"/>
            </w:pPr>
            <w:r>
              <w:t>(202)</w:t>
            </w:r>
          </w:p>
        </w:tc>
        <w:tc>
          <w:tcPr>
            <w:tcW w:w="1276" w:type="dxa"/>
          </w:tcPr>
          <w:p w:rsidR="00F436C0" w:rsidRDefault="00430EB7" w:rsidP="00430EB7">
            <w:pPr>
              <w:pStyle w:val="NoSpacing"/>
              <w:jc w:val="right"/>
            </w:pPr>
            <w:r>
              <w:t>26,384</w:t>
            </w:r>
          </w:p>
        </w:tc>
      </w:tr>
    </w:tbl>
    <w:p w:rsidR="00F436C0" w:rsidRDefault="00F436C0" w:rsidP="005942B8">
      <w:pPr>
        <w:pStyle w:val="NoSpacing"/>
      </w:pPr>
    </w:p>
    <w:tbl>
      <w:tblPr>
        <w:tblStyle w:val="TableGrid"/>
        <w:tblW w:w="10774" w:type="dxa"/>
        <w:tblInd w:w="-856" w:type="dxa"/>
        <w:tblLook w:val="04A0" w:firstRow="1" w:lastRow="0" w:firstColumn="1" w:lastColumn="0" w:noHBand="0" w:noVBand="1"/>
      </w:tblPr>
      <w:tblGrid>
        <w:gridCol w:w="4253"/>
        <w:gridCol w:w="1418"/>
        <w:gridCol w:w="1276"/>
        <w:gridCol w:w="1275"/>
        <w:gridCol w:w="1276"/>
        <w:gridCol w:w="1276"/>
      </w:tblGrid>
      <w:tr w:rsidR="00F436C0" w:rsidTr="00F436C0">
        <w:tc>
          <w:tcPr>
            <w:tcW w:w="4253" w:type="dxa"/>
          </w:tcPr>
          <w:p w:rsidR="00F436C0" w:rsidRDefault="007D5B55" w:rsidP="00AA492C">
            <w:pPr>
              <w:pStyle w:val="NoSpacing"/>
            </w:pPr>
            <w:r>
              <w:t>Other economic flows included in net result</w:t>
            </w:r>
          </w:p>
        </w:tc>
        <w:tc>
          <w:tcPr>
            <w:tcW w:w="1418" w:type="dxa"/>
          </w:tcPr>
          <w:p w:rsidR="00F436C0" w:rsidRDefault="00430EB7" w:rsidP="00430EB7">
            <w:pPr>
              <w:pStyle w:val="NoSpacing"/>
              <w:jc w:val="right"/>
            </w:pPr>
            <w:r>
              <w:t>4.1.3, 9.1</w:t>
            </w:r>
          </w:p>
        </w:tc>
        <w:tc>
          <w:tcPr>
            <w:tcW w:w="1276" w:type="dxa"/>
          </w:tcPr>
          <w:p w:rsidR="00F436C0" w:rsidRDefault="00430EB7" w:rsidP="00430EB7">
            <w:pPr>
              <w:pStyle w:val="NoSpacing"/>
              <w:jc w:val="right"/>
            </w:pPr>
            <w:r>
              <w:t>58</w:t>
            </w:r>
          </w:p>
        </w:tc>
        <w:tc>
          <w:tcPr>
            <w:tcW w:w="1275" w:type="dxa"/>
          </w:tcPr>
          <w:p w:rsidR="00F436C0" w:rsidRDefault="00430EB7" w:rsidP="00430EB7">
            <w:pPr>
              <w:pStyle w:val="NoSpacing"/>
              <w:jc w:val="right"/>
            </w:pPr>
            <w:r>
              <w:t>(23)</w:t>
            </w:r>
          </w:p>
        </w:tc>
        <w:tc>
          <w:tcPr>
            <w:tcW w:w="1276" w:type="dxa"/>
          </w:tcPr>
          <w:p w:rsidR="00F436C0" w:rsidRDefault="00430EB7" w:rsidP="00430EB7">
            <w:pPr>
              <w:pStyle w:val="NoSpacing"/>
              <w:jc w:val="right"/>
            </w:pPr>
            <w:r>
              <w:t>58</w:t>
            </w:r>
          </w:p>
        </w:tc>
        <w:tc>
          <w:tcPr>
            <w:tcW w:w="1276" w:type="dxa"/>
          </w:tcPr>
          <w:p w:rsidR="00F436C0" w:rsidRDefault="00430EB7" w:rsidP="00430EB7">
            <w:pPr>
              <w:pStyle w:val="NoSpacing"/>
              <w:jc w:val="right"/>
            </w:pPr>
            <w:r>
              <w:t>(23)</w:t>
            </w:r>
          </w:p>
        </w:tc>
      </w:tr>
      <w:tr w:rsidR="00F436C0" w:rsidTr="00F436C0">
        <w:tc>
          <w:tcPr>
            <w:tcW w:w="4253" w:type="dxa"/>
          </w:tcPr>
          <w:p w:rsidR="00F436C0" w:rsidRDefault="007D5B55" w:rsidP="00AA492C">
            <w:pPr>
              <w:pStyle w:val="NoSpacing"/>
            </w:pPr>
            <w:r>
              <w:t xml:space="preserve">Net result </w:t>
            </w:r>
          </w:p>
        </w:tc>
        <w:tc>
          <w:tcPr>
            <w:tcW w:w="1418" w:type="dxa"/>
          </w:tcPr>
          <w:p w:rsidR="00F436C0" w:rsidRDefault="00F436C0" w:rsidP="00430EB7">
            <w:pPr>
              <w:pStyle w:val="NoSpacing"/>
              <w:jc w:val="right"/>
            </w:pPr>
          </w:p>
        </w:tc>
        <w:tc>
          <w:tcPr>
            <w:tcW w:w="1276" w:type="dxa"/>
          </w:tcPr>
          <w:p w:rsidR="00F436C0" w:rsidRDefault="00430EB7" w:rsidP="00430EB7">
            <w:pPr>
              <w:pStyle w:val="NoSpacing"/>
              <w:jc w:val="right"/>
            </w:pPr>
            <w:r>
              <w:t>900</w:t>
            </w:r>
          </w:p>
        </w:tc>
        <w:tc>
          <w:tcPr>
            <w:tcW w:w="1275" w:type="dxa"/>
          </w:tcPr>
          <w:p w:rsidR="00F436C0" w:rsidRDefault="00430EB7" w:rsidP="00430EB7">
            <w:pPr>
              <w:pStyle w:val="NoSpacing"/>
              <w:jc w:val="right"/>
            </w:pPr>
            <w:r>
              <w:t>25,507</w:t>
            </w:r>
          </w:p>
        </w:tc>
        <w:tc>
          <w:tcPr>
            <w:tcW w:w="1276" w:type="dxa"/>
          </w:tcPr>
          <w:p w:rsidR="00F436C0" w:rsidRDefault="00430EB7" w:rsidP="00430EB7">
            <w:pPr>
              <w:pStyle w:val="NoSpacing"/>
              <w:jc w:val="right"/>
            </w:pPr>
            <w:r>
              <w:t>(144)</w:t>
            </w:r>
          </w:p>
        </w:tc>
        <w:tc>
          <w:tcPr>
            <w:tcW w:w="1276" w:type="dxa"/>
          </w:tcPr>
          <w:p w:rsidR="00F436C0" w:rsidRDefault="00430EB7" w:rsidP="00430EB7">
            <w:pPr>
              <w:pStyle w:val="NoSpacing"/>
              <w:jc w:val="right"/>
            </w:pPr>
            <w:r>
              <w:t>26,361</w:t>
            </w:r>
          </w:p>
        </w:tc>
      </w:tr>
    </w:tbl>
    <w:p w:rsidR="00F436C0" w:rsidRDefault="00F436C0" w:rsidP="005942B8">
      <w:pPr>
        <w:pStyle w:val="NoSpacing"/>
      </w:pPr>
    </w:p>
    <w:p w:rsidR="007D5B55" w:rsidRDefault="007D5B55" w:rsidP="005942B8">
      <w:pPr>
        <w:pStyle w:val="NoSpacing"/>
      </w:pPr>
      <w:r>
        <w:lastRenderedPageBreak/>
        <w:t>The above Comprehensive Operating Statement should be read in conjunction with the accompanying notes to the financial statements.</w:t>
      </w:r>
    </w:p>
    <w:p w:rsidR="00F436C0" w:rsidRDefault="00F436C0" w:rsidP="005942B8">
      <w:pPr>
        <w:pStyle w:val="NoSpacing"/>
      </w:pPr>
    </w:p>
    <w:p w:rsidR="00DC779D" w:rsidRDefault="00DC779D" w:rsidP="005942B8">
      <w:pPr>
        <w:pStyle w:val="NoSpacing"/>
      </w:pPr>
      <w:r>
        <w:t>&lt;page</w:t>
      </w:r>
      <w:r w:rsidR="00430EB7">
        <w:t xml:space="preserve"> 46</w:t>
      </w:r>
      <w:r>
        <w:t>&gt;</w:t>
      </w:r>
    </w:p>
    <w:p w:rsidR="00DC779D" w:rsidRDefault="00DC779D" w:rsidP="005942B8">
      <w:pPr>
        <w:pStyle w:val="NoSpacing"/>
      </w:pPr>
    </w:p>
    <w:p w:rsidR="00DC779D" w:rsidRDefault="00DC779D" w:rsidP="00DC779D">
      <w:pPr>
        <w:pStyle w:val="Heading2"/>
      </w:pPr>
      <w:r>
        <w:t xml:space="preserve">Balance Sheet </w:t>
      </w:r>
    </w:p>
    <w:p w:rsidR="00430EB7" w:rsidRDefault="00430EB7" w:rsidP="005942B8">
      <w:pPr>
        <w:pStyle w:val="NoSpacing"/>
      </w:pPr>
    </w:p>
    <w:p w:rsidR="00DC779D" w:rsidRDefault="00DC779D" w:rsidP="005942B8">
      <w:pPr>
        <w:pStyle w:val="NoSpacing"/>
      </w:pPr>
      <w:r>
        <w:t>As at 31 December 2019</w:t>
      </w:r>
    </w:p>
    <w:p w:rsidR="00DC779D" w:rsidRDefault="00DC779D" w:rsidP="005942B8">
      <w:pPr>
        <w:pStyle w:val="NoSpacing"/>
      </w:pPr>
    </w:p>
    <w:tbl>
      <w:tblPr>
        <w:tblStyle w:val="TableGrid"/>
        <w:tblW w:w="10774" w:type="dxa"/>
        <w:tblInd w:w="-856" w:type="dxa"/>
        <w:tblLook w:val="04A0" w:firstRow="1" w:lastRow="0" w:firstColumn="1" w:lastColumn="0" w:noHBand="0" w:noVBand="1"/>
      </w:tblPr>
      <w:tblGrid>
        <w:gridCol w:w="4201"/>
        <w:gridCol w:w="1398"/>
        <w:gridCol w:w="1388"/>
        <w:gridCol w:w="1257"/>
        <w:gridCol w:w="1272"/>
        <w:gridCol w:w="1258"/>
      </w:tblGrid>
      <w:tr w:rsidR="00AA492C" w:rsidTr="00AA492C">
        <w:trPr>
          <w:gridBefore w:val="2"/>
          <w:wBefore w:w="5599" w:type="dxa"/>
        </w:trPr>
        <w:tc>
          <w:tcPr>
            <w:tcW w:w="2645" w:type="dxa"/>
            <w:gridSpan w:val="2"/>
          </w:tcPr>
          <w:p w:rsidR="00AA492C" w:rsidRDefault="00AA492C" w:rsidP="00AA492C">
            <w:pPr>
              <w:pStyle w:val="NoSpacing"/>
              <w:jc w:val="center"/>
            </w:pPr>
            <w:r>
              <w:t>Consolidated</w:t>
            </w:r>
          </w:p>
        </w:tc>
        <w:tc>
          <w:tcPr>
            <w:tcW w:w="2530" w:type="dxa"/>
            <w:gridSpan w:val="2"/>
          </w:tcPr>
          <w:p w:rsidR="00AA492C" w:rsidRDefault="00AA492C" w:rsidP="00AA492C">
            <w:pPr>
              <w:pStyle w:val="NoSpacing"/>
              <w:jc w:val="center"/>
            </w:pPr>
            <w:r>
              <w:t>Chisholm</w:t>
            </w:r>
          </w:p>
        </w:tc>
      </w:tr>
      <w:tr w:rsidR="00AA492C" w:rsidTr="00AA492C">
        <w:trPr>
          <w:gridBefore w:val="2"/>
          <w:wBefore w:w="5599" w:type="dxa"/>
        </w:trPr>
        <w:tc>
          <w:tcPr>
            <w:tcW w:w="1388" w:type="dxa"/>
          </w:tcPr>
          <w:p w:rsidR="00AA492C" w:rsidRDefault="00AA492C" w:rsidP="00AA492C">
            <w:pPr>
              <w:pStyle w:val="NoSpacing"/>
              <w:jc w:val="right"/>
            </w:pPr>
            <w:r>
              <w:t>2019</w:t>
            </w:r>
          </w:p>
        </w:tc>
        <w:tc>
          <w:tcPr>
            <w:tcW w:w="1257" w:type="dxa"/>
          </w:tcPr>
          <w:p w:rsidR="00AA492C" w:rsidRDefault="00AA492C" w:rsidP="00AA492C">
            <w:pPr>
              <w:pStyle w:val="NoSpacing"/>
              <w:jc w:val="right"/>
            </w:pPr>
            <w:r>
              <w:t>2018</w:t>
            </w:r>
          </w:p>
        </w:tc>
        <w:tc>
          <w:tcPr>
            <w:tcW w:w="1272" w:type="dxa"/>
          </w:tcPr>
          <w:p w:rsidR="00AA492C" w:rsidRDefault="00AA492C" w:rsidP="00AA492C">
            <w:pPr>
              <w:pStyle w:val="NoSpacing"/>
              <w:jc w:val="right"/>
            </w:pPr>
            <w:r>
              <w:t>2019</w:t>
            </w:r>
          </w:p>
        </w:tc>
        <w:tc>
          <w:tcPr>
            <w:tcW w:w="1258" w:type="dxa"/>
          </w:tcPr>
          <w:p w:rsidR="00AA492C" w:rsidRDefault="00AA492C" w:rsidP="00AA492C">
            <w:pPr>
              <w:pStyle w:val="NoSpacing"/>
              <w:jc w:val="right"/>
            </w:pPr>
            <w:r>
              <w:t>2018</w:t>
            </w:r>
          </w:p>
        </w:tc>
      </w:tr>
      <w:tr w:rsidR="00AA492C" w:rsidTr="00AA492C">
        <w:trPr>
          <w:gridBefore w:val="1"/>
          <w:wBefore w:w="4201" w:type="dxa"/>
        </w:trPr>
        <w:tc>
          <w:tcPr>
            <w:tcW w:w="1398" w:type="dxa"/>
          </w:tcPr>
          <w:p w:rsidR="00AA492C" w:rsidRDefault="00AA492C" w:rsidP="00AA492C">
            <w:pPr>
              <w:pStyle w:val="NoSpacing"/>
            </w:pPr>
            <w:r>
              <w:t>Notes</w:t>
            </w:r>
          </w:p>
        </w:tc>
        <w:tc>
          <w:tcPr>
            <w:tcW w:w="1388" w:type="dxa"/>
          </w:tcPr>
          <w:p w:rsidR="00AA492C" w:rsidRDefault="00AA492C" w:rsidP="00AA492C">
            <w:pPr>
              <w:pStyle w:val="NoSpacing"/>
              <w:jc w:val="right"/>
            </w:pPr>
            <w:r>
              <w:t>$’000</w:t>
            </w:r>
          </w:p>
        </w:tc>
        <w:tc>
          <w:tcPr>
            <w:tcW w:w="1257" w:type="dxa"/>
          </w:tcPr>
          <w:p w:rsidR="00AA492C" w:rsidRDefault="00AA492C" w:rsidP="00AA492C">
            <w:pPr>
              <w:pStyle w:val="NoSpacing"/>
              <w:jc w:val="right"/>
            </w:pPr>
            <w:r>
              <w:t>$’000</w:t>
            </w:r>
          </w:p>
        </w:tc>
        <w:tc>
          <w:tcPr>
            <w:tcW w:w="1272" w:type="dxa"/>
          </w:tcPr>
          <w:p w:rsidR="00AA492C" w:rsidRDefault="00AA492C" w:rsidP="00AA492C">
            <w:pPr>
              <w:pStyle w:val="NoSpacing"/>
              <w:jc w:val="right"/>
            </w:pPr>
            <w:r>
              <w:t>$’000</w:t>
            </w:r>
          </w:p>
        </w:tc>
        <w:tc>
          <w:tcPr>
            <w:tcW w:w="1258" w:type="dxa"/>
          </w:tcPr>
          <w:p w:rsidR="00AA492C" w:rsidRDefault="00AA492C" w:rsidP="00AA492C">
            <w:pPr>
              <w:pStyle w:val="NoSpacing"/>
              <w:jc w:val="right"/>
            </w:pPr>
            <w:r>
              <w:t>$’000</w:t>
            </w:r>
          </w:p>
        </w:tc>
      </w:tr>
      <w:tr w:rsidR="00AA492C" w:rsidTr="00AA492C">
        <w:tc>
          <w:tcPr>
            <w:tcW w:w="10774" w:type="dxa"/>
            <w:gridSpan w:val="6"/>
          </w:tcPr>
          <w:p w:rsidR="00AA492C" w:rsidRDefault="00AA492C" w:rsidP="00AA492C">
            <w:pPr>
              <w:pStyle w:val="NoSpacing"/>
            </w:pPr>
            <w:r>
              <w:t>Assets</w:t>
            </w:r>
          </w:p>
        </w:tc>
      </w:tr>
      <w:tr w:rsidR="00AA492C" w:rsidTr="00AA492C">
        <w:tc>
          <w:tcPr>
            <w:tcW w:w="10774" w:type="dxa"/>
            <w:gridSpan w:val="6"/>
          </w:tcPr>
          <w:p w:rsidR="00AA492C" w:rsidRDefault="00AA492C" w:rsidP="00AA492C">
            <w:pPr>
              <w:pStyle w:val="NoSpacing"/>
            </w:pPr>
            <w:r>
              <w:t xml:space="preserve">Financial assets </w:t>
            </w:r>
          </w:p>
        </w:tc>
      </w:tr>
      <w:tr w:rsidR="00AA492C" w:rsidTr="00AA492C">
        <w:tc>
          <w:tcPr>
            <w:tcW w:w="4201" w:type="dxa"/>
          </w:tcPr>
          <w:p w:rsidR="00AA492C" w:rsidRDefault="00AA492C" w:rsidP="00AA492C">
            <w:pPr>
              <w:pStyle w:val="NoSpacing"/>
            </w:pPr>
            <w:r>
              <w:t>Cash and deposits</w:t>
            </w:r>
          </w:p>
        </w:tc>
        <w:tc>
          <w:tcPr>
            <w:tcW w:w="1398" w:type="dxa"/>
          </w:tcPr>
          <w:p w:rsidR="00AA492C" w:rsidRDefault="00AA492C" w:rsidP="00AA492C">
            <w:pPr>
              <w:pStyle w:val="NoSpacing"/>
            </w:pPr>
            <w:r>
              <w:t>6.1</w:t>
            </w:r>
          </w:p>
        </w:tc>
        <w:tc>
          <w:tcPr>
            <w:tcW w:w="1388" w:type="dxa"/>
          </w:tcPr>
          <w:p w:rsidR="00AA492C" w:rsidRDefault="00AA492C" w:rsidP="00AA492C">
            <w:pPr>
              <w:pStyle w:val="NoSpacing"/>
              <w:jc w:val="right"/>
            </w:pPr>
            <w:r>
              <w:t>54,908</w:t>
            </w:r>
          </w:p>
        </w:tc>
        <w:tc>
          <w:tcPr>
            <w:tcW w:w="1257" w:type="dxa"/>
          </w:tcPr>
          <w:p w:rsidR="00AA492C" w:rsidRDefault="00AA492C" w:rsidP="00AA492C">
            <w:pPr>
              <w:pStyle w:val="NoSpacing"/>
              <w:jc w:val="right"/>
            </w:pPr>
            <w:r>
              <w:t>36,338</w:t>
            </w:r>
          </w:p>
        </w:tc>
        <w:tc>
          <w:tcPr>
            <w:tcW w:w="1272" w:type="dxa"/>
          </w:tcPr>
          <w:p w:rsidR="00AA492C" w:rsidRDefault="00AA492C" w:rsidP="00AA492C">
            <w:pPr>
              <w:pStyle w:val="NoSpacing"/>
              <w:jc w:val="right"/>
            </w:pPr>
            <w:r>
              <w:t>54,099</w:t>
            </w:r>
          </w:p>
        </w:tc>
        <w:tc>
          <w:tcPr>
            <w:tcW w:w="1258" w:type="dxa"/>
          </w:tcPr>
          <w:p w:rsidR="00AA492C" w:rsidRDefault="00AA492C" w:rsidP="00AA492C">
            <w:pPr>
              <w:pStyle w:val="NoSpacing"/>
              <w:jc w:val="right"/>
            </w:pPr>
            <w:r>
              <w:t>35,359</w:t>
            </w:r>
          </w:p>
        </w:tc>
      </w:tr>
      <w:tr w:rsidR="00AA492C" w:rsidTr="00AA492C">
        <w:tc>
          <w:tcPr>
            <w:tcW w:w="4201" w:type="dxa"/>
          </w:tcPr>
          <w:p w:rsidR="00AA492C" w:rsidRDefault="00AA492C" w:rsidP="00AA492C">
            <w:pPr>
              <w:pStyle w:val="NoSpacing"/>
            </w:pPr>
            <w:r>
              <w:t>Receivables</w:t>
            </w:r>
          </w:p>
        </w:tc>
        <w:tc>
          <w:tcPr>
            <w:tcW w:w="1398" w:type="dxa"/>
          </w:tcPr>
          <w:p w:rsidR="00AA492C" w:rsidRDefault="00AA492C" w:rsidP="00AA492C">
            <w:pPr>
              <w:pStyle w:val="NoSpacing"/>
            </w:pPr>
            <w:r>
              <w:t>5.1</w:t>
            </w:r>
          </w:p>
        </w:tc>
        <w:tc>
          <w:tcPr>
            <w:tcW w:w="1388" w:type="dxa"/>
          </w:tcPr>
          <w:p w:rsidR="00AA492C" w:rsidRDefault="00AA492C" w:rsidP="00AA492C">
            <w:pPr>
              <w:pStyle w:val="NoSpacing"/>
              <w:jc w:val="right"/>
            </w:pPr>
            <w:r>
              <w:t>15,772</w:t>
            </w:r>
          </w:p>
        </w:tc>
        <w:tc>
          <w:tcPr>
            <w:tcW w:w="1257" w:type="dxa"/>
          </w:tcPr>
          <w:p w:rsidR="00AA492C" w:rsidRDefault="00AA492C" w:rsidP="00AA492C">
            <w:pPr>
              <w:pStyle w:val="NoSpacing"/>
              <w:jc w:val="right"/>
            </w:pPr>
            <w:r>
              <w:t>17,703</w:t>
            </w:r>
          </w:p>
        </w:tc>
        <w:tc>
          <w:tcPr>
            <w:tcW w:w="1272" w:type="dxa"/>
          </w:tcPr>
          <w:p w:rsidR="00AA492C" w:rsidRDefault="00AA492C" w:rsidP="00AA492C">
            <w:pPr>
              <w:pStyle w:val="NoSpacing"/>
              <w:jc w:val="right"/>
            </w:pPr>
            <w:r>
              <w:t>17,713</w:t>
            </w:r>
          </w:p>
        </w:tc>
        <w:tc>
          <w:tcPr>
            <w:tcW w:w="1258" w:type="dxa"/>
          </w:tcPr>
          <w:p w:rsidR="00AA492C" w:rsidRDefault="00AA492C" w:rsidP="00AA492C">
            <w:pPr>
              <w:pStyle w:val="NoSpacing"/>
              <w:jc w:val="right"/>
            </w:pPr>
            <w:r>
              <w:t>20,629</w:t>
            </w:r>
          </w:p>
        </w:tc>
      </w:tr>
      <w:tr w:rsidR="00AA492C" w:rsidTr="00AA492C">
        <w:tc>
          <w:tcPr>
            <w:tcW w:w="4201" w:type="dxa"/>
          </w:tcPr>
          <w:p w:rsidR="00AA492C" w:rsidRDefault="00AA492C" w:rsidP="00AA492C">
            <w:pPr>
              <w:pStyle w:val="NoSpacing"/>
            </w:pPr>
            <w:r>
              <w:t>Investments and other financial assets</w:t>
            </w:r>
          </w:p>
        </w:tc>
        <w:tc>
          <w:tcPr>
            <w:tcW w:w="1398" w:type="dxa"/>
          </w:tcPr>
          <w:p w:rsidR="00AA492C" w:rsidRDefault="00AA492C" w:rsidP="00AA492C">
            <w:pPr>
              <w:pStyle w:val="NoSpacing"/>
            </w:pPr>
            <w:r>
              <w:t>4.4</w:t>
            </w:r>
          </w:p>
        </w:tc>
        <w:tc>
          <w:tcPr>
            <w:tcW w:w="1388" w:type="dxa"/>
          </w:tcPr>
          <w:p w:rsidR="00AA492C" w:rsidRDefault="00AA492C" w:rsidP="00AA492C">
            <w:pPr>
              <w:pStyle w:val="NoSpacing"/>
              <w:jc w:val="right"/>
            </w:pPr>
            <w:r>
              <w:t>516</w:t>
            </w:r>
          </w:p>
        </w:tc>
        <w:tc>
          <w:tcPr>
            <w:tcW w:w="1257" w:type="dxa"/>
          </w:tcPr>
          <w:p w:rsidR="00AA492C" w:rsidRDefault="00AA492C" w:rsidP="00AA492C">
            <w:pPr>
              <w:pStyle w:val="NoSpacing"/>
              <w:jc w:val="right"/>
            </w:pPr>
            <w:r>
              <w:t>26,387</w:t>
            </w:r>
          </w:p>
        </w:tc>
        <w:tc>
          <w:tcPr>
            <w:tcW w:w="1272" w:type="dxa"/>
          </w:tcPr>
          <w:p w:rsidR="00AA492C" w:rsidRDefault="00AA492C" w:rsidP="00AA492C">
            <w:pPr>
              <w:pStyle w:val="NoSpacing"/>
              <w:jc w:val="right"/>
            </w:pPr>
            <w:r>
              <w:t>6,000</w:t>
            </w:r>
          </w:p>
        </w:tc>
        <w:tc>
          <w:tcPr>
            <w:tcW w:w="1258" w:type="dxa"/>
          </w:tcPr>
          <w:p w:rsidR="00AA492C" w:rsidRDefault="00AA492C" w:rsidP="00AA492C">
            <w:pPr>
              <w:pStyle w:val="NoSpacing"/>
              <w:jc w:val="right"/>
            </w:pPr>
            <w:r>
              <w:t>31,000</w:t>
            </w:r>
          </w:p>
        </w:tc>
      </w:tr>
      <w:tr w:rsidR="00AA492C" w:rsidTr="00AA492C">
        <w:tc>
          <w:tcPr>
            <w:tcW w:w="4201" w:type="dxa"/>
          </w:tcPr>
          <w:p w:rsidR="00AA492C" w:rsidRDefault="00AA492C" w:rsidP="00AA492C">
            <w:pPr>
              <w:pStyle w:val="NoSpacing"/>
            </w:pPr>
            <w:r>
              <w:t>Total financial assets</w:t>
            </w:r>
          </w:p>
        </w:tc>
        <w:tc>
          <w:tcPr>
            <w:tcW w:w="1398" w:type="dxa"/>
          </w:tcPr>
          <w:p w:rsidR="00AA492C" w:rsidRDefault="00AA492C" w:rsidP="00AA492C">
            <w:pPr>
              <w:pStyle w:val="NoSpacing"/>
            </w:pPr>
          </w:p>
        </w:tc>
        <w:tc>
          <w:tcPr>
            <w:tcW w:w="1388" w:type="dxa"/>
          </w:tcPr>
          <w:p w:rsidR="00AA492C" w:rsidRDefault="00AA492C" w:rsidP="00AA492C">
            <w:pPr>
              <w:pStyle w:val="NoSpacing"/>
              <w:jc w:val="right"/>
            </w:pPr>
            <w:r>
              <w:t>71,196</w:t>
            </w:r>
          </w:p>
        </w:tc>
        <w:tc>
          <w:tcPr>
            <w:tcW w:w="1257" w:type="dxa"/>
          </w:tcPr>
          <w:p w:rsidR="00AA492C" w:rsidRDefault="00AA492C" w:rsidP="00AA492C">
            <w:pPr>
              <w:pStyle w:val="NoSpacing"/>
              <w:jc w:val="right"/>
            </w:pPr>
            <w:r>
              <w:t>80,428</w:t>
            </w:r>
          </w:p>
        </w:tc>
        <w:tc>
          <w:tcPr>
            <w:tcW w:w="1272" w:type="dxa"/>
          </w:tcPr>
          <w:p w:rsidR="00AA492C" w:rsidRDefault="00AA492C" w:rsidP="00AA492C">
            <w:pPr>
              <w:pStyle w:val="NoSpacing"/>
              <w:jc w:val="right"/>
            </w:pPr>
            <w:r>
              <w:t>77,812</w:t>
            </w:r>
          </w:p>
        </w:tc>
        <w:tc>
          <w:tcPr>
            <w:tcW w:w="1258" w:type="dxa"/>
          </w:tcPr>
          <w:p w:rsidR="00AA492C" w:rsidRDefault="00AA492C" w:rsidP="00AA492C">
            <w:pPr>
              <w:pStyle w:val="NoSpacing"/>
              <w:jc w:val="right"/>
            </w:pPr>
            <w:r>
              <w:t>86,988</w:t>
            </w:r>
          </w:p>
        </w:tc>
      </w:tr>
    </w:tbl>
    <w:p w:rsidR="00430EB7" w:rsidRDefault="00430EB7" w:rsidP="005942B8">
      <w:pPr>
        <w:pStyle w:val="NoSpacing"/>
      </w:pPr>
    </w:p>
    <w:tbl>
      <w:tblPr>
        <w:tblStyle w:val="TableGrid"/>
        <w:tblW w:w="10774" w:type="dxa"/>
        <w:tblInd w:w="-856" w:type="dxa"/>
        <w:tblLook w:val="04A0" w:firstRow="1" w:lastRow="0" w:firstColumn="1" w:lastColumn="0" w:noHBand="0" w:noVBand="1"/>
      </w:tblPr>
      <w:tblGrid>
        <w:gridCol w:w="4253"/>
        <w:gridCol w:w="1418"/>
        <w:gridCol w:w="1276"/>
        <w:gridCol w:w="1275"/>
        <w:gridCol w:w="1276"/>
        <w:gridCol w:w="1276"/>
      </w:tblGrid>
      <w:tr w:rsidR="00AA492C" w:rsidTr="00AA492C">
        <w:tc>
          <w:tcPr>
            <w:tcW w:w="10774" w:type="dxa"/>
            <w:gridSpan w:val="6"/>
          </w:tcPr>
          <w:p w:rsidR="00AA492C" w:rsidRDefault="00AA492C" w:rsidP="00AA492C">
            <w:pPr>
              <w:pStyle w:val="NoSpacing"/>
            </w:pPr>
            <w:r>
              <w:t>Non-financial assets</w:t>
            </w:r>
          </w:p>
        </w:tc>
      </w:tr>
      <w:tr w:rsidR="00AA492C" w:rsidTr="00AA492C">
        <w:tc>
          <w:tcPr>
            <w:tcW w:w="4253" w:type="dxa"/>
          </w:tcPr>
          <w:p w:rsidR="00AA492C" w:rsidRDefault="00AA492C" w:rsidP="00AA492C">
            <w:pPr>
              <w:pStyle w:val="NoSpacing"/>
            </w:pPr>
            <w:r>
              <w:t>Property, plant and equipment</w:t>
            </w:r>
          </w:p>
        </w:tc>
        <w:tc>
          <w:tcPr>
            <w:tcW w:w="1418" w:type="dxa"/>
          </w:tcPr>
          <w:p w:rsidR="00AA492C" w:rsidRDefault="00AA492C" w:rsidP="00AA492C">
            <w:pPr>
              <w:pStyle w:val="NoSpacing"/>
            </w:pPr>
            <w:r>
              <w:t>4.1</w:t>
            </w:r>
          </w:p>
        </w:tc>
        <w:tc>
          <w:tcPr>
            <w:tcW w:w="1276" w:type="dxa"/>
          </w:tcPr>
          <w:p w:rsidR="00AA492C" w:rsidRDefault="00AA492C" w:rsidP="00AA492C">
            <w:pPr>
              <w:pStyle w:val="NoSpacing"/>
              <w:jc w:val="right"/>
            </w:pPr>
            <w:r>
              <w:t>362,572</w:t>
            </w:r>
          </w:p>
        </w:tc>
        <w:tc>
          <w:tcPr>
            <w:tcW w:w="1275" w:type="dxa"/>
          </w:tcPr>
          <w:p w:rsidR="00AA492C" w:rsidRDefault="00AA492C" w:rsidP="00AA492C">
            <w:pPr>
              <w:pStyle w:val="NoSpacing"/>
              <w:jc w:val="right"/>
            </w:pPr>
            <w:r>
              <w:t>343,574</w:t>
            </w:r>
          </w:p>
        </w:tc>
        <w:tc>
          <w:tcPr>
            <w:tcW w:w="1276" w:type="dxa"/>
          </w:tcPr>
          <w:p w:rsidR="00AA492C" w:rsidRDefault="00AA492C" w:rsidP="00AA492C">
            <w:pPr>
              <w:pStyle w:val="NoSpacing"/>
              <w:jc w:val="right"/>
            </w:pPr>
            <w:r>
              <w:t>362,572</w:t>
            </w:r>
          </w:p>
        </w:tc>
        <w:tc>
          <w:tcPr>
            <w:tcW w:w="1276" w:type="dxa"/>
          </w:tcPr>
          <w:p w:rsidR="00AA492C" w:rsidRDefault="00AA492C" w:rsidP="00AA492C">
            <w:pPr>
              <w:pStyle w:val="NoSpacing"/>
              <w:jc w:val="right"/>
            </w:pPr>
            <w:r>
              <w:t>343,574</w:t>
            </w:r>
          </w:p>
        </w:tc>
      </w:tr>
      <w:tr w:rsidR="00AA492C" w:rsidTr="00AA492C">
        <w:tc>
          <w:tcPr>
            <w:tcW w:w="4253" w:type="dxa"/>
          </w:tcPr>
          <w:p w:rsidR="00AA492C" w:rsidRDefault="00AA492C" w:rsidP="00AA492C">
            <w:pPr>
              <w:pStyle w:val="NoSpacing"/>
            </w:pPr>
            <w:r>
              <w:t>Intangible assets</w:t>
            </w:r>
          </w:p>
        </w:tc>
        <w:tc>
          <w:tcPr>
            <w:tcW w:w="1418" w:type="dxa"/>
          </w:tcPr>
          <w:p w:rsidR="00AA492C" w:rsidRDefault="00AA492C" w:rsidP="00AA492C">
            <w:pPr>
              <w:pStyle w:val="NoSpacing"/>
            </w:pPr>
            <w:r>
              <w:t>4.2</w:t>
            </w:r>
          </w:p>
        </w:tc>
        <w:tc>
          <w:tcPr>
            <w:tcW w:w="1276" w:type="dxa"/>
          </w:tcPr>
          <w:p w:rsidR="00AA492C" w:rsidRDefault="00AA492C" w:rsidP="00AA492C">
            <w:pPr>
              <w:pStyle w:val="NoSpacing"/>
              <w:jc w:val="right"/>
            </w:pPr>
            <w:r>
              <w:t>6,196</w:t>
            </w:r>
          </w:p>
        </w:tc>
        <w:tc>
          <w:tcPr>
            <w:tcW w:w="1275" w:type="dxa"/>
          </w:tcPr>
          <w:p w:rsidR="00AA492C" w:rsidRDefault="00AA492C" w:rsidP="00AA492C">
            <w:pPr>
              <w:pStyle w:val="NoSpacing"/>
              <w:jc w:val="right"/>
            </w:pPr>
            <w:r>
              <w:t>5,250</w:t>
            </w:r>
          </w:p>
        </w:tc>
        <w:tc>
          <w:tcPr>
            <w:tcW w:w="1276" w:type="dxa"/>
          </w:tcPr>
          <w:p w:rsidR="00AA492C" w:rsidRDefault="00AA492C" w:rsidP="00AA492C">
            <w:pPr>
              <w:pStyle w:val="NoSpacing"/>
              <w:jc w:val="right"/>
            </w:pPr>
            <w:r>
              <w:t>5,388</w:t>
            </w:r>
          </w:p>
        </w:tc>
        <w:tc>
          <w:tcPr>
            <w:tcW w:w="1276" w:type="dxa"/>
          </w:tcPr>
          <w:p w:rsidR="00AA492C" w:rsidRDefault="00AA492C" w:rsidP="00AA492C">
            <w:pPr>
              <w:pStyle w:val="NoSpacing"/>
              <w:jc w:val="right"/>
            </w:pPr>
            <w:r>
              <w:t>4,668</w:t>
            </w:r>
          </w:p>
        </w:tc>
      </w:tr>
      <w:tr w:rsidR="00AA492C" w:rsidTr="00AA492C">
        <w:tc>
          <w:tcPr>
            <w:tcW w:w="4253" w:type="dxa"/>
          </w:tcPr>
          <w:p w:rsidR="00AA492C" w:rsidRDefault="00AA492C" w:rsidP="00AA492C">
            <w:pPr>
              <w:pStyle w:val="NoSpacing"/>
            </w:pPr>
            <w:r>
              <w:t>Other non-financial assets</w:t>
            </w:r>
          </w:p>
        </w:tc>
        <w:tc>
          <w:tcPr>
            <w:tcW w:w="1418" w:type="dxa"/>
          </w:tcPr>
          <w:p w:rsidR="00AA492C" w:rsidRDefault="00AA492C" w:rsidP="00AA492C">
            <w:pPr>
              <w:pStyle w:val="NoSpacing"/>
              <w:jc w:val="right"/>
            </w:pPr>
          </w:p>
        </w:tc>
        <w:tc>
          <w:tcPr>
            <w:tcW w:w="1276" w:type="dxa"/>
          </w:tcPr>
          <w:p w:rsidR="00AA492C" w:rsidRDefault="00AA492C" w:rsidP="00AA492C">
            <w:pPr>
              <w:pStyle w:val="NoSpacing"/>
              <w:jc w:val="right"/>
            </w:pPr>
            <w:r>
              <w:t>2,416</w:t>
            </w:r>
          </w:p>
        </w:tc>
        <w:tc>
          <w:tcPr>
            <w:tcW w:w="1275" w:type="dxa"/>
          </w:tcPr>
          <w:p w:rsidR="00AA492C" w:rsidRDefault="00AA492C" w:rsidP="00AA492C">
            <w:pPr>
              <w:pStyle w:val="NoSpacing"/>
              <w:jc w:val="right"/>
            </w:pPr>
            <w:r>
              <w:t>2,513</w:t>
            </w:r>
          </w:p>
        </w:tc>
        <w:tc>
          <w:tcPr>
            <w:tcW w:w="1276" w:type="dxa"/>
          </w:tcPr>
          <w:p w:rsidR="00AA492C" w:rsidRDefault="00AA492C" w:rsidP="00AA492C">
            <w:pPr>
              <w:pStyle w:val="NoSpacing"/>
              <w:jc w:val="right"/>
            </w:pPr>
            <w:r>
              <w:t>2,400</w:t>
            </w:r>
          </w:p>
        </w:tc>
        <w:tc>
          <w:tcPr>
            <w:tcW w:w="1276" w:type="dxa"/>
          </w:tcPr>
          <w:p w:rsidR="00AA492C" w:rsidRDefault="00AA492C" w:rsidP="00AA492C">
            <w:pPr>
              <w:pStyle w:val="NoSpacing"/>
              <w:jc w:val="right"/>
            </w:pPr>
            <w:r>
              <w:t>2,494</w:t>
            </w:r>
          </w:p>
        </w:tc>
      </w:tr>
      <w:tr w:rsidR="00AA492C" w:rsidTr="00AA492C">
        <w:tc>
          <w:tcPr>
            <w:tcW w:w="4253" w:type="dxa"/>
          </w:tcPr>
          <w:p w:rsidR="00AA492C" w:rsidRDefault="00AA492C" w:rsidP="00AA492C">
            <w:pPr>
              <w:pStyle w:val="NoSpacing"/>
            </w:pPr>
            <w:r>
              <w:t xml:space="preserve">Total non-financial assets </w:t>
            </w:r>
          </w:p>
        </w:tc>
        <w:tc>
          <w:tcPr>
            <w:tcW w:w="1418" w:type="dxa"/>
          </w:tcPr>
          <w:p w:rsidR="00AA492C" w:rsidRDefault="00AA492C" w:rsidP="00AA492C">
            <w:pPr>
              <w:pStyle w:val="NoSpacing"/>
              <w:jc w:val="right"/>
            </w:pPr>
          </w:p>
        </w:tc>
        <w:tc>
          <w:tcPr>
            <w:tcW w:w="1276" w:type="dxa"/>
          </w:tcPr>
          <w:p w:rsidR="00AA492C" w:rsidRDefault="00AA492C" w:rsidP="00AA492C">
            <w:pPr>
              <w:pStyle w:val="NoSpacing"/>
              <w:jc w:val="right"/>
            </w:pPr>
            <w:r>
              <w:t>371,184</w:t>
            </w:r>
          </w:p>
        </w:tc>
        <w:tc>
          <w:tcPr>
            <w:tcW w:w="1275" w:type="dxa"/>
          </w:tcPr>
          <w:p w:rsidR="00AA492C" w:rsidRDefault="00AA492C" w:rsidP="00AA492C">
            <w:pPr>
              <w:pStyle w:val="NoSpacing"/>
              <w:jc w:val="right"/>
            </w:pPr>
            <w:r>
              <w:t>351,337</w:t>
            </w:r>
          </w:p>
        </w:tc>
        <w:tc>
          <w:tcPr>
            <w:tcW w:w="1276" w:type="dxa"/>
          </w:tcPr>
          <w:p w:rsidR="00AA492C" w:rsidRDefault="00AA492C" w:rsidP="00AA492C">
            <w:pPr>
              <w:pStyle w:val="NoSpacing"/>
              <w:jc w:val="right"/>
            </w:pPr>
            <w:r>
              <w:t>370,360</w:t>
            </w:r>
          </w:p>
        </w:tc>
        <w:tc>
          <w:tcPr>
            <w:tcW w:w="1276" w:type="dxa"/>
          </w:tcPr>
          <w:p w:rsidR="00AA492C" w:rsidRDefault="00AA492C" w:rsidP="00AA492C">
            <w:pPr>
              <w:pStyle w:val="NoSpacing"/>
              <w:jc w:val="right"/>
            </w:pPr>
            <w:r>
              <w:t>350,736</w:t>
            </w:r>
          </w:p>
        </w:tc>
      </w:tr>
    </w:tbl>
    <w:p w:rsidR="00430EB7" w:rsidRDefault="00430EB7" w:rsidP="005942B8">
      <w:pPr>
        <w:pStyle w:val="NoSpacing"/>
      </w:pPr>
    </w:p>
    <w:tbl>
      <w:tblPr>
        <w:tblStyle w:val="TableGrid"/>
        <w:tblW w:w="10774" w:type="dxa"/>
        <w:tblInd w:w="-856" w:type="dxa"/>
        <w:tblLook w:val="04A0" w:firstRow="1" w:lastRow="0" w:firstColumn="1" w:lastColumn="0" w:noHBand="0" w:noVBand="1"/>
      </w:tblPr>
      <w:tblGrid>
        <w:gridCol w:w="4253"/>
        <w:gridCol w:w="1418"/>
        <w:gridCol w:w="1276"/>
        <w:gridCol w:w="1275"/>
        <w:gridCol w:w="1276"/>
        <w:gridCol w:w="1276"/>
      </w:tblGrid>
      <w:tr w:rsidR="00AA492C" w:rsidTr="00AA492C">
        <w:tc>
          <w:tcPr>
            <w:tcW w:w="4253" w:type="dxa"/>
          </w:tcPr>
          <w:p w:rsidR="00AA492C" w:rsidRDefault="00AA492C" w:rsidP="00AA492C">
            <w:pPr>
              <w:pStyle w:val="NoSpacing"/>
            </w:pPr>
            <w:r>
              <w:t>Total assets</w:t>
            </w:r>
          </w:p>
        </w:tc>
        <w:tc>
          <w:tcPr>
            <w:tcW w:w="1418" w:type="dxa"/>
          </w:tcPr>
          <w:p w:rsidR="00AA492C" w:rsidRDefault="00AA492C" w:rsidP="00AA492C">
            <w:pPr>
              <w:pStyle w:val="NoSpacing"/>
              <w:jc w:val="right"/>
            </w:pPr>
          </w:p>
        </w:tc>
        <w:tc>
          <w:tcPr>
            <w:tcW w:w="1276" w:type="dxa"/>
          </w:tcPr>
          <w:p w:rsidR="00AA492C" w:rsidRDefault="005B5C07" w:rsidP="005B5C07">
            <w:pPr>
              <w:pStyle w:val="NoSpacing"/>
              <w:jc w:val="right"/>
            </w:pPr>
            <w:r>
              <w:t>442,380</w:t>
            </w:r>
          </w:p>
        </w:tc>
        <w:tc>
          <w:tcPr>
            <w:tcW w:w="1275" w:type="dxa"/>
          </w:tcPr>
          <w:p w:rsidR="00AA492C" w:rsidRDefault="005B5C07" w:rsidP="005B5C07">
            <w:pPr>
              <w:pStyle w:val="NoSpacing"/>
              <w:jc w:val="right"/>
            </w:pPr>
            <w:r>
              <w:t>431,765</w:t>
            </w:r>
          </w:p>
        </w:tc>
        <w:tc>
          <w:tcPr>
            <w:tcW w:w="1276" w:type="dxa"/>
          </w:tcPr>
          <w:p w:rsidR="00AA492C" w:rsidRDefault="005B5C07" w:rsidP="005B5C07">
            <w:pPr>
              <w:pStyle w:val="NoSpacing"/>
              <w:jc w:val="right"/>
            </w:pPr>
            <w:r>
              <w:t>448,172</w:t>
            </w:r>
          </w:p>
        </w:tc>
        <w:tc>
          <w:tcPr>
            <w:tcW w:w="1276" w:type="dxa"/>
          </w:tcPr>
          <w:p w:rsidR="00AA492C" w:rsidRDefault="005B5C07" w:rsidP="005B5C07">
            <w:pPr>
              <w:pStyle w:val="NoSpacing"/>
              <w:jc w:val="right"/>
            </w:pPr>
            <w:r>
              <w:t>437,724</w:t>
            </w:r>
          </w:p>
        </w:tc>
      </w:tr>
    </w:tbl>
    <w:p w:rsidR="00430EB7" w:rsidRDefault="00430EB7" w:rsidP="005942B8">
      <w:pPr>
        <w:pStyle w:val="NoSpacing"/>
      </w:pPr>
    </w:p>
    <w:p w:rsidR="005C2782" w:rsidRDefault="005C2782" w:rsidP="005942B8">
      <w:pPr>
        <w:pStyle w:val="NoSpacing"/>
      </w:pPr>
    </w:p>
    <w:tbl>
      <w:tblPr>
        <w:tblStyle w:val="TableGrid"/>
        <w:tblW w:w="10774" w:type="dxa"/>
        <w:tblInd w:w="-856" w:type="dxa"/>
        <w:tblLook w:val="04A0" w:firstRow="1" w:lastRow="0" w:firstColumn="1" w:lastColumn="0" w:noHBand="0" w:noVBand="1"/>
      </w:tblPr>
      <w:tblGrid>
        <w:gridCol w:w="4201"/>
        <w:gridCol w:w="1398"/>
        <w:gridCol w:w="1388"/>
        <w:gridCol w:w="1257"/>
        <w:gridCol w:w="1272"/>
        <w:gridCol w:w="1258"/>
      </w:tblGrid>
      <w:tr w:rsidR="005C2782" w:rsidTr="009E3DEF">
        <w:tc>
          <w:tcPr>
            <w:tcW w:w="10774" w:type="dxa"/>
            <w:gridSpan w:val="6"/>
          </w:tcPr>
          <w:p w:rsidR="005C2782" w:rsidRDefault="005C2782" w:rsidP="009E3DEF">
            <w:pPr>
              <w:pStyle w:val="NoSpacing"/>
            </w:pPr>
            <w:r>
              <w:t>Liabilities</w:t>
            </w:r>
          </w:p>
        </w:tc>
      </w:tr>
      <w:tr w:rsidR="005C2782" w:rsidTr="009E3DEF">
        <w:tc>
          <w:tcPr>
            <w:tcW w:w="4201" w:type="dxa"/>
          </w:tcPr>
          <w:p w:rsidR="005C2782" w:rsidRDefault="005C2782" w:rsidP="009E3DEF">
            <w:pPr>
              <w:pStyle w:val="NoSpacing"/>
            </w:pPr>
            <w:r>
              <w:t>Employee provisions</w:t>
            </w:r>
          </w:p>
        </w:tc>
        <w:tc>
          <w:tcPr>
            <w:tcW w:w="1398" w:type="dxa"/>
          </w:tcPr>
          <w:p w:rsidR="005C2782" w:rsidRDefault="005C2782" w:rsidP="009E3DEF">
            <w:pPr>
              <w:pStyle w:val="NoSpacing"/>
            </w:pPr>
            <w:r>
              <w:t>3.1.2</w:t>
            </w:r>
          </w:p>
        </w:tc>
        <w:tc>
          <w:tcPr>
            <w:tcW w:w="1388" w:type="dxa"/>
          </w:tcPr>
          <w:p w:rsidR="005C2782" w:rsidRDefault="005C2782" w:rsidP="009E3DEF">
            <w:pPr>
              <w:pStyle w:val="NoSpacing"/>
              <w:jc w:val="right"/>
            </w:pPr>
            <w:r>
              <w:t>12,388</w:t>
            </w:r>
          </w:p>
        </w:tc>
        <w:tc>
          <w:tcPr>
            <w:tcW w:w="1257" w:type="dxa"/>
          </w:tcPr>
          <w:p w:rsidR="005C2782" w:rsidRDefault="005C2782" w:rsidP="009E3DEF">
            <w:pPr>
              <w:pStyle w:val="NoSpacing"/>
              <w:jc w:val="right"/>
            </w:pPr>
            <w:r>
              <w:t>10,964</w:t>
            </w:r>
          </w:p>
        </w:tc>
        <w:tc>
          <w:tcPr>
            <w:tcW w:w="1272" w:type="dxa"/>
          </w:tcPr>
          <w:p w:rsidR="005C2782" w:rsidRDefault="005C2782" w:rsidP="009E3DEF">
            <w:pPr>
              <w:pStyle w:val="NoSpacing"/>
              <w:jc w:val="right"/>
            </w:pPr>
            <w:r>
              <w:t>12,276</w:t>
            </w:r>
          </w:p>
        </w:tc>
        <w:tc>
          <w:tcPr>
            <w:tcW w:w="1258" w:type="dxa"/>
          </w:tcPr>
          <w:p w:rsidR="005C2782" w:rsidRDefault="005C2782" w:rsidP="009E3DEF">
            <w:pPr>
              <w:pStyle w:val="NoSpacing"/>
              <w:jc w:val="right"/>
            </w:pPr>
            <w:r>
              <w:t>10,827</w:t>
            </w:r>
          </w:p>
        </w:tc>
      </w:tr>
      <w:tr w:rsidR="005C2782" w:rsidTr="009E3DEF">
        <w:tc>
          <w:tcPr>
            <w:tcW w:w="4201" w:type="dxa"/>
          </w:tcPr>
          <w:p w:rsidR="005C2782" w:rsidRDefault="005C2782" w:rsidP="009E3DEF">
            <w:pPr>
              <w:pStyle w:val="NoSpacing"/>
            </w:pPr>
            <w:r>
              <w:t>Payables</w:t>
            </w:r>
          </w:p>
        </w:tc>
        <w:tc>
          <w:tcPr>
            <w:tcW w:w="1398" w:type="dxa"/>
          </w:tcPr>
          <w:p w:rsidR="005C2782" w:rsidRDefault="005C2782" w:rsidP="009E3DEF">
            <w:pPr>
              <w:pStyle w:val="NoSpacing"/>
            </w:pPr>
            <w:r>
              <w:t>5.2</w:t>
            </w:r>
          </w:p>
        </w:tc>
        <w:tc>
          <w:tcPr>
            <w:tcW w:w="1388" w:type="dxa"/>
          </w:tcPr>
          <w:p w:rsidR="005C2782" w:rsidRDefault="005C2782" w:rsidP="009E3DEF">
            <w:pPr>
              <w:pStyle w:val="NoSpacing"/>
              <w:jc w:val="right"/>
            </w:pPr>
            <w:r>
              <w:t>8,500</w:t>
            </w:r>
          </w:p>
        </w:tc>
        <w:tc>
          <w:tcPr>
            <w:tcW w:w="1257" w:type="dxa"/>
          </w:tcPr>
          <w:p w:rsidR="005C2782" w:rsidRDefault="005C2782" w:rsidP="009E3DEF">
            <w:pPr>
              <w:pStyle w:val="NoSpacing"/>
              <w:jc w:val="right"/>
            </w:pPr>
            <w:r>
              <w:t>10,309</w:t>
            </w:r>
          </w:p>
        </w:tc>
        <w:tc>
          <w:tcPr>
            <w:tcW w:w="1272" w:type="dxa"/>
          </w:tcPr>
          <w:p w:rsidR="005C2782" w:rsidRDefault="005C2782" w:rsidP="009E3DEF">
            <w:pPr>
              <w:pStyle w:val="NoSpacing"/>
              <w:jc w:val="right"/>
            </w:pPr>
            <w:r>
              <w:t>9,447</w:t>
            </w:r>
          </w:p>
        </w:tc>
        <w:tc>
          <w:tcPr>
            <w:tcW w:w="1258" w:type="dxa"/>
          </w:tcPr>
          <w:p w:rsidR="005C2782" w:rsidRDefault="005C2782" w:rsidP="009E3DEF">
            <w:pPr>
              <w:pStyle w:val="NoSpacing"/>
              <w:jc w:val="right"/>
            </w:pPr>
            <w:r>
              <w:t>10,387</w:t>
            </w:r>
          </w:p>
        </w:tc>
      </w:tr>
      <w:tr w:rsidR="005C2782" w:rsidTr="009E3DEF">
        <w:tc>
          <w:tcPr>
            <w:tcW w:w="4201" w:type="dxa"/>
          </w:tcPr>
          <w:p w:rsidR="005C2782" w:rsidRDefault="005C2782" w:rsidP="009E3DEF">
            <w:pPr>
              <w:pStyle w:val="NoSpacing"/>
            </w:pPr>
            <w:r>
              <w:t>Borrowings</w:t>
            </w:r>
          </w:p>
        </w:tc>
        <w:tc>
          <w:tcPr>
            <w:tcW w:w="1398" w:type="dxa"/>
          </w:tcPr>
          <w:p w:rsidR="005C2782" w:rsidRDefault="005C2782" w:rsidP="009E3DEF">
            <w:pPr>
              <w:pStyle w:val="NoSpacing"/>
            </w:pPr>
            <w:r>
              <w:t>6.2</w:t>
            </w:r>
          </w:p>
        </w:tc>
        <w:tc>
          <w:tcPr>
            <w:tcW w:w="1388" w:type="dxa"/>
          </w:tcPr>
          <w:p w:rsidR="005C2782" w:rsidRDefault="005C2782" w:rsidP="009E3DEF">
            <w:pPr>
              <w:pStyle w:val="NoSpacing"/>
              <w:jc w:val="right"/>
            </w:pPr>
            <w:r>
              <w:t>1,009</w:t>
            </w:r>
          </w:p>
        </w:tc>
        <w:tc>
          <w:tcPr>
            <w:tcW w:w="1257" w:type="dxa"/>
          </w:tcPr>
          <w:p w:rsidR="005C2782" w:rsidRDefault="005C2782" w:rsidP="009E3DEF">
            <w:pPr>
              <w:pStyle w:val="NoSpacing"/>
              <w:jc w:val="right"/>
            </w:pPr>
            <w:r>
              <w:t>1,324</w:t>
            </w:r>
          </w:p>
        </w:tc>
        <w:tc>
          <w:tcPr>
            <w:tcW w:w="1272" w:type="dxa"/>
          </w:tcPr>
          <w:p w:rsidR="005C2782" w:rsidRDefault="005C2782" w:rsidP="009E3DEF">
            <w:pPr>
              <w:pStyle w:val="NoSpacing"/>
              <w:jc w:val="right"/>
            </w:pPr>
            <w:r>
              <w:t>1,009</w:t>
            </w:r>
          </w:p>
        </w:tc>
        <w:tc>
          <w:tcPr>
            <w:tcW w:w="1258" w:type="dxa"/>
          </w:tcPr>
          <w:p w:rsidR="005C2782" w:rsidRDefault="005C2782" w:rsidP="009E3DEF">
            <w:pPr>
              <w:pStyle w:val="NoSpacing"/>
              <w:jc w:val="right"/>
            </w:pPr>
            <w:r>
              <w:t>1,324</w:t>
            </w:r>
          </w:p>
        </w:tc>
      </w:tr>
      <w:tr w:rsidR="005C2782" w:rsidTr="009E3DEF">
        <w:tc>
          <w:tcPr>
            <w:tcW w:w="4201" w:type="dxa"/>
          </w:tcPr>
          <w:p w:rsidR="005C2782" w:rsidRDefault="005C2782" w:rsidP="009E3DEF">
            <w:pPr>
              <w:pStyle w:val="NoSpacing"/>
            </w:pPr>
            <w:r>
              <w:t xml:space="preserve">Lease liabilities </w:t>
            </w:r>
          </w:p>
        </w:tc>
        <w:tc>
          <w:tcPr>
            <w:tcW w:w="1398" w:type="dxa"/>
          </w:tcPr>
          <w:p w:rsidR="005C2782" w:rsidRDefault="005C2782" w:rsidP="009E3DEF">
            <w:pPr>
              <w:pStyle w:val="NoSpacing"/>
            </w:pPr>
            <w:r>
              <w:t>3.4</w:t>
            </w:r>
          </w:p>
        </w:tc>
        <w:tc>
          <w:tcPr>
            <w:tcW w:w="1388" w:type="dxa"/>
          </w:tcPr>
          <w:p w:rsidR="005C2782" w:rsidRDefault="005C2782" w:rsidP="009E3DEF">
            <w:pPr>
              <w:pStyle w:val="NoSpacing"/>
              <w:jc w:val="right"/>
            </w:pPr>
            <w:r>
              <w:t>1,631</w:t>
            </w:r>
          </w:p>
        </w:tc>
        <w:tc>
          <w:tcPr>
            <w:tcW w:w="1257" w:type="dxa"/>
          </w:tcPr>
          <w:p w:rsidR="005C2782" w:rsidRDefault="005C2782" w:rsidP="009E3DEF">
            <w:pPr>
              <w:pStyle w:val="NoSpacing"/>
              <w:jc w:val="right"/>
            </w:pPr>
            <w:r>
              <w:t>-</w:t>
            </w:r>
          </w:p>
        </w:tc>
        <w:tc>
          <w:tcPr>
            <w:tcW w:w="1272" w:type="dxa"/>
          </w:tcPr>
          <w:p w:rsidR="005C2782" w:rsidRDefault="005C2782" w:rsidP="009E3DEF">
            <w:pPr>
              <w:pStyle w:val="NoSpacing"/>
              <w:jc w:val="right"/>
            </w:pPr>
            <w:r>
              <w:t>1,631</w:t>
            </w:r>
          </w:p>
        </w:tc>
        <w:tc>
          <w:tcPr>
            <w:tcW w:w="1258" w:type="dxa"/>
          </w:tcPr>
          <w:p w:rsidR="005C2782" w:rsidRDefault="005C2782" w:rsidP="009E3DEF">
            <w:pPr>
              <w:pStyle w:val="NoSpacing"/>
              <w:jc w:val="right"/>
            </w:pPr>
            <w:r>
              <w:t>-</w:t>
            </w:r>
          </w:p>
        </w:tc>
      </w:tr>
      <w:tr w:rsidR="005C2782" w:rsidTr="009E3DEF">
        <w:tc>
          <w:tcPr>
            <w:tcW w:w="4201" w:type="dxa"/>
          </w:tcPr>
          <w:p w:rsidR="005C2782" w:rsidRDefault="005C2782" w:rsidP="009E3DEF">
            <w:pPr>
              <w:pStyle w:val="NoSpacing"/>
            </w:pPr>
            <w:r>
              <w:t xml:space="preserve">Other liabilities </w:t>
            </w:r>
          </w:p>
        </w:tc>
        <w:tc>
          <w:tcPr>
            <w:tcW w:w="1398" w:type="dxa"/>
          </w:tcPr>
          <w:p w:rsidR="005C2782" w:rsidRDefault="005C2782" w:rsidP="009E3DEF">
            <w:pPr>
              <w:pStyle w:val="NoSpacing"/>
            </w:pPr>
            <w:r>
              <w:t>5.3</w:t>
            </w:r>
          </w:p>
        </w:tc>
        <w:tc>
          <w:tcPr>
            <w:tcW w:w="1388" w:type="dxa"/>
          </w:tcPr>
          <w:p w:rsidR="005C2782" w:rsidRDefault="005C2782" w:rsidP="009E3DEF">
            <w:pPr>
              <w:pStyle w:val="NoSpacing"/>
              <w:jc w:val="right"/>
            </w:pPr>
            <w:r>
              <w:t>17,839</w:t>
            </w:r>
          </w:p>
        </w:tc>
        <w:tc>
          <w:tcPr>
            <w:tcW w:w="1257" w:type="dxa"/>
          </w:tcPr>
          <w:p w:rsidR="005C2782" w:rsidRDefault="005C2782" w:rsidP="009E3DEF">
            <w:pPr>
              <w:pStyle w:val="NoSpacing"/>
              <w:jc w:val="right"/>
            </w:pPr>
            <w:r>
              <w:t>9,055</w:t>
            </w:r>
          </w:p>
        </w:tc>
        <w:tc>
          <w:tcPr>
            <w:tcW w:w="1272" w:type="dxa"/>
          </w:tcPr>
          <w:p w:rsidR="005C2782" w:rsidRDefault="005C2782" w:rsidP="009E3DEF">
            <w:pPr>
              <w:pStyle w:val="NoSpacing"/>
              <w:jc w:val="right"/>
            </w:pPr>
            <w:r>
              <w:t>17,768</w:t>
            </w:r>
          </w:p>
        </w:tc>
        <w:tc>
          <w:tcPr>
            <w:tcW w:w="1258" w:type="dxa"/>
          </w:tcPr>
          <w:p w:rsidR="005C2782" w:rsidRDefault="005C2782" w:rsidP="009E3DEF">
            <w:pPr>
              <w:pStyle w:val="NoSpacing"/>
              <w:jc w:val="right"/>
            </w:pPr>
            <w:r>
              <w:t>9,001</w:t>
            </w:r>
          </w:p>
        </w:tc>
      </w:tr>
      <w:tr w:rsidR="005C2782" w:rsidTr="009E3DEF">
        <w:tc>
          <w:tcPr>
            <w:tcW w:w="4201" w:type="dxa"/>
          </w:tcPr>
          <w:p w:rsidR="005C2782" w:rsidRDefault="005C2782" w:rsidP="009E3DEF">
            <w:pPr>
              <w:pStyle w:val="NoSpacing"/>
            </w:pPr>
            <w:r>
              <w:t>Total liabilities</w:t>
            </w:r>
          </w:p>
        </w:tc>
        <w:tc>
          <w:tcPr>
            <w:tcW w:w="1398" w:type="dxa"/>
          </w:tcPr>
          <w:p w:rsidR="005C2782" w:rsidRDefault="005C2782" w:rsidP="009E3DEF">
            <w:pPr>
              <w:pStyle w:val="NoSpacing"/>
            </w:pPr>
          </w:p>
        </w:tc>
        <w:tc>
          <w:tcPr>
            <w:tcW w:w="1388" w:type="dxa"/>
          </w:tcPr>
          <w:p w:rsidR="005C2782" w:rsidRDefault="005C2782" w:rsidP="009E3DEF">
            <w:pPr>
              <w:pStyle w:val="NoSpacing"/>
              <w:jc w:val="right"/>
            </w:pPr>
            <w:r>
              <w:t>41,367</w:t>
            </w:r>
          </w:p>
        </w:tc>
        <w:tc>
          <w:tcPr>
            <w:tcW w:w="1257" w:type="dxa"/>
          </w:tcPr>
          <w:p w:rsidR="005C2782" w:rsidRDefault="005C2782" w:rsidP="009E3DEF">
            <w:pPr>
              <w:pStyle w:val="NoSpacing"/>
              <w:jc w:val="right"/>
            </w:pPr>
            <w:r>
              <w:t>31,652</w:t>
            </w:r>
          </w:p>
        </w:tc>
        <w:tc>
          <w:tcPr>
            <w:tcW w:w="1272" w:type="dxa"/>
          </w:tcPr>
          <w:p w:rsidR="005C2782" w:rsidRDefault="005C2782" w:rsidP="009E3DEF">
            <w:pPr>
              <w:pStyle w:val="NoSpacing"/>
              <w:jc w:val="right"/>
            </w:pPr>
            <w:r>
              <w:t>42,131</w:t>
            </w:r>
          </w:p>
        </w:tc>
        <w:tc>
          <w:tcPr>
            <w:tcW w:w="1258" w:type="dxa"/>
          </w:tcPr>
          <w:p w:rsidR="005C2782" w:rsidRDefault="005C2782" w:rsidP="009E3DEF">
            <w:pPr>
              <w:pStyle w:val="NoSpacing"/>
              <w:jc w:val="right"/>
            </w:pPr>
            <w:r>
              <w:t>31,539</w:t>
            </w:r>
          </w:p>
        </w:tc>
      </w:tr>
    </w:tbl>
    <w:p w:rsidR="00430EB7" w:rsidRDefault="00430EB7" w:rsidP="005942B8">
      <w:pPr>
        <w:pStyle w:val="NoSpacing"/>
      </w:pPr>
    </w:p>
    <w:tbl>
      <w:tblPr>
        <w:tblStyle w:val="TableGrid"/>
        <w:tblW w:w="10774" w:type="dxa"/>
        <w:tblInd w:w="-856" w:type="dxa"/>
        <w:tblLook w:val="04A0" w:firstRow="1" w:lastRow="0" w:firstColumn="1" w:lastColumn="0" w:noHBand="0" w:noVBand="1"/>
      </w:tblPr>
      <w:tblGrid>
        <w:gridCol w:w="4201"/>
        <w:gridCol w:w="1398"/>
        <w:gridCol w:w="1388"/>
        <w:gridCol w:w="1257"/>
        <w:gridCol w:w="1272"/>
        <w:gridCol w:w="1258"/>
      </w:tblGrid>
      <w:tr w:rsidR="005C2782" w:rsidTr="009E3DEF">
        <w:tc>
          <w:tcPr>
            <w:tcW w:w="4201" w:type="dxa"/>
          </w:tcPr>
          <w:p w:rsidR="005C2782" w:rsidRDefault="005C2782" w:rsidP="009E3DEF">
            <w:pPr>
              <w:pStyle w:val="NoSpacing"/>
            </w:pPr>
            <w:r>
              <w:t>Net assets</w:t>
            </w:r>
          </w:p>
        </w:tc>
        <w:tc>
          <w:tcPr>
            <w:tcW w:w="1398" w:type="dxa"/>
          </w:tcPr>
          <w:p w:rsidR="005C2782" w:rsidRDefault="005C2782" w:rsidP="009E3DEF">
            <w:pPr>
              <w:pStyle w:val="NoSpacing"/>
            </w:pPr>
          </w:p>
        </w:tc>
        <w:tc>
          <w:tcPr>
            <w:tcW w:w="1388" w:type="dxa"/>
          </w:tcPr>
          <w:p w:rsidR="005C2782" w:rsidRDefault="005C2782" w:rsidP="009E3DEF">
            <w:pPr>
              <w:pStyle w:val="NoSpacing"/>
              <w:jc w:val="right"/>
            </w:pPr>
            <w:r>
              <w:t>401,013</w:t>
            </w:r>
          </w:p>
        </w:tc>
        <w:tc>
          <w:tcPr>
            <w:tcW w:w="1257" w:type="dxa"/>
          </w:tcPr>
          <w:p w:rsidR="005C2782" w:rsidRDefault="005C2782" w:rsidP="009E3DEF">
            <w:pPr>
              <w:pStyle w:val="NoSpacing"/>
              <w:jc w:val="right"/>
            </w:pPr>
            <w:r>
              <w:t>400,113</w:t>
            </w:r>
          </w:p>
        </w:tc>
        <w:tc>
          <w:tcPr>
            <w:tcW w:w="1272" w:type="dxa"/>
          </w:tcPr>
          <w:p w:rsidR="005C2782" w:rsidRDefault="005C2782" w:rsidP="009E3DEF">
            <w:pPr>
              <w:pStyle w:val="NoSpacing"/>
              <w:jc w:val="right"/>
            </w:pPr>
            <w:r>
              <w:t>406,041</w:t>
            </w:r>
          </w:p>
        </w:tc>
        <w:tc>
          <w:tcPr>
            <w:tcW w:w="1258" w:type="dxa"/>
          </w:tcPr>
          <w:p w:rsidR="005C2782" w:rsidRDefault="005C2782" w:rsidP="009E3DEF">
            <w:pPr>
              <w:pStyle w:val="NoSpacing"/>
              <w:jc w:val="right"/>
            </w:pPr>
            <w:r>
              <w:t>406,185</w:t>
            </w:r>
          </w:p>
        </w:tc>
      </w:tr>
    </w:tbl>
    <w:p w:rsidR="005C2782" w:rsidRDefault="005C2782" w:rsidP="005942B8">
      <w:pPr>
        <w:pStyle w:val="NoSpacing"/>
      </w:pPr>
    </w:p>
    <w:tbl>
      <w:tblPr>
        <w:tblStyle w:val="TableGrid"/>
        <w:tblW w:w="10774" w:type="dxa"/>
        <w:tblInd w:w="-856" w:type="dxa"/>
        <w:tblLook w:val="04A0" w:firstRow="1" w:lastRow="0" w:firstColumn="1" w:lastColumn="0" w:noHBand="0" w:noVBand="1"/>
      </w:tblPr>
      <w:tblGrid>
        <w:gridCol w:w="4253"/>
        <w:gridCol w:w="1418"/>
        <w:gridCol w:w="1276"/>
        <w:gridCol w:w="1275"/>
        <w:gridCol w:w="1276"/>
        <w:gridCol w:w="1276"/>
      </w:tblGrid>
      <w:tr w:rsidR="005C2782" w:rsidTr="009E3DEF">
        <w:tc>
          <w:tcPr>
            <w:tcW w:w="10774" w:type="dxa"/>
            <w:gridSpan w:val="6"/>
          </w:tcPr>
          <w:p w:rsidR="005C2782" w:rsidRDefault="005C2782" w:rsidP="009E3DEF">
            <w:pPr>
              <w:pStyle w:val="NoSpacing"/>
            </w:pPr>
            <w:r>
              <w:t xml:space="preserve">Equity </w:t>
            </w:r>
          </w:p>
        </w:tc>
      </w:tr>
      <w:tr w:rsidR="005C2782" w:rsidTr="009E3DEF">
        <w:tc>
          <w:tcPr>
            <w:tcW w:w="4253" w:type="dxa"/>
          </w:tcPr>
          <w:p w:rsidR="005C2782" w:rsidRDefault="005C2782" w:rsidP="009E3DEF">
            <w:pPr>
              <w:pStyle w:val="NoSpacing"/>
            </w:pPr>
            <w:r>
              <w:t>Accumulated surplus</w:t>
            </w:r>
          </w:p>
        </w:tc>
        <w:tc>
          <w:tcPr>
            <w:tcW w:w="1418" w:type="dxa"/>
          </w:tcPr>
          <w:p w:rsidR="005C2782" w:rsidRDefault="005C2782" w:rsidP="005C2782">
            <w:pPr>
              <w:pStyle w:val="NoSpacing"/>
            </w:pPr>
          </w:p>
        </w:tc>
        <w:tc>
          <w:tcPr>
            <w:tcW w:w="1276" w:type="dxa"/>
          </w:tcPr>
          <w:p w:rsidR="005C2782" w:rsidRDefault="005C2782" w:rsidP="009E3DEF">
            <w:pPr>
              <w:pStyle w:val="NoSpacing"/>
              <w:jc w:val="right"/>
            </w:pPr>
            <w:r>
              <w:t>236,788</w:t>
            </w:r>
          </w:p>
        </w:tc>
        <w:tc>
          <w:tcPr>
            <w:tcW w:w="1275" w:type="dxa"/>
          </w:tcPr>
          <w:p w:rsidR="005C2782" w:rsidRDefault="005C2782" w:rsidP="009E3DEF">
            <w:pPr>
              <w:pStyle w:val="NoSpacing"/>
              <w:jc w:val="right"/>
            </w:pPr>
            <w:r>
              <w:t>235,888</w:t>
            </w:r>
          </w:p>
        </w:tc>
        <w:tc>
          <w:tcPr>
            <w:tcW w:w="1276" w:type="dxa"/>
          </w:tcPr>
          <w:p w:rsidR="005C2782" w:rsidRDefault="005C2782" w:rsidP="009E3DEF">
            <w:pPr>
              <w:pStyle w:val="NoSpacing"/>
              <w:jc w:val="right"/>
            </w:pPr>
            <w:r>
              <w:t>241,816</w:t>
            </w:r>
          </w:p>
        </w:tc>
        <w:tc>
          <w:tcPr>
            <w:tcW w:w="1276" w:type="dxa"/>
          </w:tcPr>
          <w:p w:rsidR="005C2782" w:rsidRDefault="005C2782" w:rsidP="009E3DEF">
            <w:pPr>
              <w:pStyle w:val="NoSpacing"/>
              <w:jc w:val="right"/>
            </w:pPr>
            <w:r>
              <w:t>241,960</w:t>
            </w:r>
          </w:p>
        </w:tc>
      </w:tr>
      <w:tr w:rsidR="005C2782" w:rsidTr="009E3DEF">
        <w:tc>
          <w:tcPr>
            <w:tcW w:w="4253" w:type="dxa"/>
          </w:tcPr>
          <w:p w:rsidR="005C2782" w:rsidRDefault="005C2782" w:rsidP="009E3DEF">
            <w:pPr>
              <w:pStyle w:val="NoSpacing"/>
            </w:pPr>
            <w:r>
              <w:t xml:space="preserve">Contributed capital </w:t>
            </w:r>
          </w:p>
        </w:tc>
        <w:tc>
          <w:tcPr>
            <w:tcW w:w="1418" w:type="dxa"/>
          </w:tcPr>
          <w:p w:rsidR="005C2782" w:rsidRDefault="005C2782" w:rsidP="005C2782">
            <w:pPr>
              <w:pStyle w:val="NoSpacing"/>
            </w:pPr>
          </w:p>
        </w:tc>
        <w:tc>
          <w:tcPr>
            <w:tcW w:w="1276" w:type="dxa"/>
          </w:tcPr>
          <w:p w:rsidR="005C2782" w:rsidRDefault="005C2782" w:rsidP="009E3DEF">
            <w:pPr>
              <w:pStyle w:val="NoSpacing"/>
              <w:jc w:val="right"/>
            </w:pPr>
            <w:r>
              <w:t>85,387</w:t>
            </w:r>
          </w:p>
        </w:tc>
        <w:tc>
          <w:tcPr>
            <w:tcW w:w="1275" w:type="dxa"/>
          </w:tcPr>
          <w:p w:rsidR="005C2782" w:rsidRDefault="005C2782" w:rsidP="009E3DEF">
            <w:pPr>
              <w:pStyle w:val="NoSpacing"/>
              <w:jc w:val="right"/>
            </w:pPr>
            <w:r>
              <w:t>85,387</w:t>
            </w:r>
          </w:p>
        </w:tc>
        <w:tc>
          <w:tcPr>
            <w:tcW w:w="1276" w:type="dxa"/>
          </w:tcPr>
          <w:p w:rsidR="005C2782" w:rsidRDefault="005C2782" w:rsidP="009E3DEF">
            <w:pPr>
              <w:pStyle w:val="NoSpacing"/>
              <w:jc w:val="right"/>
            </w:pPr>
            <w:r>
              <w:t>85,387</w:t>
            </w:r>
          </w:p>
        </w:tc>
        <w:tc>
          <w:tcPr>
            <w:tcW w:w="1276" w:type="dxa"/>
          </w:tcPr>
          <w:p w:rsidR="005C2782" w:rsidRDefault="005C2782" w:rsidP="009E3DEF">
            <w:pPr>
              <w:pStyle w:val="NoSpacing"/>
              <w:jc w:val="right"/>
            </w:pPr>
            <w:r>
              <w:t>85,387</w:t>
            </w:r>
          </w:p>
        </w:tc>
      </w:tr>
      <w:tr w:rsidR="005C2782" w:rsidTr="009E3DEF">
        <w:tc>
          <w:tcPr>
            <w:tcW w:w="4253" w:type="dxa"/>
          </w:tcPr>
          <w:p w:rsidR="005C2782" w:rsidRDefault="005C2782" w:rsidP="009E3DEF">
            <w:pPr>
              <w:pStyle w:val="NoSpacing"/>
            </w:pPr>
            <w:r>
              <w:t>Reserves</w:t>
            </w:r>
          </w:p>
        </w:tc>
        <w:tc>
          <w:tcPr>
            <w:tcW w:w="1418" w:type="dxa"/>
          </w:tcPr>
          <w:p w:rsidR="005C2782" w:rsidRDefault="005C2782" w:rsidP="005C2782">
            <w:pPr>
              <w:pStyle w:val="NoSpacing"/>
            </w:pPr>
            <w:r>
              <w:t>9.2</w:t>
            </w:r>
          </w:p>
        </w:tc>
        <w:tc>
          <w:tcPr>
            <w:tcW w:w="1276" w:type="dxa"/>
          </w:tcPr>
          <w:p w:rsidR="005C2782" w:rsidRDefault="005C2782" w:rsidP="009E3DEF">
            <w:pPr>
              <w:pStyle w:val="NoSpacing"/>
              <w:jc w:val="right"/>
            </w:pPr>
            <w:r>
              <w:t>78,838</w:t>
            </w:r>
          </w:p>
        </w:tc>
        <w:tc>
          <w:tcPr>
            <w:tcW w:w="1275" w:type="dxa"/>
          </w:tcPr>
          <w:p w:rsidR="005C2782" w:rsidRDefault="005C2782" w:rsidP="009E3DEF">
            <w:pPr>
              <w:pStyle w:val="NoSpacing"/>
              <w:jc w:val="right"/>
            </w:pPr>
            <w:r>
              <w:t>78,838</w:t>
            </w:r>
          </w:p>
        </w:tc>
        <w:tc>
          <w:tcPr>
            <w:tcW w:w="1276" w:type="dxa"/>
          </w:tcPr>
          <w:p w:rsidR="005C2782" w:rsidRDefault="005C2782" w:rsidP="009E3DEF">
            <w:pPr>
              <w:pStyle w:val="NoSpacing"/>
              <w:jc w:val="right"/>
            </w:pPr>
            <w:r>
              <w:t>78,838</w:t>
            </w:r>
          </w:p>
        </w:tc>
        <w:tc>
          <w:tcPr>
            <w:tcW w:w="1276" w:type="dxa"/>
          </w:tcPr>
          <w:p w:rsidR="005C2782" w:rsidRDefault="005C2782" w:rsidP="009E3DEF">
            <w:pPr>
              <w:pStyle w:val="NoSpacing"/>
              <w:jc w:val="right"/>
            </w:pPr>
            <w:r>
              <w:t>78,838</w:t>
            </w:r>
          </w:p>
        </w:tc>
      </w:tr>
      <w:tr w:rsidR="005C2782" w:rsidTr="009E3DEF">
        <w:tc>
          <w:tcPr>
            <w:tcW w:w="4253" w:type="dxa"/>
          </w:tcPr>
          <w:p w:rsidR="005C2782" w:rsidRDefault="005C2782" w:rsidP="009E3DEF">
            <w:pPr>
              <w:pStyle w:val="NoSpacing"/>
            </w:pPr>
            <w:r>
              <w:t xml:space="preserve">Net worth </w:t>
            </w:r>
          </w:p>
        </w:tc>
        <w:tc>
          <w:tcPr>
            <w:tcW w:w="1418" w:type="dxa"/>
          </w:tcPr>
          <w:p w:rsidR="005C2782" w:rsidRDefault="005C2782" w:rsidP="005C2782">
            <w:pPr>
              <w:pStyle w:val="NoSpacing"/>
            </w:pPr>
          </w:p>
        </w:tc>
        <w:tc>
          <w:tcPr>
            <w:tcW w:w="1276" w:type="dxa"/>
          </w:tcPr>
          <w:p w:rsidR="005C2782" w:rsidRDefault="005C2782" w:rsidP="009E3DEF">
            <w:pPr>
              <w:pStyle w:val="NoSpacing"/>
              <w:jc w:val="right"/>
            </w:pPr>
            <w:r>
              <w:t>400,113</w:t>
            </w:r>
          </w:p>
        </w:tc>
        <w:tc>
          <w:tcPr>
            <w:tcW w:w="1275" w:type="dxa"/>
          </w:tcPr>
          <w:p w:rsidR="005C2782" w:rsidRDefault="005C2782" w:rsidP="009E3DEF">
            <w:pPr>
              <w:pStyle w:val="NoSpacing"/>
              <w:jc w:val="right"/>
            </w:pPr>
            <w:r>
              <w:t>400,113</w:t>
            </w:r>
          </w:p>
        </w:tc>
        <w:tc>
          <w:tcPr>
            <w:tcW w:w="1276" w:type="dxa"/>
          </w:tcPr>
          <w:p w:rsidR="005C2782" w:rsidRDefault="005C2782" w:rsidP="009E3DEF">
            <w:pPr>
              <w:pStyle w:val="NoSpacing"/>
              <w:jc w:val="right"/>
            </w:pPr>
            <w:r>
              <w:t>406,041</w:t>
            </w:r>
          </w:p>
        </w:tc>
        <w:tc>
          <w:tcPr>
            <w:tcW w:w="1276" w:type="dxa"/>
          </w:tcPr>
          <w:p w:rsidR="005C2782" w:rsidRDefault="005C2782" w:rsidP="009E3DEF">
            <w:pPr>
              <w:pStyle w:val="NoSpacing"/>
              <w:jc w:val="right"/>
            </w:pPr>
            <w:r>
              <w:t>406,185</w:t>
            </w:r>
          </w:p>
        </w:tc>
      </w:tr>
    </w:tbl>
    <w:p w:rsidR="005C2782" w:rsidRDefault="005C2782" w:rsidP="005942B8">
      <w:pPr>
        <w:pStyle w:val="NoSpacing"/>
      </w:pPr>
    </w:p>
    <w:p w:rsidR="005C2782" w:rsidRDefault="005C2782" w:rsidP="005942B8">
      <w:pPr>
        <w:pStyle w:val="NoSpacing"/>
      </w:pPr>
      <w:r>
        <w:t xml:space="preserve">The above Balance Sheet should be read in conjunction with the accompanying notes to the financial statements. </w:t>
      </w:r>
    </w:p>
    <w:p w:rsidR="00430EB7" w:rsidRDefault="00430EB7" w:rsidP="005942B8">
      <w:pPr>
        <w:pStyle w:val="NoSpacing"/>
      </w:pPr>
    </w:p>
    <w:p w:rsidR="005C2782" w:rsidRDefault="00DC779D" w:rsidP="005942B8">
      <w:pPr>
        <w:pStyle w:val="NoSpacing"/>
      </w:pPr>
      <w:r>
        <w:t>&lt;page</w:t>
      </w:r>
      <w:r w:rsidR="005C2782">
        <w:t xml:space="preserve"> 47</w:t>
      </w:r>
      <w:r>
        <w:t>&gt;</w:t>
      </w:r>
    </w:p>
    <w:p w:rsidR="00DC779D" w:rsidRDefault="00DC779D" w:rsidP="005942B8">
      <w:pPr>
        <w:pStyle w:val="NoSpacing"/>
      </w:pPr>
    </w:p>
    <w:p w:rsidR="00DC779D" w:rsidRDefault="00DC779D" w:rsidP="00DC779D">
      <w:pPr>
        <w:pStyle w:val="Heading2"/>
      </w:pPr>
      <w:r>
        <w:lastRenderedPageBreak/>
        <w:t xml:space="preserve">Statement of Changes in Equity </w:t>
      </w:r>
    </w:p>
    <w:p w:rsidR="00DC779D" w:rsidRDefault="00DC779D" w:rsidP="005942B8">
      <w:pPr>
        <w:pStyle w:val="NoSpacing"/>
      </w:pPr>
    </w:p>
    <w:p w:rsidR="00DC779D" w:rsidRDefault="00DC779D" w:rsidP="005942B8">
      <w:pPr>
        <w:pStyle w:val="NoSpacing"/>
      </w:pPr>
      <w:r>
        <w:t>For the year ended 31 December 2019</w:t>
      </w:r>
    </w:p>
    <w:p w:rsidR="00DC779D" w:rsidRDefault="00DC779D" w:rsidP="005942B8">
      <w:pPr>
        <w:pStyle w:val="NoSpacing"/>
      </w:pPr>
    </w:p>
    <w:tbl>
      <w:tblPr>
        <w:tblStyle w:val="TableGrid"/>
        <w:tblW w:w="10774" w:type="dxa"/>
        <w:tblInd w:w="-856" w:type="dxa"/>
        <w:tblLook w:val="04A0" w:firstRow="1" w:lastRow="0" w:firstColumn="1" w:lastColumn="0" w:noHBand="0" w:noVBand="1"/>
      </w:tblPr>
      <w:tblGrid>
        <w:gridCol w:w="3608"/>
        <w:gridCol w:w="828"/>
        <w:gridCol w:w="1962"/>
        <w:gridCol w:w="1554"/>
        <w:gridCol w:w="1581"/>
        <w:gridCol w:w="1241"/>
      </w:tblGrid>
      <w:tr w:rsidR="00B16402" w:rsidTr="00B16402">
        <w:trPr>
          <w:gridBefore w:val="1"/>
          <w:wBefore w:w="3686" w:type="dxa"/>
        </w:trPr>
        <w:tc>
          <w:tcPr>
            <w:tcW w:w="709" w:type="dxa"/>
            <w:vMerge w:val="restart"/>
          </w:tcPr>
          <w:p w:rsidR="00B16402" w:rsidRDefault="00B16402" w:rsidP="005942B8">
            <w:pPr>
              <w:pStyle w:val="NoSpacing"/>
            </w:pPr>
            <w:r>
              <w:t>Note</w:t>
            </w:r>
          </w:p>
        </w:tc>
        <w:tc>
          <w:tcPr>
            <w:tcW w:w="1985" w:type="dxa"/>
          </w:tcPr>
          <w:p w:rsidR="00B16402" w:rsidRDefault="00B16402" w:rsidP="00912B55">
            <w:pPr>
              <w:pStyle w:val="NoSpacing"/>
              <w:jc w:val="right"/>
            </w:pPr>
            <w:r>
              <w:t>Physical assets revaluation surplus</w:t>
            </w:r>
          </w:p>
        </w:tc>
        <w:tc>
          <w:tcPr>
            <w:tcW w:w="1559" w:type="dxa"/>
          </w:tcPr>
          <w:p w:rsidR="00B16402" w:rsidRDefault="00B16402" w:rsidP="00912B55">
            <w:pPr>
              <w:pStyle w:val="NoSpacing"/>
              <w:jc w:val="right"/>
            </w:pPr>
            <w:r>
              <w:t>Accumulated surplus</w:t>
            </w:r>
          </w:p>
        </w:tc>
        <w:tc>
          <w:tcPr>
            <w:tcW w:w="1585" w:type="dxa"/>
          </w:tcPr>
          <w:p w:rsidR="00B16402" w:rsidRDefault="00B16402" w:rsidP="00912B55">
            <w:pPr>
              <w:pStyle w:val="NoSpacing"/>
              <w:jc w:val="right"/>
            </w:pPr>
            <w:r>
              <w:t>Contributions by owners</w:t>
            </w:r>
          </w:p>
        </w:tc>
        <w:tc>
          <w:tcPr>
            <w:tcW w:w="1250" w:type="dxa"/>
          </w:tcPr>
          <w:p w:rsidR="00B16402" w:rsidRDefault="00B16402" w:rsidP="00912B55">
            <w:pPr>
              <w:pStyle w:val="NoSpacing"/>
              <w:jc w:val="right"/>
            </w:pPr>
            <w:r>
              <w:t>Total equity</w:t>
            </w:r>
          </w:p>
        </w:tc>
      </w:tr>
      <w:tr w:rsidR="00B16402" w:rsidTr="00B16402">
        <w:trPr>
          <w:gridBefore w:val="1"/>
          <w:wBefore w:w="3686" w:type="dxa"/>
        </w:trPr>
        <w:tc>
          <w:tcPr>
            <w:tcW w:w="709" w:type="dxa"/>
            <w:vMerge/>
          </w:tcPr>
          <w:p w:rsidR="00B16402" w:rsidRDefault="00B16402" w:rsidP="005942B8">
            <w:pPr>
              <w:pStyle w:val="NoSpacing"/>
            </w:pPr>
          </w:p>
        </w:tc>
        <w:tc>
          <w:tcPr>
            <w:tcW w:w="1985" w:type="dxa"/>
          </w:tcPr>
          <w:p w:rsidR="00B16402" w:rsidRDefault="00B16402" w:rsidP="00912B55">
            <w:pPr>
              <w:pStyle w:val="NoSpacing"/>
              <w:jc w:val="right"/>
            </w:pPr>
            <w:r>
              <w:t>$’000</w:t>
            </w:r>
          </w:p>
        </w:tc>
        <w:tc>
          <w:tcPr>
            <w:tcW w:w="1559" w:type="dxa"/>
          </w:tcPr>
          <w:p w:rsidR="00B16402" w:rsidRDefault="00B16402" w:rsidP="00912B55">
            <w:pPr>
              <w:pStyle w:val="NoSpacing"/>
              <w:jc w:val="right"/>
            </w:pPr>
            <w:r>
              <w:t>$’000</w:t>
            </w:r>
          </w:p>
        </w:tc>
        <w:tc>
          <w:tcPr>
            <w:tcW w:w="1585" w:type="dxa"/>
          </w:tcPr>
          <w:p w:rsidR="00B16402" w:rsidRDefault="00B16402" w:rsidP="00912B55">
            <w:pPr>
              <w:pStyle w:val="NoSpacing"/>
              <w:jc w:val="right"/>
            </w:pPr>
            <w:r>
              <w:t>$’000</w:t>
            </w:r>
          </w:p>
        </w:tc>
        <w:tc>
          <w:tcPr>
            <w:tcW w:w="1250" w:type="dxa"/>
          </w:tcPr>
          <w:p w:rsidR="00B16402" w:rsidRDefault="00B16402" w:rsidP="00912B55">
            <w:pPr>
              <w:pStyle w:val="NoSpacing"/>
              <w:jc w:val="right"/>
            </w:pPr>
            <w:r>
              <w:t>$’000</w:t>
            </w:r>
          </w:p>
        </w:tc>
      </w:tr>
      <w:tr w:rsidR="00B16402" w:rsidTr="009E3DEF">
        <w:tc>
          <w:tcPr>
            <w:tcW w:w="10774" w:type="dxa"/>
            <w:gridSpan w:val="6"/>
          </w:tcPr>
          <w:p w:rsidR="00B16402" w:rsidRDefault="00B16402" w:rsidP="005942B8">
            <w:pPr>
              <w:pStyle w:val="NoSpacing"/>
            </w:pPr>
            <w:r>
              <w:t>Consolidated</w:t>
            </w:r>
          </w:p>
        </w:tc>
      </w:tr>
      <w:tr w:rsidR="00B16402" w:rsidTr="00B16402">
        <w:tc>
          <w:tcPr>
            <w:tcW w:w="3686" w:type="dxa"/>
          </w:tcPr>
          <w:p w:rsidR="00254964" w:rsidRDefault="00B16402" w:rsidP="005942B8">
            <w:pPr>
              <w:pStyle w:val="NoSpacing"/>
            </w:pPr>
            <w:r>
              <w:t>As at 1 January 2018</w:t>
            </w:r>
          </w:p>
        </w:tc>
        <w:tc>
          <w:tcPr>
            <w:tcW w:w="709" w:type="dxa"/>
          </w:tcPr>
          <w:p w:rsidR="00254964" w:rsidRDefault="00254964" w:rsidP="005942B8">
            <w:pPr>
              <w:pStyle w:val="NoSpacing"/>
            </w:pPr>
          </w:p>
        </w:tc>
        <w:tc>
          <w:tcPr>
            <w:tcW w:w="1985" w:type="dxa"/>
          </w:tcPr>
          <w:p w:rsidR="00254964" w:rsidRDefault="00912B55" w:rsidP="00912B55">
            <w:pPr>
              <w:pStyle w:val="NoSpacing"/>
              <w:jc w:val="right"/>
            </w:pPr>
            <w:r>
              <w:t>78,838</w:t>
            </w:r>
          </w:p>
        </w:tc>
        <w:tc>
          <w:tcPr>
            <w:tcW w:w="1559" w:type="dxa"/>
          </w:tcPr>
          <w:p w:rsidR="00254964" w:rsidRDefault="00912B55" w:rsidP="00912B55">
            <w:pPr>
              <w:pStyle w:val="NoSpacing"/>
              <w:jc w:val="right"/>
            </w:pPr>
            <w:r>
              <w:t>210,381</w:t>
            </w:r>
          </w:p>
        </w:tc>
        <w:tc>
          <w:tcPr>
            <w:tcW w:w="1585" w:type="dxa"/>
          </w:tcPr>
          <w:p w:rsidR="00254964" w:rsidRDefault="00912B55" w:rsidP="00912B55">
            <w:pPr>
              <w:pStyle w:val="NoSpacing"/>
              <w:jc w:val="right"/>
            </w:pPr>
            <w:r>
              <w:t>87,387</w:t>
            </w:r>
          </w:p>
        </w:tc>
        <w:tc>
          <w:tcPr>
            <w:tcW w:w="1250" w:type="dxa"/>
          </w:tcPr>
          <w:p w:rsidR="00254964" w:rsidRDefault="00912B55" w:rsidP="00912B55">
            <w:pPr>
              <w:pStyle w:val="NoSpacing"/>
              <w:jc w:val="right"/>
            </w:pPr>
            <w:r>
              <w:t>374,606</w:t>
            </w:r>
          </w:p>
        </w:tc>
      </w:tr>
      <w:tr w:rsidR="00B16402" w:rsidTr="00B16402">
        <w:tc>
          <w:tcPr>
            <w:tcW w:w="3686" w:type="dxa"/>
          </w:tcPr>
          <w:p w:rsidR="00254964" w:rsidRDefault="00B16402" w:rsidP="005942B8">
            <w:pPr>
              <w:pStyle w:val="NoSpacing"/>
            </w:pPr>
            <w:r>
              <w:t>Net result for the year</w:t>
            </w:r>
          </w:p>
        </w:tc>
        <w:tc>
          <w:tcPr>
            <w:tcW w:w="709" w:type="dxa"/>
          </w:tcPr>
          <w:p w:rsidR="00254964" w:rsidRDefault="00254964" w:rsidP="005942B8">
            <w:pPr>
              <w:pStyle w:val="NoSpacing"/>
            </w:pPr>
          </w:p>
        </w:tc>
        <w:tc>
          <w:tcPr>
            <w:tcW w:w="1985" w:type="dxa"/>
          </w:tcPr>
          <w:p w:rsidR="00254964" w:rsidRDefault="00912B55" w:rsidP="00912B55">
            <w:pPr>
              <w:pStyle w:val="NoSpacing"/>
              <w:jc w:val="right"/>
            </w:pPr>
            <w:r>
              <w:t>-</w:t>
            </w:r>
          </w:p>
        </w:tc>
        <w:tc>
          <w:tcPr>
            <w:tcW w:w="1559" w:type="dxa"/>
          </w:tcPr>
          <w:p w:rsidR="00254964" w:rsidRDefault="00912B55" w:rsidP="00912B55">
            <w:pPr>
              <w:pStyle w:val="NoSpacing"/>
              <w:jc w:val="right"/>
            </w:pPr>
            <w:r>
              <w:t>25,507</w:t>
            </w:r>
          </w:p>
        </w:tc>
        <w:tc>
          <w:tcPr>
            <w:tcW w:w="1585" w:type="dxa"/>
          </w:tcPr>
          <w:p w:rsidR="00254964" w:rsidRDefault="00912B55" w:rsidP="00912B55">
            <w:pPr>
              <w:pStyle w:val="NoSpacing"/>
              <w:jc w:val="right"/>
            </w:pPr>
            <w:r>
              <w:t>-</w:t>
            </w:r>
          </w:p>
        </w:tc>
        <w:tc>
          <w:tcPr>
            <w:tcW w:w="1250" w:type="dxa"/>
          </w:tcPr>
          <w:p w:rsidR="00254964" w:rsidRDefault="00912B55" w:rsidP="00912B55">
            <w:pPr>
              <w:pStyle w:val="NoSpacing"/>
              <w:jc w:val="right"/>
            </w:pPr>
            <w:r>
              <w:t>25,507</w:t>
            </w:r>
          </w:p>
        </w:tc>
      </w:tr>
      <w:tr w:rsidR="00B16402" w:rsidTr="00B16402">
        <w:tc>
          <w:tcPr>
            <w:tcW w:w="3686" w:type="dxa"/>
          </w:tcPr>
          <w:p w:rsidR="00254964" w:rsidRDefault="00B16402" w:rsidP="005942B8">
            <w:pPr>
              <w:pStyle w:val="NoSpacing"/>
            </w:pPr>
            <w:r>
              <w:t>Year ended 31 December 2018</w:t>
            </w:r>
          </w:p>
        </w:tc>
        <w:tc>
          <w:tcPr>
            <w:tcW w:w="709" w:type="dxa"/>
          </w:tcPr>
          <w:p w:rsidR="00254964" w:rsidRDefault="00254964" w:rsidP="005942B8">
            <w:pPr>
              <w:pStyle w:val="NoSpacing"/>
            </w:pPr>
          </w:p>
        </w:tc>
        <w:tc>
          <w:tcPr>
            <w:tcW w:w="1985" w:type="dxa"/>
          </w:tcPr>
          <w:p w:rsidR="00254964" w:rsidRDefault="00912B55" w:rsidP="00912B55">
            <w:pPr>
              <w:pStyle w:val="NoSpacing"/>
              <w:jc w:val="right"/>
            </w:pPr>
            <w:r>
              <w:t>78,838</w:t>
            </w:r>
          </w:p>
        </w:tc>
        <w:tc>
          <w:tcPr>
            <w:tcW w:w="1559" w:type="dxa"/>
          </w:tcPr>
          <w:p w:rsidR="00254964" w:rsidRDefault="00912B55" w:rsidP="00912B55">
            <w:pPr>
              <w:pStyle w:val="NoSpacing"/>
              <w:jc w:val="right"/>
            </w:pPr>
            <w:r>
              <w:t>235,888</w:t>
            </w:r>
          </w:p>
        </w:tc>
        <w:tc>
          <w:tcPr>
            <w:tcW w:w="1585" w:type="dxa"/>
          </w:tcPr>
          <w:p w:rsidR="00254964" w:rsidRDefault="00912B55" w:rsidP="00912B55">
            <w:pPr>
              <w:pStyle w:val="NoSpacing"/>
              <w:jc w:val="right"/>
            </w:pPr>
            <w:r>
              <w:t>85,387</w:t>
            </w:r>
          </w:p>
        </w:tc>
        <w:tc>
          <w:tcPr>
            <w:tcW w:w="1250" w:type="dxa"/>
          </w:tcPr>
          <w:p w:rsidR="00254964" w:rsidRDefault="00912B55" w:rsidP="00912B55">
            <w:pPr>
              <w:pStyle w:val="NoSpacing"/>
              <w:jc w:val="right"/>
            </w:pPr>
            <w:r>
              <w:t>400,113</w:t>
            </w:r>
          </w:p>
        </w:tc>
      </w:tr>
      <w:tr w:rsidR="00B16402" w:rsidTr="00B16402">
        <w:tc>
          <w:tcPr>
            <w:tcW w:w="3686" w:type="dxa"/>
          </w:tcPr>
          <w:p w:rsidR="00254964" w:rsidRDefault="00B16402" w:rsidP="005942B8">
            <w:pPr>
              <w:pStyle w:val="NoSpacing"/>
            </w:pPr>
            <w:r>
              <w:t>Net result for the year</w:t>
            </w:r>
          </w:p>
        </w:tc>
        <w:tc>
          <w:tcPr>
            <w:tcW w:w="709" w:type="dxa"/>
          </w:tcPr>
          <w:p w:rsidR="00254964" w:rsidRDefault="00254964" w:rsidP="005942B8">
            <w:pPr>
              <w:pStyle w:val="NoSpacing"/>
            </w:pPr>
          </w:p>
        </w:tc>
        <w:tc>
          <w:tcPr>
            <w:tcW w:w="1985" w:type="dxa"/>
          </w:tcPr>
          <w:p w:rsidR="00254964" w:rsidRDefault="00912B55" w:rsidP="00912B55">
            <w:pPr>
              <w:pStyle w:val="NoSpacing"/>
              <w:jc w:val="right"/>
            </w:pPr>
            <w:r>
              <w:t>-</w:t>
            </w:r>
          </w:p>
        </w:tc>
        <w:tc>
          <w:tcPr>
            <w:tcW w:w="1559" w:type="dxa"/>
          </w:tcPr>
          <w:p w:rsidR="00254964" w:rsidRDefault="00912B55" w:rsidP="00912B55">
            <w:pPr>
              <w:pStyle w:val="NoSpacing"/>
              <w:jc w:val="right"/>
            </w:pPr>
            <w:r>
              <w:t>900</w:t>
            </w:r>
          </w:p>
        </w:tc>
        <w:tc>
          <w:tcPr>
            <w:tcW w:w="1585" w:type="dxa"/>
          </w:tcPr>
          <w:p w:rsidR="00254964" w:rsidRDefault="00912B55" w:rsidP="00912B55">
            <w:pPr>
              <w:pStyle w:val="NoSpacing"/>
              <w:jc w:val="right"/>
            </w:pPr>
            <w:r>
              <w:t>-</w:t>
            </w:r>
          </w:p>
        </w:tc>
        <w:tc>
          <w:tcPr>
            <w:tcW w:w="1250" w:type="dxa"/>
          </w:tcPr>
          <w:p w:rsidR="00254964" w:rsidRDefault="00912B55" w:rsidP="00912B55">
            <w:pPr>
              <w:pStyle w:val="NoSpacing"/>
              <w:jc w:val="right"/>
            </w:pPr>
            <w:r>
              <w:t>900</w:t>
            </w:r>
          </w:p>
        </w:tc>
      </w:tr>
      <w:tr w:rsidR="00B16402" w:rsidTr="00B16402">
        <w:tc>
          <w:tcPr>
            <w:tcW w:w="3686" w:type="dxa"/>
          </w:tcPr>
          <w:p w:rsidR="00254964" w:rsidRDefault="00B16402" w:rsidP="005942B8">
            <w:pPr>
              <w:pStyle w:val="NoSpacing"/>
            </w:pPr>
            <w:r>
              <w:t>Year ended 31 December 2019</w:t>
            </w:r>
          </w:p>
        </w:tc>
        <w:tc>
          <w:tcPr>
            <w:tcW w:w="709" w:type="dxa"/>
          </w:tcPr>
          <w:p w:rsidR="00254964" w:rsidRDefault="00B16402" w:rsidP="005942B8">
            <w:pPr>
              <w:pStyle w:val="NoSpacing"/>
            </w:pPr>
            <w:r>
              <w:t>6.3,9.2</w:t>
            </w:r>
          </w:p>
        </w:tc>
        <w:tc>
          <w:tcPr>
            <w:tcW w:w="1985" w:type="dxa"/>
          </w:tcPr>
          <w:p w:rsidR="00254964" w:rsidRDefault="00912B55" w:rsidP="00912B55">
            <w:pPr>
              <w:pStyle w:val="NoSpacing"/>
              <w:jc w:val="right"/>
            </w:pPr>
            <w:r>
              <w:t>78,838</w:t>
            </w:r>
          </w:p>
        </w:tc>
        <w:tc>
          <w:tcPr>
            <w:tcW w:w="1559" w:type="dxa"/>
          </w:tcPr>
          <w:p w:rsidR="00254964" w:rsidRDefault="00912B55" w:rsidP="00912B55">
            <w:pPr>
              <w:pStyle w:val="NoSpacing"/>
              <w:jc w:val="right"/>
            </w:pPr>
            <w:r>
              <w:t>236,788</w:t>
            </w:r>
          </w:p>
        </w:tc>
        <w:tc>
          <w:tcPr>
            <w:tcW w:w="1585" w:type="dxa"/>
          </w:tcPr>
          <w:p w:rsidR="00254964" w:rsidRDefault="00912B55" w:rsidP="00912B55">
            <w:pPr>
              <w:pStyle w:val="NoSpacing"/>
              <w:jc w:val="right"/>
            </w:pPr>
            <w:r>
              <w:t>85,387</w:t>
            </w:r>
          </w:p>
        </w:tc>
        <w:tc>
          <w:tcPr>
            <w:tcW w:w="1250" w:type="dxa"/>
          </w:tcPr>
          <w:p w:rsidR="00254964" w:rsidRDefault="00912B55" w:rsidP="00912B55">
            <w:pPr>
              <w:pStyle w:val="NoSpacing"/>
              <w:jc w:val="right"/>
            </w:pPr>
            <w:r>
              <w:t>401,013</w:t>
            </w:r>
          </w:p>
        </w:tc>
      </w:tr>
    </w:tbl>
    <w:p w:rsidR="00254964" w:rsidRDefault="00254964" w:rsidP="005942B8">
      <w:pPr>
        <w:pStyle w:val="NoSpacing"/>
      </w:pPr>
    </w:p>
    <w:tbl>
      <w:tblPr>
        <w:tblStyle w:val="TableGrid"/>
        <w:tblW w:w="10774" w:type="dxa"/>
        <w:tblInd w:w="-856" w:type="dxa"/>
        <w:tblLook w:val="04A0" w:firstRow="1" w:lastRow="0" w:firstColumn="1" w:lastColumn="0" w:noHBand="0" w:noVBand="1"/>
      </w:tblPr>
      <w:tblGrid>
        <w:gridCol w:w="3631"/>
        <w:gridCol w:w="828"/>
        <w:gridCol w:w="1959"/>
        <w:gridCol w:w="1545"/>
        <w:gridCol w:w="1568"/>
        <w:gridCol w:w="1243"/>
      </w:tblGrid>
      <w:tr w:rsidR="00D5042D" w:rsidTr="009E3DEF">
        <w:tc>
          <w:tcPr>
            <w:tcW w:w="10774" w:type="dxa"/>
            <w:gridSpan w:val="6"/>
          </w:tcPr>
          <w:p w:rsidR="00D5042D" w:rsidRDefault="00D5042D" w:rsidP="009E3DEF">
            <w:pPr>
              <w:pStyle w:val="NoSpacing"/>
            </w:pPr>
            <w:r>
              <w:t>Chisholm</w:t>
            </w:r>
          </w:p>
        </w:tc>
      </w:tr>
      <w:tr w:rsidR="00D5042D" w:rsidTr="009E3DEF">
        <w:tc>
          <w:tcPr>
            <w:tcW w:w="3686" w:type="dxa"/>
          </w:tcPr>
          <w:p w:rsidR="00D5042D" w:rsidRDefault="00D5042D" w:rsidP="009E3DEF">
            <w:pPr>
              <w:pStyle w:val="NoSpacing"/>
            </w:pPr>
            <w:r>
              <w:t>As at 1 January 2018</w:t>
            </w:r>
          </w:p>
        </w:tc>
        <w:tc>
          <w:tcPr>
            <w:tcW w:w="709" w:type="dxa"/>
          </w:tcPr>
          <w:p w:rsidR="00D5042D" w:rsidRDefault="00D5042D" w:rsidP="009E3DEF">
            <w:pPr>
              <w:pStyle w:val="NoSpacing"/>
            </w:pPr>
          </w:p>
        </w:tc>
        <w:tc>
          <w:tcPr>
            <w:tcW w:w="1985" w:type="dxa"/>
          </w:tcPr>
          <w:p w:rsidR="00D5042D" w:rsidRDefault="00D5042D" w:rsidP="009E3DEF">
            <w:pPr>
              <w:pStyle w:val="NoSpacing"/>
              <w:jc w:val="right"/>
            </w:pPr>
            <w:r>
              <w:t>78,838</w:t>
            </w:r>
          </w:p>
        </w:tc>
        <w:tc>
          <w:tcPr>
            <w:tcW w:w="1559" w:type="dxa"/>
          </w:tcPr>
          <w:p w:rsidR="00D5042D" w:rsidRDefault="00D5042D" w:rsidP="009E3DEF">
            <w:pPr>
              <w:pStyle w:val="NoSpacing"/>
              <w:jc w:val="right"/>
            </w:pPr>
            <w:r>
              <w:t>215,599</w:t>
            </w:r>
          </w:p>
        </w:tc>
        <w:tc>
          <w:tcPr>
            <w:tcW w:w="1585" w:type="dxa"/>
          </w:tcPr>
          <w:p w:rsidR="00D5042D" w:rsidRDefault="00D5042D" w:rsidP="009E3DEF">
            <w:pPr>
              <w:pStyle w:val="NoSpacing"/>
              <w:jc w:val="right"/>
            </w:pPr>
            <w:r>
              <w:t>85,387</w:t>
            </w:r>
          </w:p>
        </w:tc>
        <w:tc>
          <w:tcPr>
            <w:tcW w:w="1250" w:type="dxa"/>
          </w:tcPr>
          <w:p w:rsidR="00D5042D" w:rsidRDefault="00D5042D" w:rsidP="009E3DEF">
            <w:pPr>
              <w:pStyle w:val="NoSpacing"/>
              <w:jc w:val="right"/>
            </w:pPr>
            <w:r>
              <w:t>379,824</w:t>
            </w:r>
          </w:p>
        </w:tc>
      </w:tr>
      <w:tr w:rsidR="00D5042D" w:rsidTr="009E3DEF">
        <w:tc>
          <w:tcPr>
            <w:tcW w:w="3686" w:type="dxa"/>
          </w:tcPr>
          <w:p w:rsidR="00D5042D" w:rsidRDefault="00D5042D" w:rsidP="009E3DEF">
            <w:pPr>
              <w:pStyle w:val="NoSpacing"/>
            </w:pPr>
            <w:r>
              <w:t>Net result for the year</w:t>
            </w:r>
          </w:p>
        </w:tc>
        <w:tc>
          <w:tcPr>
            <w:tcW w:w="709" w:type="dxa"/>
          </w:tcPr>
          <w:p w:rsidR="00D5042D" w:rsidRDefault="00D5042D" w:rsidP="009E3DEF">
            <w:pPr>
              <w:pStyle w:val="NoSpacing"/>
            </w:pPr>
          </w:p>
        </w:tc>
        <w:tc>
          <w:tcPr>
            <w:tcW w:w="1985" w:type="dxa"/>
          </w:tcPr>
          <w:p w:rsidR="00D5042D" w:rsidRDefault="00D5042D" w:rsidP="009E3DEF">
            <w:pPr>
              <w:pStyle w:val="NoSpacing"/>
              <w:jc w:val="right"/>
            </w:pPr>
            <w:r>
              <w:t>-</w:t>
            </w:r>
          </w:p>
        </w:tc>
        <w:tc>
          <w:tcPr>
            <w:tcW w:w="1559" w:type="dxa"/>
          </w:tcPr>
          <w:p w:rsidR="00D5042D" w:rsidRDefault="00D5042D" w:rsidP="009E3DEF">
            <w:pPr>
              <w:pStyle w:val="NoSpacing"/>
              <w:jc w:val="right"/>
            </w:pPr>
            <w:r>
              <w:t>26,361</w:t>
            </w:r>
          </w:p>
        </w:tc>
        <w:tc>
          <w:tcPr>
            <w:tcW w:w="1585" w:type="dxa"/>
          </w:tcPr>
          <w:p w:rsidR="00D5042D" w:rsidRDefault="00D5042D" w:rsidP="009E3DEF">
            <w:pPr>
              <w:pStyle w:val="NoSpacing"/>
              <w:jc w:val="right"/>
            </w:pPr>
            <w:r>
              <w:t>-</w:t>
            </w:r>
          </w:p>
        </w:tc>
        <w:tc>
          <w:tcPr>
            <w:tcW w:w="1250" w:type="dxa"/>
          </w:tcPr>
          <w:p w:rsidR="00D5042D" w:rsidRDefault="00D5042D" w:rsidP="009E3DEF">
            <w:pPr>
              <w:pStyle w:val="NoSpacing"/>
              <w:jc w:val="right"/>
            </w:pPr>
            <w:r>
              <w:t>26,361</w:t>
            </w:r>
          </w:p>
        </w:tc>
      </w:tr>
      <w:tr w:rsidR="00D5042D" w:rsidTr="009E3DEF">
        <w:tc>
          <w:tcPr>
            <w:tcW w:w="3686" w:type="dxa"/>
          </w:tcPr>
          <w:p w:rsidR="00D5042D" w:rsidRDefault="00D5042D" w:rsidP="009E3DEF">
            <w:pPr>
              <w:pStyle w:val="NoSpacing"/>
            </w:pPr>
            <w:r>
              <w:t>Year ended 31 December 2018</w:t>
            </w:r>
          </w:p>
        </w:tc>
        <w:tc>
          <w:tcPr>
            <w:tcW w:w="709" w:type="dxa"/>
          </w:tcPr>
          <w:p w:rsidR="00D5042D" w:rsidRDefault="00D5042D" w:rsidP="009E3DEF">
            <w:pPr>
              <w:pStyle w:val="NoSpacing"/>
            </w:pPr>
          </w:p>
        </w:tc>
        <w:tc>
          <w:tcPr>
            <w:tcW w:w="1985" w:type="dxa"/>
          </w:tcPr>
          <w:p w:rsidR="00D5042D" w:rsidRDefault="00D5042D" w:rsidP="009E3DEF">
            <w:pPr>
              <w:pStyle w:val="NoSpacing"/>
              <w:jc w:val="right"/>
            </w:pPr>
            <w:r>
              <w:t>78,838</w:t>
            </w:r>
          </w:p>
        </w:tc>
        <w:tc>
          <w:tcPr>
            <w:tcW w:w="1559" w:type="dxa"/>
          </w:tcPr>
          <w:p w:rsidR="00D5042D" w:rsidRDefault="00D5042D" w:rsidP="009E3DEF">
            <w:pPr>
              <w:pStyle w:val="NoSpacing"/>
              <w:jc w:val="right"/>
            </w:pPr>
            <w:r>
              <w:t>241,960</w:t>
            </w:r>
          </w:p>
        </w:tc>
        <w:tc>
          <w:tcPr>
            <w:tcW w:w="1585" w:type="dxa"/>
          </w:tcPr>
          <w:p w:rsidR="00D5042D" w:rsidRDefault="00D5042D" w:rsidP="009E3DEF">
            <w:pPr>
              <w:pStyle w:val="NoSpacing"/>
              <w:jc w:val="right"/>
            </w:pPr>
            <w:r>
              <w:t>85,387</w:t>
            </w:r>
          </w:p>
        </w:tc>
        <w:tc>
          <w:tcPr>
            <w:tcW w:w="1250" w:type="dxa"/>
          </w:tcPr>
          <w:p w:rsidR="00D5042D" w:rsidRDefault="00D5042D" w:rsidP="009E3DEF">
            <w:pPr>
              <w:pStyle w:val="NoSpacing"/>
              <w:jc w:val="right"/>
            </w:pPr>
            <w:r>
              <w:t>406,185</w:t>
            </w:r>
          </w:p>
        </w:tc>
      </w:tr>
      <w:tr w:rsidR="00D5042D" w:rsidTr="009E3DEF">
        <w:tc>
          <w:tcPr>
            <w:tcW w:w="3686" w:type="dxa"/>
          </w:tcPr>
          <w:p w:rsidR="00D5042D" w:rsidRDefault="00D5042D" w:rsidP="009E3DEF">
            <w:pPr>
              <w:pStyle w:val="NoSpacing"/>
            </w:pPr>
            <w:r>
              <w:t>Net result for the year</w:t>
            </w:r>
          </w:p>
        </w:tc>
        <w:tc>
          <w:tcPr>
            <w:tcW w:w="709" w:type="dxa"/>
          </w:tcPr>
          <w:p w:rsidR="00D5042D" w:rsidRDefault="00D5042D" w:rsidP="009E3DEF">
            <w:pPr>
              <w:pStyle w:val="NoSpacing"/>
            </w:pPr>
          </w:p>
        </w:tc>
        <w:tc>
          <w:tcPr>
            <w:tcW w:w="1985" w:type="dxa"/>
          </w:tcPr>
          <w:p w:rsidR="00D5042D" w:rsidRDefault="00D5042D" w:rsidP="009E3DEF">
            <w:pPr>
              <w:pStyle w:val="NoSpacing"/>
              <w:jc w:val="right"/>
            </w:pPr>
            <w:r>
              <w:t>-</w:t>
            </w:r>
          </w:p>
        </w:tc>
        <w:tc>
          <w:tcPr>
            <w:tcW w:w="1559" w:type="dxa"/>
          </w:tcPr>
          <w:p w:rsidR="00D5042D" w:rsidRDefault="00D5042D" w:rsidP="009E3DEF">
            <w:pPr>
              <w:pStyle w:val="NoSpacing"/>
              <w:jc w:val="right"/>
            </w:pPr>
            <w:r>
              <w:t>(144)</w:t>
            </w:r>
          </w:p>
        </w:tc>
        <w:tc>
          <w:tcPr>
            <w:tcW w:w="1585" w:type="dxa"/>
          </w:tcPr>
          <w:p w:rsidR="00D5042D" w:rsidRDefault="00D5042D" w:rsidP="009E3DEF">
            <w:pPr>
              <w:pStyle w:val="NoSpacing"/>
              <w:jc w:val="right"/>
            </w:pPr>
            <w:r>
              <w:t>-</w:t>
            </w:r>
          </w:p>
        </w:tc>
        <w:tc>
          <w:tcPr>
            <w:tcW w:w="1250" w:type="dxa"/>
          </w:tcPr>
          <w:p w:rsidR="00D5042D" w:rsidRDefault="00D5042D" w:rsidP="009E3DEF">
            <w:pPr>
              <w:pStyle w:val="NoSpacing"/>
              <w:jc w:val="right"/>
            </w:pPr>
            <w:r>
              <w:t>(144)</w:t>
            </w:r>
          </w:p>
        </w:tc>
      </w:tr>
      <w:tr w:rsidR="00D5042D" w:rsidTr="009E3DEF">
        <w:tc>
          <w:tcPr>
            <w:tcW w:w="3686" w:type="dxa"/>
          </w:tcPr>
          <w:p w:rsidR="00D5042D" w:rsidRDefault="00D5042D" w:rsidP="009E3DEF">
            <w:pPr>
              <w:pStyle w:val="NoSpacing"/>
            </w:pPr>
            <w:r>
              <w:t>Year ended 31 December 2019</w:t>
            </w:r>
          </w:p>
        </w:tc>
        <w:tc>
          <w:tcPr>
            <w:tcW w:w="709" w:type="dxa"/>
          </w:tcPr>
          <w:p w:rsidR="00D5042D" w:rsidRDefault="00D5042D" w:rsidP="009E3DEF">
            <w:pPr>
              <w:pStyle w:val="NoSpacing"/>
            </w:pPr>
            <w:r>
              <w:t>6.3,9.2</w:t>
            </w:r>
          </w:p>
        </w:tc>
        <w:tc>
          <w:tcPr>
            <w:tcW w:w="1985" w:type="dxa"/>
          </w:tcPr>
          <w:p w:rsidR="00D5042D" w:rsidRDefault="00D5042D" w:rsidP="009E3DEF">
            <w:pPr>
              <w:pStyle w:val="NoSpacing"/>
              <w:jc w:val="right"/>
            </w:pPr>
            <w:r>
              <w:t>78,838</w:t>
            </w:r>
          </w:p>
        </w:tc>
        <w:tc>
          <w:tcPr>
            <w:tcW w:w="1559" w:type="dxa"/>
          </w:tcPr>
          <w:p w:rsidR="00D5042D" w:rsidRDefault="00D5042D" w:rsidP="009E3DEF">
            <w:pPr>
              <w:pStyle w:val="NoSpacing"/>
              <w:jc w:val="right"/>
            </w:pPr>
            <w:r>
              <w:t>241,816</w:t>
            </w:r>
          </w:p>
        </w:tc>
        <w:tc>
          <w:tcPr>
            <w:tcW w:w="1585" w:type="dxa"/>
          </w:tcPr>
          <w:p w:rsidR="00D5042D" w:rsidRDefault="00D5042D" w:rsidP="009E3DEF">
            <w:pPr>
              <w:pStyle w:val="NoSpacing"/>
              <w:jc w:val="right"/>
            </w:pPr>
            <w:r>
              <w:t>85,387</w:t>
            </w:r>
          </w:p>
        </w:tc>
        <w:tc>
          <w:tcPr>
            <w:tcW w:w="1250" w:type="dxa"/>
          </w:tcPr>
          <w:p w:rsidR="00D5042D" w:rsidRDefault="00D5042D" w:rsidP="009E3DEF">
            <w:pPr>
              <w:pStyle w:val="NoSpacing"/>
              <w:jc w:val="right"/>
            </w:pPr>
            <w:r>
              <w:t>406,041</w:t>
            </w:r>
          </w:p>
        </w:tc>
      </w:tr>
    </w:tbl>
    <w:p w:rsidR="00D5042D" w:rsidRDefault="00D5042D" w:rsidP="005942B8">
      <w:pPr>
        <w:pStyle w:val="NoSpacing"/>
      </w:pPr>
    </w:p>
    <w:p w:rsidR="00D5042D" w:rsidRDefault="00D5042D" w:rsidP="005942B8">
      <w:pPr>
        <w:pStyle w:val="NoSpacing"/>
      </w:pPr>
      <w:r>
        <w:t>The above Statement of Changes in Equity should be read in conjunction with the accompanying notes to the financial statements.</w:t>
      </w:r>
    </w:p>
    <w:p w:rsidR="00D5042D" w:rsidRDefault="00D5042D" w:rsidP="005942B8">
      <w:pPr>
        <w:pStyle w:val="NoSpacing"/>
      </w:pPr>
    </w:p>
    <w:p w:rsidR="00D5042D" w:rsidRDefault="00D5042D" w:rsidP="005942B8">
      <w:pPr>
        <w:pStyle w:val="NoSpacing"/>
      </w:pPr>
      <w:r>
        <w:t>&lt;page 48&gt;</w:t>
      </w:r>
    </w:p>
    <w:p w:rsidR="00DC779D" w:rsidRDefault="00DC779D" w:rsidP="005942B8">
      <w:pPr>
        <w:pStyle w:val="NoSpacing"/>
      </w:pPr>
    </w:p>
    <w:p w:rsidR="00D5042D" w:rsidRDefault="00D5042D" w:rsidP="00DC779D">
      <w:pPr>
        <w:pStyle w:val="Heading2"/>
      </w:pPr>
    </w:p>
    <w:p w:rsidR="00DC779D" w:rsidRDefault="00DC779D" w:rsidP="00DC779D">
      <w:pPr>
        <w:pStyle w:val="Heading2"/>
      </w:pPr>
      <w:r>
        <w:t xml:space="preserve">Cash Flow Statement </w:t>
      </w:r>
    </w:p>
    <w:p w:rsidR="00DC779D" w:rsidRDefault="00DC779D" w:rsidP="005942B8">
      <w:pPr>
        <w:pStyle w:val="NoSpacing"/>
      </w:pPr>
    </w:p>
    <w:p w:rsidR="00DC779D" w:rsidRDefault="00DC779D" w:rsidP="005942B8">
      <w:pPr>
        <w:pStyle w:val="NoSpacing"/>
      </w:pPr>
      <w:r>
        <w:t>For the year ended at 31 December 2019</w:t>
      </w:r>
    </w:p>
    <w:p w:rsidR="00DC779D" w:rsidRDefault="00DC779D" w:rsidP="005942B8">
      <w:pPr>
        <w:pStyle w:val="NoSpacing"/>
      </w:pPr>
    </w:p>
    <w:tbl>
      <w:tblPr>
        <w:tblStyle w:val="TableGrid"/>
        <w:tblW w:w="10774" w:type="dxa"/>
        <w:tblInd w:w="-856" w:type="dxa"/>
        <w:tblLook w:val="04A0" w:firstRow="1" w:lastRow="0" w:firstColumn="1" w:lastColumn="0" w:noHBand="0" w:noVBand="1"/>
      </w:tblPr>
      <w:tblGrid>
        <w:gridCol w:w="4201"/>
        <w:gridCol w:w="1398"/>
        <w:gridCol w:w="1388"/>
        <w:gridCol w:w="1257"/>
        <w:gridCol w:w="1272"/>
        <w:gridCol w:w="1258"/>
      </w:tblGrid>
      <w:tr w:rsidR="00D5042D" w:rsidTr="009E3DEF">
        <w:trPr>
          <w:gridBefore w:val="2"/>
          <w:wBefore w:w="5599" w:type="dxa"/>
        </w:trPr>
        <w:tc>
          <w:tcPr>
            <w:tcW w:w="2645" w:type="dxa"/>
            <w:gridSpan w:val="2"/>
          </w:tcPr>
          <w:p w:rsidR="00D5042D" w:rsidRDefault="00D5042D" w:rsidP="009E3DEF">
            <w:pPr>
              <w:pStyle w:val="NoSpacing"/>
              <w:jc w:val="center"/>
            </w:pPr>
            <w:r>
              <w:t>Consolidated</w:t>
            </w:r>
          </w:p>
        </w:tc>
        <w:tc>
          <w:tcPr>
            <w:tcW w:w="2530" w:type="dxa"/>
            <w:gridSpan w:val="2"/>
          </w:tcPr>
          <w:p w:rsidR="00D5042D" w:rsidRDefault="00D5042D" w:rsidP="009E3DEF">
            <w:pPr>
              <w:pStyle w:val="NoSpacing"/>
              <w:jc w:val="center"/>
            </w:pPr>
            <w:r>
              <w:t>Chisholm</w:t>
            </w:r>
          </w:p>
        </w:tc>
      </w:tr>
      <w:tr w:rsidR="00D5042D" w:rsidTr="009E3DEF">
        <w:trPr>
          <w:gridBefore w:val="2"/>
          <w:wBefore w:w="5599" w:type="dxa"/>
        </w:trPr>
        <w:tc>
          <w:tcPr>
            <w:tcW w:w="1388" w:type="dxa"/>
          </w:tcPr>
          <w:p w:rsidR="00D5042D" w:rsidRDefault="00D5042D" w:rsidP="009E3DEF">
            <w:pPr>
              <w:pStyle w:val="NoSpacing"/>
              <w:jc w:val="right"/>
            </w:pPr>
            <w:r>
              <w:t>2019</w:t>
            </w:r>
          </w:p>
        </w:tc>
        <w:tc>
          <w:tcPr>
            <w:tcW w:w="1257" w:type="dxa"/>
          </w:tcPr>
          <w:p w:rsidR="00D5042D" w:rsidRDefault="00D5042D" w:rsidP="009E3DEF">
            <w:pPr>
              <w:pStyle w:val="NoSpacing"/>
              <w:jc w:val="right"/>
            </w:pPr>
            <w:r>
              <w:t>2018</w:t>
            </w:r>
          </w:p>
        </w:tc>
        <w:tc>
          <w:tcPr>
            <w:tcW w:w="1272" w:type="dxa"/>
          </w:tcPr>
          <w:p w:rsidR="00D5042D" w:rsidRDefault="00D5042D" w:rsidP="009E3DEF">
            <w:pPr>
              <w:pStyle w:val="NoSpacing"/>
              <w:jc w:val="right"/>
            </w:pPr>
            <w:r>
              <w:t>2019</w:t>
            </w:r>
          </w:p>
        </w:tc>
        <w:tc>
          <w:tcPr>
            <w:tcW w:w="1258" w:type="dxa"/>
          </w:tcPr>
          <w:p w:rsidR="00D5042D" w:rsidRDefault="00D5042D" w:rsidP="009E3DEF">
            <w:pPr>
              <w:pStyle w:val="NoSpacing"/>
              <w:jc w:val="right"/>
            </w:pPr>
            <w:r>
              <w:t>2018</w:t>
            </w:r>
          </w:p>
        </w:tc>
      </w:tr>
      <w:tr w:rsidR="00D5042D" w:rsidTr="009E3DEF">
        <w:trPr>
          <w:gridBefore w:val="1"/>
          <w:wBefore w:w="4201" w:type="dxa"/>
        </w:trPr>
        <w:tc>
          <w:tcPr>
            <w:tcW w:w="1398" w:type="dxa"/>
          </w:tcPr>
          <w:p w:rsidR="00D5042D" w:rsidRDefault="00D5042D" w:rsidP="009E3DEF">
            <w:pPr>
              <w:pStyle w:val="NoSpacing"/>
            </w:pPr>
            <w:r>
              <w:t>Notes</w:t>
            </w:r>
          </w:p>
        </w:tc>
        <w:tc>
          <w:tcPr>
            <w:tcW w:w="1388" w:type="dxa"/>
          </w:tcPr>
          <w:p w:rsidR="00D5042D" w:rsidRDefault="00D5042D" w:rsidP="009E3DEF">
            <w:pPr>
              <w:pStyle w:val="NoSpacing"/>
              <w:jc w:val="right"/>
            </w:pPr>
            <w:r>
              <w:t>$’000</w:t>
            </w:r>
          </w:p>
        </w:tc>
        <w:tc>
          <w:tcPr>
            <w:tcW w:w="1257" w:type="dxa"/>
          </w:tcPr>
          <w:p w:rsidR="00D5042D" w:rsidRDefault="00D5042D" w:rsidP="009E3DEF">
            <w:pPr>
              <w:pStyle w:val="NoSpacing"/>
              <w:jc w:val="right"/>
            </w:pPr>
            <w:r>
              <w:t>$’000</w:t>
            </w:r>
          </w:p>
        </w:tc>
        <w:tc>
          <w:tcPr>
            <w:tcW w:w="1272" w:type="dxa"/>
          </w:tcPr>
          <w:p w:rsidR="00D5042D" w:rsidRDefault="00D5042D" w:rsidP="009E3DEF">
            <w:pPr>
              <w:pStyle w:val="NoSpacing"/>
              <w:jc w:val="right"/>
            </w:pPr>
            <w:r>
              <w:t>$’000</w:t>
            </w:r>
          </w:p>
        </w:tc>
        <w:tc>
          <w:tcPr>
            <w:tcW w:w="1258" w:type="dxa"/>
          </w:tcPr>
          <w:p w:rsidR="00D5042D" w:rsidRDefault="00D5042D" w:rsidP="009E3DEF">
            <w:pPr>
              <w:pStyle w:val="NoSpacing"/>
              <w:jc w:val="right"/>
            </w:pPr>
            <w:r>
              <w:t>$’000</w:t>
            </w:r>
          </w:p>
        </w:tc>
      </w:tr>
      <w:tr w:rsidR="00D5042D" w:rsidTr="009E3DEF">
        <w:tc>
          <w:tcPr>
            <w:tcW w:w="10774" w:type="dxa"/>
            <w:gridSpan w:val="6"/>
          </w:tcPr>
          <w:p w:rsidR="00D5042D" w:rsidRDefault="00D5042D" w:rsidP="009E3DEF">
            <w:pPr>
              <w:pStyle w:val="NoSpacing"/>
            </w:pPr>
            <w:r>
              <w:t xml:space="preserve">Cash flows from operating activities </w:t>
            </w:r>
          </w:p>
        </w:tc>
      </w:tr>
      <w:tr w:rsidR="00D5042D" w:rsidTr="009E3DEF">
        <w:tc>
          <w:tcPr>
            <w:tcW w:w="10774" w:type="dxa"/>
            <w:gridSpan w:val="6"/>
          </w:tcPr>
          <w:p w:rsidR="00D5042D" w:rsidRDefault="00D5042D" w:rsidP="009E3DEF">
            <w:pPr>
              <w:pStyle w:val="NoSpacing"/>
            </w:pPr>
            <w:r>
              <w:t xml:space="preserve">Receipts </w:t>
            </w:r>
          </w:p>
        </w:tc>
      </w:tr>
      <w:tr w:rsidR="00D5042D" w:rsidTr="009E3DEF">
        <w:tc>
          <w:tcPr>
            <w:tcW w:w="4201" w:type="dxa"/>
          </w:tcPr>
          <w:p w:rsidR="00D5042D" w:rsidRDefault="00D5042D" w:rsidP="009E3DEF">
            <w:pPr>
              <w:pStyle w:val="NoSpacing"/>
            </w:pPr>
            <w:r>
              <w:t xml:space="preserve">Government contributions </w:t>
            </w:r>
          </w:p>
        </w:tc>
        <w:tc>
          <w:tcPr>
            <w:tcW w:w="1398" w:type="dxa"/>
          </w:tcPr>
          <w:p w:rsidR="00D5042D" w:rsidRDefault="00D5042D" w:rsidP="009E3DEF">
            <w:pPr>
              <w:pStyle w:val="NoSpacing"/>
            </w:pPr>
          </w:p>
        </w:tc>
        <w:tc>
          <w:tcPr>
            <w:tcW w:w="1388" w:type="dxa"/>
          </w:tcPr>
          <w:p w:rsidR="00D5042D" w:rsidRDefault="00D5042D" w:rsidP="009E3DEF">
            <w:pPr>
              <w:pStyle w:val="NoSpacing"/>
              <w:jc w:val="right"/>
            </w:pPr>
            <w:r>
              <w:t>120,341</w:t>
            </w:r>
          </w:p>
        </w:tc>
        <w:tc>
          <w:tcPr>
            <w:tcW w:w="1257" w:type="dxa"/>
          </w:tcPr>
          <w:p w:rsidR="00D5042D" w:rsidRDefault="00D5042D" w:rsidP="009E3DEF">
            <w:pPr>
              <w:pStyle w:val="NoSpacing"/>
              <w:jc w:val="right"/>
            </w:pPr>
            <w:r>
              <w:t>117,988</w:t>
            </w:r>
          </w:p>
        </w:tc>
        <w:tc>
          <w:tcPr>
            <w:tcW w:w="1272" w:type="dxa"/>
          </w:tcPr>
          <w:p w:rsidR="00D5042D" w:rsidRDefault="009E3DEF" w:rsidP="009E3DEF">
            <w:pPr>
              <w:pStyle w:val="NoSpacing"/>
              <w:jc w:val="right"/>
            </w:pPr>
            <w:r>
              <w:t>114,814</w:t>
            </w:r>
          </w:p>
        </w:tc>
        <w:tc>
          <w:tcPr>
            <w:tcW w:w="1258" w:type="dxa"/>
          </w:tcPr>
          <w:p w:rsidR="00D5042D" w:rsidRDefault="009E3DEF" w:rsidP="009E3DEF">
            <w:pPr>
              <w:pStyle w:val="NoSpacing"/>
              <w:jc w:val="right"/>
            </w:pPr>
            <w:r>
              <w:t>116,012</w:t>
            </w:r>
          </w:p>
        </w:tc>
      </w:tr>
      <w:tr w:rsidR="00D5042D" w:rsidTr="009E3DEF">
        <w:tc>
          <w:tcPr>
            <w:tcW w:w="4201" w:type="dxa"/>
          </w:tcPr>
          <w:p w:rsidR="00D5042D" w:rsidRDefault="00D5042D" w:rsidP="009E3DEF">
            <w:pPr>
              <w:pStyle w:val="NoSpacing"/>
            </w:pPr>
            <w:r>
              <w:t xml:space="preserve">User fees and charges received </w:t>
            </w:r>
          </w:p>
        </w:tc>
        <w:tc>
          <w:tcPr>
            <w:tcW w:w="1398" w:type="dxa"/>
          </w:tcPr>
          <w:p w:rsidR="00D5042D" w:rsidRDefault="00D5042D" w:rsidP="009E3DEF">
            <w:pPr>
              <w:pStyle w:val="NoSpacing"/>
            </w:pPr>
          </w:p>
        </w:tc>
        <w:tc>
          <w:tcPr>
            <w:tcW w:w="1388" w:type="dxa"/>
          </w:tcPr>
          <w:p w:rsidR="00D5042D" w:rsidRDefault="00D5042D" w:rsidP="009E3DEF">
            <w:pPr>
              <w:pStyle w:val="NoSpacing"/>
              <w:jc w:val="right"/>
            </w:pPr>
            <w:r>
              <w:t>71,976</w:t>
            </w:r>
          </w:p>
        </w:tc>
        <w:tc>
          <w:tcPr>
            <w:tcW w:w="1257" w:type="dxa"/>
          </w:tcPr>
          <w:p w:rsidR="00D5042D" w:rsidRDefault="00D5042D" w:rsidP="009E3DEF">
            <w:pPr>
              <w:pStyle w:val="NoSpacing"/>
              <w:jc w:val="right"/>
            </w:pPr>
            <w:r>
              <w:t>57,370</w:t>
            </w:r>
          </w:p>
        </w:tc>
        <w:tc>
          <w:tcPr>
            <w:tcW w:w="1272" w:type="dxa"/>
          </w:tcPr>
          <w:p w:rsidR="00D5042D" w:rsidRDefault="009E3DEF" w:rsidP="009E3DEF">
            <w:pPr>
              <w:pStyle w:val="NoSpacing"/>
              <w:jc w:val="right"/>
            </w:pPr>
            <w:r>
              <w:t>71,918</w:t>
            </w:r>
          </w:p>
        </w:tc>
        <w:tc>
          <w:tcPr>
            <w:tcW w:w="1258" w:type="dxa"/>
          </w:tcPr>
          <w:p w:rsidR="00D5042D" w:rsidRDefault="009E3DEF" w:rsidP="009E3DEF">
            <w:pPr>
              <w:pStyle w:val="NoSpacing"/>
              <w:jc w:val="right"/>
            </w:pPr>
            <w:r>
              <w:t>56,212</w:t>
            </w:r>
          </w:p>
        </w:tc>
      </w:tr>
      <w:tr w:rsidR="00D5042D" w:rsidTr="009E3DEF">
        <w:tc>
          <w:tcPr>
            <w:tcW w:w="4201" w:type="dxa"/>
          </w:tcPr>
          <w:p w:rsidR="00D5042D" w:rsidRDefault="00D5042D" w:rsidP="009E3DEF">
            <w:pPr>
              <w:pStyle w:val="NoSpacing"/>
            </w:pPr>
            <w:r>
              <w:t>Good and services tax recovered</w:t>
            </w:r>
          </w:p>
        </w:tc>
        <w:tc>
          <w:tcPr>
            <w:tcW w:w="1398" w:type="dxa"/>
          </w:tcPr>
          <w:p w:rsidR="00D5042D" w:rsidRDefault="00D5042D" w:rsidP="009E3DEF">
            <w:pPr>
              <w:pStyle w:val="NoSpacing"/>
            </w:pPr>
          </w:p>
        </w:tc>
        <w:tc>
          <w:tcPr>
            <w:tcW w:w="1388" w:type="dxa"/>
          </w:tcPr>
          <w:p w:rsidR="00D5042D" w:rsidRDefault="00D5042D" w:rsidP="009E3DEF">
            <w:pPr>
              <w:pStyle w:val="NoSpacing"/>
              <w:jc w:val="right"/>
            </w:pPr>
            <w:r>
              <w:t>-</w:t>
            </w:r>
          </w:p>
        </w:tc>
        <w:tc>
          <w:tcPr>
            <w:tcW w:w="1257" w:type="dxa"/>
          </w:tcPr>
          <w:p w:rsidR="00D5042D" w:rsidRDefault="00D5042D" w:rsidP="009E3DEF">
            <w:pPr>
              <w:pStyle w:val="NoSpacing"/>
              <w:jc w:val="right"/>
            </w:pPr>
            <w:r>
              <w:t>935</w:t>
            </w:r>
          </w:p>
        </w:tc>
        <w:tc>
          <w:tcPr>
            <w:tcW w:w="1272" w:type="dxa"/>
          </w:tcPr>
          <w:p w:rsidR="00D5042D" w:rsidRDefault="009E3DEF" w:rsidP="009E3DEF">
            <w:pPr>
              <w:pStyle w:val="NoSpacing"/>
              <w:jc w:val="right"/>
            </w:pPr>
            <w:r>
              <w:t>-</w:t>
            </w:r>
          </w:p>
        </w:tc>
        <w:tc>
          <w:tcPr>
            <w:tcW w:w="1258" w:type="dxa"/>
          </w:tcPr>
          <w:p w:rsidR="00D5042D" w:rsidRDefault="009E3DEF" w:rsidP="009E3DEF">
            <w:pPr>
              <w:pStyle w:val="NoSpacing"/>
              <w:jc w:val="right"/>
            </w:pPr>
            <w:r>
              <w:t>935</w:t>
            </w:r>
          </w:p>
        </w:tc>
      </w:tr>
      <w:tr w:rsidR="00D5042D" w:rsidTr="009E3DEF">
        <w:tc>
          <w:tcPr>
            <w:tcW w:w="4201" w:type="dxa"/>
          </w:tcPr>
          <w:p w:rsidR="00D5042D" w:rsidRDefault="00D5042D" w:rsidP="009E3DEF">
            <w:pPr>
              <w:pStyle w:val="NoSpacing"/>
            </w:pPr>
            <w:r>
              <w:t xml:space="preserve">Interest received </w:t>
            </w:r>
          </w:p>
        </w:tc>
        <w:tc>
          <w:tcPr>
            <w:tcW w:w="1398" w:type="dxa"/>
          </w:tcPr>
          <w:p w:rsidR="00D5042D" w:rsidRDefault="00D5042D" w:rsidP="009E3DEF">
            <w:pPr>
              <w:pStyle w:val="NoSpacing"/>
            </w:pPr>
          </w:p>
        </w:tc>
        <w:tc>
          <w:tcPr>
            <w:tcW w:w="1388" w:type="dxa"/>
          </w:tcPr>
          <w:p w:rsidR="00D5042D" w:rsidRDefault="00D5042D" w:rsidP="009E3DEF">
            <w:pPr>
              <w:pStyle w:val="NoSpacing"/>
              <w:jc w:val="right"/>
            </w:pPr>
            <w:r>
              <w:t>901</w:t>
            </w:r>
          </w:p>
        </w:tc>
        <w:tc>
          <w:tcPr>
            <w:tcW w:w="1257" w:type="dxa"/>
          </w:tcPr>
          <w:p w:rsidR="00D5042D" w:rsidRDefault="00D5042D" w:rsidP="009E3DEF">
            <w:pPr>
              <w:pStyle w:val="NoSpacing"/>
              <w:jc w:val="right"/>
            </w:pPr>
            <w:r>
              <w:t>1,754</w:t>
            </w:r>
          </w:p>
        </w:tc>
        <w:tc>
          <w:tcPr>
            <w:tcW w:w="1272" w:type="dxa"/>
          </w:tcPr>
          <w:p w:rsidR="00D5042D" w:rsidRDefault="009E3DEF" w:rsidP="009E3DEF">
            <w:pPr>
              <w:pStyle w:val="NoSpacing"/>
              <w:jc w:val="right"/>
            </w:pPr>
            <w:r>
              <w:t>873</w:t>
            </w:r>
          </w:p>
        </w:tc>
        <w:tc>
          <w:tcPr>
            <w:tcW w:w="1258" w:type="dxa"/>
          </w:tcPr>
          <w:p w:rsidR="00D5042D" w:rsidRDefault="009E3DEF" w:rsidP="009E3DEF">
            <w:pPr>
              <w:pStyle w:val="NoSpacing"/>
              <w:jc w:val="right"/>
            </w:pPr>
            <w:r>
              <w:t>1,750</w:t>
            </w:r>
          </w:p>
        </w:tc>
      </w:tr>
      <w:tr w:rsidR="00D5042D" w:rsidTr="009E3DEF">
        <w:tc>
          <w:tcPr>
            <w:tcW w:w="4201" w:type="dxa"/>
          </w:tcPr>
          <w:p w:rsidR="00D5042D" w:rsidRDefault="00D5042D" w:rsidP="009E3DEF">
            <w:pPr>
              <w:pStyle w:val="NoSpacing"/>
            </w:pPr>
            <w:r>
              <w:t xml:space="preserve">Other receipts </w:t>
            </w:r>
          </w:p>
        </w:tc>
        <w:tc>
          <w:tcPr>
            <w:tcW w:w="1398" w:type="dxa"/>
          </w:tcPr>
          <w:p w:rsidR="00D5042D" w:rsidRDefault="00D5042D" w:rsidP="009E3DEF">
            <w:pPr>
              <w:pStyle w:val="NoSpacing"/>
            </w:pPr>
          </w:p>
        </w:tc>
        <w:tc>
          <w:tcPr>
            <w:tcW w:w="1388" w:type="dxa"/>
          </w:tcPr>
          <w:p w:rsidR="00D5042D" w:rsidRDefault="00D5042D" w:rsidP="009E3DEF">
            <w:pPr>
              <w:pStyle w:val="NoSpacing"/>
              <w:jc w:val="right"/>
            </w:pPr>
            <w:r>
              <w:t>1,648</w:t>
            </w:r>
          </w:p>
        </w:tc>
        <w:tc>
          <w:tcPr>
            <w:tcW w:w="1257" w:type="dxa"/>
          </w:tcPr>
          <w:p w:rsidR="00D5042D" w:rsidRDefault="00D5042D" w:rsidP="009E3DEF">
            <w:pPr>
              <w:pStyle w:val="NoSpacing"/>
              <w:jc w:val="right"/>
            </w:pPr>
            <w:r>
              <w:t>5,029</w:t>
            </w:r>
          </w:p>
        </w:tc>
        <w:tc>
          <w:tcPr>
            <w:tcW w:w="1272" w:type="dxa"/>
          </w:tcPr>
          <w:p w:rsidR="00D5042D" w:rsidRDefault="009E3DEF" w:rsidP="009E3DEF">
            <w:pPr>
              <w:pStyle w:val="NoSpacing"/>
              <w:jc w:val="right"/>
            </w:pPr>
            <w:r>
              <w:t>2,257</w:t>
            </w:r>
          </w:p>
        </w:tc>
        <w:tc>
          <w:tcPr>
            <w:tcW w:w="1258" w:type="dxa"/>
          </w:tcPr>
          <w:p w:rsidR="00D5042D" w:rsidRDefault="009E3DEF" w:rsidP="009E3DEF">
            <w:pPr>
              <w:pStyle w:val="NoSpacing"/>
              <w:jc w:val="right"/>
            </w:pPr>
            <w:r>
              <w:t>2,601</w:t>
            </w:r>
          </w:p>
        </w:tc>
      </w:tr>
      <w:tr w:rsidR="00D5042D" w:rsidTr="009E3DEF">
        <w:tc>
          <w:tcPr>
            <w:tcW w:w="4201" w:type="dxa"/>
          </w:tcPr>
          <w:p w:rsidR="00D5042D" w:rsidRDefault="00D5042D" w:rsidP="009E3DEF">
            <w:pPr>
              <w:pStyle w:val="NoSpacing"/>
            </w:pPr>
            <w:r>
              <w:t xml:space="preserve">Total receipts </w:t>
            </w:r>
          </w:p>
        </w:tc>
        <w:tc>
          <w:tcPr>
            <w:tcW w:w="1398" w:type="dxa"/>
          </w:tcPr>
          <w:p w:rsidR="00D5042D" w:rsidRDefault="00D5042D" w:rsidP="009E3DEF">
            <w:pPr>
              <w:pStyle w:val="NoSpacing"/>
            </w:pPr>
          </w:p>
        </w:tc>
        <w:tc>
          <w:tcPr>
            <w:tcW w:w="1388" w:type="dxa"/>
          </w:tcPr>
          <w:p w:rsidR="00D5042D" w:rsidRDefault="00D5042D" w:rsidP="009E3DEF">
            <w:pPr>
              <w:pStyle w:val="NoSpacing"/>
              <w:jc w:val="right"/>
            </w:pPr>
            <w:r>
              <w:t>194,866</w:t>
            </w:r>
          </w:p>
        </w:tc>
        <w:tc>
          <w:tcPr>
            <w:tcW w:w="1257" w:type="dxa"/>
          </w:tcPr>
          <w:p w:rsidR="00D5042D" w:rsidRDefault="00D5042D" w:rsidP="009E3DEF">
            <w:pPr>
              <w:pStyle w:val="NoSpacing"/>
              <w:jc w:val="right"/>
            </w:pPr>
            <w:r>
              <w:t>183,076</w:t>
            </w:r>
          </w:p>
        </w:tc>
        <w:tc>
          <w:tcPr>
            <w:tcW w:w="1272" w:type="dxa"/>
          </w:tcPr>
          <w:p w:rsidR="00D5042D" w:rsidRDefault="009E3DEF" w:rsidP="009E3DEF">
            <w:pPr>
              <w:pStyle w:val="NoSpacing"/>
              <w:jc w:val="right"/>
            </w:pPr>
            <w:r>
              <w:t>189,862</w:t>
            </w:r>
          </w:p>
        </w:tc>
        <w:tc>
          <w:tcPr>
            <w:tcW w:w="1258" w:type="dxa"/>
          </w:tcPr>
          <w:p w:rsidR="00D5042D" w:rsidRDefault="009E3DEF" w:rsidP="009E3DEF">
            <w:pPr>
              <w:pStyle w:val="NoSpacing"/>
              <w:jc w:val="right"/>
            </w:pPr>
            <w:r>
              <w:t>177,510</w:t>
            </w:r>
          </w:p>
        </w:tc>
      </w:tr>
    </w:tbl>
    <w:p w:rsidR="00D5042D" w:rsidRDefault="00D5042D" w:rsidP="005942B8">
      <w:pPr>
        <w:pStyle w:val="NoSpacing"/>
      </w:pPr>
    </w:p>
    <w:tbl>
      <w:tblPr>
        <w:tblStyle w:val="TableGrid"/>
        <w:tblW w:w="10774" w:type="dxa"/>
        <w:tblInd w:w="-856" w:type="dxa"/>
        <w:tblLook w:val="04A0" w:firstRow="1" w:lastRow="0" w:firstColumn="1" w:lastColumn="0" w:noHBand="0" w:noVBand="1"/>
      </w:tblPr>
      <w:tblGrid>
        <w:gridCol w:w="4201"/>
        <w:gridCol w:w="1398"/>
        <w:gridCol w:w="1388"/>
        <w:gridCol w:w="1257"/>
        <w:gridCol w:w="1272"/>
        <w:gridCol w:w="1258"/>
      </w:tblGrid>
      <w:tr w:rsidR="009E3DEF" w:rsidTr="009E3DEF">
        <w:tc>
          <w:tcPr>
            <w:tcW w:w="10774" w:type="dxa"/>
            <w:gridSpan w:val="6"/>
          </w:tcPr>
          <w:p w:rsidR="009E3DEF" w:rsidRDefault="009E3DEF" w:rsidP="009E3DEF">
            <w:pPr>
              <w:pStyle w:val="NoSpacing"/>
            </w:pPr>
            <w:r>
              <w:t>Payments</w:t>
            </w:r>
          </w:p>
        </w:tc>
      </w:tr>
      <w:tr w:rsidR="009E3DEF" w:rsidTr="009E3DEF">
        <w:tc>
          <w:tcPr>
            <w:tcW w:w="4201" w:type="dxa"/>
          </w:tcPr>
          <w:p w:rsidR="009E3DEF" w:rsidRDefault="009E3DEF" w:rsidP="009E3DEF">
            <w:pPr>
              <w:pStyle w:val="NoSpacing"/>
            </w:pPr>
            <w:r>
              <w:t>Payments to employees</w:t>
            </w:r>
          </w:p>
        </w:tc>
        <w:tc>
          <w:tcPr>
            <w:tcW w:w="1398" w:type="dxa"/>
          </w:tcPr>
          <w:p w:rsidR="009E3DEF" w:rsidRDefault="009E3DEF" w:rsidP="009E3DEF">
            <w:pPr>
              <w:pStyle w:val="NoSpacing"/>
            </w:pPr>
          </w:p>
        </w:tc>
        <w:tc>
          <w:tcPr>
            <w:tcW w:w="1388" w:type="dxa"/>
          </w:tcPr>
          <w:p w:rsidR="009E3DEF" w:rsidRDefault="009E3DEF" w:rsidP="009E3DEF">
            <w:pPr>
              <w:pStyle w:val="NoSpacing"/>
              <w:jc w:val="right"/>
            </w:pPr>
            <w:r>
              <w:t>(108,172)</w:t>
            </w:r>
          </w:p>
        </w:tc>
        <w:tc>
          <w:tcPr>
            <w:tcW w:w="1257" w:type="dxa"/>
          </w:tcPr>
          <w:p w:rsidR="009E3DEF" w:rsidRDefault="009E3DEF" w:rsidP="009E3DEF">
            <w:pPr>
              <w:pStyle w:val="NoSpacing"/>
              <w:jc w:val="right"/>
            </w:pPr>
            <w:r>
              <w:t>(88,926)</w:t>
            </w:r>
          </w:p>
        </w:tc>
        <w:tc>
          <w:tcPr>
            <w:tcW w:w="1272" w:type="dxa"/>
          </w:tcPr>
          <w:p w:rsidR="009E3DEF" w:rsidRDefault="009E3DEF" w:rsidP="009E3DEF">
            <w:pPr>
              <w:pStyle w:val="NoSpacing"/>
              <w:jc w:val="right"/>
            </w:pPr>
            <w:r>
              <w:t>(102,963)</w:t>
            </w:r>
          </w:p>
        </w:tc>
        <w:tc>
          <w:tcPr>
            <w:tcW w:w="1258" w:type="dxa"/>
          </w:tcPr>
          <w:p w:rsidR="009E3DEF" w:rsidRDefault="009E3DEF" w:rsidP="009E3DEF">
            <w:pPr>
              <w:pStyle w:val="NoSpacing"/>
              <w:jc w:val="right"/>
            </w:pPr>
            <w:r>
              <w:t>(86,685)</w:t>
            </w:r>
          </w:p>
        </w:tc>
      </w:tr>
      <w:tr w:rsidR="009E3DEF" w:rsidTr="009E3DEF">
        <w:tc>
          <w:tcPr>
            <w:tcW w:w="4201" w:type="dxa"/>
          </w:tcPr>
          <w:p w:rsidR="009E3DEF" w:rsidRDefault="009E3DEF" w:rsidP="009E3DEF">
            <w:pPr>
              <w:pStyle w:val="NoSpacing"/>
            </w:pPr>
            <w:r>
              <w:t>Payments to suppliers</w:t>
            </w:r>
          </w:p>
        </w:tc>
        <w:tc>
          <w:tcPr>
            <w:tcW w:w="1398" w:type="dxa"/>
          </w:tcPr>
          <w:p w:rsidR="009E3DEF" w:rsidRDefault="009E3DEF" w:rsidP="009E3DEF">
            <w:pPr>
              <w:pStyle w:val="NoSpacing"/>
            </w:pPr>
          </w:p>
        </w:tc>
        <w:tc>
          <w:tcPr>
            <w:tcW w:w="1388" w:type="dxa"/>
          </w:tcPr>
          <w:p w:rsidR="009E3DEF" w:rsidRDefault="009E3DEF" w:rsidP="009E3DEF">
            <w:pPr>
              <w:pStyle w:val="NoSpacing"/>
              <w:jc w:val="right"/>
            </w:pPr>
            <w:r>
              <w:t>(62,790)</w:t>
            </w:r>
          </w:p>
        </w:tc>
        <w:tc>
          <w:tcPr>
            <w:tcW w:w="1257" w:type="dxa"/>
          </w:tcPr>
          <w:p w:rsidR="009E3DEF" w:rsidRDefault="009E3DEF" w:rsidP="009E3DEF">
            <w:pPr>
              <w:pStyle w:val="NoSpacing"/>
              <w:jc w:val="right"/>
            </w:pPr>
            <w:r>
              <w:t>(54,219)</w:t>
            </w:r>
          </w:p>
        </w:tc>
        <w:tc>
          <w:tcPr>
            <w:tcW w:w="1272" w:type="dxa"/>
          </w:tcPr>
          <w:p w:rsidR="009E3DEF" w:rsidRDefault="009E3DEF" w:rsidP="009E3DEF">
            <w:pPr>
              <w:pStyle w:val="NoSpacing"/>
              <w:jc w:val="right"/>
            </w:pPr>
            <w:r>
              <w:t>(62,545)</w:t>
            </w:r>
          </w:p>
        </w:tc>
        <w:tc>
          <w:tcPr>
            <w:tcW w:w="1258" w:type="dxa"/>
          </w:tcPr>
          <w:p w:rsidR="009E3DEF" w:rsidRDefault="009E3DEF" w:rsidP="009E3DEF">
            <w:pPr>
              <w:pStyle w:val="NoSpacing"/>
              <w:jc w:val="right"/>
            </w:pPr>
            <w:r>
              <w:t>(51,597)</w:t>
            </w:r>
          </w:p>
        </w:tc>
      </w:tr>
      <w:tr w:rsidR="009E3DEF" w:rsidTr="009E3DEF">
        <w:tc>
          <w:tcPr>
            <w:tcW w:w="4201" w:type="dxa"/>
          </w:tcPr>
          <w:p w:rsidR="009E3DEF" w:rsidRDefault="009E3DEF" w:rsidP="009E3DEF">
            <w:pPr>
              <w:pStyle w:val="NoSpacing"/>
            </w:pPr>
            <w:r>
              <w:t>Goods and services tax paid</w:t>
            </w:r>
          </w:p>
        </w:tc>
        <w:tc>
          <w:tcPr>
            <w:tcW w:w="1398" w:type="dxa"/>
          </w:tcPr>
          <w:p w:rsidR="009E3DEF" w:rsidRDefault="009E3DEF" w:rsidP="009E3DEF">
            <w:pPr>
              <w:pStyle w:val="NoSpacing"/>
            </w:pPr>
          </w:p>
        </w:tc>
        <w:tc>
          <w:tcPr>
            <w:tcW w:w="1388" w:type="dxa"/>
          </w:tcPr>
          <w:p w:rsidR="009E3DEF" w:rsidRDefault="009E3DEF" w:rsidP="009E3DEF">
            <w:pPr>
              <w:pStyle w:val="NoSpacing"/>
              <w:jc w:val="right"/>
            </w:pPr>
            <w:r>
              <w:t>(734)</w:t>
            </w:r>
          </w:p>
        </w:tc>
        <w:tc>
          <w:tcPr>
            <w:tcW w:w="1257" w:type="dxa"/>
          </w:tcPr>
          <w:p w:rsidR="009E3DEF" w:rsidRDefault="009E3DEF" w:rsidP="009E3DEF">
            <w:pPr>
              <w:pStyle w:val="NoSpacing"/>
              <w:jc w:val="right"/>
            </w:pPr>
            <w:r>
              <w:t>(105)</w:t>
            </w:r>
          </w:p>
        </w:tc>
        <w:tc>
          <w:tcPr>
            <w:tcW w:w="1272" w:type="dxa"/>
          </w:tcPr>
          <w:p w:rsidR="009E3DEF" w:rsidRDefault="009E3DEF" w:rsidP="009E3DEF">
            <w:pPr>
              <w:pStyle w:val="NoSpacing"/>
              <w:jc w:val="right"/>
            </w:pPr>
            <w:r>
              <w:t>(688)</w:t>
            </w:r>
          </w:p>
        </w:tc>
        <w:tc>
          <w:tcPr>
            <w:tcW w:w="1258" w:type="dxa"/>
          </w:tcPr>
          <w:p w:rsidR="009E3DEF" w:rsidRDefault="009E3DEF" w:rsidP="009E3DEF">
            <w:pPr>
              <w:pStyle w:val="NoSpacing"/>
              <w:jc w:val="right"/>
            </w:pPr>
            <w:r>
              <w:t>-</w:t>
            </w:r>
          </w:p>
        </w:tc>
      </w:tr>
      <w:tr w:rsidR="009E3DEF" w:rsidTr="009E3DEF">
        <w:tc>
          <w:tcPr>
            <w:tcW w:w="4201" w:type="dxa"/>
          </w:tcPr>
          <w:p w:rsidR="009E3DEF" w:rsidRDefault="009E3DEF" w:rsidP="009E3DEF">
            <w:pPr>
              <w:pStyle w:val="NoSpacing"/>
            </w:pPr>
            <w:r>
              <w:t>Interest paid – lease liability</w:t>
            </w:r>
          </w:p>
        </w:tc>
        <w:tc>
          <w:tcPr>
            <w:tcW w:w="1398" w:type="dxa"/>
          </w:tcPr>
          <w:p w:rsidR="009E3DEF" w:rsidRDefault="009E3DEF" w:rsidP="009E3DEF">
            <w:pPr>
              <w:pStyle w:val="NoSpacing"/>
            </w:pPr>
          </w:p>
        </w:tc>
        <w:tc>
          <w:tcPr>
            <w:tcW w:w="1388" w:type="dxa"/>
          </w:tcPr>
          <w:p w:rsidR="009E3DEF" w:rsidRDefault="009E3DEF" w:rsidP="009E3DEF">
            <w:pPr>
              <w:pStyle w:val="NoSpacing"/>
              <w:jc w:val="right"/>
            </w:pPr>
            <w:r>
              <w:t>(89)</w:t>
            </w:r>
          </w:p>
        </w:tc>
        <w:tc>
          <w:tcPr>
            <w:tcW w:w="1257" w:type="dxa"/>
          </w:tcPr>
          <w:p w:rsidR="009E3DEF" w:rsidRDefault="009E3DEF" w:rsidP="009E3DEF">
            <w:pPr>
              <w:pStyle w:val="NoSpacing"/>
              <w:jc w:val="right"/>
            </w:pPr>
            <w:r>
              <w:t>-</w:t>
            </w:r>
          </w:p>
        </w:tc>
        <w:tc>
          <w:tcPr>
            <w:tcW w:w="1272" w:type="dxa"/>
          </w:tcPr>
          <w:p w:rsidR="009E3DEF" w:rsidRDefault="009E3DEF" w:rsidP="009E3DEF">
            <w:pPr>
              <w:pStyle w:val="NoSpacing"/>
              <w:jc w:val="right"/>
            </w:pPr>
            <w:r>
              <w:t>(89)</w:t>
            </w:r>
          </w:p>
        </w:tc>
        <w:tc>
          <w:tcPr>
            <w:tcW w:w="1258" w:type="dxa"/>
          </w:tcPr>
          <w:p w:rsidR="009E3DEF" w:rsidRDefault="009E3DEF" w:rsidP="009E3DEF">
            <w:pPr>
              <w:pStyle w:val="NoSpacing"/>
              <w:jc w:val="right"/>
            </w:pPr>
            <w:r>
              <w:t>-</w:t>
            </w:r>
          </w:p>
        </w:tc>
      </w:tr>
      <w:tr w:rsidR="009E3DEF" w:rsidTr="009E3DEF">
        <w:tc>
          <w:tcPr>
            <w:tcW w:w="4201" w:type="dxa"/>
          </w:tcPr>
          <w:p w:rsidR="009E3DEF" w:rsidRDefault="009E3DEF" w:rsidP="009E3DEF">
            <w:pPr>
              <w:pStyle w:val="NoSpacing"/>
            </w:pPr>
            <w:r>
              <w:t>Total payments</w:t>
            </w:r>
          </w:p>
        </w:tc>
        <w:tc>
          <w:tcPr>
            <w:tcW w:w="1398" w:type="dxa"/>
          </w:tcPr>
          <w:p w:rsidR="009E3DEF" w:rsidRDefault="009E3DEF" w:rsidP="009E3DEF">
            <w:pPr>
              <w:pStyle w:val="NoSpacing"/>
            </w:pPr>
          </w:p>
        </w:tc>
        <w:tc>
          <w:tcPr>
            <w:tcW w:w="1388" w:type="dxa"/>
          </w:tcPr>
          <w:p w:rsidR="009E3DEF" w:rsidRDefault="009E3DEF" w:rsidP="009E3DEF">
            <w:pPr>
              <w:pStyle w:val="NoSpacing"/>
              <w:jc w:val="right"/>
            </w:pPr>
            <w:r>
              <w:t>(171,785)</w:t>
            </w:r>
          </w:p>
        </w:tc>
        <w:tc>
          <w:tcPr>
            <w:tcW w:w="1257" w:type="dxa"/>
          </w:tcPr>
          <w:p w:rsidR="009E3DEF" w:rsidRDefault="009E3DEF" w:rsidP="009E3DEF">
            <w:pPr>
              <w:pStyle w:val="NoSpacing"/>
              <w:jc w:val="right"/>
            </w:pPr>
            <w:r>
              <w:t>(143,250)</w:t>
            </w:r>
          </w:p>
        </w:tc>
        <w:tc>
          <w:tcPr>
            <w:tcW w:w="1272" w:type="dxa"/>
          </w:tcPr>
          <w:p w:rsidR="009E3DEF" w:rsidRDefault="009E3DEF" w:rsidP="009E3DEF">
            <w:pPr>
              <w:pStyle w:val="NoSpacing"/>
              <w:jc w:val="right"/>
            </w:pPr>
            <w:r>
              <w:t>(166,285)</w:t>
            </w:r>
          </w:p>
        </w:tc>
        <w:tc>
          <w:tcPr>
            <w:tcW w:w="1258" w:type="dxa"/>
          </w:tcPr>
          <w:p w:rsidR="009E3DEF" w:rsidRDefault="009E3DEF" w:rsidP="009E3DEF">
            <w:pPr>
              <w:pStyle w:val="NoSpacing"/>
              <w:jc w:val="right"/>
            </w:pPr>
            <w:r>
              <w:t>(138,282)</w:t>
            </w:r>
          </w:p>
        </w:tc>
      </w:tr>
    </w:tbl>
    <w:p w:rsidR="00D5042D" w:rsidRDefault="00D5042D" w:rsidP="005942B8">
      <w:pPr>
        <w:pStyle w:val="NoSpacing"/>
      </w:pPr>
    </w:p>
    <w:tbl>
      <w:tblPr>
        <w:tblStyle w:val="TableGrid"/>
        <w:tblW w:w="10774" w:type="dxa"/>
        <w:tblInd w:w="-856" w:type="dxa"/>
        <w:tblLook w:val="04A0" w:firstRow="1" w:lastRow="0" w:firstColumn="1" w:lastColumn="0" w:noHBand="0" w:noVBand="1"/>
      </w:tblPr>
      <w:tblGrid>
        <w:gridCol w:w="4201"/>
        <w:gridCol w:w="1398"/>
        <w:gridCol w:w="1388"/>
        <w:gridCol w:w="1257"/>
        <w:gridCol w:w="1272"/>
        <w:gridCol w:w="1258"/>
      </w:tblGrid>
      <w:tr w:rsidR="009E3DEF" w:rsidTr="009E3DEF">
        <w:tc>
          <w:tcPr>
            <w:tcW w:w="4201" w:type="dxa"/>
          </w:tcPr>
          <w:p w:rsidR="009E3DEF" w:rsidRDefault="009E3DEF" w:rsidP="009E3DEF">
            <w:pPr>
              <w:pStyle w:val="NoSpacing"/>
            </w:pPr>
            <w:r>
              <w:t>Net cash flows from/(used in) operating activities</w:t>
            </w:r>
          </w:p>
        </w:tc>
        <w:tc>
          <w:tcPr>
            <w:tcW w:w="1398" w:type="dxa"/>
          </w:tcPr>
          <w:p w:rsidR="009E3DEF" w:rsidRDefault="009E3DEF" w:rsidP="009E3DEF">
            <w:pPr>
              <w:pStyle w:val="NoSpacing"/>
            </w:pPr>
            <w:r>
              <w:t>6.1.1</w:t>
            </w:r>
          </w:p>
        </w:tc>
        <w:tc>
          <w:tcPr>
            <w:tcW w:w="1388" w:type="dxa"/>
          </w:tcPr>
          <w:p w:rsidR="009E3DEF" w:rsidRDefault="009E3DEF" w:rsidP="009E3DEF">
            <w:pPr>
              <w:pStyle w:val="NoSpacing"/>
              <w:jc w:val="right"/>
            </w:pPr>
            <w:r>
              <w:t>23,081</w:t>
            </w:r>
          </w:p>
        </w:tc>
        <w:tc>
          <w:tcPr>
            <w:tcW w:w="1257" w:type="dxa"/>
          </w:tcPr>
          <w:p w:rsidR="009E3DEF" w:rsidRDefault="009E3DEF" w:rsidP="009E3DEF">
            <w:pPr>
              <w:pStyle w:val="NoSpacing"/>
              <w:jc w:val="right"/>
            </w:pPr>
            <w:r>
              <w:t>39,826</w:t>
            </w:r>
          </w:p>
        </w:tc>
        <w:tc>
          <w:tcPr>
            <w:tcW w:w="1272" w:type="dxa"/>
          </w:tcPr>
          <w:p w:rsidR="009E3DEF" w:rsidRDefault="009E3DEF" w:rsidP="009E3DEF">
            <w:pPr>
              <w:pStyle w:val="NoSpacing"/>
              <w:jc w:val="right"/>
            </w:pPr>
            <w:r>
              <w:t>23,577</w:t>
            </w:r>
          </w:p>
        </w:tc>
        <w:tc>
          <w:tcPr>
            <w:tcW w:w="1258" w:type="dxa"/>
          </w:tcPr>
          <w:p w:rsidR="009E3DEF" w:rsidRDefault="009E3DEF" w:rsidP="009E3DEF">
            <w:pPr>
              <w:pStyle w:val="NoSpacing"/>
              <w:jc w:val="right"/>
            </w:pPr>
            <w:r>
              <w:t>39,228</w:t>
            </w:r>
          </w:p>
        </w:tc>
      </w:tr>
    </w:tbl>
    <w:p w:rsidR="009E3DEF" w:rsidRDefault="009E3DEF" w:rsidP="005942B8">
      <w:pPr>
        <w:pStyle w:val="NoSpacing"/>
      </w:pPr>
    </w:p>
    <w:p w:rsidR="00D5042D" w:rsidRDefault="00D5042D" w:rsidP="005942B8">
      <w:pPr>
        <w:pStyle w:val="NoSpacing"/>
      </w:pPr>
    </w:p>
    <w:tbl>
      <w:tblPr>
        <w:tblStyle w:val="TableGrid"/>
        <w:tblW w:w="10774" w:type="dxa"/>
        <w:tblInd w:w="-856" w:type="dxa"/>
        <w:tblLook w:val="04A0" w:firstRow="1" w:lastRow="0" w:firstColumn="1" w:lastColumn="0" w:noHBand="0" w:noVBand="1"/>
      </w:tblPr>
      <w:tblGrid>
        <w:gridCol w:w="4201"/>
        <w:gridCol w:w="1398"/>
        <w:gridCol w:w="1388"/>
        <w:gridCol w:w="1257"/>
        <w:gridCol w:w="1272"/>
        <w:gridCol w:w="1258"/>
      </w:tblGrid>
      <w:tr w:rsidR="00374975" w:rsidTr="00434FCF">
        <w:tc>
          <w:tcPr>
            <w:tcW w:w="10774" w:type="dxa"/>
            <w:gridSpan w:val="6"/>
          </w:tcPr>
          <w:p w:rsidR="00374975" w:rsidRDefault="00374975" w:rsidP="00434FCF">
            <w:pPr>
              <w:pStyle w:val="NoSpacing"/>
            </w:pPr>
            <w:r>
              <w:t xml:space="preserve">Cash flows from investing activities </w:t>
            </w:r>
          </w:p>
        </w:tc>
      </w:tr>
      <w:tr w:rsidR="00374975" w:rsidTr="00434FCF">
        <w:tc>
          <w:tcPr>
            <w:tcW w:w="4201" w:type="dxa"/>
          </w:tcPr>
          <w:p w:rsidR="00374975" w:rsidRDefault="00374975" w:rsidP="00434FCF">
            <w:pPr>
              <w:pStyle w:val="NoSpacing"/>
            </w:pPr>
            <w:r>
              <w:t>Redemptions of/(payments for) investments</w:t>
            </w:r>
          </w:p>
        </w:tc>
        <w:tc>
          <w:tcPr>
            <w:tcW w:w="1398" w:type="dxa"/>
          </w:tcPr>
          <w:p w:rsidR="00374975" w:rsidRDefault="00374975" w:rsidP="00434FCF">
            <w:pPr>
              <w:pStyle w:val="NoSpacing"/>
            </w:pPr>
          </w:p>
        </w:tc>
        <w:tc>
          <w:tcPr>
            <w:tcW w:w="1388" w:type="dxa"/>
          </w:tcPr>
          <w:p w:rsidR="00374975" w:rsidRDefault="00374975" w:rsidP="00434FCF">
            <w:pPr>
              <w:pStyle w:val="NoSpacing"/>
              <w:jc w:val="right"/>
            </w:pPr>
            <w:r>
              <w:t>25,871</w:t>
            </w:r>
          </w:p>
        </w:tc>
        <w:tc>
          <w:tcPr>
            <w:tcW w:w="1257" w:type="dxa"/>
          </w:tcPr>
          <w:p w:rsidR="00374975" w:rsidRDefault="00374975" w:rsidP="00434FCF">
            <w:pPr>
              <w:pStyle w:val="NoSpacing"/>
              <w:jc w:val="right"/>
            </w:pPr>
            <w:r>
              <w:t>25,000</w:t>
            </w:r>
          </w:p>
        </w:tc>
        <w:tc>
          <w:tcPr>
            <w:tcW w:w="1272" w:type="dxa"/>
          </w:tcPr>
          <w:p w:rsidR="00374975" w:rsidRDefault="00374975" w:rsidP="00434FCF">
            <w:pPr>
              <w:pStyle w:val="NoSpacing"/>
              <w:jc w:val="right"/>
            </w:pPr>
            <w:r>
              <w:t>25,000</w:t>
            </w:r>
          </w:p>
        </w:tc>
        <w:tc>
          <w:tcPr>
            <w:tcW w:w="1258" w:type="dxa"/>
          </w:tcPr>
          <w:p w:rsidR="00374975" w:rsidRDefault="00374975" w:rsidP="00434FCF">
            <w:pPr>
              <w:pStyle w:val="NoSpacing"/>
              <w:jc w:val="right"/>
            </w:pPr>
            <w:r>
              <w:t>25,000</w:t>
            </w:r>
          </w:p>
        </w:tc>
      </w:tr>
      <w:tr w:rsidR="00374975" w:rsidTr="00434FCF">
        <w:tc>
          <w:tcPr>
            <w:tcW w:w="4201" w:type="dxa"/>
          </w:tcPr>
          <w:p w:rsidR="00374975" w:rsidRDefault="00374975" w:rsidP="00434FCF">
            <w:pPr>
              <w:pStyle w:val="NoSpacing"/>
            </w:pPr>
            <w:r>
              <w:t>Payments for non-financial assets</w:t>
            </w:r>
          </w:p>
        </w:tc>
        <w:tc>
          <w:tcPr>
            <w:tcW w:w="1398" w:type="dxa"/>
          </w:tcPr>
          <w:p w:rsidR="00374975" w:rsidRDefault="00374975" w:rsidP="00434FCF">
            <w:pPr>
              <w:pStyle w:val="NoSpacing"/>
            </w:pPr>
          </w:p>
        </w:tc>
        <w:tc>
          <w:tcPr>
            <w:tcW w:w="1388" w:type="dxa"/>
          </w:tcPr>
          <w:p w:rsidR="00374975" w:rsidRDefault="00374975" w:rsidP="00434FCF">
            <w:pPr>
              <w:pStyle w:val="NoSpacing"/>
              <w:jc w:val="right"/>
            </w:pPr>
            <w:r>
              <w:t>(28,700)</w:t>
            </w:r>
          </w:p>
        </w:tc>
        <w:tc>
          <w:tcPr>
            <w:tcW w:w="1257" w:type="dxa"/>
          </w:tcPr>
          <w:p w:rsidR="00374975" w:rsidRDefault="00374975" w:rsidP="00434FCF">
            <w:pPr>
              <w:pStyle w:val="NoSpacing"/>
              <w:jc w:val="right"/>
            </w:pPr>
            <w:r>
              <w:t>(74,587)</w:t>
            </w:r>
          </w:p>
        </w:tc>
        <w:tc>
          <w:tcPr>
            <w:tcW w:w="1272" w:type="dxa"/>
          </w:tcPr>
          <w:p w:rsidR="00374975" w:rsidRDefault="00374975" w:rsidP="00434FCF">
            <w:pPr>
              <w:pStyle w:val="NoSpacing"/>
              <w:jc w:val="right"/>
            </w:pPr>
            <w:r>
              <w:t>(28,154)</w:t>
            </w:r>
          </w:p>
        </w:tc>
        <w:tc>
          <w:tcPr>
            <w:tcW w:w="1258" w:type="dxa"/>
          </w:tcPr>
          <w:p w:rsidR="00374975" w:rsidRDefault="00374975" w:rsidP="00434FCF">
            <w:pPr>
              <w:pStyle w:val="NoSpacing"/>
              <w:jc w:val="right"/>
            </w:pPr>
            <w:r>
              <w:t>(74,222)</w:t>
            </w:r>
          </w:p>
        </w:tc>
      </w:tr>
      <w:tr w:rsidR="00374975" w:rsidTr="00434FCF">
        <w:tc>
          <w:tcPr>
            <w:tcW w:w="4201" w:type="dxa"/>
          </w:tcPr>
          <w:p w:rsidR="00374975" w:rsidRDefault="00374975" w:rsidP="00434FCF">
            <w:pPr>
              <w:pStyle w:val="NoSpacing"/>
            </w:pPr>
            <w:r>
              <w:t>Proceeds from sale of non-financial assets</w:t>
            </w:r>
          </w:p>
        </w:tc>
        <w:tc>
          <w:tcPr>
            <w:tcW w:w="1398" w:type="dxa"/>
          </w:tcPr>
          <w:p w:rsidR="00374975" w:rsidRDefault="00374975" w:rsidP="00434FCF">
            <w:pPr>
              <w:pStyle w:val="NoSpacing"/>
            </w:pPr>
          </w:p>
        </w:tc>
        <w:tc>
          <w:tcPr>
            <w:tcW w:w="1388" w:type="dxa"/>
          </w:tcPr>
          <w:p w:rsidR="00374975" w:rsidRDefault="00374975" w:rsidP="00434FCF">
            <w:pPr>
              <w:pStyle w:val="NoSpacing"/>
              <w:jc w:val="right"/>
            </w:pPr>
            <w:r>
              <w:t>11</w:t>
            </w:r>
          </w:p>
        </w:tc>
        <w:tc>
          <w:tcPr>
            <w:tcW w:w="1257" w:type="dxa"/>
          </w:tcPr>
          <w:p w:rsidR="00374975" w:rsidRDefault="00374975" w:rsidP="00434FCF">
            <w:pPr>
              <w:pStyle w:val="NoSpacing"/>
              <w:jc w:val="right"/>
            </w:pPr>
            <w:r>
              <w:t>13</w:t>
            </w:r>
          </w:p>
        </w:tc>
        <w:tc>
          <w:tcPr>
            <w:tcW w:w="1272" w:type="dxa"/>
          </w:tcPr>
          <w:p w:rsidR="00374975" w:rsidRDefault="00374975" w:rsidP="00434FCF">
            <w:pPr>
              <w:pStyle w:val="NoSpacing"/>
              <w:jc w:val="right"/>
            </w:pPr>
            <w:r>
              <w:t>11</w:t>
            </w:r>
          </w:p>
        </w:tc>
        <w:tc>
          <w:tcPr>
            <w:tcW w:w="1258" w:type="dxa"/>
          </w:tcPr>
          <w:p w:rsidR="00374975" w:rsidRDefault="00374975" w:rsidP="00434FCF">
            <w:pPr>
              <w:pStyle w:val="NoSpacing"/>
              <w:jc w:val="right"/>
            </w:pPr>
            <w:r>
              <w:t>13</w:t>
            </w:r>
          </w:p>
        </w:tc>
      </w:tr>
      <w:tr w:rsidR="00374975" w:rsidTr="00434FCF">
        <w:tc>
          <w:tcPr>
            <w:tcW w:w="4201" w:type="dxa"/>
          </w:tcPr>
          <w:p w:rsidR="00374975" w:rsidRDefault="00374975" w:rsidP="00434FCF">
            <w:pPr>
              <w:pStyle w:val="NoSpacing"/>
            </w:pPr>
            <w:r>
              <w:t>Net cash flows provided by/(used in) investing activities</w:t>
            </w:r>
          </w:p>
        </w:tc>
        <w:tc>
          <w:tcPr>
            <w:tcW w:w="1398" w:type="dxa"/>
          </w:tcPr>
          <w:p w:rsidR="00374975" w:rsidRDefault="00374975" w:rsidP="00434FCF">
            <w:pPr>
              <w:pStyle w:val="NoSpacing"/>
            </w:pPr>
          </w:p>
        </w:tc>
        <w:tc>
          <w:tcPr>
            <w:tcW w:w="1388" w:type="dxa"/>
          </w:tcPr>
          <w:p w:rsidR="00374975" w:rsidRDefault="00374975" w:rsidP="00434FCF">
            <w:pPr>
              <w:pStyle w:val="NoSpacing"/>
              <w:jc w:val="right"/>
            </w:pPr>
            <w:r>
              <w:t>(2,818)</w:t>
            </w:r>
          </w:p>
        </w:tc>
        <w:tc>
          <w:tcPr>
            <w:tcW w:w="1257" w:type="dxa"/>
          </w:tcPr>
          <w:p w:rsidR="00374975" w:rsidRDefault="00374975" w:rsidP="00434FCF">
            <w:pPr>
              <w:pStyle w:val="NoSpacing"/>
              <w:jc w:val="right"/>
            </w:pPr>
            <w:r>
              <w:t>(49,574)</w:t>
            </w:r>
          </w:p>
        </w:tc>
        <w:tc>
          <w:tcPr>
            <w:tcW w:w="1272" w:type="dxa"/>
          </w:tcPr>
          <w:p w:rsidR="00374975" w:rsidRDefault="00374975" w:rsidP="00434FCF">
            <w:pPr>
              <w:pStyle w:val="NoSpacing"/>
              <w:jc w:val="right"/>
            </w:pPr>
            <w:r>
              <w:t>(3,143)</w:t>
            </w:r>
          </w:p>
        </w:tc>
        <w:tc>
          <w:tcPr>
            <w:tcW w:w="1258" w:type="dxa"/>
          </w:tcPr>
          <w:p w:rsidR="00374975" w:rsidRDefault="00374975" w:rsidP="00434FCF">
            <w:pPr>
              <w:pStyle w:val="NoSpacing"/>
              <w:jc w:val="right"/>
            </w:pPr>
            <w:r>
              <w:t>(49,209)</w:t>
            </w:r>
          </w:p>
        </w:tc>
      </w:tr>
    </w:tbl>
    <w:p w:rsidR="00D5042D" w:rsidRDefault="00D5042D" w:rsidP="005942B8">
      <w:pPr>
        <w:pStyle w:val="NoSpacing"/>
      </w:pPr>
    </w:p>
    <w:tbl>
      <w:tblPr>
        <w:tblStyle w:val="TableGrid"/>
        <w:tblW w:w="10774" w:type="dxa"/>
        <w:tblInd w:w="-856" w:type="dxa"/>
        <w:tblLook w:val="04A0" w:firstRow="1" w:lastRow="0" w:firstColumn="1" w:lastColumn="0" w:noHBand="0" w:noVBand="1"/>
      </w:tblPr>
      <w:tblGrid>
        <w:gridCol w:w="4201"/>
        <w:gridCol w:w="1398"/>
        <w:gridCol w:w="1388"/>
        <w:gridCol w:w="1257"/>
        <w:gridCol w:w="1272"/>
        <w:gridCol w:w="1258"/>
      </w:tblGrid>
      <w:tr w:rsidR="00374975" w:rsidTr="00434FCF">
        <w:tc>
          <w:tcPr>
            <w:tcW w:w="10774" w:type="dxa"/>
            <w:gridSpan w:val="6"/>
          </w:tcPr>
          <w:p w:rsidR="00374975" w:rsidRDefault="00374975" w:rsidP="00434FCF">
            <w:pPr>
              <w:pStyle w:val="NoSpacing"/>
            </w:pPr>
            <w:r>
              <w:t>Cash flows from financing activities</w:t>
            </w:r>
          </w:p>
        </w:tc>
      </w:tr>
      <w:tr w:rsidR="00374975" w:rsidTr="00434FCF">
        <w:tc>
          <w:tcPr>
            <w:tcW w:w="4201" w:type="dxa"/>
          </w:tcPr>
          <w:p w:rsidR="00374975" w:rsidRDefault="00374975" w:rsidP="00434FCF">
            <w:pPr>
              <w:pStyle w:val="NoSpacing"/>
            </w:pPr>
            <w:r>
              <w:t>Repayment of borrowings</w:t>
            </w:r>
          </w:p>
        </w:tc>
        <w:tc>
          <w:tcPr>
            <w:tcW w:w="1398" w:type="dxa"/>
          </w:tcPr>
          <w:p w:rsidR="00374975" w:rsidRDefault="00374975" w:rsidP="00434FCF">
            <w:pPr>
              <w:pStyle w:val="NoSpacing"/>
            </w:pPr>
          </w:p>
        </w:tc>
        <w:tc>
          <w:tcPr>
            <w:tcW w:w="1388" w:type="dxa"/>
          </w:tcPr>
          <w:p w:rsidR="00374975" w:rsidRDefault="00374975" w:rsidP="00434FCF">
            <w:pPr>
              <w:pStyle w:val="NoSpacing"/>
              <w:jc w:val="right"/>
            </w:pPr>
            <w:r>
              <w:t>(351)</w:t>
            </w:r>
          </w:p>
        </w:tc>
        <w:tc>
          <w:tcPr>
            <w:tcW w:w="1257" w:type="dxa"/>
          </w:tcPr>
          <w:p w:rsidR="00374975" w:rsidRDefault="00374975" w:rsidP="00434FCF">
            <w:pPr>
              <w:pStyle w:val="NoSpacing"/>
              <w:jc w:val="right"/>
            </w:pPr>
            <w:r>
              <w:t>(351)</w:t>
            </w:r>
          </w:p>
        </w:tc>
        <w:tc>
          <w:tcPr>
            <w:tcW w:w="1272" w:type="dxa"/>
          </w:tcPr>
          <w:p w:rsidR="00374975" w:rsidRDefault="00374975" w:rsidP="00434FCF">
            <w:pPr>
              <w:pStyle w:val="NoSpacing"/>
              <w:jc w:val="right"/>
            </w:pPr>
            <w:r>
              <w:t>(351)</w:t>
            </w:r>
          </w:p>
        </w:tc>
        <w:tc>
          <w:tcPr>
            <w:tcW w:w="1258" w:type="dxa"/>
          </w:tcPr>
          <w:p w:rsidR="00374975" w:rsidRDefault="00374975" w:rsidP="00434FCF">
            <w:pPr>
              <w:pStyle w:val="NoSpacing"/>
              <w:jc w:val="right"/>
            </w:pPr>
            <w:r>
              <w:t>(351)</w:t>
            </w:r>
          </w:p>
        </w:tc>
      </w:tr>
      <w:tr w:rsidR="00374975" w:rsidTr="00434FCF">
        <w:tc>
          <w:tcPr>
            <w:tcW w:w="4201" w:type="dxa"/>
          </w:tcPr>
          <w:p w:rsidR="00374975" w:rsidRDefault="00374975" w:rsidP="00434FCF">
            <w:pPr>
              <w:pStyle w:val="NoSpacing"/>
            </w:pPr>
            <w:r>
              <w:t>Payment of lease liabilities</w:t>
            </w:r>
          </w:p>
        </w:tc>
        <w:tc>
          <w:tcPr>
            <w:tcW w:w="1398" w:type="dxa"/>
          </w:tcPr>
          <w:p w:rsidR="00374975" w:rsidRDefault="00374975" w:rsidP="00434FCF">
            <w:pPr>
              <w:pStyle w:val="NoSpacing"/>
            </w:pPr>
          </w:p>
        </w:tc>
        <w:tc>
          <w:tcPr>
            <w:tcW w:w="1388" w:type="dxa"/>
          </w:tcPr>
          <w:p w:rsidR="00374975" w:rsidRDefault="00374975" w:rsidP="00434FCF">
            <w:pPr>
              <w:pStyle w:val="NoSpacing"/>
              <w:jc w:val="right"/>
            </w:pPr>
            <w:r>
              <w:t>(1,342)</w:t>
            </w:r>
          </w:p>
        </w:tc>
        <w:tc>
          <w:tcPr>
            <w:tcW w:w="1257" w:type="dxa"/>
          </w:tcPr>
          <w:p w:rsidR="00374975" w:rsidRDefault="00374975" w:rsidP="00434FCF">
            <w:pPr>
              <w:pStyle w:val="NoSpacing"/>
              <w:jc w:val="right"/>
            </w:pPr>
            <w:r>
              <w:t>-</w:t>
            </w:r>
          </w:p>
        </w:tc>
        <w:tc>
          <w:tcPr>
            <w:tcW w:w="1272" w:type="dxa"/>
          </w:tcPr>
          <w:p w:rsidR="00374975" w:rsidRDefault="00374975" w:rsidP="00434FCF">
            <w:pPr>
              <w:pStyle w:val="NoSpacing"/>
              <w:jc w:val="right"/>
            </w:pPr>
            <w:r>
              <w:t>(1,342)</w:t>
            </w:r>
          </w:p>
        </w:tc>
        <w:tc>
          <w:tcPr>
            <w:tcW w:w="1258" w:type="dxa"/>
          </w:tcPr>
          <w:p w:rsidR="00374975" w:rsidRDefault="00374975" w:rsidP="00434FCF">
            <w:pPr>
              <w:pStyle w:val="NoSpacing"/>
              <w:jc w:val="right"/>
            </w:pPr>
            <w:r>
              <w:t>-</w:t>
            </w:r>
          </w:p>
        </w:tc>
      </w:tr>
      <w:tr w:rsidR="00374975" w:rsidTr="00434FCF">
        <w:tc>
          <w:tcPr>
            <w:tcW w:w="4201" w:type="dxa"/>
          </w:tcPr>
          <w:p w:rsidR="00374975" w:rsidRDefault="00374975" w:rsidP="00434FCF">
            <w:pPr>
              <w:pStyle w:val="NoSpacing"/>
            </w:pPr>
            <w:r>
              <w:t>Net cash flows from /(used in) financing activities</w:t>
            </w:r>
          </w:p>
        </w:tc>
        <w:tc>
          <w:tcPr>
            <w:tcW w:w="1398" w:type="dxa"/>
          </w:tcPr>
          <w:p w:rsidR="00374975" w:rsidRDefault="00374975" w:rsidP="00434FCF">
            <w:pPr>
              <w:pStyle w:val="NoSpacing"/>
            </w:pPr>
          </w:p>
        </w:tc>
        <w:tc>
          <w:tcPr>
            <w:tcW w:w="1388" w:type="dxa"/>
          </w:tcPr>
          <w:p w:rsidR="00374975" w:rsidRDefault="00374975" w:rsidP="00434FCF">
            <w:pPr>
              <w:pStyle w:val="NoSpacing"/>
              <w:jc w:val="right"/>
            </w:pPr>
            <w:r>
              <w:t>(1,693)</w:t>
            </w:r>
          </w:p>
        </w:tc>
        <w:tc>
          <w:tcPr>
            <w:tcW w:w="1257" w:type="dxa"/>
          </w:tcPr>
          <w:p w:rsidR="00374975" w:rsidRDefault="00374975" w:rsidP="00434FCF">
            <w:pPr>
              <w:pStyle w:val="NoSpacing"/>
              <w:jc w:val="right"/>
            </w:pPr>
            <w:r>
              <w:t xml:space="preserve">(351) </w:t>
            </w:r>
          </w:p>
        </w:tc>
        <w:tc>
          <w:tcPr>
            <w:tcW w:w="1272" w:type="dxa"/>
          </w:tcPr>
          <w:p w:rsidR="00374975" w:rsidRDefault="00374975" w:rsidP="00434FCF">
            <w:pPr>
              <w:pStyle w:val="NoSpacing"/>
              <w:jc w:val="right"/>
            </w:pPr>
            <w:r>
              <w:t>(1,693)</w:t>
            </w:r>
          </w:p>
        </w:tc>
        <w:tc>
          <w:tcPr>
            <w:tcW w:w="1258" w:type="dxa"/>
          </w:tcPr>
          <w:p w:rsidR="00374975" w:rsidRDefault="00374975" w:rsidP="00434FCF">
            <w:pPr>
              <w:pStyle w:val="NoSpacing"/>
              <w:jc w:val="right"/>
            </w:pPr>
            <w:r>
              <w:t>(351)</w:t>
            </w:r>
          </w:p>
        </w:tc>
      </w:tr>
    </w:tbl>
    <w:p w:rsidR="00374975" w:rsidRDefault="00374975" w:rsidP="005942B8">
      <w:pPr>
        <w:pStyle w:val="NoSpacing"/>
      </w:pPr>
    </w:p>
    <w:tbl>
      <w:tblPr>
        <w:tblStyle w:val="TableGrid"/>
        <w:tblW w:w="10774" w:type="dxa"/>
        <w:tblInd w:w="-856" w:type="dxa"/>
        <w:tblLook w:val="04A0" w:firstRow="1" w:lastRow="0" w:firstColumn="1" w:lastColumn="0" w:noHBand="0" w:noVBand="1"/>
      </w:tblPr>
      <w:tblGrid>
        <w:gridCol w:w="4201"/>
        <w:gridCol w:w="1398"/>
        <w:gridCol w:w="1388"/>
        <w:gridCol w:w="1257"/>
        <w:gridCol w:w="1272"/>
        <w:gridCol w:w="1258"/>
      </w:tblGrid>
      <w:tr w:rsidR="00374975" w:rsidTr="00434FCF">
        <w:tc>
          <w:tcPr>
            <w:tcW w:w="4201" w:type="dxa"/>
          </w:tcPr>
          <w:p w:rsidR="00374975" w:rsidRDefault="00374975" w:rsidP="00434FCF">
            <w:pPr>
              <w:pStyle w:val="NoSpacing"/>
            </w:pPr>
            <w:r>
              <w:t>Net increase/(decrease) in cash equivalents</w:t>
            </w:r>
          </w:p>
        </w:tc>
        <w:tc>
          <w:tcPr>
            <w:tcW w:w="1398" w:type="dxa"/>
          </w:tcPr>
          <w:p w:rsidR="00374975" w:rsidRDefault="00374975" w:rsidP="00434FCF">
            <w:pPr>
              <w:pStyle w:val="NoSpacing"/>
            </w:pPr>
          </w:p>
        </w:tc>
        <w:tc>
          <w:tcPr>
            <w:tcW w:w="1388" w:type="dxa"/>
          </w:tcPr>
          <w:p w:rsidR="00374975" w:rsidRDefault="00374975" w:rsidP="00434FCF">
            <w:pPr>
              <w:pStyle w:val="NoSpacing"/>
              <w:jc w:val="right"/>
            </w:pPr>
            <w:r>
              <w:t>18,570</w:t>
            </w:r>
          </w:p>
        </w:tc>
        <w:tc>
          <w:tcPr>
            <w:tcW w:w="1257" w:type="dxa"/>
          </w:tcPr>
          <w:p w:rsidR="00374975" w:rsidRDefault="00374975" w:rsidP="00434FCF">
            <w:pPr>
              <w:pStyle w:val="NoSpacing"/>
              <w:jc w:val="right"/>
            </w:pPr>
            <w:r>
              <w:t>(10,099)</w:t>
            </w:r>
          </w:p>
        </w:tc>
        <w:tc>
          <w:tcPr>
            <w:tcW w:w="1272" w:type="dxa"/>
          </w:tcPr>
          <w:p w:rsidR="00374975" w:rsidRDefault="00374975" w:rsidP="00434FCF">
            <w:pPr>
              <w:pStyle w:val="NoSpacing"/>
              <w:jc w:val="right"/>
            </w:pPr>
            <w:r>
              <w:t>18,741</w:t>
            </w:r>
          </w:p>
        </w:tc>
        <w:tc>
          <w:tcPr>
            <w:tcW w:w="1258" w:type="dxa"/>
          </w:tcPr>
          <w:p w:rsidR="00374975" w:rsidRDefault="00374975" w:rsidP="00434FCF">
            <w:pPr>
              <w:pStyle w:val="NoSpacing"/>
              <w:jc w:val="right"/>
            </w:pPr>
            <w:r>
              <w:t>(10,332)</w:t>
            </w:r>
          </w:p>
        </w:tc>
      </w:tr>
      <w:tr w:rsidR="00374975" w:rsidTr="00434FCF">
        <w:tc>
          <w:tcPr>
            <w:tcW w:w="4201" w:type="dxa"/>
          </w:tcPr>
          <w:p w:rsidR="00374975" w:rsidRDefault="00374975" w:rsidP="00434FCF">
            <w:pPr>
              <w:pStyle w:val="NoSpacing"/>
            </w:pPr>
            <w:r>
              <w:t>Cash and cash equivalents at the beginning of the financial year</w:t>
            </w:r>
          </w:p>
        </w:tc>
        <w:tc>
          <w:tcPr>
            <w:tcW w:w="1398" w:type="dxa"/>
          </w:tcPr>
          <w:p w:rsidR="00374975" w:rsidRDefault="00374975" w:rsidP="00434FCF">
            <w:pPr>
              <w:pStyle w:val="NoSpacing"/>
            </w:pPr>
          </w:p>
        </w:tc>
        <w:tc>
          <w:tcPr>
            <w:tcW w:w="1388" w:type="dxa"/>
          </w:tcPr>
          <w:p w:rsidR="00374975" w:rsidRDefault="00374975" w:rsidP="00434FCF">
            <w:pPr>
              <w:pStyle w:val="NoSpacing"/>
              <w:jc w:val="right"/>
            </w:pPr>
            <w:r>
              <w:t>36,338</w:t>
            </w:r>
          </w:p>
        </w:tc>
        <w:tc>
          <w:tcPr>
            <w:tcW w:w="1257" w:type="dxa"/>
          </w:tcPr>
          <w:p w:rsidR="00374975" w:rsidRDefault="00374975" w:rsidP="00434FCF">
            <w:pPr>
              <w:pStyle w:val="NoSpacing"/>
              <w:jc w:val="right"/>
            </w:pPr>
            <w:r>
              <w:t>46,437</w:t>
            </w:r>
          </w:p>
        </w:tc>
        <w:tc>
          <w:tcPr>
            <w:tcW w:w="1272" w:type="dxa"/>
          </w:tcPr>
          <w:p w:rsidR="00374975" w:rsidRDefault="00374975" w:rsidP="00434FCF">
            <w:pPr>
              <w:pStyle w:val="NoSpacing"/>
              <w:jc w:val="right"/>
            </w:pPr>
            <w:r>
              <w:t>35,359</w:t>
            </w:r>
          </w:p>
        </w:tc>
        <w:tc>
          <w:tcPr>
            <w:tcW w:w="1258" w:type="dxa"/>
          </w:tcPr>
          <w:p w:rsidR="00374975" w:rsidRDefault="00374975" w:rsidP="00434FCF">
            <w:pPr>
              <w:pStyle w:val="NoSpacing"/>
              <w:jc w:val="right"/>
            </w:pPr>
            <w:r>
              <w:t>45,691</w:t>
            </w:r>
          </w:p>
        </w:tc>
      </w:tr>
      <w:tr w:rsidR="00374975" w:rsidTr="00434FCF">
        <w:tc>
          <w:tcPr>
            <w:tcW w:w="4201" w:type="dxa"/>
          </w:tcPr>
          <w:p w:rsidR="00374975" w:rsidRDefault="00374975" w:rsidP="00434FCF">
            <w:pPr>
              <w:pStyle w:val="NoSpacing"/>
            </w:pPr>
            <w:r>
              <w:t>Cash and cash equivalents at end of the financial year</w:t>
            </w:r>
          </w:p>
        </w:tc>
        <w:tc>
          <w:tcPr>
            <w:tcW w:w="1398" w:type="dxa"/>
          </w:tcPr>
          <w:p w:rsidR="00374975" w:rsidRDefault="00374975" w:rsidP="00434FCF">
            <w:pPr>
              <w:pStyle w:val="NoSpacing"/>
            </w:pPr>
            <w:r>
              <w:t>6.1</w:t>
            </w:r>
          </w:p>
        </w:tc>
        <w:tc>
          <w:tcPr>
            <w:tcW w:w="1388" w:type="dxa"/>
          </w:tcPr>
          <w:p w:rsidR="00374975" w:rsidRDefault="00374975" w:rsidP="00434FCF">
            <w:pPr>
              <w:pStyle w:val="NoSpacing"/>
              <w:jc w:val="right"/>
            </w:pPr>
            <w:r>
              <w:t>54,908</w:t>
            </w:r>
          </w:p>
        </w:tc>
        <w:tc>
          <w:tcPr>
            <w:tcW w:w="1257" w:type="dxa"/>
          </w:tcPr>
          <w:p w:rsidR="00374975" w:rsidRDefault="00374975" w:rsidP="00434FCF">
            <w:pPr>
              <w:pStyle w:val="NoSpacing"/>
              <w:jc w:val="right"/>
            </w:pPr>
            <w:r>
              <w:t>36,338</w:t>
            </w:r>
          </w:p>
        </w:tc>
        <w:tc>
          <w:tcPr>
            <w:tcW w:w="1272" w:type="dxa"/>
          </w:tcPr>
          <w:p w:rsidR="00374975" w:rsidRDefault="00374975" w:rsidP="00434FCF">
            <w:pPr>
              <w:pStyle w:val="NoSpacing"/>
              <w:jc w:val="right"/>
            </w:pPr>
            <w:r>
              <w:t>54,100</w:t>
            </w:r>
          </w:p>
        </w:tc>
        <w:tc>
          <w:tcPr>
            <w:tcW w:w="1258" w:type="dxa"/>
          </w:tcPr>
          <w:p w:rsidR="00374975" w:rsidRDefault="00374975" w:rsidP="00434FCF">
            <w:pPr>
              <w:pStyle w:val="NoSpacing"/>
              <w:jc w:val="right"/>
            </w:pPr>
            <w:r>
              <w:t>35,359</w:t>
            </w:r>
          </w:p>
        </w:tc>
      </w:tr>
    </w:tbl>
    <w:p w:rsidR="00D5042D" w:rsidRDefault="00D5042D" w:rsidP="005942B8">
      <w:pPr>
        <w:pStyle w:val="NoSpacing"/>
      </w:pPr>
    </w:p>
    <w:p w:rsidR="00D5042D" w:rsidRDefault="00374975" w:rsidP="005942B8">
      <w:pPr>
        <w:pStyle w:val="NoSpacing"/>
      </w:pPr>
      <w:r>
        <w:t>The above Cash Flow Statement should be read in conjunction with the accompanying notes to the financial statements.</w:t>
      </w:r>
    </w:p>
    <w:p w:rsidR="00D5042D" w:rsidRDefault="00D5042D" w:rsidP="005942B8">
      <w:pPr>
        <w:pStyle w:val="NoSpacing"/>
      </w:pPr>
    </w:p>
    <w:p w:rsidR="00DC779D" w:rsidRDefault="00DC779D" w:rsidP="005942B8">
      <w:pPr>
        <w:pStyle w:val="NoSpacing"/>
      </w:pPr>
      <w:r>
        <w:t>&lt;page</w:t>
      </w:r>
      <w:r w:rsidR="00374975">
        <w:t xml:space="preserve"> 49</w:t>
      </w:r>
      <w:r>
        <w:t>&gt;</w:t>
      </w:r>
    </w:p>
    <w:p w:rsidR="00DC779D" w:rsidRDefault="00DC779D" w:rsidP="005942B8">
      <w:pPr>
        <w:pStyle w:val="NoSpacing"/>
      </w:pPr>
    </w:p>
    <w:p w:rsidR="00DC779D" w:rsidRDefault="00DC779D" w:rsidP="00DC779D">
      <w:pPr>
        <w:pStyle w:val="Heading2"/>
      </w:pPr>
      <w:r>
        <w:t xml:space="preserve">Notes to the Financial Statements </w:t>
      </w:r>
    </w:p>
    <w:p w:rsidR="00DC779D" w:rsidRDefault="00DC779D" w:rsidP="005942B8">
      <w:pPr>
        <w:pStyle w:val="NoSpacing"/>
      </w:pPr>
    </w:p>
    <w:p w:rsidR="00DC779D" w:rsidRDefault="00DC779D" w:rsidP="00DC779D">
      <w:pPr>
        <w:pStyle w:val="Heading3"/>
      </w:pPr>
      <w:r>
        <w:t>Contents</w:t>
      </w:r>
    </w:p>
    <w:p w:rsidR="00DC779D" w:rsidRDefault="00A54866" w:rsidP="005942B8">
      <w:pPr>
        <w:pStyle w:val="NoSpacing"/>
      </w:pPr>
      <w:r>
        <w:tab/>
      </w:r>
      <w:r>
        <w:tab/>
      </w:r>
      <w:r>
        <w:tab/>
      </w:r>
      <w:r>
        <w:tab/>
      </w:r>
      <w:r>
        <w:tab/>
      </w:r>
      <w:r>
        <w:tab/>
        <w:t>Page</w:t>
      </w:r>
    </w:p>
    <w:p w:rsidR="00374975" w:rsidRDefault="00A54866" w:rsidP="005942B8">
      <w:pPr>
        <w:pStyle w:val="NoSpacing"/>
      </w:pPr>
      <w:r>
        <w:t>1</w:t>
      </w:r>
      <w:r>
        <w:tab/>
        <w:t xml:space="preserve">About this report </w:t>
      </w:r>
      <w:r>
        <w:tab/>
      </w:r>
      <w:r>
        <w:tab/>
      </w:r>
      <w:r>
        <w:tab/>
        <w:t>51</w:t>
      </w:r>
    </w:p>
    <w:p w:rsidR="00A54866" w:rsidRDefault="00A54866" w:rsidP="005942B8">
      <w:pPr>
        <w:pStyle w:val="NoSpacing"/>
      </w:pPr>
    </w:p>
    <w:p w:rsidR="00A54866" w:rsidRDefault="00A54866" w:rsidP="005942B8">
      <w:pPr>
        <w:pStyle w:val="NoSpacing"/>
      </w:pPr>
      <w:r>
        <w:t xml:space="preserve">2 </w:t>
      </w:r>
      <w:r>
        <w:tab/>
        <w:t>How we earned our funds</w:t>
      </w:r>
      <w:r>
        <w:tab/>
      </w:r>
      <w:r>
        <w:tab/>
        <w:t>52</w:t>
      </w:r>
    </w:p>
    <w:p w:rsidR="00A54866" w:rsidRDefault="00A54866" w:rsidP="005942B8">
      <w:pPr>
        <w:pStyle w:val="NoSpacing"/>
      </w:pPr>
      <w:r>
        <w:t>2.1</w:t>
      </w:r>
      <w:r>
        <w:tab/>
        <w:t>Government contributions</w:t>
      </w:r>
      <w:r>
        <w:tab/>
      </w:r>
      <w:r>
        <w:tab/>
        <w:t>52</w:t>
      </w:r>
    </w:p>
    <w:p w:rsidR="00A54866" w:rsidRDefault="00A54866" w:rsidP="005942B8">
      <w:pPr>
        <w:pStyle w:val="NoSpacing"/>
      </w:pPr>
      <w:r>
        <w:t>2.2</w:t>
      </w:r>
      <w:r>
        <w:tab/>
        <w:t xml:space="preserve">Sales from contracts with customers </w:t>
      </w:r>
      <w:r>
        <w:tab/>
        <w:t>53</w:t>
      </w:r>
    </w:p>
    <w:p w:rsidR="00A54866" w:rsidRDefault="00A54866" w:rsidP="005942B8">
      <w:pPr>
        <w:pStyle w:val="NoSpacing"/>
      </w:pPr>
      <w:r>
        <w:t>2.3</w:t>
      </w:r>
      <w:r>
        <w:tab/>
        <w:t xml:space="preserve">Other income </w:t>
      </w:r>
      <w:r>
        <w:tab/>
      </w:r>
      <w:r>
        <w:tab/>
      </w:r>
      <w:r>
        <w:tab/>
      </w:r>
      <w:r>
        <w:tab/>
        <w:t>59</w:t>
      </w:r>
    </w:p>
    <w:p w:rsidR="00A54866" w:rsidRDefault="00A54866" w:rsidP="005942B8">
      <w:pPr>
        <w:pStyle w:val="NoSpacing"/>
      </w:pPr>
    </w:p>
    <w:p w:rsidR="00A54866" w:rsidRDefault="00A54866" w:rsidP="005942B8">
      <w:pPr>
        <w:pStyle w:val="NoSpacing"/>
      </w:pPr>
      <w:r>
        <w:t>3</w:t>
      </w:r>
      <w:r>
        <w:tab/>
        <w:t>How we expended our funds</w:t>
      </w:r>
      <w:r>
        <w:tab/>
      </w:r>
      <w:r>
        <w:tab/>
        <w:t>60</w:t>
      </w:r>
    </w:p>
    <w:p w:rsidR="00A54866" w:rsidRDefault="00A54866" w:rsidP="005942B8">
      <w:pPr>
        <w:pStyle w:val="NoSpacing"/>
      </w:pPr>
      <w:r>
        <w:t>3.1</w:t>
      </w:r>
      <w:r>
        <w:tab/>
        <w:t>Employee benefits</w:t>
      </w:r>
      <w:r>
        <w:tab/>
      </w:r>
      <w:r>
        <w:tab/>
      </w:r>
      <w:r>
        <w:tab/>
        <w:t>60</w:t>
      </w:r>
    </w:p>
    <w:p w:rsidR="00A54866" w:rsidRDefault="00A54866" w:rsidP="005942B8">
      <w:pPr>
        <w:pStyle w:val="NoSpacing"/>
      </w:pPr>
      <w:r>
        <w:t>3.1.1</w:t>
      </w:r>
      <w:r>
        <w:tab/>
        <w:t xml:space="preserve">Employee benefits in the </w:t>
      </w:r>
    </w:p>
    <w:p w:rsidR="00A54866" w:rsidRDefault="00A54866" w:rsidP="00A54866">
      <w:pPr>
        <w:pStyle w:val="NoSpacing"/>
        <w:ind w:firstLine="720"/>
      </w:pPr>
      <w:r>
        <w:t>Comprehensive operating statement</w:t>
      </w:r>
      <w:r>
        <w:tab/>
        <w:t>60</w:t>
      </w:r>
    </w:p>
    <w:p w:rsidR="00A54866" w:rsidRDefault="00A54866" w:rsidP="00A54866">
      <w:pPr>
        <w:pStyle w:val="NoSpacing"/>
      </w:pPr>
      <w:r>
        <w:t>3.1.2</w:t>
      </w:r>
      <w:r>
        <w:tab/>
        <w:t>Other expenditure commitments</w:t>
      </w:r>
      <w:r>
        <w:tab/>
        <w:t>63</w:t>
      </w:r>
    </w:p>
    <w:p w:rsidR="00A54866" w:rsidRDefault="00A54866" w:rsidP="00A54866">
      <w:pPr>
        <w:pStyle w:val="NoSpacing"/>
      </w:pPr>
      <w:r>
        <w:t>3.2</w:t>
      </w:r>
      <w:r>
        <w:tab/>
        <w:t>Superannuation</w:t>
      </w:r>
      <w:r>
        <w:tab/>
      </w:r>
      <w:r>
        <w:tab/>
      </w:r>
      <w:r>
        <w:tab/>
      </w:r>
      <w:r>
        <w:tab/>
        <w:t>61</w:t>
      </w:r>
    </w:p>
    <w:p w:rsidR="00A54866" w:rsidRDefault="00A54866" w:rsidP="00A54866">
      <w:pPr>
        <w:pStyle w:val="NoSpacing"/>
      </w:pPr>
      <w:r>
        <w:t>3.3</w:t>
      </w:r>
      <w:r>
        <w:tab/>
        <w:t>Supplies and services</w:t>
      </w:r>
      <w:r>
        <w:tab/>
      </w:r>
      <w:r>
        <w:tab/>
      </w:r>
      <w:r>
        <w:tab/>
        <w:t>62</w:t>
      </w:r>
    </w:p>
    <w:p w:rsidR="00A54866" w:rsidRDefault="00A54866" w:rsidP="00A54866">
      <w:pPr>
        <w:pStyle w:val="NoSpacing"/>
      </w:pPr>
      <w:r>
        <w:t>3.3.1</w:t>
      </w:r>
      <w:r>
        <w:tab/>
        <w:t xml:space="preserve">Non-cancellable operating lease </w:t>
      </w:r>
    </w:p>
    <w:p w:rsidR="00A54866" w:rsidRDefault="00A54866" w:rsidP="00A54866">
      <w:pPr>
        <w:pStyle w:val="NoSpacing"/>
      </w:pPr>
      <w:r>
        <w:tab/>
        <w:t>Commitments</w:t>
      </w:r>
      <w:r>
        <w:tab/>
      </w:r>
      <w:r>
        <w:tab/>
      </w:r>
      <w:r>
        <w:tab/>
      </w:r>
      <w:r>
        <w:tab/>
        <w:t>62</w:t>
      </w:r>
    </w:p>
    <w:p w:rsidR="00A54866" w:rsidRDefault="00A54866" w:rsidP="00A54866">
      <w:pPr>
        <w:pStyle w:val="NoSpacing"/>
      </w:pPr>
      <w:r>
        <w:t>3.3.2</w:t>
      </w:r>
      <w:r>
        <w:tab/>
        <w:t>Other expenditure commitments</w:t>
      </w:r>
      <w:r>
        <w:tab/>
        <w:t>63</w:t>
      </w:r>
    </w:p>
    <w:p w:rsidR="00A54866" w:rsidRDefault="00A54866" w:rsidP="00A54866">
      <w:pPr>
        <w:pStyle w:val="NoSpacing"/>
      </w:pPr>
      <w:r>
        <w:lastRenderedPageBreak/>
        <w:t>3.3.3</w:t>
      </w:r>
      <w:r>
        <w:tab/>
        <w:t>Other operating expenses</w:t>
      </w:r>
      <w:r>
        <w:tab/>
      </w:r>
      <w:r>
        <w:tab/>
        <w:t>63</w:t>
      </w:r>
    </w:p>
    <w:p w:rsidR="00A54866" w:rsidRDefault="00A54866" w:rsidP="00A54866">
      <w:pPr>
        <w:pStyle w:val="NoSpacing"/>
      </w:pPr>
      <w:r>
        <w:t>3.4</w:t>
      </w:r>
      <w:r>
        <w:tab/>
        <w:t>Leases</w:t>
      </w:r>
      <w:r>
        <w:tab/>
      </w:r>
      <w:r>
        <w:tab/>
      </w:r>
      <w:r>
        <w:tab/>
      </w:r>
      <w:r>
        <w:tab/>
      </w:r>
      <w:r>
        <w:tab/>
        <w:t>64</w:t>
      </w:r>
    </w:p>
    <w:p w:rsidR="00A54866" w:rsidRDefault="00A54866" w:rsidP="00A54866">
      <w:pPr>
        <w:pStyle w:val="NoSpacing"/>
      </w:pPr>
    </w:p>
    <w:p w:rsidR="00A54866" w:rsidRDefault="00A54866" w:rsidP="00A54866">
      <w:pPr>
        <w:pStyle w:val="NoSpacing"/>
      </w:pPr>
      <w:r>
        <w:t xml:space="preserve">4 </w:t>
      </w:r>
      <w:r>
        <w:tab/>
        <w:t>The assets we invested in</w:t>
      </w:r>
      <w:r>
        <w:tab/>
      </w:r>
      <w:r>
        <w:tab/>
        <w:t>67</w:t>
      </w:r>
    </w:p>
    <w:p w:rsidR="00A54866" w:rsidRDefault="00A54866" w:rsidP="00A54866">
      <w:pPr>
        <w:pStyle w:val="NoSpacing"/>
      </w:pPr>
      <w:r>
        <w:t>4.1</w:t>
      </w:r>
      <w:r>
        <w:tab/>
        <w:t>Property, plant and equipment</w:t>
      </w:r>
      <w:r>
        <w:tab/>
      </w:r>
      <w:r>
        <w:tab/>
        <w:t>67</w:t>
      </w:r>
    </w:p>
    <w:p w:rsidR="00A54866" w:rsidRDefault="00A54866" w:rsidP="00A54866">
      <w:pPr>
        <w:pStyle w:val="NoSpacing"/>
      </w:pPr>
      <w:r>
        <w:t>4.1.1</w:t>
      </w:r>
      <w:r>
        <w:tab/>
        <w:t xml:space="preserve">Reconciliation of movements in </w:t>
      </w:r>
    </w:p>
    <w:p w:rsidR="00A54866" w:rsidRDefault="00A54866" w:rsidP="00A54866">
      <w:pPr>
        <w:pStyle w:val="NoSpacing"/>
      </w:pPr>
      <w:r>
        <w:tab/>
        <w:t>carrying amount of property, plant</w:t>
      </w:r>
    </w:p>
    <w:p w:rsidR="00A54866" w:rsidRDefault="00A54866" w:rsidP="00A54866">
      <w:pPr>
        <w:pStyle w:val="NoSpacing"/>
      </w:pPr>
      <w:r>
        <w:tab/>
        <w:t>and equipment</w:t>
      </w:r>
      <w:r>
        <w:tab/>
      </w:r>
      <w:r>
        <w:tab/>
      </w:r>
      <w:r>
        <w:tab/>
      </w:r>
      <w:r>
        <w:tab/>
        <w:t>68</w:t>
      </w:r>
    </w:p>
    <w:p w:rsidR="00A54866" w:rsidRDefault="00A54866" w:rsidP="00A54866">
      <w:pPr>
        <w:pStyle w:val="NoSpacing"/>
      </w:pPr>
      <w:r>
        <w:t>4.1.2</w:t>
      </w:r>
      <w:r>
        <w:tab/>
        <w:t>Capital commitments</w:t>
      </w:r>
      <w:r>
        <w:tab/>
      </w:r>
      <w:r>
        <w:tab/>
      </w:r>
      <w:r>
        <w:tab/>
        <w:t>69</w:t>
      </w:r>
    </w:p>
    <w:p w:rsidR="00A54866" w:rsidRDefault="00A54866" w:rsidP="00A54866">
      <w:pPr>
        <w:pStyle w:val="NoSpacing"/>
      </w:pPr>
      <w:r>
        <w:t>4.1.3</w:t>
      </w:r>
      <w:r>
        <w:tab/>
        <w:t>Gain/loss on property, plant and</w:t>
      </w:r>
      <w:r>
        <w:tab/>
        <w:t xml:space="preserve"> </w:t>
      </w:r>
    </w:p>
    <w:p w:rsidR="00A54866" w:rsidRDefault="00A54866" w:rsidP="00A54866">
      <w:pPr>
        <w:pStyle w:val="NoSpacing"/>
        <w:ind w:firstLine="720"/>
      </w:pPr>
      <w:r>
        <w:t>equipment</w:t>
      </w:r>
      <w:r>
        <w:tab/>
      </w:r>
      <w:r>
        <w:tab/>
      </w:r>
      <w:r>
        <w:tab/>
      </w:r>
      <w:r>
        <w:tab/>
        <w:t>70</w:t>
      </w:r>
    </w:p>
    <w:p w:rsidR="00A54866" w:rsidRDefault="00A54866" w:rsidP="005942B8">
      <w:pPr>
        <w:pStyle w:val="NoSpacing"/>
      </w:pPr>
      <w:r>
        <w:t>4.2</w:t>
      </w:r>
      <w:r>
        <w:tab/>
        <w:t>Intangible assets</w:t>
      </w:r>
      <w:r>
        <w:tab/>
      </w:r>
      <w:r>
        <w:tab/>
      </w:r>
      <w:r>
        <w:tab/>
      </w:r>
    </w:p>
    <w:p w:rsidR="00374975" w:rsidRDefault="00A54866" w:rsidP="005942B8">
      <w:pPr>
        <w:pStyle w:val="NoSpacing"/>
      </w:pPr>
      <w:r>
        <w:t>4.3</w:t>
      </w:r>
      <w:r>
        <w:tab/>
        <w:t>Depreciation and amortisation</w:t>
      </w:r>
      <w:r>
        <w:tab/>
      </w:r>
      <w:r>
        <w:tab/>
        <w:t>70</w:t>
      </w:r>
    </w:p>
    <w:p w:rsidR="00A54866" w:rsidRDefault="00A54866" w:rsidP="005942B8">
      <w:pPr>
        <w:pStyle w:val="NoSpacing"/>
      </w:pPr>
      <w:r>
        <w:t>4.4</w:t>
      </w:r>
      <w:r>
        <w:tab/>
        <w:t xml:space="preserve">Investments and other financial assets </w:t>
      </w:r>
      <w:r>
        <w:tab/>
        <w:t>72</w:t>
      </w:r>
    </w:p>
    <w:p w:rsidR="00A54866" w:rsidRDefault="00A54866" w:rsidP="005942B8">
      <w:pPr>
        <w:pStyle w:val="NoSpacing"/>
      </w:pPr>
    </w:p>
    <w:p w:rsidR="00A54866" w:rsidRDefault="00A54866" w:rsidP="005942B8">
      <w:pPr>
        <w:pStyle w:val="NoSpacing"/>
      </w:pPr>
      <w:r>
        <w:t>5</w:t>
      </w:r>
      <w:r>
        <w:tab/>
        <w:t xml:space="preserve">Balances from operations </w:t>
      </w:r>
      <w:r>
        <w:tab/>
      </w:r>
      <w:r>
        <w:tab/>
        <w:t>73</w:t>
      </w:r>
    </w:p>
    <w:p w:rsidR="00A54866" w:rsidRDefault="00A54866" w:rsidP="005942B8">
      <w:pPr>
        <w:pStyle w:val="NoSpacing"/>
      </w:pPr>
      <w:r>
        <w:t>5.1</w:t>
      </w:r>
      <w:r>
        <w:tab/>
        <w:t>Receivables</w:t>
      </w:r>
      <w:r>
        <w:tab/>
      </w:r>
      <w:r>
        <w:tab/>
      </w:r>
      <w:r>
        <w:tab/>
      </w:r>
      <w:r>
        <w:tab/>
        <w:t>73</w:t>
      </w:r>
    </w:p>
    <w:p w:rsidR="00A54866" w:rsidRDefault="00775242" w:rsidP="005942B8">
      <w:pPr>
        <w:pStyle w:val="NoSpacing"/>
      </w:pPr>
      <w:r>
        <w:t>5.2</w:t>
      </w:r>
      <w:r>
        <w:tab/>
        <w:t>Payables</w:t>
      </w:r>
      <w:r>
        <w:tab/>
      </w:r>
      <w:r>
        <w:tab/>
      </w:r>
      <w:r>
        <w:tab/>
      </w:r>
      <w:r>
        <w:tab/>
        <w:t>75</w:t>
      </w:r>
    </w:p>
    <w:p w:rsidR="00775242" w:rsidRDefault="00775242" w:rsidP="005942B8">
      <w:pPr>
        <w:pStyle w:val="NoSpacing"/>
      </w:pPr>
      <w:r>
        <w:t>5.3</w:t>
      </w:r>
      <w:r>
        <w:tab/>
        <w:t xml:space="preserve">Other liabilities </w:t>
      </w:r>
      <w:r>
        <w:tab/>
      </w:r>
      <w:r>
        <w:tab/>
      </w:r>
      <w:r>
        <w:tab/>
      </w:r>
      <w:r>
        <w:tab/>
        <w:t>77</w:t>
      </w:r>
    </w:p>
    <w:p w:rsidR="00775242" w:rsidRDefault="00775242" w:rsidP="005942B8">
      <w:pPr>
        <w:pStyle w:val="NoSpacing"/>
      </w:pPr>
    </w:p>
    <w:p w:rsidR="00775242" w:rsidRDefault="00775242" w:rsidP="005942B8">
      <w:pPr>
        <w:pStyle w:val="NoSpacing"/>
      </w:pPr>
      <w:r>
        <w:t>6</w:t>
      </w:r>
      <w:r>
        <w:tab/>
        <w:t xml:space="preserve">How we financed our operations </w:t>
      </w:r>
      <w:r>
        <w:tab/>
        <w:t>77</w:t>
      </w:r>
    </w:p>
    <w:p w:rsidR="00775242" w:rsidRDefault="00775242" w:rsidP="005942B8">
      <w:pPr>
        <w:pStyle w:val="NoSpacing"/>
      </w:pPr>
      <w:r>
        <w:t>6.1</w:t>
      </w:r>
      <w:r>
        <w:tab/>
        <w:t xml:space="preserve">Cash and deposits </w:t>
      </w:r>
      <w:r>
        <w:tab/>
      </w:r>
      <w:r>
        <w:tab/>
      </w:r>
      <w:r>
        <w:tab/>
        <w:t>77</w:t>
      </w:r>
    </w:p>
    <w:p w:rsidR="00775242" w:rsidRDefault="00775242" w:rsidP="005942B8">
      <w:pPr>
        <w:pStyle w:val="NoSpacing"/>
      </w:pPr>
      <w:r>
        <w:t>6.1.1</w:t>
      </w:r>
      <w:r>
        <w:tab/>
        <w:t xml:space="preserve">Reconciliation of operating result to </w:t>
      </w:r>
    </w:p>
    <w:p w:rsidR="00775242" w:rsidRDefault="00775242" w:rsidP="005942B8">
      <w:pPr>
        <w:pStyle w:val="NoSpacing"/>
      </w:pPr>
      <w:r>
        <w:tab/>
        <w:t>net cash flows from operating activities</w:t>
      </w:r>
      <w:r>
        <w:tab/>
        <w:t>78</w:t>
      </w:r>
    </w:p>
    <w:p w:rsidR="00775242" w:rsidRDefault="00775242" w:rsidP="005942B8">
      <w:pPr>
        <w:pStyle w:val="NoSpacing"/>
      </w:pPr>
      <w:r>
        <w:t>6.2</w:t>
      </w:r>
      <w:r>
        <w:tab/>
        <w:t>Borrowings</w:t>
      </w:r>
      <w:r>
        <w:tab/>
      </w:r>
      <w:r>
        <w:tab/>
      </w:r>
      <w:r>
        <w:tab/>
      </w:r>
      <w:r>
        <w:tab/>
        <w:t>78</w:t>
      </w:r>
    </w:p>
    <w:p w:rsidR="00775242" w:rsidRDefault="00775242" w:rsidP="005942B8">
      <w:pPr>
        <w:pStyle w:val="NoSpacing"/>
      </w:pPr>
      <w:r>
        <w:t>6.3</w:t>
      </w:r>
      <w:r>
        <w:tab/>
        <w:t xml:space="preserve">Contributed capital </w:t>
      </w:r>
      <w:r>
        <w:tab/>
      </w:r>
      <w:r>
        <w:tab/>
      </w:r>
      <w:r>
        <w:tab/>
        <w:t>79</w:t>
      </w:r>
    </w:p>
    <w:p w:rsidR="00775242" w:rsidRDefault="00775242" w:rsidP="005942B8">
      <w:pPr>
        <w:pStyle w:val="NoSpacing"/>
      </w:pPr>
    </w:p>
    <w:p w:rsidR="00775242" w:rsidRDefault="00775242" w:rsidP="005942B8">
      <w:pPr>
        <w:pStyle w:val="NoSpacing"/>
      </w:pPr>
      <w:r>
        <w:t>7</w:t>
      </w:r>
      <w:r>
        <w:tab/>
        <w:t>Managing risks and uncertainties</w:t>
      </w:r>
      <w:r>
        <w:tab/>
        <w:t>80</w:t>
      </w:r>
    </w:p>
    <w:p w:rsidR="00775242" w:rsidRDefault="00775242" w:rsidP="005942B8">
      <w:pPr>
        <w:pStyle w:val="NoSpacing"/>
      </w:pPr>
      <w:r>
        <w:t>7.1</w:t>
      </w:r>
      <w:r>
        <w:tab/>
        <w:t>Financial instruments</w:t>
      </w:r>
      <w:r>
        <w:tab/>
      </w:r>
      <w:r>
        <w:tab/>
      </w:r>
      <w:r>
        <w:tab/>
        <w:t>80</w:t>
      </w:r>
    </w:p>
    <w:p w:rsidR="00775242" w:rsidRDefault="00775242" w:rsidP="005942B8">
      <w:pPr>
        <w:pStyle w:val="NoSpacing"/>
      </w:pPr>
      <w:r>
        <w:t>7.1.1</w:t>
      </w:r>
      <w:r>
        <w:tab/>
        <w:t>Financial risk management objectives</w:t>
      </w:r>
      <w:r>
        <w:tab/>
      </w:r>
      <w:r>
        <w:tab/>
      </w:r>
      <w:r>
        <w:tab/>
        <w:t xml:space="preserve"> </w:t>
      </w:r>
    </w:p>
    <w:p w:rsidR="00775242" w:rsidRDefault="00775242" w:rsidP="005942B8">
      <w:pPr>
        <w:pStyle w:val="NoSpacing"/>
      </w:pPr>
      <w:r>
        <w:tab/>
        <w:t xml:space="preserve">and policies </w:t>
      </w:r>
      <w:r>
        <w:tab/>
      </w:r>
      <w:r>
        <w:tab/>
      </w:r>
      <w:r>
        <w:tab/>
      </w:r>
      <w:r>
        <w:tab/>
        <w:t>81</w:t>
      </w:r>
    </w:p>
    <w:p w:rsidR="00775242" w:rsidRDefault="00775242" w:rsidP="005942B8">
      <w:pPr>
        <w:pStyle w:val="NoSpacing"/>
      </w:pPr>
      <w:r>
        <w:t>7.1.2</w:t>
      </w:r>
      <w:r>
        <w:tab/>
        <w:t xml:space="preserve">Credit risk </w:t>
      </w:r>
      <w:r>
        <w:tab/>
      </w:r>
      <w:r>
        <w:tab/>
      </w:r>
      <w:r>
        <w:tab/>
      </w:r>
      <w:r>
        <w:tab/>
        <w:t>81</w:t>
      </w:r>
    </w:p>
    <w:p w:rsidR="00775242" w:rsidRDefault="00775242" w:rsidP="005942B8">
      <w:pPr>
        <w:pStyle w:val="NoSpacing"/>
      </w:pPr>
      <w:r>
        <w:t>7.1.3</w:t>
      </w:r>
      <w:r>
        <w:tab/>
        <w:t>Liquidity risk</w:t>
      </w:r>
      <w:r>
        <w:tab/>
      </w:r>
      <w:r>
        <w:tab/>
      </w:r>
      <w:r>
        <w:tab/>
      </w:r>
      <w:r>
        <w:tab/>
        <w:t>83</w:t>
      </w:r>
    </w:p>
    <w:p w:rsidR="00775242" w:rsidRDefault="00775242" w:rsidP="005942B8">
      <w:pPr>
        <w:pStyle w:val="NoSpacing"/>
      </w:pPr>
      <w:r>
        <w:t>7.2</w:t>
      </w:r>
      <w:r>
        <w:tab/>
        <w:t xml:space="preserve">Contingent assets and contingent </w:t>
      </w:r>
    </w:p>
    <w:p w:rsidR="00775242" w:rsidRDefault="00775242" w:rsidP="005942B8">
      <w:pPr>
        <w:pStyle w:val="NoSpacing"/>
      </w:pPr>
      <w:r>
        <w:tab/>
        <w:t>liabilities</w:t>
      </w:r>
      <w:r>
        <w:tab/>
      </w:r>
      <w:r>
        <w:tab/>
      </w:r>
      <w:r>
        <w:tab/>
      </w:r>
      <w:r>
        <w:tab/>
        <w:t>84</w:t>
      </w:r>
    </w:p>
    <w:p w:rsidR="00775242" w:rsidRDefault="00775242" w:rsidP="005942B8">
      <w:pPr>
        <w:pStyle w:val="NoSpacing"/>
      </w:pPr>
      <w:r>
        <w:t>7.3</w:t>
      </w:r>
      <w:r>
        <w:tab/>
        <w:t>Fair value determination</w:t>
      </w:r>
      <w:r>
        <w:tab/>
      </w:r>
      <w:r>
        <w:tab/>
        <w:t>84</w:t>
      </w:r>
    </w:p>
    <w:p w:rsidR="00775242" w:rsidRDefault="00775242" w:rsidP="005942B8">
      <w:pPr>
        <w:pStyle w:val="NoSpacing"/>
      </w:pPr>
    </w:p>
    <w:p w:rsidR="00775242" w:rsidRDefault="00775242" w:rsidP="005942B8">
      <w:pPr>
        <w:pStyle w:val="NoSpacing"/>
      </w:pPr>
      <w:r>
        <w:t>8</w:t>
      </w:r>
      <w:r>
        <w:tab/>
        <w:t>Governance disclosures</w:t>
      </w:r>
      <w:r>
        <w:tab/>
      </w:r>
      <w:r>
        <w:tab/>
      </w:r>
      <w:r>
        <w:tab/>
        <w:t>88</w:t>
      </w:r>
    </w:p>
    <w:p w:rsidR="00775242" w:rsidRDefault="00775242" w:rsidP="005942B8">
      <w:pPr>
        <w:pStyle w:val="NoSpacing"/>
      </w:pPr>
      <w:r>
        <w:t>8.1</w:t>
      </w:r>
      <w:r>
        <w:tab/>
        <w:t>Responsible persons</w:t>
      </w:r>
      <w:r>
        <w:tab/>
      </w:r>
      <w:r>
        <w:tab/>
      </w:r>
      <w:r>
        <w:tab/>
        <w:t>88</w:t>
      </w:r>
    </w:p>
    <w:p w:rsidR="00775242" w:rsidRDefault="00775242" w:rsidP="005942B8">
      <w:pPr>
        <w:pStyle w:val="NoSpacing"/>
      </w:pPr>
      <w:r>
        <w:t>8.2</w:t>
      </w:r>
      <w:r>
        <w:tab/>
        <w:t>Remuneration of executives</w:t>
      </w:r>
      <w:r>
        <w:tab/>
      </w:r>
      <w:r>
        <w:tab/>
        <w:t>89</w:t>
      </w:r>
    </w:p>
    <w:p w:rsidR="00775242" w:rsidRDefault="00775242" w:rsidP="005942B8">
      <w:pPr>
        <w:pStyle w:val="NoSpacing"/>
      </w:pPr>
      <w:r>
        <w:t>8.3</w:t>
      </w:r>
      <w:r>
        <w:tab/>
        <w:t>Related parties</w:t>
      </w:r>
      <w:r>
        <w:tab/>
      </w:r>
      <w:r>
        <w:tab/>
      </w:r>
      <w:r>
        <w:tab/>
      </w:r>
      <w:r>
        <w:tab/>
        <w:t>90</w:t>
      </w:r>
    </w:p>
    <w:p w:rsidR="00775242" w:rsidRDefault="00775242" w:rsidP="005942B8">
      <w:pPr>
        <w:pStyle w:val="NoSpacing"/>
      </w:pPr>
      <w:r>
        <w:t>8.4</w:t>
      </w:r>
      <w:r>
        <w:tab/>
        <w:t xml:space="preserve">Remuneration of auditors </w:t>
      </w:r>
      <w:r>
        <w:tab/>
      </w:r>
      <w:r>
        <w:tab/>
        <w:t>91</w:t>
      </w:r>
    </w:p>
    <w:p w:rsidR="00775242" w:rsidRDefault="00775242" w:rsidP="005942B8">
      <w:pPr>
        <w:pStyle w:val="NoSpacing"/>
      </w:pPr>
    </w:p>
    <w:p w:rsidR="00775242" w:rsidRDefault="00775242" w:rsidP="005942B8">
      <w:pPr>
        <w:pStyle w:val="NoSpacing"/>
      </w:pPr>
      <w:r>
        <w:t>9</w:t>
      </w:r>
      <w:r>
        <w:tab/>
        <w:t>Other disclosures</w:t>
      </w:r>
      <w:r>
        <w:tab/>
      </w:r>
      <w:r>
        <w:tab/>
      </w:r>
      <w:r>
        <w:tab/>
        <w:t>91</w:t>
      </w:r>
    </w:p>
    <w:p w:rsidR="00374975" w:rsidRDefault="00775242" w:rsidP="005942B8">
      <w:pPr>
        <w:pStyle w:val="NoSpacing"/>
      </w:pPr>
      <w:r>
        <w:t>9.1</w:t>
      </w:r>
      <w:r>
        <w:tab/>
        <w:t xml:space="preserve">Other economic flows included in net  </w:t>
      </w:r>
    </w:p>
    <w:p w:rsidR="00775242" w:rsidRDefault="00775242" w:rsidP="005942B8">
      <w:pPr>
        <w:pStyle w:val="NoSpacing"/>
      </w:pPr>
      <w:r>
        <w:tab/>
        <w:t>result</w:t>
      </w:r>
      <w:r>
        <w:tab/>
      </w:r>
      <w:r>
        <w:tab/>
      </w:r>
      <w:r>
        <w:tab/>
      </w:r>
      <w:r>
        <w:tab/>
      </w:r>
      <w:r>
        <w:tab/>
        <w:t>91</w:t>
      </w:r>
    </w:p>
    <w:p w:rsidR="00775242" w:rsidRDefault="00775242" w:rsidP="005942B8">
      <w:pPr>
        <w:pStyle w:val="NoSpacing"/>
      </w:pPr>
      <w:r>
        <w:t>9.2</w:t>
      </w:r>
      <w:r>
        <w:tab/>
        <w:t>Other equity reserves</w:t>
      </w:r>
      <w:r>
        <w:tab/>
      </w:r>
      <w:r>
        <w:tab/>
      </w:r>
      <w:r>
        <w:tab/>
        <w:t>92</w:t>
      </w:r>
    </w:p>
    <w:p w:rsidR="00775242" w:rsidRDefault="00775242" w:rsidP="005942B8">
      <w:pPr>
        <w:pStyle w:val="NoSpacing"/>
      </w:pPr>
      <w:r>
        <w:t>9.3</w:t>
      </w:r>
      <w:r>
        <w:tab/>
        <w:t>Ex gratia expenses</w:t>
      </w:r>
      <w:r>
        <w:tab/>
      </w:r>
      <w:r>
        <w:tab/>
      </w:r>
      <w:r>
        <w:tab/>
        <w:t>92</w:t>
      </w:r>
    </w:p>
    <w:p w:rsidR="00775242" w:rsidRDefault="00775242" w:rsidP="005942B8">
      <w:pPr>
        <w:pStyle w:val="NoSpacing"/>
      </w:pPr>
      <w:r>
        <w:t>9.4</w:t>
      </w:r>
      <w:r>
        <w:tab/>
        <w:t>Controlled entities</w:t>
      </w:r>
      <w:r>
        <w:tab/>
      </w:r>
      <w:r>
        <w:tab/>
      </w:r>
      <w:r>
        <w:tab/>
        <w:t>92</w:t>
      </w:r>
    </w:p>
    <w:p w:rsidR="00775242" w:rsidRDefault="00775242" w:rsidP="005942B8">
      <w:pPr>
        <w:pStyle w:val="NoSpacing"/>
      </w:pPr>
      <w:r>
        <w:t>9.5</w:t>
      </w:r>
      <w:r>
        <w:tab/>
        <w:t>Events after reporting date</w:t>
      </w:r>
      <w:r>
        <w:tab/>
      </w:r>
      <w:r>
        <w:tab/>
        <w:t>93</w:t>
      </w:r>
    </w:p>
    <w:p w:rsidR="00775242" w:rsidRDefault="00775242" w:rsidP="005942B8">
      <w:pPr>
        <w:pStyle w:val="NoSpacing"/>
      </w:pPr>
      <w:r>
        <w:t>9.6</w:t>
      </w:r>
      <w:r>
        <w:tab/>
        <w:t>Service concession arrangements</w:t>
      </w:r>
      <w:r>
        <w:tab/>
        <w:t>93</w:t>
      </w:r>
    </w:p>
    <w:p w:rsidR="00775242" w:rsidRDefault="00775242" w:rsidP="005942B8">
      <w:pPr>
        <w:pStyle w:val="NoSpacing"/>
      </w:pPr>
      <w:r>
        <w:lastRenderedPageBreak/>
        <w:t>9.7</w:t>
      </w:r>
      <w:r>
        <w:tab/>
        <w:t xml:space="preserve">Application of standards issued but </w:t>
      </w:r>
    </w:p>
    <w:p w:rsidR="00374975" w:rsidRDefault="00775242" w:rsidP="005942B8">
      <w:pPr>
        <w:pStyle w:val="NoSpacing"/>
      </w:pPr>
      <w:r>
        <w:tab/>
        <w:t>not yet effective</w:t>
      </w:r>
      <w:r>
        <w:tab/>
      </w:r>
      <w:r>
        <w:tab/>
      </w:r>
      <w:r>
        <w:tab/>
        <w:t xml:space="preserve">93  </w:t>
      </w:r>
      <w:r>
        <w:tab/>
      </w:r>
      <w:r>
        <w:tab/>
      </w:r>
      <w:r>
        <w:tab/>
        <w:t xml:space="preserve"> </w:t>
      </w:r>
    </w:p>
    <w:p w:rsidR="00374975" w:rsidRDefault="00374975" w:rsidP="005942B8">
      <w:pPr>
        <w:pStyle w:val="NoSpacing"/>
      </w:pPr>
    </w:p>
    <w:p w:rsidR="00775242" w:rsidRDefault="00C52D0A" w:rsidP="005942B8">
      <w:pPr>
        <w:pStyle w:val="NoSpacing"/>
      </w:pPr>
      <w:r>
        <w:t>&lt;page 50&gt;</w:t>
      </w:r>
    </w:p>
    <w:p w:rsidR="00374975" w:rsidRDefault="00374975" w:rsidP="005942B8">
      <w:pPr>
        <w:pStyle w:val="NoSpacing"/>
      </w:pPr>
    </w:p>
    <w:p w:rsidR="00374975" w:rsidRDefault="00C52D0A" w:rsidP="00681D4D">
      <w:pPr>
        <w:pStyle w:val="Heading2"/>
      </w:pPr>
      <w:r>
        <w:t xml:space="preserve">1. About this report </w:t>
      </w:r>
    </w:p>
    <w:p w:rsidR="00C52D0A" w:rsidRDefault="00C52D0A" w:rsidP="005942B8">
      <w:pPr>
        <w:pStyle w:val="NoSpacing"/>
      </w:pPr>
    </w:p>
    <w:p w:rsidR="00786BD7" w:rsidRPr="00786BD7" w:rsidRDefault="00786BD7" w:rsidP="00786BD7">
      <w:pPr>
        <w:autoSpaceDE w:val="0"/>
        <w:autoSpaceDN w:val="0"/>
        <w:adjustRightInd w:val="0"/>
        <w:spacing w:after="0" w:line="240" w:lineRule="auto"/>
        <w:rPr>
          <w:rFonts w:cstheme="minorHAnsi"/>
        </w:rPr>
      </w:pPr>
      <w:r w:rsidRPr="00786BD7">
        <w:rPr>
          <w:rFonts w:cstheme="minorHAnsi"/>
        </w:rPr>
        <w:t>Chisholm Institute (“Chisholm”) is a</w:t>
      </w:r>
      <w:r>
        <w:rPr>
          <w:rFonts w:cstheme="minorHAnsi"/>
        </w:rPr>
        <w:t xml:space="preserve"> </w:t>
      </w:r>
      <w:r w:rsidRPr="00786BD7">
        <w:rPr>
          <w:rFonts w:cstheme="minorHAnsi"/>
        </w:rPr>
        <w:t>statutory body corporate, established</w:t>
      </w:r>
      <w:r>
        <w:rPr>
          <w:rFonts w:cstheme="minorHAnsi"/>
        </w:rPr>
        <w:t xml:space="preserve"> </w:t>
      </w:r>
      <w:r w:rsidRPr="00786BD7">
        <w:rPr>
          <w:rFonts w:cstheme="minorHAnsi"/>
        </w:rPr>
        <w:t>pursuant to an Act made by the</w:t>
      </w:r>
      <w:r>
        <w:rPr>
          <w:rFonts w:cstheme="minorHAnsi"/>
        </w:rPr>
        <w:t xml:space="preserve"> </w:t>
      </w:r>
      <w:r w:rsidRPr="00786BD7">
        <w:rPr>
          <w:rFonts w:cstheme="minorHAnsi"/>
        </w:rPr>
        <w:t>Victorian Government under the</w:t>
      </w:r>
      <w:r>
        <w:rPr>
          <w:rFonts w:cstheme="minorHAnsi"/>
        </w:rPr>
        <w:t xml:space="preserve"> </w:t>
      </w:r>
      <w:r w:rsidRPr="00786BD7">
        <w:rPr>
          <w:rFonts w:cstheme="minorHAnsi"/>
        </w:rPr>
        <w:t>Education and Training Reform Act 2006</w:t>
      </w:r>
      <w:r>
        <w:rPr>
          <w:rFonts w:cstheme="minorHAnsi"/>
        </w:rPr>
        <w:t xml:space="preserve"> </w:t>
      </w:r>
      <w:r w:rsidRPr="00786BD7">
        <w:rPr>
          <w:rFonts w:cstheme="minorHAnsi"/>
        </w:rPr>
        <w:t>Section 3.1.12 4(a).</w:t>
      </w:r>
    </w:p>
    <w:p w:rsidR="00786BD7" w:rsidRDefault="00786BD7" w:rsidP="00786BD7">
      <w:pPr>
        <w:autoSpaceDE w:val="0"/>
        <w:autoSpaceDN w:val="0"/>
        <w:adjustRightInd w:val="0"/>
        <w:spacing w:after="0" w:line="240" w:lineRule="auto"/>
        <w:rPr>
          <w:rFonts w:cstheme="minorHAnsi"/>
        </w:rPr>
      </w:pPr>
    </w:p>
    <w:p w:rsidR="00786BD7" w:rsidRDefault="00786BD7" w:rsidP="00786BD7">
      <w:pPr>
        <w:autoSpaceDE w:val="0"/>
        <w:autoSpaceDN w:val="0"/>
        <w:adjustRightInd w:val="0"/>
        <w:spacing w:after="0" w:line="240" w:lineRule="auto"/>
        <w:rPr>
          <w:rFonts w:cstheme="minorHAnsi"/>
        </w:rPr>
      </w:pPr>
      <w:r w:rsidRPr="00786BD7">
        <w:rPr>
          <w:rFonts w:cstheme="minorHAnsi"/>
        </w:rPr>
        <w:t>Chisholm is a Technical and Further</w:t>
      </w:r>
      <w:r>
        <w:rPr>
          <w:rFonts w:cstheme="minorHAnsi"/>
        </w:rPr>
        <w:t xml:space="preserve"> </w:t>
      </w:r>
      <w:r w:rsidRPr="00786BD7">
        <w:rPr>
          <w:rFonts w:cstheme="minorHAnsi"/>
        </w:rPr>
        <w:t>Education (TAFE) provider, based</w:t>
      </w:r>
      <w:r>
        <w:rPr>
          <w:rFonts w:cstheme="minorHAnsi"/>
        </w:rPr>
        <w:t xml:space="preserve"> </w:t>
      </w:r>
      <w:r w:rsidRPr="00786BD7">
        <w:rPr>
          <w:rFonts w:cstheme="minorHAnsi"/>
        </w:rPr>
        <w:t>predominantly in the South East of</w:t>
      </w:r>
      <w:r>
        <w:rPr>
          <w:rFonts w:cstheme="minorHAnsi"/>
        </w:rPr>
        <w:t xml:space="preserve"> </w:t>
      </w:r>
      <w:r w:rsidRPr="00786BD7">
        <w:rPr>
          <w:rFonts w:cstheme="minorHAnsi"/>
        </w:rPr>
        <w:t>Victoria. In addition to services provided</w:t>
      </w:r>
      <w:r>
        <w:rPr>
          <w:rFonts w:cstheme="minorHAnsi"/>
        </w:rPr>
        <w:t xml:space="preserve"> </w:t>
      </w:r>
      <w:r w:rsidRPr="00786BD7">
        <w:rPr>
          <w:rFonts w:cstheme="minorHAnsi"/>
        </w:rPr>
        <w:t>online and through the workplace, it has</w:t>
      </w:r>
      <w:r>
        <w:rPr>
          <w:rFonts w:cstheme="minorHAnsi"/>
        </w:rPr>
        <w:t xml:space="preserve"> </w:t>
      </w:r>
      <w:r w:rsidRPr="00786BD7">
        <w:rPr>
          <w:rFonts w:cstheme="minorHAnsi"/>
        </w:rPr>
        <w:t>campuses in the following locations:</w:t>
      </w:r>
    </w:p>
    <w:p w:rsidR="00786BD7" w:rsidRPr="00786BD7" w:rsidRDefault="00786BD7" w:rsidP="00786BD7">
      <w:pPr>
        <w:autoSpaceDE w:val="0"/>
        <w:autoSpaceDN w:val="0"/>
        <w:adjustRightInd w:val="0"/>
        <w:spacing w:after="0" w:line="240" w:lineRule="auto"/>
        <w:rPr>
          <w:rFonts w:cstheme="minorHAnsi"/>
        </w:rPr>
      </w:pPr>
    </w:p>
    <w:p w:rsidR="00786BD7" w:rsidRPr="00786BD7" w:rsidRDefault="00786BD7" w:rsidP="00925530">
      <w:pPr>
        <w:pStyle w:val="ListParagraph"/>
        <w:numPr>
          <w:ilvl w:val="0"/>
          <w:numId w:val="39"/>
        </w:numPr>
        <w:autoSpaceDE w:val="0"/>
        <w:autoSpaceDN w:val="0"/>
        <w:adjustRightInd w:val="0"/>
        <w:spacing w:after="0" w:line="240" w:lineRule="auto"/>
        <w:rPr>
          <w:rFonts w:cstheme="minorHAnsi"/>
        </w:rPr>
      </w:pPr>
      <w:r w:rsidRPr="00786BD7">
        <w:rPr>
          <w:rFonts w:cstheme="minorHAnsi"/>
        </w:rPr>
        <w:t>Bass Coast (Wonthaggi)</w:t>
      </w:r>
    </w:p>
    <w:p w:rsidR="00786BD7" w:rsidRPr="00786BD7" w:rsidRDefault="00786BD7" w:rsidP="00925530">
      <w:pPr>
        <w:pStyle w:val="ListParagraph"/>
        <w:numPr>
          <w:ilvl w:val="0"/>
          <w:numId w:val="39"/>
        </w:numPr>
        <w:autoSpaceDE w:val="0"/>
        <w:autoSpaceDN w:val="0"/>
        <w:adjustRightInd w:val="0"/>
        <w:spacing w:after="0" w:line="240" w:lineRule="auto"/>
        <w:rPr>
          <w:rFonts w:cstheme="minorHAnsi"/>
        </w:rPr>
      </w:pPr>
      <w:r w:rsidRPr="00786BD7">
        <w:rPr>
          <w:rFonts w:cstheme="minorHAnsi"/>
        </w:rPr>
        <w:t>Berwick</w:t>
      </w:r>
    </w:p>
    <w:p w:rsidR="00786BD7" w:rsidRPr="00786BD7" w:rsidRDefault="00786BD7" w:rsidP="00925530">
      <w:pPr>
        <w:pStyle w:val="ListParagraph"/>
        <w:numPr>
          <w:ilvl w:val="0"/>
          <w:numId w:val="39"/>
        </w:numPr>
        <w:autoSpaceDE w:val="0"/>
        <w:autoSpaceDN w:val="0"/>
        <w:adjustRightInd w:val="0"/>
        <w:spacing w:after="0" w:line="240" w:lineRule="auto"/>
        <w:rPr>
          <w:rFonts w:cstheme="minorHAnsi"/>
        </w:rPr>
      </w:pPr>
      <w:r w:rsidRPr="00786BD7">
        <w:rPr>
          <w:rFonts w:cstheme="minorHAnsi"/>
        </w:rPr>
        <w:t>Chisholm @ 311 (Lonsdale Street,</w:t>
      </w:r>
      <w:r>
        <w:rPr>
          <w:rFonts w:cstheme="minorHAnsi"/>
        </w:rPr>
        <w:t xml:space="preserve"> </w:t>
      </w:r>
      <w:r w:rsidRPr="00786BD7">
        <w:rPr>
          <w:rFonts w:cstheme="minorHAnsi"/>
        </w:rPr>
        <w:t>Dandenong)</w:t>
      </w:r>
    </w:p>
    <w:p w:rsidR="00786BD7" w:rsidRPr="00786BD7" w:rsidRDefault="00786BD7" w:rsidP="00925530">
      <w:pPr>
        <w:pStyle w:val="ListParagraph"/>
        <w:numPr>
          <w:ilvl w:val="0"/>
          <w:numId w:val="40"/>
        </w:numPr>
        <w:autoSpaceDE w:val="0"/>
        <w:autoSpaceDN w:val="0"/>
        <w:adjustRightInd w:val="0"/>
        <w:spacing w:after="0" w:line="240" w:lineRule="auto"/>
        <w:rPr>
          <w:rFonts w:cstheme="minorHAnsi"/>
        </w:rPr>
      </w:pPr>
      <w:r w:rsidRPr="00786BD7">
        <w:rPr>
          <w:rFonts w:cstheme="minorHAnsi"/>
        </w:rPr>
        <w:t>Cranbourne</w:t>
      </w:r>
    </w:p>
    <w:p w:rsidR="00786BD7" w:rsidRPr="00786BD7" w:rsidRDefault="00786BD7" w:rsidP="00925530">
      <w:pPr>
        <w:pStyle w:val="ListParagraph"/>
        <w:numPr>
          <w:ilvl w:val="0"/>
          <w:numId w:val="40"/>
        </w:numPr>
        <w:autoSpaceDE w:val="0"/>
        <w:autoSpaceDN w:val="0"/>
        <w:adjustRightInd w:val="0"/>
        <w:spacing w:after="0" w:line="240" w:lineRule="auto"/>
        <w:rPr>
          <w:rFonts w:cstheme="minorHAnsi"/>
        </w:rPr>
      </w:pPr>
      <w:r w:rsidRPr="00786BD7">
        <w:rPr>
          <w:rFonts w:cstheme="minorHAnsi"/>
        </w:rPr>
        <w:t>Dandenong (Stud Road, Dandenong)</w:t>
      </w:r>
    </w:p>
    <w:p w:rsidR="00786BD7" w:rsidRPr="00786BD7" w:rsidRDefault="00786BD7" w:rsidP="00925530">
      <w:pPr>
        <w:pStyle w:val="ListParagraph"/>
        <w:numPr>
          <w:ilvl w:val="0"/>
          <w:numId w:val="40"/>
        </w:numPr>
        <w:autoSpaceDE w:val="0"/>
        <w:autoSpaceDN w:val="0"/>
        <w:adjustRightInd w:val="0"/>
        <w:spacing w:after="0" w:line="240" w:lineRule="auto"/>
        <w:rPr>
          <w:rFonts w:cstheme="minorHAnsi"/>
        </w:rPr>
      </w:pPr>
      <w:r w:rsidRPr="00786BD7">
        <w:rPr>
          <w:rFonts w:cstheme="minorHAnsi"/>
        </w:rPr>
        <w:t>Frankston</w:t>
      </w:r>
    </w:p>
    <w:p w:rsidR="00786BD7" w:rsidRPr="00786BD7" w:rsidRDefault="00786BD7" w:rsidP="00925530">
      <w:pPr>
        <w:pStyle w:val="ListParagraph"/>
        <w:numPr>
          <w:ilvl w:val="0"/>
          <w:numId w:val="40"/>
        </w:numPr>
        <w:autoSpaceDE w:val="0"/>
        <w:autoSpaceDN w:val="0"/>
        <w:adjustRightInd w:val="0"/>
        <w:spacing w:after="0" w:line="240" w:lineRule="auto"/>
        <w:rPr>
          <w:rFonts w:cstheme="minorHAnsi"/>
        </w:rPr>
      </w:pPr>
      <w:r w:rsidRPr="00786BD7">
        <w:rPr>
          <w:rFonts w:cstheme="minorHAnsi"/>
        </w:rPr>
        <w:t>Mornington Peninsula (Rosebud)</w:t>
      </w:r>
    </w:p>
    <w:p w:rsidR="00786BD7" w:rsidRPr="00786BD7" w:rsidRDefault="00786BD7" w:rsidP="00925530">
      <w:pPr>
        <w:pStyle w:val="ListParagraph"/>
        <w:numPr>
          <w:ilvl w:val="0"/>
          <w:numId w:val="40"/>
        </w:numPr>
        <w:autoSpaceDE w:val="0"/>
        <w:autoSpaceDN w:val="0"/>
        <w:adjustRightInd w:val="0"/>
        <w:spacing w:after="0" w:line="240" w:lineRule="auto"/>
        <w:rPr>
          <w:rFonts w:cstheme="minorHAnsi"/>
        </w:rPr>
      </w:pPr>
      <w:r w:rsidRPr="00786BD7">
        <w:rPr>
          <w:rFonts w:cstheme="minorHAnsi"/>
        </w:rPr>
        <w:t>Springvale</w:t>
      </w:r>
    </w:p>
    <w:p w:rsidR="00786BD7" w:rsidRDefault="00786BD7" w:rsidP="00786BD7">
      <w:pPr>
        <w:autoSpaceDE w:val="0"/>
        <w:autoSpaceDN w:val="0"/>
        <w:adjustRightInd w:val="0"/>
        <w:spacing w:after="0" w:line="240" w:lineRule="auto"/>
        <w:rPr>
          <w:rFonts w:cstheme="minorHAnsi"/>
        </w:rPr>
      </w:pPr>
    </w:p>
    <w:p w:rsidR="00786BD7" w:rsidRPr="00786BD7" w:rsidRDefault="00786BD7" w:rsidP="00786BD7">
      <w:pPr>
        <w:autoSpaceDE w:val="0"/>
        <w:autoSpaceDN w:val="0"/>
        <w:adjustRightInd w:val="0"/>
        <w:spacing w:after="0" w:line="240" w:lineRule="auto"/>
        <w:rPr>
          <w:rFonts w:cstheme="minorHAnsi"/>
        </w:rPr>
      </w:pPr>
      <w:r w:rsidRPr="00786BD7">
        <w:rPr>
          <w:rFonts w:cstheme="minorHAnsi"/>
        </w:rPr>
        <w:t>Its registered office and principal</w:t>
      </w:r>
      <w:r>
        <w:rPr>
          <w:rFonts w:cstheme="minorHAnsi"/>
        </w:rPr>
        <w:t xml:space="preserve"> </w:t>
      </w:r>
      <w:r w:rsidRPr="00786BD7">
        <w:rPr>
          <w:rFonts w:cstheme="minorHAnsi"/>
        </w:rPr>
        <w:t>address is:</w:t>
      </w:r>
    </w:p>
    <w:p w:rsidR="00786BD7" w:rsidRPr="00786BD7" w:rsidRDefault="00786BD7" w:rsidP="00786BD7">
      <w:pPr>
        <w:autoSpaceDE w:val="0"/>
        <w:autoSpaceDN w:val="0"/>
        <w:adjustRightInd w:val="0"/>
        <w:spacing w:after="0" w:line="240" w:lineRule="auto"/>
        <w:rPr>
          <w:rFonts w:cstheme="minorHAnsi"/>
        </w:rPr>
      </w:pPr>
      <w:r w:rsidRPr="00786BD7">
        <w:rPr>
          <w:rFonts w:cstheme="minorHAnsi"/>
        </w:rPr>
        <w:t>Chisholm Institute</w:t>
      </w:r>
    </w:p>
    <w:p w:rsidR="00786BD7" w:rsidRPr="00786BD7" w:rsidRDefault="00786BD7" w:rsidP="00786BD7">
      <w:pPr>
        <w:autoSpaceDE w:val="0"/>
        <w:autoSpaceDN w:val="0"/>
        <w:adjustRightInd w:val="0"/>
        <w:spacing w:after="0" w:line="240" w:lineRule="auto"/>
        <w:rPr>
          <w:rFonts w:cstheme="minorHAnsi"/>
        </w:rPr>
      </w:pPr>
      <w:r w:rsidRPr="00786BD7">
        <w:rPr>
          <w:rFonts w:cstheme="minorHAnsi"/>
        </w:rPr>
        <w:t>121 Stud Road</w:t>
      </w:r>
    </w:p>
    <w:p w:rsidR="00786BD7" w:rsidRPr="00786BD7" w:rsidRDefault="00786BD7" w:rsidP="00786BD7">
      <w:pPr>
        <w:autoSpaceDE w:val="0"/>
        <w:autoSpaceDN w:val="0"/>
        <w:adjustRightInd w:val="0"/>
        <w:spacing w:after="0" w:line="240" w:lineRule="auto"/>
        <w:rPr>
          <w:rFonts w:cstheme="minorHAnsi"/>
        </w:rPr>
      </w:pPr>
      <w:r w:rsidRPr="00786BD7">
        <w:rPr>
          <w:rFonts w:cstheme="minorHAnsi"/>
        </w:rPr>
        <w:t>Dandenong VIC 3175</w:t>
      </w:r>
    </w:p>
    <w:p w:rsidR="00786BD7" w:rsidRPr="00786BD7" w:rsidRDefault="00786BD7" w:rsidP="00786BD7">
      <w:pPr>
        <w:autoSpaceDE w:val="0"/>
        <w:autoSpaceDN w:val="0"/>
        <w:adjustRightInd w:val="0"/>
        <w:spacing w:after="0" w:line="240" w:lineRule="auto"/>
        <w:rPr>
          <w:rFonts w:cstheme="minorHAnsi"/>
        </w:rPr>
      </w:pPr>
      <w:r w:rsidRPr="00786BD7">
        <w:rPr>
          <w:rFonts w:cstheme="minorHAnsi"/>
        </w:rPr>
        <w:t>Australia</w:t>
      </w:r>
    </w:p>
    <w:p w:rsidR="00786BD7" w:rsidRDefault="00786BD7" w:rsidP="00786BD7">
      <w:pPr>
        <w:autoSpaceDE w:val="0"/>
        <w:autoSpaceDN w:val="0"/>
        <w:adjustRightInd w:val="0"/>
        <w:spacing w:after="0" w:line="240" w:lineRule="auto"/>
        <w:rPr>
          <w:rFonts w:cstheme="minorHAnsi"/>
          <w:b/>
          <w:bCs/>
        </w:rPr>
      </w:pPr>
    </w:p>
    <w:p w:rsidR="00786BD7" w:rsidRDefault="00786BD7" w:rsidP="00681D4D">
      <w:pPr>
        <w:pStyle w:val="Heading3"/>
      </w:pPr>
      <w:r w:rsidRPr="00786BD7">
        <w:t>1.1 Basis of preparation</w:t>
      </w:r>
    </w:p>
    <w:p w:rsidR="00786BD7" w:rsidRPr="00786BD7" w:rsidRDefault="00786BD7" w:rsidP="00786BD7">
      <w:pPr>
        <w:autoSpaceDE w:val="0"/>
        <w:autoSpaceDN w:val="0"/>
        <w:adjustRightInd w:val="0"/>
        <w:spacing w:after="0" w:line="240" w:lineRule="auto"/>
        <w:rPr>
          <w:rFonts w:cstheme="minorHAnsi"/>
          <w:bCs/>
        </w:rPr>
      </w:pPr>
    </w:p>
    <w:p w:rsidR="00786BD7" w:rsidRPr="00786BD7" w:rsidRDefault="00786BD7" w:rsidP="00786BD7">
      <w:pPr>
        <w:autoSpaceDE w:val="0"/>
        <w:autoSpaceDN w:val="0"/>
        <w:adjustRightInd w:val="0"/>
        <w:spacing w:after="0" w:line="240" w:lineRule="auto"/>
        <w:rPr>
          <w:rFonts w:cstheme="minorHAnsi"/>
        </w:rPr>
      </w:pPr>
      <w:r w:rsidRPr="00786BD7">
        <w:rPr>
          <w:rFonts w:cstheme="minorHAnsi"/>
        </w:rPr>
        <w:t>These financial statements are</w:t>
      </w:r>
      <w:r>
        <w:rPr>
          <w:rFonts w:cstheme="minorHAnsi"/>
        </w:rPr>
        <w:t xml:space="preserve"> </w:t>
      </w:r>
      <w:r w:rsidRPr="00786BD7">
        <w:rPr>
          <w:rFonts w:cstheme="minorHAnsi"/>
        </w:rPr>
        <w:t>presented in Australian dollars, the</w:t>
      </w:r>
      <w:r>
        <w:rPr>
          <w:rFonts w:cstheme="minorHAnsi"/>
        </w:rPr>
        <w:t xml:space="preserve"> </w:t>
      </w:r>
      <w:r w:rsidRPr="00786BD7">
        <w:rPr>
          <w:rFonts w:cstheme="minorHAnsi"/>
        </w:rPr>
        <w:t>functional and presentation currency</w:t>
      </w:r>
      <w:r>
        <w:rPr>
          <w:rFonts w:cstheme="minorHAnsi"/>
        </w:rPr>
        <w:t xml:space="preserve"> </w:t>
      </w:r>
      <w:r w:rsidRPr="00786BD7">
        <w:rPr>
          <w:rFonts w:cstheme="minorHAnsi"/>
        </w:rPr>
        <w:t>of Chisholm Institute and its controlled</w:t>
      </w:r>
      <w:r>
        <w:rPr>
          <w:rFonts w:cstheme="minorHAnsi"/>
        </w:rPr>
        <w:t xml:space="preserve"> </w:t>
      </w:r>
      <w:r w:rsidRPr="00786BD7">
        <w:rPr>
          <w:rFonts w:cstheme="minorHAnsi"/>
        </w:rPr>
        <w:t>entities, TAFE Online Pty Ltd and</w:t>
      </w:r>
      <w:r>
        <w:rPr>
          <w:rFonts w:cstheme="minorHAnsi"/>
        </w:rPr>
        <w:t xml:space="preserve"> </w:t>
      </w:r>
      <w:r w:rsidRPr="00786BD7">
        <w:rPr>
          <w:rFonts w:cstheme="minorHAnsi"/>
        </w:rPr>
        <w:t>Caroline Chisholm Education Foundation</w:t>
      </w:r>
      <w:r>
        <w:rPr>
          <w:rFonts w:cstheme="minorHAnsi"/>
        </w:rPr>
        <w:t xml:space="preserve"> </w:t>
      </w:r>
      <w:r w:rsidRPr="00786BD7">
        <w:rPr>
          <w:rFonts w:cstheme="minorHAnsi"/>
        </w:rPr>
        <w:t>(“Chisholm Group”). These financial</w:t>
      </w:r>
      <w:r>
        <w:rPr>
          <w:rFonts w:cstheme="minorHAnsi"/>
        </w:rPr>
        <w:t xml:space="preserve"> </w:t>
      </w:r>
      <w:r w:rsidRPr="00786BD7">
        <w:rPr>
          <w:rFonts w:cstheme="minorHAnsi"/>
        </w:rPr>
        <w:t>statements have been prepared</w:t>
      </w:r>
      <w:r>
        <w:rPr>
          <w:rFonts w:cstheme="minorHAnsi"/>
        </w:rPr>
        <w:t xml:space="preserve"> </w:t>
      </w:r>
      <w:r w:rsidRPr="00786BD7">
        <w:rPr>
          <w:rFonts w:cstheme="minorHAnsi"/>
        </w:rPr>
        <w:t>in accordance with the historical</w:t>
      </w:r>
      <w:r>
        <w:rPr>
          <w:rFonts w:cstheme="minorHAnsi"/>
        </w:rPr>
        <w:t xml:space="preserve"> </w:t>
      </w:r>
      <w:r w:rsidRPr="00786BD7">
        <w:rPr>
          <w:rFonts w:cstheme="minorHAnsi"/>
        </w:rPr>
        <w:t>cost convention, unless a different</w:t>
      </w:r>
      <w:r>
        <w:rPr>
          <w:rFonts w:cstheme="minorHAnsi"/>
        </w:rPr>
        <w:t xml:space="preserve"> </w:t>
      </w:r>
      <w:r w:rsidRPr="00786BD7">
        <w:rPr>
          <w:rFonts w:cstheme="minorHAnsi"/>
        </w:rPr>
        <w:t>measurement basis is specifically</w:t>
      </w:r>
      <w:r>
        <w:rPr>
          <w:rFonts w:cstheme="minorHAnsi"/>
        </w:rPr>
        <w:t xml:space="preserve"> </w:t>
      </w:r>
      <w:r w:rsidRPr="00786BD7">
        <w:rPr>
          <w:rFonts w:cstheme="minorHAnsi"/>
        </w:rPr>
        <w:t>disclosed in the notes associated with</w:t>
      </w:r>
      <w:r>
        <w:rPr>
          <w:rFonts w:cstheme="minorHAnsi"/>
        </w:rPr>
        <w:t xml:space="preserve"> </w:t>
      </w:r>
      <w:r w:rsidRPr="00786BD7">
        <w:rPr>
          <w:rFonts w:cstheme="minorHAnsi"/>
        </w:rPr>
        <w:t>the item measured on a different basis.</w:t>
      </w:r>
      <w:r>
        <w:rPr>
          <w:rFonts w:cstheme="minorHAnsi"/>
        </w:rPr>
        <w:t xml:space="preserve"> </w:t>
      </w:r>
      <w:r w:rsidRPr="00786BD7">
        <w:rPr>
          <w:rFonts w:cstheme="minorHAnsi"/>
        </w:rPr>
        <w:t>Amounts in the financial report have</w:t>
      </w:r>
      <w:r>
        <w:rPr>
          <w:rFonts w:cstheme="minorHAnsi"/>
        </w:rPr>
        <w:t xml:space="preserve"> </w:t>
      </w:r>
      <w:r w:rsidRPr="00786BD7">
        <w:rPr>
          <w:rFonts w:cstheme="minorHAnsi"/>
        </w:rPr>
        <w:t>been rounded to the nearest thousand</w:t>
      </w:r>
      <w:r>
        <w:rPr>
          <w:rFonts w:cstheme="minorHAnsi"/>
        </w:rPr>
        <w:t xml:space="preserve"> </w:t>
      </w:r>
      <w:r w:rsidRPr="00786BD7">
        <w:rPr>
          <w:rFonts w:cstheme="minorHAnsi"/>
        </w:rPr>
        <w:t>dollars, unless otherwise stated.</w:t>
      </w:r>
    </w:p>
    <w:p w:rsidR="00786BD7" w:rsidRDefault="00786BD7" w:rsidP="00786BD7">
      <w:pPr>
        <w:autoSpaceDE w:val="0"/>
        <w:autoSpaceDN w:val="0"/>
        <w:adjustRightInd w:val="0"/>
        <w:spacing w:after="0" w:line="240" w:lineRule="auto"/>
        <w:rPr>
          <w:rFonts w:cstheme="minorHAnsi"/>
        </w:rPr>
      </w:pPr>
      <w:r w:rsidRPr="00786BD7">
        <w:rPr>
          <w:rFonts w:cstheme="minorHAnsi"/>
        </w:rPr>
        <w:t>The accrual basis of accounting has</w:t>
      </w:r>
      <w:r>
        <w:rPr>
          <w:rFonts w:cstheme="minorHAnsi"/>
        </w:rPr>
        <w:t xml:space="preserve"> </w:t>
      </w:r>
      <w:r w:rsidRPr="00786BD7">
        <w:rPr>
          <w:rFonts w:cstheme="minorHAnsi"/>
        </w:rPr>
        <w:t>been applied in the preparation of these</w:t>
      </w:r>
      <w:r>
        <w:rPr>
          <w:rFonts w:cstheme="minorHAnsi"/>
        </w:rPr>
        <w:t xml:space="preserve"> </w:t>
      </w:r>
      <w:r w:rsidRPr="00786BD7">
        <w:rPr>
          <w:rFonts w:cstheme="minorHAnsi"/>
        </w:rPr>
        <w:t>financial statements whereby assets,</w:t>
      </w:r>
      <w:r>
        <w:rPr>
          <w:rFonts w:cstheme="minorHAnsi"/>
        </w:rPr>
        <w:t xml:space="preserve"> </w:t>
      </w:r>
      <w:r w:rsidRPr="00786BD7">
        <w:rPr>
          <w:rFonts w:cstheme="minorHAnsi"/>
        </w:rPr>
        <w:t>liabilities, equity, income and expenses</w:t>
      </w:r>
      <w:r>
        <w:rPr>
          <w:rFonts w:cstheme="minorHAnsi"/>
        </w:rPr>
        <w:t xml:space="preserve"> </w:t>
      </w:r>
      <w:r w:rsidRPr="00786BD7">
        <w:rPr>
          <w:rFonts w:cstheme="minorHAnsi"/>
        </w:rPr>
        <w:t>are recognised in the reporting period</w:t>
      </w:r>
      <w:r>
        <w:rPr>
          <w:rFonts w:cstheme="minorHAnsi"/>
        </w:rPr>
        <w:t xml:space="preserve"> </w:t>
      </w:r>
      <w:r w:rsidRPr="00786BD7">
        <w:rPr>
          <w:rFonts w:cstheme="minorHAnsi"/>
        </w:rPr>
        <w:t>to which they relate, regardless of when</w:t>
      </w:r>
      <w:r>
        <w:rPr>
          <w:rFonts w:cstheme="minorHAnsi"/>
        </w:rPr>
        <w:t xml:space="preserve"> </w:t>
      </w:r>
      <w:r w:rsidRPr="00786BD7">
        <w:rPr>
          <w:rFonts w:cstheme="minorHAnsi"/>
        </w:rPr>
        <w:t>cash is received or paid.</w:t>
      </w:r>
    </w:p>
    <w:p w:rsidR="00786BD7" w:rsidRPr="00786BD7" w:rsidRDefault="00786BD7" w:rsidP="00786BD7">
      <w:pPr>
        <w:autoSpaceDE w:val="0"/>
        <w:autoSpaceDN w:val="0"/>
        <w:adjustRightInd w:val="0"/>
        <w:spacing w:after="0" w:line="240" w:lineRule="auto"/>
        <w:rPr>
          <w:rFonts w:cstheme="minorHAnsi"/>
        </w:rPr>
      </w:pPr>
      <w:r w:rsidRPr="00786BD7">
        <w:rPr>
          <w:rFonts w:cstheme="minorHAnsi"/>
        </w:rPr>
        <w:t>Judgements, estimates and assumptions</w:t>
      </w:r>
      <w:r>
        <w:rPr>
          <w:rFonts w:cstheme="minorHAnsi"/>
        </w:rPr>
        <w:t xml:space="preserve"> </w:t>
      </w:r>
      <w:r w:rsidRPr="00786BD7">
        <w:rPr>
          <w:rFonts w:cstheme="minorHAnsi"/>
        </w:rPr>
        <w:t>are required to be made about the</w:t>
      </w:r>
      <w:r>
        <w:rPr>
          <w:rFonts w:cstheme="minorHAnsi"/>
        </w:rPr>
        <w:t xml:space="preserve"> </w:t>
      </w:r>
      <w:r w:rsidRPr="00786BD7">
        <w:rPr>
          <w:rFonts w:cstheme="minorHAnsi"/>
        </w:rPr>
        <w:t>financial information being presented.</w:t>
      </w:r>
    </w:p>
    <w:p w:rsidR="00786BD7" w:rsidRPr="00786BD7" w:rsidRDefault="00786BD7" w:rsidP="00786BD7">
      <w:pPr>
        <w:autoSpaceDE w:val="0"/>
        <w:autoSpaceDN w:val="0"/>
        <w:adjustRightInd w:val="0"/>
        <w:spacing w:after="0" w:line="240" w:lineRule="auto"/>
        <w:rPr>
          <w:rFonts w:cstheme="minorHAnsi"/>
        </w:rPr>
      </w:pPr>
      <w:r w:rsidRPr="00786BD7">
        <w:rPr>
          <w:rFonts w:cstheme="minorHAnsi"/>
        </w:rPr>
        <w:t>The estimates and associated</w:t>
      </w:r>
      <w:r>
        <w:rPr>
          <w:rFonts w:cstheme="minorHAnsi"/>
        </w:rPr>
        <w:t xml:space="preserve"> </w:t>
      </w:r>
      <w:r w:rsidRPr="00786BD7">
        <w:rPr>
          <w:rFonts w:cstheme="minorHAnsi"/>
        </w:rPr>
        <w:t>assumptions are based on professional</w:t>
      </w:r>
      <w:r>
        <w:rPr>
          <w:rFonts w:cstheme="minorHAnsi"/>
        </w:rPr>
        <w:t xml:space="preserve"> </w:t>
      </w:r>
      <w:r w:rsidRPr="00786BD7">
        <w:rPr>
          <w:rFonts w:cstheme="minorHAnsi"/>
        </w:rPr>
        <w:t>judgements derived from historical</w:t>
      </w:r>
      <w:r>
        <w:rPr>
          <w:rFonts w:cstheme="minorHAnsi"/>
        </w:rPr>
        <w:t xml:space="preserve"> </w:t>
      </w:r>
      <w:r w:rsidRPr="00786BD7">
        <w:rPr>
          <w:rFonts w:cstheme="minorHAnsi"/>
        </w:rPr>
        <w:t>experience and various other factors</w:t>
      </w:r>
      <w:r>
        <w:rPr>
          <w:rFonts w:cstheme="minorHAnsi"/>
        </w:rPr>
        <w:t xml:space="preserve"> </w:t>
      </w:r>
      <w:r w:rsidRPr="00786BD7">
        <w:rPr>
          <w:rFonts w:cstheme="minorHAnsi"/>
        </w:rPr>
        <w:t>that are believed to be reasonable</w:t>
      </w:r>
      <w:r>
        <w:rPr>
          <w:rFonts w:cstheme="minorHAnsi"/>
        </w:rPr>
        <w:t xml:space="preserve"> </w:t>
      </w:r>
      <w:r w:rsidRPr="00786BD7">
        <w:rPr>
          <w:rFonts w:cstheme="minorHAnsi"/>
        </w:rPr>
        <w:t>under the circumstances. Actual results</w:t>
      </w:r>
      <w:r>
        <w:rPr>
          <w:rFonts w:cstheme="minorHAnsi"/>
        </w:rPr>
        <w:t xml:space="preserve"> </w:t>
      </w:r>
      <w:r w:rsidRPr="00786BD7">
        <w:rPr>
          <w:rFonts w:cstheme="minorHAnsi"/>
        </w:rPr>
        <w:t>may differ from these estimates.</w:t>
      </w:r>
    </w:p>
    <w:p w:rsidR="00786BD7" w:rsidRPr="00786BD7" w:rsidRDefault="00786BD7" w:rsidP="00786BD7">
      <w:pPr>
        <w:autoSpaceDE w:val="0"/>
        <w:autoSpaceDN w:val="0"/>
        <w:adjustRightInd w:val="0"/>
        <w:spacing w:after="0" w:line="240" w:lineRule="auto"/>
        <w:rPr>
          <w:rFonts w:cstheme="minorHAnsi"/>
        </w:rPr>
      </w:pPr>
      <w:r w:rsidRPr="00786BD7">
        <w:rPr>
          <w:rFonts w:cstheme="minorHAnsi"/>
        </w:rPr>
        <w:t>The estimates and associated</w:t>
      </w:r>
      <w:r>
        <w:rPr>
          <w:rFonts w:cstheme="minorHAnsi"/>
        </w:rPr>
        <w:t xml:space="preserve"> </w:t>
      </w:r>
      <w:r w:rsidRPr="00786BD7">
        <w:rPr>
          <w:rFonts w:cstheme="minorHAnsi"/>
        </w:rPr>
        <w:t>assumptions are reviewed on an ongoing</w:t>
      </w:r>
      <w:r>
        <w:rPr>
          <w:rFonts w:cstheme="minorHAnsi"/>
        </w:rPr>
        <w:t xml:space="preserve"> </w:t>
      </w:r>
      <w:r w:rsidRPr="00786BD7">
        <w:rPr>
          <w:rFonts w:cstheme="minorHAnsi"/>
        </w:rPr>
        <w:t>basis. Revisions to accounting estimates</w:t>
      </w:r>
      <w:r>
        <w:rPr>
          <w:rFonts w:cstheme="minorHAnsi"/>
        </w:rPr>
        <w:t xml:space="preserve"> </w:t>
      </w:r>
      <w:r w:rsidRPr="00786BD7">
        <w:rPr>
          <w:rFonts w:cstheme="minorHAnsi"/>
        </w:rPr>
        <w:t>are recognised in the period in which</w:t>
      </w:r>
      <w:r>
        <w:rPr>
          <w:rFonts w:cstheme="minorHAnsi"/>
        </w:rPr>
        <w:t xml:space="preserve"> </w:t>
      </w:r>
      <w:r w:rsidRPr="00786BD7">
        <w:rPr>
          <w:rFonts w:cstheme="minorHAnsi"/>
        </w:rPr>
        <w:t>the estimate is revised and also in future</w:t>
      </w:r>
      <w:r>
        <w:rPr>
          <w:rFonts w:cstheme="minorHAnsi"/>
        </w:rPr>
        <w:t xml:space="preserve"> </w:t>
      </w:r>
      <w:r w:rsidRPr="00786BD7">
        <w:rPr>
          <w:rFonts w:cstheme="minorHAnsi"/>
        </w:rPr>
        <w:t>periods that are affected by the revision.</w:t>
      </w:r>
    </w:p>
    <w:p w:rsidR="00786BD7" w:rsidRPr="00786BD7" w:rsidRDefault="00786BD7" w:rsidP="00786BD7">
      <w:pPr>
        <w:autoSpaceDE w:val="0"/>
        <w:autoSpaceDN w:val="0"/>
        <w:adjustRightInd w:val="0"/>
        <w:spacing w:after="0" w:line="240" w:lineRule="auto"/>
        <w:rPr>
          <w:rFonts w:cstheme="minorHAnsi"/>
        </w:rPr>
      </w:pPr>
      <w:r w:rsidRPr="00786BD7">
        <w:rPr>
          <w:rFonts w:cstheme="minorHAnsi"/>
        </w:rPr>
        <w:t>Judgements made by management in</w:t>
      </w:r>
      <w:r>
        <w:rPr>
          <w:rFonts w:cstheme="minorHAnsi"/>
        </w:rPr>
        <w:t xml:space="preserve"> </w:t>
      </w:r>
      <w:r w:rsidRPr="00786BD7">
        <w:rPr>
          <w:rFonts w:cstheme="minorHAnsi"/>
        </w:rPr>
        <w:t>the application of Australian Accounting</w:t>
      </w:r>
      <w:r>
        <w:rPr>
          <w:rFonts w:cstheme="minorHAnsi"/>
        </w:rPr>
        <w:t xml:space="preserve"> </w:t>
      </w:r>
      <w:r w:rsidRPr="00786BD7">
        <w:rPr>
          <w:rFonts w:cstheme="minorHAnsi"/>
        </w:rPr>
        <w:t>Standards (AAS) that have significant</w:t>
      </w:r>
      <w:r>
        <w:rPr>
          <w:rFonts w:cstheme="minorHAnsi"/>
        </w:rPr>
        <w:t xml:space="preserve"> </w:t>
      </w:r>
      <w:r w:rsidRPr="00786BD7">
        <w:rPr>
          <w:rFonts w:cstheme="minorHAnsi"/>
        </w:rPr>
        <w:t>effects on the financial statements and</w:t>
      </w:r>
      <w:r>
        <w:rPr>
          <w:rFonts w:cstheme="minorHAnsi"/>
        </w:rPr>
        <w:t xml:space="preserve"> </w:t>
      </w:r>
      <w:r w:rsidRPr="00786BD7">
        <w:rPr>
          <w:rFonts w:cstheme="minorHAnsi"/>
        </w:rPr>
        <w:t>estimates relate to:</w:t>
      </w:r>
    </w:p>
    <w:p w:rsidR="00786BD7" w:rsidRPr="00786BD7" w:rsidRDefault="00786BD7" w:rsidP="00925530">
      <w:pPr>
        <w:pStyle w:val="ListParagraph"/>
        <w:numPr>
          <w:ilvl w:val="0"/>
          <w:numId w:val="41"/>
        </w:numPr>
        <w:autoSpaceDE w:val="0"/>
        <w:autoSpaceDN w:val="0"/>
        <w:adjustRightInd w:val="0"/>
        <w:spacing w:after="0" w:line="240" w:lineRule="auto"/>
        <w:rPr>
          <w:rFonts w:cstheme="minorHAnsi"/>
        </w:rPr>
      </w:pPr>
      <w:r w:rsidRPr="00786BD7">
        <w:rPr>
          <w:rFonts w:cstheme="minorHAnsi"/>
        </w:rPr>
        <w:lastRenderedPageBreak/>
        <w:t>the fair value of land, buildings, infrastructure, plant and equipment (refer to Note 7.3);</w:t>
      </w:r>
    </w:p>
    <w:p w:rsidR="00786BD7" w:rsidRPr="00786BD7" w:rsidRDefault="00786BD7" w:rsidP="00925530">
      <w:pPr>
        <w:pStyle w:val="ListParagraph"/>
        <w:numPr>
          <w:ilvl w:val="0"/>
          <w:numId w:val="41"/>
        </w:numPr>
        <w:autoSpaceDE w:val="0"/>
        <w:autoSpaceDN w:val="0"/>
        <w:adjustRightInd w:val="0"/>
        <w:spacing w:after="0" w:line="240" w:lineRule="auto"/>
        <w:rPr>
          <w:rFonts w:cstheme="minorHAnsi"/>
        </w:rPr>
      </w:pPr>
      <w:r w:rsidRPr="00786BD7">
        <w:rPr>
          <w:rFonts w:cstheme="minorHAnsi"/>
        </w:rPr>
        <w:t>actuarial assumptions for employee benefit provisions based on likely tenure of existing staff, patterns of leave claims, future salary movements and future discount rates (refer to Note 3.1.2);</w:t>
      </w:r>
    </w:p>
    <w:p w:rsidR="00786BD7" w:rsidRPr="00786BD7" w:rsidRDefault="00786BD7" w:rsidP="00925530">
      <w:pPr>
        <w:pStyle w:val="ListParagraph"/>
        <w:numPr>
          <w:ilvl w:val="0"/>
          <w:numId w:val="41"/>
        </w:numPr>
        <w:autoSpaceDE w:val="0"/>
        <w:autoSpaceDN w:val="0"/>
        <w:adjustRightInd w:val="0"/>
        <w:spacing w:after="0" w:line="240" w:lineRule="auto"/>
        <w:rPr>
          <w:rFonts w:cstheme="minorHAnsi"/>
        </w:rPr>
      </w:pPr>
      <w:r w:rsidRPr="00786BD7">
        <w:rPr>
          <w:rFonts w:cstheme="minorHAnsi"/>
        </w:rPr>
        <w:t>the recognition of revenue in relation to contracts with customers (refer to Note 2.2);</w:t>
      </w:r>
    </w:p>
    <w:p w:rsidR="00786BD7" w:rsidRPr="00786BD7" w:rsidRDefault="00786BD7" w:rsidP="00925530">
      <w:pPr>
        <w:pStyle w:val="ListParagraph"/>
        <w:numPr>
          <w:ilvl w:val="0"/>
          <w:numId w:val="41"/>
        </w:numPr>
        <w:autoSpaceDE w:val="0"/>
        <w:autoSpaceDN w:val="0"/>
        <w:adjustRightInd w:val="0"/>
        <w:spacing w:after="0" w:line="240" w:lineRule="auto"/>
        <w:rPr>
          <w:rFonts w:cstheme="minorHAnsi"/>
        </w:rPr>
      </w:pPr>
      <w:r w:rsidRPr="00786BD7">
        <w:rPr>
          <w:rFonts w:cstheme="minorHAnsi"/>
        </w:rPr>
        <w:t>AASB16 Leases and the requirements to determine the lease term to the extent that extension options are certain (refer to Note 3.4); and</w:t>
      </w:r>
    </w:p>
    <w:p w:rsidR="00786BD7" w:rsidRPr="00786BD7" w:rsidRDefault="00786BD7" w:rsidP="00925530">
      <w:pPr>
        <w:pStyle w:val="ListParagraph"/>
        <w:numPr>
          <w:ilvl w:val="0"/>
          <w:numId w:val="41"/>
        </w:numPr>
        <w:autoSpaceDE w:val="0"/>
        <w:autoSpaceDN w:val="0"/>
        <w:adjustRightInd w:val="0"/>
        <w:spacing w:after="0" w:line="240" w:lineRule="auto"/>
        <w:rPr>
          <w:rFonts w:cstheme="minorHAnsi"/>
        </w:rPr>
      </w:pPr>
      <w:r w:rsidRPr="00786BD7">
        <w:rPr>
          <w:rFonts w:cstheme="minorHAnsi"/>
        </w:rPr>
        <w:t>whether or not Chisholm Institute has control over TAFE Online Pty Ltd and Caroline Chisholm Education Foundation (refer to Note 9.4).</w:t>
      </w:r>
    </w:p>
    <w:p w:rsidR="00786BD7" w:rsidRDefault="00786BD7" w:rsidP="00786BD7">
      <w:pPr>
        <w:autoSpaceDE w:val="0"/>
        <w:autoSpaceDN w:val="0"/>
        <w:adjustRightInd w:val="0"/>
        <w:spacing w:after="0" w:line="240" w:lineRule="auto"/>
        <w:rPr>
          <w:rFonts w:cstheme="minorHAnsi"/>
        </w:rPr>
      </w:pPr>
    </w:p>
    <w:p w:rsidR="00786BD7" w:rsidRPr="00786BD7" w:rsidRDefault="00786BD7" w:rsidP="00786BD7">
      <w:pPr>
        <w:autoSpaceDE w:val="0"/>
        <w:autoSpaceDN w:val="0"/>
        <w:adjustRightInd w:val="0"/>
        <w:spacing w:after="0" w:line="240" w:lineRule="auto"/>
        <w:rPr>
          <w:rFonts w:cstheme="minorHAnsi"/>
        </w:rPr>
      </w:pPr>
      <w:r w:rsidRPr="00786BD7">
        <w:rPr>
          <w:rFonts w:cstheme="minorHAnsi"/>
        </w:rPr>
        <w:t>These financial statements cover</w:t>
      </w:r>
      <w:r>
        <w:rPr>
          <w:rFonts w:cstheme="minorHAnsi"/>
        </w:rPr>
        <w:t xml:space="preserve"> </w:t>
      </w:r>
      <w:r w:rsidRPr="00786BD7">
        <w:rPr>
          <w:rFonts w:cstheme="minorHAnsi"/>
        </w:rPr>
        <w:t>Chisholm and its controlled entities as</w:t>
      </w:r>
      <w:r>
        <w:rPr>
          <w:rFonts w:cstheme="minorHAnsi"/>
        </w:rPr>
        <w:t xml:space="preserve"> </w:t>
      </w:r>
      <w:r w:rsidRPr="00786BD7">
        <w:rPr>
          <w:rFonts w:cstheme="minorHAnsi"/>
        </w:rPr>
        <w:t>an individual reporting entity and include</w:t>
      </w:r>
      <w:r>
        <w:rPr>
          <w:rFonts w:cstheme="minorHAnsi"/>
        </w:rPr>
        <w:t xml:space="preserve"> </w:t>
      </w:r>
      <w:r w:rsidRPr="00786BD7">
        <w:rPr>
          <w:rFonts w:cstheme="minorHAnsi"/>
        </w:rPr>
        <w:t>all the controlled activities of Chisholm.</w:t>
      </w:r>
    </w:p>
    <w:p w:rsidR="00786BD7" w:rsidRDefault="00786BD7" w:rsidP="00786BD7">
      <w:pPr>
        <w:autoSpaceDE w:val="0"/>
        <w:autoSpaceDN w:val="0"/>
        <w:adjustRightInd w:val="0"/>
        <w:spacing w:after="0" w:line="240" w:lineRule="auto"/>
        <w:rPr>
          <w:rFonts w:cstheme="minorHAnsi"/>
          <w:b/>
          <w:bCs/>
        </w:rPr>
      </w:pPr>
    </w:p>
    <w:p w:rsidR="00786BD7" w:rsidRDefault="00786BD7" w:rsidP="00786BD7">
      <w:pPr>
        <w:autoSpaceDE w:val="0"/>
        <w:autoSpaceDN w:val="0"/>
        <w:adjustRightInd w:val="0"/>
        <w:spacing w:after="0" w:line="240" w:lineRule="auto"/>
        <w:rPr>
          <w:rFonts w:cstheme="minorHAnsi"/>
          <w:bCs/>
        </w:rPr>
      </w:pPr>
      <w:r w:rsidRPr="00786BD7">
        <w:rPr>
          <w:rFonts w:cstheme="minorHAnsi"/>
          <w:bCs/>
        </w:rPr>
        <w:t>Restatement of prior year numbers</w:t>
      </w:r>
    </w:p>
    <w:p w:rsidR="00786BD7" w:rsidRPr="00786BD7" w:rsidRDefault="00786BD7" w:rsidP="00786BD7">
      <w:pPr>
        <w:autoSpaceDE w:val="0"/>
        <w:autoSpaceDN w:val="0"/>
        <w:adjustRightInd w:val="0"/>
        <w:spacing w:after="0" w:line="240" w:lineRule="auto"/>
        <w:rPr>
          <w:rFonts w:cstheme="minorHAnsi"/>
          <w:bCs/>
        </w:rPr>
      </w:pPr>
    </w:p>
    <w:p w:rsidR="00786BD7" w:rsidRPr="00786BD7" w:rsidRDefault="00786BD7" w:rsidP="00786BD7">
      <w:pPr>
        <w:autoSpaceDE w:val="0"/>
        <w:autoSpaceDN w:val="0"/>
        <w:adjustRightInd w:val="0"/>
        <w:spacing w:after="0" w:line="240" w:lineRule="auto"/>
        <w:rPr>
          <w:rFonts w:cstheme="minorHAnsi"/>
        </w:rPr>
      </w:pPr>
      <w:r w:rsidRPr="00786BD7">
        <w:rPr>
          <w:rFonts w:cstheme="minorHAnsi"/>
        </w:rPr>
        <w:t>Some amounts from 2018 differ from</w:t>
      </w:r>
      <w:r>
        <w:rPr>
          <w:rFonts w:cstheme="minorHAnsi"/>
        </w:rPr>
        <w:t xml:space="preserve"> </w:t>
      </w:r>
      <w:r w:rsidRPr="00786BD7">
        <w:rPr>
          <w:rFonts w:cstheme="minorHAnsi"/>
        </w:rPr>
        <w:t>prior year published figures. Most</w:t>
      </w:r>
      <w:r>
        <w:rPr>
          <w:rFonts w:cstheme="minorHAnsi"/>
        </w:rPr>
        <w:t xml:space="preserve"> </w:t>
      </w:r>
      <w:r w:rsidRPr="00786BD7">
        <w:rPr>
          <w:rFonts w:cstheme="minorHAnsi"/>
        </w:rPr>
        <w:t>restatements are not material and have</w:t>
      </w:r>
      <w:r>
        <w:rPr>
          <w:rFonts w:cstheme="minorHAnsi"/>
        </w:rPr>
        <w:t xml:space="preserve"> </w:t>
      </w:r>
      <w:r w:rsidRPr="00786BD7">
        <w:rPr>
          <w:rFonts w:cstheme="minorHAnsi"/>
        </w:rPr>
        <w:t>been done for comparative purposes</w:t>
      </w:r>
      <w:r>
        <w:rPr>
          <w:rFonts w:cstheme="minorHAnsi"/>
        </w:rPr>
        <w:t xml:space="preserve"> </w:t>
      </w:r>
      <w:r w:rsidRPr="00786BD7">
        <w:rPr>
          <w:rFonts w:cstheme="minorHAnsi"/>
        </w:rPr>
        <w:t>only. Where a restatement is deemed t</w:t>
      </w:r>
      <w:r>
        <w:rPr>
          <w:rFonts w:cstheme="minorHAnsi"/>
        </w:rPr>
        <w:t xml:space="preserve">o </w:t>
      </w:r>
      <w:r w:rsidRPr="00786BD7">
        <w:rPr>
          <w:rFonts w:cstheme="minorHAnsi"/>
        </w:rPr>
        <w:t>be material, a note has been added to</w:t>
      </w:r>
      <w:r>
        <w:rPr>
          <w:rFonts w:cstheme="minorHAnsi"/>
        </w:rPr>
        <w:t xml:space="preserve"> </w:t>
      </w:r>
      <w:r w:rsidRPr="00786BD7">
        <w:rPr>
          <w:rFonts w:cstheme="minorHAnsi"/>
        </w:rPr>
        <w:t>provide an explanation.</w:t>
      </w:r>
    </w:p>
    <w:p w:rsidR="00786BD7" w:rsidRDefault="00786BD7" w:rsidP="00786BD7">
      <w:pPr>
        <w:autoSpaceDE w:val="0"/>
        <w:autoSpaceDN w:val="0"/>
        <w:adjustRightInd w:val="0"/>
        <w:spacing w:after="0" w:line="240" w:lineRule="auto"/>
        <w:rPr>
          <w:rFonts w:cstheme="minorHAnsi"/>
          <w:b/>
          <w:bCs/>
        </w:rPr>
      </w:pPr>
    </w:p>
    <w:p w:rsidR="00786BD7" w:rsidRDefault="00786BD7" w:rsidP="00786BD7">
      <w:pPr>
        <w:autoSpaceDE w:val="0"/>
        <w:autoSpaceDN w:val="0"/>
        <w:adjustRightInd w:val="0"/>
        <w:spacing w:after="0" w:line="240" w:lineRule="auto"/>
        <w:rPr>
          <w:rFonts w:cstheme="minorHAnsi"/>
          <w:bCs/>
        </w:rPr>
      </w:pPr>
      <w:r w:rsidRPr="00786BD7">
        <w:rPr>
          <w:rFonts w:cstheme="minorHAnsi"/>
          <w:bCs/>
        </w:rPr>
        <w:t>Goods and Services Tax (GST)</w:t>
      </w:r>
    </w:p>
    <w:p w:rsidR="00786BD7" w:rsidRPr="00786BD7" w:rsidRDefault="00786BD7" w:rsidP="00786BD7">
      <w:pPr>
        <w:autoSpaceDE w:val="0"/>
        <w:autoSpaceDN w:val="0"/>
        <w:adjustRightInd w:val="0"/>
        <w:spacing w:after="0" w:line="240" w:lineRule="auto"/>
        <w:rPr>
          <w:rFonts w:cstheme="minorHAnsi"/>
          <w:bCs/>
        </w:rPr>
      </w:pPr>
    </w:p>
    <w:p w:rsidR="00786BD7" w:rsidRPr="00786BD7" w:rsidRDefault="00786BD7" w:rsidP="00786BD7">
      <w:pPr>
        <w:autoSpaceDE w:val="0"/>
        <w:autoSpaceDN w:val="0"/>
        <w:adjustRightInd w:val="0"/>
        <w:spacing w:after="0" w:line="240" w:lineRule="auto"/>
        <w:rPr>
          <w:rFonts w:cstheme="minorHAnsi"/>
        </w:rPr>
      </w:pPr>
      <w:r w:rsidRPr="00786BD7">
        <w:rPr>
          <w:rFonts w:cstheme="minorHAnsi"/>
        </w:rPr>
        <w:t>Income and expenses are recognised</w:t>
      </w:r>
      <w:r>
        <w:rPr>
          <w:rFonts w:cstheme="minorHAnsi"/>
        </w:rPr>
        <w:t xml:space="preserve"> </w:t>
      </w:r>
      <w:r w:rsidRPr="00786BD7">
        <w:rPr>
          <w:rFonts w:cstheme="minorHAnsi"/>
        </w:rPr>
        <w:t>net of the amount of associated GST.</w:t>
      </w:r>
    </w:p>
    <w:p w:rsidR="00786BD7" w:rsidRPr="00786BD7" w:rsidRDefault="00786BD7" w:rsidP="00786BD7">
      <w:pPr>
        <w:autoSpaceDE w:val="0"/>
        <w:autoSpaceDN w:val="0"/>
        <w:adjustRightInd w:val="0"/>
        <w:spacing w:after="0" w:line="240" w:lineRule="auto"/>
        <w:rPr>
          <w:rFonts w:cstheme="minorHAnsi"/>
        </w:rPr>
      </w:pPr>
      <w:r w:rsidRPr="00786BD7">
        <w:rPr>
          <w:rFonts w:cstheme="minorHAnsi"/>
        </w:rPr>
        <w:t>Receivables and payables are</w:t>
      </w:r>
      <w:r>
        <w:rPr>
          <w:rFonts w:cstheme="minorHAnsi"/>
        </w:rPr>
        <w:t xml:space="preserve"> </w:t>
      </w:r>
      <w:r w:rsidRPr="00786BD7">
        <w:rPr>
          <w:rFonts w:cstheme="minorHAnsi"/>
        </w:rPr>
        <w:t>stated inclusive of the amount of GST</w:t>
      </w:r>
      <w:r>
        <w:rPr>
          <w:rFonts w:cstheme="minorHAnsi"/>
        </w:rPr>
        <w:t xml:space="preserve"> </w:t>
      </w:r>
      <w:r w:rsidRPr="00786BD7">
        <w:rPr>
          <w:rFonts w:cstheme="minorHAnsi"/>
        </w:rPr>
        <w:t>receivable or payable. The net amount</w:t>
      </w:r>
      <w:r>
        <w:rPr>
          <w:rFonts w:cstheme="minorHAnsi"/>
        </w:rPr>
        <w:t xml:space="preserve"> </w:t>
      </w:r>
      <w:r w:rsidRPr="00786BD7">
        <w:rPr>
          <w:rFonts w:cstheme="minorHAnsi"/>
        </w:rPr>
        <w:t>of GST recoverable from, or payable to,</w:t>
      </w:r>
      <w:r>
        <w:rPr>
          <w:rFonts w:cstheme="minorHAnsi"/>
        </w:rPr>
        <w:t xml:space="preserve"> </w:t>
      </w:r>
      <w:r w:rsidRPr="00786BD7">
        <w:rPr>
          <w:rFonts w:cstheme="minorHAnsi"/>
        </w:rPr>
        <w:t>the taxation authority is included with</w:t>
      </w:r>
      <w:r>
        <w:rPr>
          <w:rFonts w:cstheme="minorHAnsi"/>
        </w:rPr>
        <w:t xml:space="preserve"> </w:t>
      </w:r>
      <w:r w:rsidRPr="00786BD7">
        <w:rPr>
          <w:rFonts w:cstheme="minorHAnsi"/>
        </w:rPr>
        <w:t>other receivables or payables in the</w:t>
      </w:r>
      <w:r>
        <w:rPr>
          <w:rFonts w:cstheme="minorHAnsi"/>
        </w:rPr>
        <w:t xml:space="preserve"> </w:t>
      </w:r>
      <w:r w:rsidRPr="00786BD7">
        <w:rPr>
          <w:rFonts w:cstheme="minorHAnsi"/>
        </w:rPr>
        <w:t>balance sheet.</w:t>
      </w:r>
    </w:p>
    <w:p w:rsidR="00786BD7" w:rsidRDefault="00786BD7" w:rsidP="00786BD7">
      <w:pPr>
        <w:autoSpaceDE w:val="0"/>
        <w:autoSpaceDN w:val="0"/>
        <w:adjustRightInd w:val="0"/>
        <w:spacing w:after="0" w:line="240" w:lineRule="auto"/>
        <w:rPr>
          <w:rFonts w:cstheme="minorHAnsi"/>
          <w:b/>
          <w:bCs/>
        </w:rPr>
      </w:pPr>
    </w:p>
    <w:p w:rsidR="00786BD7" w:rsidRDefault="00786BD7" w:rsidP="00786BD7">
      <w:pPr>
        <w:autoSpaceDE w:val="0"/>
        <w:autoSpaceDN w:val="0"/>
        <w:adjustRightInd w:val="0"/>
        <w:spacing w:after="0" w:line="240" w:lineRule="auto"/>
        <w:rPr>
          <w:rFonts w:cstheme="minorHAnsi"/>
          <w:bCs/>
        </w:rPr>
      </w:pPr>
      <w:r w:rsidRPr="00786BD7">
        <w:rPr>
          <w:rFonts w:cstheme="minorHAnsi"/>
          <w:bCs/>
        </w:rPr>
        <w:t>Basis of consolidation</w:t>
      </w:r>
    </w:p>
    <w:p w:rsidR="00786BD7" w:rsidRPr="00786BD7" w:rsidRDefault="00786BD7" w:rsidP="00786BD7">
      <w:pPr>
        <w:autoSpaceDE w:val="0"/>
        <w:autoSpaceDN w:val="0"/>
        <w:adjustRightInd w:val="0"/>
        <w:spacing w:after="0" w:line="240" w:lineRule="auto"/>
        <w:rPr>
          <w:rFonts w:cstheme="minorHAnsi"/>
          <w:bCs/>
        </w:rPr>
      </w:pPr>
    </w:p>
    <w:p w:rsidR="00786BD7" w:rsidRPr="00786BD7" w:rsidRDefault="00786BD7" w:rsidP="00786BD7">
      <w:pPr>
        <w:autoSpaceDE w:val="0"/>
        <w:autoSpaceDN w:val="0"/>
        <w:adjustRightInd w:val="0"/>
        <w:spacing w:after="0" w:line="240" w:lineRule="auto"/>
        <w:rPr>
          <w:rFonts w:cstheme="minorHAnsi"/>
        </w:rPr>
      </w:pPr>
      <w:r w:rsidRPr="00786BD7">
        <w:rPr>
          <w:rFonts w:cstheme="minorHAnsi"/>
        </w:rPr>
        <w:t>In accordance with AASB 10</w:t>
      </w:r>
      <w:r>
        <w:rPr>
          <w:rFonts w:cstheme="minorHAnsi"/>
        </w:rPr>
        <w:t xml:space="preserve"> </w:t>
      </w:r>
      <w:r w:rsidRPr="00786BD7">
        <w:rPr>
          <w:rFonts w:cstheme="minorHAnsi"/>
        </w:rPr>
        <w:t>Consolidated Financial Statements,</w:t>
      </w:r>
      <w:r>
        <w:rPr>
          <w:rFonts w:cstheme="minorHAnsi"/>
        </w:rPr>
        <w:t xml:space="preserve"> </w:t>
      </w:r>
      <w:r w:rsidRPr="00786BD7">
        <w:rPr>
          <w:rFonts w:cstheme="minorHAnsi"/>
        </w:rPr>
        <w:t>Chisholm consolidates its controlled</w:t>
      </w:r>
      <w:r>
        <w:rPr>
          <w:rFonts w:cstheme="minorHAnsi"/>
        </w:rPr>
        <w:t xml:space="preserve"> </w:t>
      </w:r>
      <w:r w:rsidRPr="00786BD7">
        <w:rPr>
          <w:rFonts w:cstheme="minorHAnsi"/>
        </w:rPr>
        <w:t>entities on the basis that control exists</w:t>
      </w:r>
      <w:r>
        <w:rPr>
          <w:rFonts w:cstheme="minorHAnsi"/>
        </w:rPr>
        <w:t xml:space="preserve"> </w:t>
      </w:r>
      <w:r w:rsidRPr="00786BD7">
        <w:rPr>
          <w:rFonts w:cstheme="minorHAnsi"/>
        </w:rPr>
        <w:t>when an entity is exposed to, or has rights</w:t>
      </w:r>
      <w:r>
        <w:rPr>
          <w:rFonts w:cstheme="minorHAnsi"/>
        </w:rPr>
        <w:t xml:space="preserve"> </w:t>
      </w:r>
      <w:r w:rsidRPr="00786BD7">
        <w:rPr>
          <w:rFonts w:cstheme="minorHAnsi"/>
        </w:rPr>
        <w:t>to, variable returns from its involvement</w:t>
      </w:r>
      <w:r>
        <w:rPr>
          <w:rFonts w:cstheme="minorHAnsi"/>
        </w:rPr>
        <w:t xml:space="preserve"> </w:t>
      </w:r>
      <w:r w:rsidRPr="00786BD7">
        <w:rPr>
          <w:rFonts w:cstheme="minorHAnsi"/>
        </w:rPr>
        <w:t>with the entity and has the ability to affect</w:t>
      </w:r>
      <w:r>
        <w:rPr>
          <w:rFonts w:cstheme="minorHAnsi"/>
        </w:rPr>
        <w:t xml:space="preserve"> </w:t>
      </w:r>
      <w:r w:rsidRPr="00786BD7">
        <w:rPr>
          <w:rFonts w:cstheme="minorHAnsi"/>
        </w:rPr>
        <w:t>those returns through its power over the</w:t>
      </w:r>
      <w:r>
        <w:rPr>
          <w:rFonts w:cstheme="minorHAnsi"/>
        </w:rPr>
        <w:t xml:space="preserve"> </w:t>
      </w:r>
      <w:r w:rsidRPr="00786BD7">
        <w:rPr>
          <w:rFonts w:cstheme="minorHAnsi"/>
        </w:rPr>
        <w:t>entity. The financial statements of entities</w:t>
      </w:r>
      <w:r>
        <w:rPr>
          <w:rFonts w:cstheme="minorHAnsi"/>
        </w:rPr>
        <w:t xml:space="preserve"> </w:t>
      </w:r>
      <w:r w:rsidRPr="00786BD7">
        <w:rPr>
          <w:rFonts w:cstheme="minorHAnsi"/>
        </w:rPr>
        <w:t>included in the consolidated financial</w:t>
      </w:r>
      <w:r>
        <w:rPr>
          <w:rFonts w:cstheme="minorHAnsi"/>
        </w:rPr>
        <w:t xml:space="preserve"> </w:t>
      </w:r>
      <w:r w:rsidRPr="00786BD7">
        <w:rPr>
          <w:rFonts w:cstheme="minorHAnsi"/>
        </w:rPr>
        <w:t>statements are from the date on which</w:t>
      </w:r>
      <w:r>
        <w:rPr>
          <w:rFonts w:cstheme="minorHAnsi"/>
        </w:rPr>
        <w:t xml:space="preserve"> </w:t>
      </w:r>
      <w:r w:rsidRPr="00786BD7">
        <w:rPr>
          <w:rFonts w:cstheme="minorHAnsi"/>
        </w:rPr>
        <w:t>control commences until the date on</w:t>
      </w:r>
      <w:r>
        <w:rPr>
          <w:rFonts w:cstheme="minorHAnsi"/>
        </w:rPr>
        <w:t xml:space="preserve"> </w:t>
      </w:r>
      <w:r w:rsidRPr="00786BD7">
        <w:rPr>
          <w:rFonts w:cstheme="minorHAnsi"/>
        </w:rPr>
        <w:t>which control ceases.</w:t>
      </w:r>
    </w:p>
    <w:p w:rsidR="00786BD7" w:rsidRPr="00786BD7" w:rsidRDefault="00786BD7" w:rsidP="00786BD7">
      <w:pPr>
        <w:autoSpaceDE w:val="0"/>
        <w:autoSpaceDN w:val="0"/>
        <w:adjustRightInd w:val="0"/>
        <w:spacing w:after="0" w:line="240" w:lineRule="auto"/>
        <w:rPr>
          <w:rFonts w:cstheme="minorHAnsi"/>
        </w:rPr>
      </w:pPr>
      <w:r w:rsidRPr="00786BD7">
        <w:rPr>
          <w:rFonts w:cstheme="minorHAnsi"/>
        </w:rPr>
        <w:t>In preparing consolidated financial</w:t>
      </w:r>
      <w:r>
        <w:rPr>
          <w:rFonts w:cstheme="minorHAnsi"/>
        </w:rPr>
        <w:t xml:space="preserve"> </w:t>
      </w:r>
      <w:r w:rsidRPr="00786BD7">
        <w:rPr>
          <w:rFonts w:cstheme="minorHAnsi"/>
        </w:rPr>
        <w:t>statements for Chisholm Group, all</w:t>
      </w:r>
      <w:r>
        <w:rPr>
          <w:rFonts w:cstheme="minorHAnsi"/>
        </w:rPr>
        <w:t xml:space="preserve"> </w:t>
      </w:r>
      <w:r w:rsidRPr="00786BD7">
        <w:rPr>
          <w:rFonts w:cstheme="minorHAnsi"/>
        </w:rPr>
        <w:t>material transactions and balances</w:t>
      </w:r>
      <w:r>
        <w:rPr>
          <w:rFonts w:cstheme="minorHAnsi"/>
        </w:rPr>
        <w:t xml:space="preserve"> </w:t>
      </w:r>
      <w:r w:rsidRPr="00786BD7">
        <w:rPr>
          <w:rFonts w:cstheme="minorHAnsi"/>
        </w:rPr>
        <w:t>between consolidated entities are</w:t>
      </w:r>
      <w:r>
        <w:rPr>
          <w:rFonts w:cstheme="minorHAnsi"/>
        </w:rPr>
        <w:t xml:space="preserve"> </w:t>
      </w:r>
      <w:r w:rsidRPr="00786BD7">
        <w:rPr>
          <w:rFonts w:cstheme="minorHAnsi"/>
        </w:rPr>
        <w:t>eliminated.</w:t>
      </w:r>
    </w:p>
    <w:p w:rsidR="00786BD7" w:rsidRDefault="00786BD7" w:rsidP="00786BD7">
      <w:pPr>
        <w:autoSpaceDE w:val="0"/>
        <w:autoSpaceDN w:val="0"/>
        <w:adjustRightInd w:val="0"/>
        <w:spacing w:after="0" w:line="240" w:lineRule="auto"/>
        <w:rPr>
          <w:rFonts w:cstheme="minorHAnsi"/>
          <w:b/>
          <w:bCs/>
        </w:rPr>
      </w:pPr>
    </w:p>
    <w:p w:rsidR="00786BD7" w:rsidRDefault="00786BD7" w:rsidP="00786BD7">
      <w:pPr>
        <w:autoSpaceDE w:val="0"/>
        <w:autoSpaceDN w:val="0"/>
        <w:adjustRightInd w:val="0"/>
        <w:spacing w:after="0" w:line="240" w:lineRule="auto"/>
        <w:rPr>
          <w:rFonts w:cstheme="minorHAnsi"/>
          <w:bCs/>
        </w:rPr>
      </w:pPr>
      <w:r w:rsidRPr="00786BD7">
        <w:rPr>
          <w:rFonts w:cstheme="minorHAnsi"/>
          <w:bCs/>
        </w:rPr>
        <w:t>Funding risk</w:t>
      </w:r>
    </w:p>
    <w:p w:rsidR="00786BD7" w:rsidRPr="00786BD7" w:rsidRDefault="00786BD7" w:rsidP="00786BD7">
      <w:pPr>
        <w:autoSpaceDE w:val="0"/>
        <w:autoSpaceDN w:val="0"/>
        <w:adjustRightInd w:val="0"/>
        <w:spacing w:after="0" w:line="240" w:lineRule="auto"/>
        <w:rPr>
          <w:rFonts w:cstheme="minorHAnsi"/>
          <w:bCs/>
        </w:rPr>
      </w:pPr>
    </w:p>
    <w:p w:rsidR="00786BD7" w:rsidRPr="00786BD7" w:rsidRDefault="00786BD7" w:rsidP="00786BD7">
      <w:pPr>
        <w:autoSpaceDE w:val="0"/>
        <w:autoSpaceDN w:val="0"/>
        <w:adjustRightInd w:val="0"/>
        <w:spacing w:after="0" w:line="240" w:lineRule="auto"/>
        <w:rPr>
          <w:rFonts w:cstheme="minorHAnsi"/>
        </w:rPr>
      </w:pPr>
      <w:r w:rsidRPr="00786BD7">
        <w:rPr>
          <w:rFonts w:cstheme="minorHAnsi"/>
        </w:rPr>
        <w:t>Funding risk is the risk of over-reliance on</w:t>
      </w:r>
      <w:r>
        <w:rPr>
          <w:rFonts w:cstheme="minorHAnsi"/>
        </w:rPr>
        <w:t xml:space="preserve"> </w:t>
      </w:r>
      <w:r w:rsidRPr="00786BD7">
        <w:rPr>
          <w:rFonts w:cstheme="minorHAnsi"/>
        </w:rPr>
        <w:t>a particular funding source to the extent</w:t>
      </w:r>
      <w:r>
        <w:rPr>
          <w:rFonts w:cstheme="minorHAnsi"/>
        </w:rPr>
        <w:t xml:space="preserve"> </w:t>
      </w:r>
      <w:r w:rsidRPr="00786BD7">
        <w:rPr>
          <w:rFonts w:cstheme="minorHAnsi"/>
        </w:rPr>
        <w:t>that a change in that funding source</w:t>
      </w:r>
      <w:r>
        <w:rPr>
          <w:rFonts w:cstheme="minorHAnsi"/>
        </w:rPr>
        <w:t xml:space="preserve"> </w:t>
      </w:r>
      <w:r w:rsidRPr="00786BD7">
        <w:rPr>
          <w:rFonts w:cstheme="minorHAnsi"/>
        </w:rPr>
        <w:t>could impact on the operating results of</w:t>
      </w:r>
      <w:r>
        <w:rPr>
          <w:rFonts w:cstheme="minorHAnsi"/>
        </w:rPr>
        <w:t xml:space="preserve"> </w:t>
      </w:r>
      <w:r w:rsidRPr="00786BD7">
        <w:rPr>
          <w:rFonts w:cstheme="minorHAnsi"/>
        </w:rPr>
        <w:t>the current year and future years.</w:t>
      </w:r>
    </w:p>
    <w:p w:rsidR="00786BD7" w:rsidRPr="00786BD7" w:rsidRDefault="00786BD7" w:rsidP="00786BD7">
      <w:pPr>
        <w:autoSpaceDE w:val="0"/>
        <w:autoSpaceDN w:val="0"/>
        <w:adjustRightInd w:val="0"/>
        <w:spacing w:after="0" w:line="240" w:lineRule="auto"/>
        <w:rPr>
          <w:rFonts w:cstheme="minorHAnsi"/>
        </w:rPr>
      </w:pPr>
      <w:r w:rsidRPr="00786BD7">
        <w:rPr>
          <w:rFonts w:cstheme="minorHAnsi"/>
        </w:rPr>
        <w:t>Chisholm Group has substantial</w:t>
      </w:r>
      <w:r>
        <w:rPr>
          <w:rFonts w:cstheme="minorHAnsi"/>
        </w:rPr>
        <w:t xml:space="preserve"> </w:t>
      </w:r>
      <w:r w:rsidRPr="00786BD7">
        <w:rPr>
          <w:rFonts w:cstheme="minorHAnsi"/>
        </w:rPr>
        <w:t>economic dependency on Government</w:t>
      </w:r>
      <w:r>
        <w:rPr>
          <w:rFonts w:cstheme="minorHAnsi"/>
        </w:rPr>
        <w:t xml:space="preserve"> </w:t>
      </w:r>
      <w:r w:rsidRPr="00786BD7">
        <w:rPr>
          <w:rFonts w:cstheme="minorHAnsi"/>
        </w:rPr>
        <w:t>operating and capital contributions.</w:t>
      </w:r>
      <w:r>
        <w:rPr>
          <w:rFonts w:cstheme="minorHAnsi"/>
        </w:rPr>
        <w:t xml:space="preserve"> </w:t>
      </w:r>
      <w:r w:rsidRPr="00786BD7">
        <w:rPr>
          <w:rFonts w:cstheme="minorHAnsi"/>
        </w:rPr>
        <w:t>Chisholm Group manages funding risk</w:t>
      </w:r>
      <w:r>
        <w:rPr>
          <w:rFonts w:cstheme="minorHAnsi"/>
        </w:rPr>
        <w:t xml:space="preserve"> </w:t>
      </w:r>
      <w:r w:rsidRPr="00786BD7">
        <w:rPr>
          <w:rFonts w:cstheme="minorHAnsi"/>
        </w:rPr>
        <w:t>by continuing to diversify and increase</w:t>
      </w:r>
      <w:r>
        <w:rPr>
          <w:rFonts w:cstheme="minorHAnsi"/>
        </w:rPr>
        <w:t xml:space="preserve"> </w:t>
      </w:r>
      <w:r w:rsidRPr="00786BD7">
        <w:rPr>
          <w:rFonts w:cstheme="minorHAnsi"/>
        </w:rPr>
        <w:t>funding from commercial activities, both</w:t>
      </w:r>
      <w:r>
        <w:rPr>
          <w:rFonts w:cstheme="minorHAnsi"/>
        </w:rPr>
        <w:t xml:space="preserve"> </w:t>
      </w:r>
      <w:r w:rsidRPr="00786BD7">
        <w:rPr>
          <w:rFonts w:cstheme="minorHAnsi"/>
        </w:rPr>
        <w:t>domestically and offshore.</w:t>
      </w:r>
    </w:p>
    <w:p w:rsidR="00C52D0A" w:rsidRPr="00786BD7" w:rsidRDefault="00786BD7" w:rsidP="00786BD7">
      <w:pPr>
        <w:autoSpaceDE w:val="0"/>
        <w:autoSpaceDN w:val="0"/>
        <w:adjustRightInd w:val="0"/>
        <w:spacing w:after="0" w:line="240" w:lineRule="auto"/>
        <w:rPr>
          <w:rFonts w:cstheme="minorHAnsi"/>
        </w:rPr>
      </w:pPr>
      <w:r w:rsidRPr="00786BD7">
        <w:rPr>
          <w:rFonts w:cstheme="minorHAnsi"/>
        </w:rPr>
        <w:t>There has been no significant change</w:t>
      </w:r>
      <w:r>
        <w:rPr>
          <w:rFonts w:cstheme="minorHAnsi"/>
        </w:rPr>
        <w:t xml:space="preserve"> </w:t>
      </w:r>
      <w:r w:rsidRPr="00786BD7">
        <w:rPr>
          <w:rFonts w:cstheme="minorHAnsi"/>
        </w:rPr>
        <w:t>in Chisholm Group’s exposure, or its</w:t>
      </w:r>
      <w:r>
        <w:rPr>
          <w:rFonts w:cstheme="minorHAnsi"/>
        </w:rPr>
        <w:t xml:space="preserve"> </w:t>
      </w:r>
      <w:r w:rsidRPr="00786BD7">
        <w:rPr>
          <w:rFonts w:cstheme="minorHAnsi"/>
        </w:rPr>
        <w:t>objectives, policies and processes for</w:t>
      </w:r>
      <w:r>
        <w:rPr>
          <w:rFonts w:cstheme="minorHAnsi"/>
        </w:rPr>
        <w:t xml:space="preserve"> </w:t>
      </w:r>
      <w:r w:rsidRPr="00786BD7">
        <w:rPr>
          <w:rFonts w:cstheme="minorHAnsi"/>
        </w:rPr>
        <w:t>managing funding risk or the methods</w:t>
      </w:r>
      <w:r>
        <w:rPr>
          <w:rFonts w:cstheme="minorHAnsi"/>
        </w:rPr>
        <w:t xml:space="preserve"> </w:t>
      </w:r>
      <w:r w:rsidRPr="00786BD7">
        <w:rPr>
          <w:rFonts w:cstheme="minorHAnsi"/>
        </w:rPr>
        <w:t>used to measure this risk from the</w:t>
      </w:r>
      <w:r>
        <w:rPr>
          <w:rFonts w:cstheme="minorHAnsi"/>
        </w:rPr>
        <w:t xml:space="preserve"> </w:t>
      </w:r>
      <w:r w:rsidRPr="00786BD7">
        <w:rPr>
          <w:rFonts w:cstheme="minorHAnsi"/>
        </w:rPr>
        <w:t>previous reporting period.</w:t>
      </w:r>
    </w:p>
    <w:p w:rsidR="00C52D0A" w:rsidRDefault="00C52D0A" w:rsidP="005942B8">
      <w:pPr>
        <w:pStyle w:val="NoSpacing"/>
      </w:pPr>
    </w:p>
    <w:p w:rsidR="00786BD7" w:rsidRDefault="00786BD7" w:rsidP="005942B8">
      <w:pPr>
        <w:pStyle w:val="NoSpacing"/>
      </w:pPr>
      <w:r>
        <w:t>&lt;page 51&gt;</w:t>
      </w:r>
    </w:p>
    <w:p w:rsidR="00374975" w:rsidRDefault="00374975" w:rsidP="005942B8">
      <w:pPr>
        <w:pStyle w:val="NoSpacing"/>
      </w:pPr>
    </w:p>
    <w:p w:rsidR="00786BD7" w:rsidRDefault="00786BD7" w:rsidP="00786BD7">
      <w:pPr>
        <w:pStyle w:val="Heading2"/>
      </w:pPr>
      <w:r>
        <w:lastRenderedPageBreak/>
        <w:t>1. About this report (continued)</w:t>
      </w:r>
    </w:p>
    <w:p w:rsidR="00681D4D" w:rsidRDefault="00681D4D" w:rsidP="00681D4D">
      <w:pPr>
        <w:pStyle w:val="Heading3"/>
      </w:pPr>
    </w:p>
    <w:p w:rsidR="00786BD7" w:rsidRDefault="00786BD7" w:rsidP="00681D4D">
      <w:pPr>
        <w:pStyle w:val="Heading3"/>
      </w:pPr>
      <w:r>
        <w:t>1.2 Compliance Information</w:t>
      </w:r>
    </w:p>
    <w:p w:rsidR="00786BD7" w:rsidRDefault="00786BD7" w:rsidP="005942B8">
      <w:pPr>
        <w:pStyle w:val="NoSpacing"/>
      </w:pPr>
    </w:p>
    <w:p w:rsidR="00786BD7" w:rsidRPr="00786BD7" w:rsidRDefault="00786BD7" w:rsidP="00786BD7">
      <w:pPr>
        <w:autoSpaceDE w:val="0"/>
        <w:autoSpaceDN w:val="0"/>
        <w:adjustRightInd w:val="0"/>
        <w:spacing w:after="0" w:line="240" w:lineRule="auto"/>
        <w:rPr>
          <w:rFonts w:cstheme="minorHAnsi"/>
        </w:rPr>
      </w:pPr>
      <w:r w:rsidRPr="00786BD7">
        <w:rPr>
          <w:rFonts w:cstheme="minorHAnsi"/>
        </w:rPr>
        <w:t>These general purpose financial</w:t>
      </w:r>
      <w:r>
        <w:rPr>
          <w:rFonts w:cstheme="minorHAnsi"/>
        </w:rPr>
        <w:t xml:space="preserve"> </w:t>
      </w:r>
      <w:r w:rsidRPr="00786BD7">
        <w:rPr>
          <w:rFonts w:cstheme="minorHAnsi"/>
        </w:rPr>
        <w:t>statements have been prepared</w:t>
      </w:r>
      <w:r>
        <w:rPr>
          <w:rFonts w:cstheme="minorHAnsi"/>
        </w:rPr>
        <w:t xml:space="preserve"> </w:t>
      </w:r>
      <w:r w:rsidRPr="00786BD7">
        <w:rPr>
          <w:rFonts w:cstheme="minorHAnsi"/>
        </w:rPr>
        <w:t>in accordance with the Financial</w:t>
      </w:r>
      <w:r>
        <w:rPr>
          <w:rFonts w:cstheme="minorHAnsi"/>
        </w:rPr>
        <w:t xml:space="preserve"> </w:t>
      </w:r>
      <w:r w:rsidRPr="00786BD7">
        <w:rPr>
          <w:rFonts w:cstheme="minorHAnsi"/>
        </w:rPr>
        <w:t>Management Act 1994 (FMA) and</w:t>
      </w:r>
      <w:r>
        <w:rPr>
          <w:rFonts w:cstheme="minorHAnsi"/>
        </w:rPr>
        <w:t xml:space="preserve"> </w:t>
      </w:r>
      <w:r w:rsidRPr="00786BD7">
        <w:rPr>
          <w:rFonts w:cstheme="minorHAnsi"/>
        </w:rPr>
        <w:t>applicable AAS, which include</w:t>
      </w:r>
      <w:r>
        <w:rPr>
          <w:rFonts w:cstheme="minorHAnsi"/>
        </w:rPr>
        <w:t xml:space="preserve"> </w:t>
      </w:r>
      <w:r w:rsidRPr="00786BD7">
        <w:rPr>
          <w:rFonts w:cstheme="minorHAnsi"/>
        </w:rPr>
        <w:t>Interpretations, issued by the Australian</w:t>
      </w:r>
      <w:r>
        <w:rPr>
          <w:rFonts w:cstheme="minorHAnsi"/>
        </w:rPr>
        <w:t xml:space="preserve"> </w:t>
      </w:r>
      <w:r w:rsidRPr="00786BD7">
        <w:rPr>
          <w:rFonts w:cstheme="minorHAnsi"/>
        </w:rPr>
        <w:t>Accounting Standards Board (AASB). In</w:t>
      </w:r>
      <w:r>
        <w:rPr>
          <w:rFonts w:cstheme="minorHAnsi"/>
        </w:rPr>
        <w:t xml:space="preserve"> </w:t>
      </w:r>
      <w:r w:rsidRPr="00786BD7">
        <w:rPr>
          <w:rFonts w:cstheme="minorHAnsi"/>
        </w:rPr>
        <w:t>particular, they are presented in a manner</w:t>
      </w:r>
      <w:r>
        <w:rPr>
          <w:rFonts w:cstheme="minorHAnsi"/>
        </w:rPr>
        <w:t xml:space="preserve"> </w:t>
      </w:r>
      <w:r w:rsidRPr="00786BD7">
        <w:rPr>
          <w:rFonts w:cstheme="minorHAnsi"/>
        </w:rPr>
        <w:t>consistent with the requirements of AASB</w:t>
      </w:r>
      <w:r>
        <w:rPr>
          <w:rFonts w:cstheme="minorHAnsi"/>
        </w:rPr>
        <w:t xml:space="preserve"> </w:t>
      </w:r>
      <w:r w:rsidRPr="00786BD7">
        <w:rPr>
          <w:rFonts w:cstheme="minorHAnsi"/>
        </w:rPr>
        <w:t>1049 Whole of Government and General</w:t>
      </w:r>
      <w:r>
        <w:rPr>
          <w:rFonts w:cstheme="minorHAnsi"/>
        </w:rPr>
        <w:t xml:space="preserve"> </w:t>
      </w:r>
      <w:r w:rsidRPr="00786BD7">
        <w:rPr>
          <w:rFonts w:cstheme="minorHAnsi"/>
        </w:rPr>
        <w:t>Government Sector Financial Reporting.</w:t>
      </w:r>
    </w:p>
    <w:p w:rsidR="00786BD7" w:rsidRDefault="00786BD7" w:rsidP="00786BD7">
      <w:pPr>
        <w:autoSpaceDE w:val="0"/>
        <w:autoSpaceDN w:val="0"/>
        <w:adjustRightInd w:val="0"/>
        <w:spacing w:after="0" w:line="240" w:lineRule="auto"/>
        <w:rPr>
          <w:rFonts w:cstheme="minorHAnsi"/>
        </w:rPr>
      </w:pPr>
    </w:p>
    <w:p w:rsidR="00786BD7" w:rsidRPr="00786BD7" w:rsidRDefault="00786BD7" w:rsidP="00786BD7">
      <w:pPr>
        <w:autoSpaceDE w:val="0"/>
        <w:autoSpaceDN w:val="0"/>
        <w:adjustRightInd w:val="0"/>
        <w:spacing w:after="0" w:line="240" w:lineRule="auto"/>
        <w:rPr>
          <w:rFonts w:cstheme="minorHAnsi"/>
        </w:rPr>
      </w:pPr>
      <w:r w:rsidRPr="00786BD7">
        <w:rPr>
          <w:rFonts w:cstheme="minorHAnsi"/>
        </w:rPr>
        <w:t>For the purposes of preparing financial</w:t>
      </w:r>
      <w:r>
        <w:rPr>
          <w:rFonts w:cstheme="minorHAnsi"/>
        </w:rPr>
        <w:t xml:space="preserve"> </w:t>
      </w:r>
      <w:r w:rsidRPr="00786BD7">
        <w:rPr>
          <w:rFonts w:cstheme="minorHAnsi"/>
        </w:rPr>
        <w:t>statements, Chisholm is classed as a</w:t>
      </w:r>
      <w:r>
        <w:rPr>
          <w:rFonts w:cstheme="minorHAnsi"/>
        </w:rPr>
        <w:t xml:space="preserve"> </w:t>
      </w:r>
      <w:r w:rsidRPr="00786BD7">
        <w:rPr>
          <w:rFonts w:cstheme="minorHAnsi"/>
        </w:rPr>
        <w:t>not-for-profit entity. Where appropriate,</w:t>
      </w:r>
      <w:r>
        <w:rPr>
          <w:rFonts w:cstheme="minorHAnsi"/>
        </w:rPr>
        <w:t xml:space="preserve"> </w:t>
      </w:r>
      <w:r w:rsidRPr="00786BD7">
        <w:rPr>
          <w:rFonts w:cstheme="minorHAnsi"/>
        </w:rPr>
        <w:t>those AAS paragraphs applicable to</w:t>
      </w:r>
      <w:r>
        <w:rPr>
          <w:rFonts w:cstheme="minorHAnsi"/>
        </w:rPr>
        <w:t xml:space="preserve"> </w:t>
      </w:r>
      <w:r w:rsidRPr="00786BD7">
        <w:rPr>
          <w:rFonts w:cstheme="minorHAnsi"/>
        </w:rPr>
        <w:t>not-for-profit entities have been applied.</w:t>
      </w:r>
    </w:p>
    <w:p w:rsidR="00786BD7" w:rsidRPr="00786BD7" w:rsidRDefault="00786BD7" w:rsidP="00786BD7">
      <w:pPr>
        <w:autoSpaceDE w:val="0"/>
        <w:autoSpaceDN w:val="0"/>
        <w:adjustRightInd w:val="0"/>
        <w:spacing w:after="0" w:line="240" w:lineRule="auto"/>
        <w:rPr>
          <w:rFonts w:cstheme="minorHAnsi"/>
        </w:rPr>
      </w:pPr>
      <w:r w:rsidRPr="00786BD7">
        <w:rPr>
          <w:rFonts w:cstheme="minorHAnsi"/>
        </w:rPr>
        <w:t>Accounting policies are selected and</w:t>
      </w:r>
      <w:r>
        <w:rPr>
          <w:rFonts w:cstheme="minorHAnsi"/>
        </w:rPr>
        <w:t xml:space="preserve"> </w:t>
      </w:r>
      <w:r w:rsidRPr="00786BD7">
        <w:rPr>
          <w:rFonts w:cstheme="minorHAnsi"/>
        </w:rPr>
        <w:t>applied in a manner which ensures</w:t>
      </w:r>
      <w:r>
        <w:rPr>
          <w:rFonts w:cstheme="minorHAnsi"/>
        </w:rPr>
        <w:t xml:space="preserve"> </w:t>
      </w:r>
      <w:r w:rsidRPr="00786BD7">
        <w:rPr>
          <w:rFonts w:cstheme="minorHAnsi"/>
        </w:rPr>
        <w:t>that the resulting financial information</w:t>
      </w:r>
      <w:r>
        <w:rPr>
          <w:rFonts w:cstheme="minorHAnsi"/>
        </w:rPr>
        <w:t xml:space="preserve"> </w:t>
      </w:r>
      <w:r w:rsidRPr="00786BD7">
        <w:rPr>
          <w:rFonts w:cstheme="minorHAnsi"/>
        </w:rPr>
        <w:t>satisfies the concepts of relevance and</w:t>
      </w:r>
      <w:r>
        <w:rPr>
          <w:rFonts w:cstheme="minorHAnsi"/>
        </w:rPr>
        <w:t xml:space="preserve"> </w:t>
      </w:r>
      <w:r w:rsidRPr="00786BD7">
        <w:rPr>
          <w:rFonts w:cstheme="minorHAnsi"/>
        </w:rPr>
        <w:t>reliability, thereby ensuring that the</w:t>
      </w:r>
      <w:r>
        <w:rPr>
          <w:rFonts w:cstheme="minorHAnsi"/>
        </w:rPr>
        <w:t xml:space="preserve"> </w:t>
      </w:r>
      <w:r w:rsidRPr="00786BD7">
        <w:rPr>
          <w:rFonts w:cstheme="minorHAnsi"/>
        </w:rPr>
        <w:t>substance of the underlying transactions</w:t>
      </w:r>
      <w:r>
        <w:rPr>
          <w:rFonts w:cstheme="minorHAnsi"/>
        </w:rPr>
        <w:t xml:space="preserve"> </w:t>
      </w:r>
      <w:r w:rsidRPr="00786BD7">
        <w:rPr>
          <w:rFonts w:cstheme="minorHAnsi"/>
        </w:rPr>
        <w:t>or other events is reported. Accounting</w:t>
      </w:r>
      <w:r>
        <w:rPr>
          <w:rFonts w:cstheme="minorHAnsi"/>
        </w:rPr>
        <w:t xml:space="preserve"> </w:t>
      </w:r>
      <w:r w:rsidRPr="00786BD7">
        <w:rPr>
          <w:rFonts w:cstheme="minorHAnsi"/>
        </w:rPr>
        <w:t>policies applied are disclosed in</w:t>
      </w:r>
      <w:r>
        <w:rPr>
          <w:rFonts w:cstheme="minorHAnsi"/>
        </w:rPr>
        <w:t xml:space="preserve"> </w:t>
      </w:r>
      <w:r w:rsidRPr="00786BD7">
        <w:rPr>
          <w:rFonts w:cstheme="minorHAnsi"/>
        </w:rPr>
        <w:t>sections where the related balance or</w:t>
      </w:r>
      <w:r>
        <w:rPr>
          <w:rFonts w:cstheme="minorHAnsi"/>
        </w:rPr>
        <w:t xml:space="preserve"> </w:t>
      </w:r>
      <w:r w:rsidRPr="00786BD7">
        <w:rPr>
          <w:rFonts w:cstheme="minorHAnsi"/>
        </w:rPr>
        <w:t>financial statement matter is disclosed.</w:t>
      </w:r>
    </w:p>
    <w:p w:rsidR="00786BD7" w:rsidRDefault="00786BD7" w:rsidP="005942B8">
      <w:pPr>
        <w:pStyle w:val="NoSpacing"/>
      </w:pPr>
    </w:p>
    <w:p w:rsidR="00786BD7" w:rsidRDefault="00786BD7" w:rsidP="005942B8">
      <w:pPr>
        <w:pStyle w:val="NoSpacing"/>
      </w:pPr>
      <w:r>
        <w:t>&lt;page 52&gt;</w:t>
      </w:r>
    </w:p>
    <w:p w:rsidR="00786BD7" w:rsidRDefault="00786BD7" w:rsidP="005942B8">
      <w:pPr>
        <w:pStyle w:val="NoSpacing"/>
      </w:pPr>
    </w:p>
    <w:p w:rsidR="00D27727" w:rsidRDefault="00D27727" w:rsidP="00681D4D">
      <w:pPr>
        <w:pStyle w:val="Heading2"/>
      </w:pPr>
      <w:r>
        <w:t>2. How we earned our funds</w:t>
      </w:r>
    </w:p>
    <w:p w:rsidR="00681D4D" w:rsidRDefault="00681D4D" w:rsidP="00681D4D">
      <w:pPr>
        <w:pStyle w:val="NoSpacing"/>
      </w:pPr>
    </w:p>
    <w:p w:rsidR="00D27727" w:rsidRDefault="00D27727" w:rsidP="00681D4D">
      <w:pPr>
        <w:pStyle w:val="Heading3"/>
      </w:pPr>
      <w:r>
        <w:t xml:space="preserve">2.1 Government contributions </w:t>
      </w:r>
    </w:p>
    <w:p w:rsidR="00D27727" w:rsidRDefault="00D27727" w:rsidP="005942B8">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D27727" w:rsidTr="00CD71F1">
        <w:trPr>
          <w:gridBefore w:val="1"/>
          <w:wBefore w:w="5529" w:type="dxa"/>
        </w:trPr>
        <w:tc>
          <w:tcPr>
            <w:tcW w:w="2552" w:type="dxa"/>
            <w:gridSpan w:val="2"/>
          </w:tcPr>
          <w:p w:rsidR="00D27727" w:rsidRDefault="00D27727" w:rsidP="00D27727">
            <w:pPr>
              <w:pStyle w:val="NoSpacing"/>
              <w:jc w:val="right"/>
            </w:pPr>
            <w:r>
              <w:t>Consolidated</w:t>
            </w:r>
          </w:p>
        </w:tc>
        <w:tc>
          <w:tcPr>
            <w:tcW w:w="2551" w:type="dxa"/>
            <w:gridSpan w:val="2"/>
          </w:tcPr>
          <w:p w:rsidR="00D27727" w:rsidRDefault="00D27727" w:rsidP="00D27727">
            <w:pPr>
              <w:pStyle w:val="NoSpacing"/>
              <w:jc w:val="right"/>
            </w:pPr>
            <w:r>
              <w:t>Chisholm</w:t>
            </w:r>
          </w:p>
        </w:tc>
      </w:tr>
      <w:tr w:rsidR="00D27727" w:rsidTr="00CD71F1">
        <w:trPr>
          <w:gridBefore w:val="1"/>
          <w:wBefore w:w="5529" w:type="dxa"/>
        </w:trPr>
        <w:tc>
          <w:tcPr>
            <w:tcW w:w="1276" w:type="dxa"/>
          </w:tcPr>
          <w:p w:rsidR="00D27727" w:rsidRDefault="00D27727" w:rsidP="00D27727">
            <w:pPr>
              <w:pStyle w:val="NoSpacing"/>
              <w:jc w:val="right"/>
            </w:pPr>
            <w:r>
              <w:t>2019</w:t>
            </w:r>
          </w:p>
        </w:tc>
        <w:tc>
          <w:tcPr>
            <w:tcW w:w="1276" w:type="dxa"/>
          </w:tcPr>
          <w:p w:rsidR="00D27727" w:rsidRDefault="00D27727" w:rsidP="00D27727">
            <w:pPr>
              <w:pStyle w:val="NoSpacing"/>
              <w:jc w:val="right"/>
            </w:pPr>
            <w:r>
              <w:t>2018</w:t>
            </w:r>
          </w:p>
        </w:tc>
        <w:tc>
          <w:tcPr>
            <w:tcW w:w="1275" w:type="dxa"/>
          </w:tcPr>
          <w:p w:rsidR="00D27727" w:rsidRDefault="00D27727" w:rsidP="00D27727">
            <w:pPr>
              <w:pStyle w:val="NoSpacing"/>
              <w:jc w:val="right"/>
            </w:pPr>
            <w:r>
              <w:t>2019</w:t>
            </w:r>
          </w:p>
        </w:tc>
        <w:tc>
          <w:tcPr>
            <w:tcW w:w="1276" w:type="dxa"/>
          </w:tcPr>
          <w:p w:rsidR="00D27727" w:rsidRDefault="00D27727" w:rsidP="00D27727">
            <w:pPr>
              <w:pStyle w:val="NoSpacing"/>
              <w:jc w:val="right"/>
            </w:pPr>
            <w:r>
              <w:t>2018</w:t>
            </w:r>
          </w:p>
        </w:tc>
      </w:tr>
      <w:tr w:rsidR="00D27727" w:rsidTr="00CD71F1">
        <w:trPr>
          <w:gridBefore w:val="1"/>
          <w:wBefore w:w="5529" w:type="dxa"/>
        </w:trPr>
        <w:tc>
          <w:tcPr>
            <w:tcW w:w="1276" w:type="dxa"/>
          </w:tcPr>
          <w:p w:rsidR="00D27727" w:rsidRDefault="00D27727" w:rsidP="00D27727">
            <w:pPr>
              <w:pStyle w:val="NoSpacing"/>
              <w:jc w:val="right"/>
            </w:pPr>
            <w:r>
              <w:t>$’000</w:t>
            </w:r>
          </w:p>
        </w:tc>
        <w:tc>
          <w:tcPr>
            <w:tcW w:w="1276" w:type="dxa"/>
          </w:tcPr>
          <w:p w:rsidR="00D27727" w:rsidRDefault="00D27727" w:rsidP="00D27727">
            <w:pPr>
              <w:jc w:val="right"/>
            </w:pPr>
            <w:r w:rsidRPr="00105D59">
              <w:t>$’000</w:t>
            </w:r>
          </w:p>
        </w:tc>
        <w:tc>
          <w:tcPr>
            <w:tcW w:w="1275" w:type="dxa"/>
          </w:tcPr>
          <w:p w:rsidR="00D27727" w:rsidRDefault="00D27727" w:rsidP="00D27727">
            <w:pPr>
              <w:jc w:val="right"/>
            </w:pPr>
            <w:r w:rsidRPr="00105D59">
              <w:t>$’000</w:t>
            </w:r>
          </w:p>
        </w:tc>
        <w:tc>
          <w:tcPr>
            <w:tcW w:w="1276" w:type="dxa"/>
          </w:tcPr>
          <w:p w:rsidR="00D27727" w:rsidRDefault="00D27727" w:rsidP="00D27727">
            <w:pPr>
              <w:jc w:val="right"/>
            </w:pPr>
            <w:r w:rsidRPr="00105D59">
              <w:t>$’000</w:t>
            </w:r>
          </w:p>
        </w:tc>
      </w:tr>
      <w:tr w:rsidR="00CD71F1" w:rsidTr="00CD71F1">
        <w:tc>
          <w:tcPr>
            <w:tcW w:w="10632" w:type="dxa"/>
            <w:gridSpan w:val="5"/>
          </w:tcPr>
          <w:p w:rsidR="00CD71F1" w:rsidRDefault="00CD71F1" w:rsidP="00BF2B41">
            <w:pPr>
              <w:pStyle w:val="NoSpacing"/>
            </w:pPr>
            <w:r>
              <w:t>Grants and other transfers</w:t>
            </w:r>
          </w:p>
        </w:tc>
      </w:tr>
      <w:tr w:rsidR="00CD71F1" w:rsidTr="00CD71F1">
        <w:tc>
          <w:tcPr>
            <w:tcW w:w="10632" w:type="dxa"/>
            <w:gridSpan w:val="5"/>
          </w:tcPr>
          <w:p w:rsidR="00CD71F1" w:rsidRDefault="00CD71F1" w:rsidP="00BF2B41">
            <w:pPr>
              <w:pStyle w:val="NoSpacing"/>
            </w:pPr>
            <w:r>
              <w:t xml:space="preserve">Government contributions – operating </w:t>
            </w:r>
          </w:p>
        </w:tc>
      </w:tr>
      <w:tr w:rsidR="00CD71F1" w:rsidTr="00CD71F1">
        <w:tc>
          <w:tcPr>
            <w:tcW w:w="5529" w:type="dxa"/>
          </w:tcPr>
          <w:p w:rsidR="00CD71F1" w:rsidRDefault="00CD71F1" w:rsidP="00BF2B41">
            <w:pPr>
              <w:pStyle w:val="NoSpacing"/>
            </w:pPr>
            <w:r>
              <w:t>State government – contestable</w:t>
            </w:r>
          </w:p>
        </w:tc>
        <w:tc>
          <w:tcPr>
            <w:tcW w:w="1276" w:type="dxa"/>
          </w:tcPr>
          <w:p w:rsidR="00CD71F1" w:rsidRDefault="00786BD7" w:rsidP="00BF2B41">
            <w:pPr>
              <w:pStyle w:val="NoSpacing"/>
              <w:jc w:val="right"/>
            </w:pPr>
            <w:r>
              <w:t>81,793</w:t>
            </w:r>
          </w:p>
        </w:tc>
        <w:tc>
          <w:tcPr>
            <w:tcW w:w="1276" w:type="dxa"/>
          </w:tcPr>
          <w:p w:rsidR="00CD71F1" w:rsidRDefault="00786BD7" w:rsidP="00BF2B41">
            <w:pPr>
              <w:pStyle w:val="NoSpacing"/>
              <w:jc w:val="right"/>
            </w:pPr>
            <w:r>
              <w:t>58,642</w:t>
            </w:r>
          </w:p>
        </w:tc>
        <w:tc>
          <w:tcPr>
            <w:tcW w:w="1275" w:type="dxa"/>
          </w:tcPr>
          <w:p w:rsidR="00CD71F1" w:rsidRDefault="00786BD7" w:rsidP="00BF2B41">
            <w:pPr>
              <w:pStyle w:val="NoSpacing"/>
              <w:jc w:val="right"/>
            </w:pPr>
            <w:r>
              <w:t>76,271</w:t>
            </w:r>
          </w:p>
        </w:tc>
        <w:tc>
          <w:tcPr>
            <w:tcW w:w="1276" w:type="dxa"/>
          </w:tcPr>
          <w:p w:rsidR="00CD71F1" w:rsidRDefault="00786BD7" w:rsidP="00BF2B41">
            <w:pPr>
              <w:pStyle w:val="NoSpacing"/>
              <w:jc w:val="right"/>
            </w:pPr>
            <w:r>
              <w:t>57,019</w:t>
            </w:r>
          </w:p>
        </w:tc>
      </w:tr>
      <w:tr w:rsidR="00CD71F1" w:rsidTr="00CD71F1">
        <w:tc>
          <w:tcPr>
            <w:tcW w:w="5529" w:type="dxa"/>
          </w:tcPr>
          <w:p w:rsidR="00CD71F1" w:rsidRDefault="00CD71F1" w:rsidP="00BF2B41">
            <w:pPr>
              <w:pStyle w:val="NoSpacing"/>
            </w:pPr>
            <w:r>
              <w:t>State government – other contributions</w:t>
            </w:r>
          </w:p>
        </w:tc>
        <w:tc>
          <w:tcPr>
            <w:tcW w:w="1276" w:type="dxa"/>
          </w:tcPr>
          <w:p w:rsidR="00CD71F1" w:rsidRDefault="00786BD7" w:rsidP="00BF2B41">
            <w:pPr>
              <w:pStyle w:val="NoSpacing"/>
              <w:jc w:val="right"/>
            </w:pPr>
            <w:r>
              <w:t>26,406</w:t>
            </w:r>
          </w:p>
        </w:tc>
        <w:tc>
          <w:tcPr>
            <w:tcW w:w="1276" w:type="dxa"/>
          </w:tcPr>
          <w:p w:rsidR="00CD71F1" w:rsidRDefault="00786BD7" w:rsidP="00BF2B41">
            <w:pPr>
              <w:pStyle w:val="NoSpacing"/>
              <w:jc w:val="right"/>
            </w:pPr>
            <w:r>
              <w:t>23,628</w:t>
            </w:r>
          </w:p>
        </w:tc>
        <w:tc>
          <w:tcPr>
            <w:tcW w:w="1275" w:type="dxa"/>
          </w:tcPr>
          <w:p w:rsidR="00CD71F1" w:rsidRDefault="00786BD7" w:rsidP="00BF2B41">
            <w:pPr>
              <w:pStyle w:val="NoSpacing"/>
              <w:jc w:val="right"/>
            </w:pPr>
            <w:r>
              <w:t>26,401</w:t>
            </w:r>
          </w:p>
        </w:tc>
        <w:tc>
          <w:tcPr>
            <w:tcW w:w="1276" w:type="dxa"/>
          </w:tcPr>
          <w:p w:rsidR="00CD71F1" w:rsidRDefault="00786BD7" w:rsidP="00BF2B41">
            <w:pPr>
              <w:pStyle w:val="NoSpacing"/>
              <w:jc w:val="right"/>
            </w:pPr>
            <w:r>
              <w:t>23,487</w:t>
            </w:r>
          </w:p>
        </w:tc>
      </w:tr>
      <w:tr w:rsidR="00CD71F1" w:rsidTr="00CD71F1">
        <w:tc>
          <w:tcPr>
            <w:tcW w:w="5529" w:type="dxa"/>
          </w:tcPr>
          <w:p w:rsidR="00CD71F1" w:rsidRDefault="00CD71F1" w:rsidP="00BF2B41">
            <w:pPr>
              <w:pStyle w:val="NoSpacing"/>
            </w:pPr>
            <w:r>
              <w:t>Total Government contributions - operating</w:t>
            </w:r>
          </w:p>
        </w:tc>
        <w:tc>
          <w:tcPr>
            <w:tcW w:w="1276" w:type="dxa"/>
          </w:tcPr>
          <w:p w:rsidR="00CD71F1" w:rsidRDefault="00786BD7" w:rsidP="00BF2B41">
            <w:pPr>
              <w:pStyle w:val="NoSpacing"/>
              <w:jc w:val="right"/>
            </w:pPr>
            <w:r>
              <w:t>108,199</w:t>
            </w:r>
          </w:p>
        </w:tc>
        <w:tc>
          <w:tcPr>
            <w:tcW w:w="1276" w:type="dxa"/>
          </w:tcPr>
          <w:p w:rsidR="00CD71F1" w:rsidRDefault="00786BD7" w:rsidP="00BF2B41">
            <w:pPr>
              <w:pStyle w:val="NoSpacing"/>
              <w:jc w:val="right"/>
            </w:pPr>
            <w:r>
              <w:t>82,270</w:t>
            </w:r>
          </w:p>
        </w:tc>
        <w:tc>
          <w:tcPr>
            <w:tcW w:w="1275" w:type="dxa"/>
          </w:tcPr>
          <w:p w:rsidR="00CD71F1" w:rsidRDefault="00786BD7" w:rsidP="00BF2B41">
            <w:pPr>
              <w:pStyle w:val="NoSpacing"/>
              <w:jc w:val="right"/>
            </w:pPr>
            <w:r>
              <w:t>102,672</w:t>
            </w:r>
          </w:p>
        </w:tc>
        <w:tc>
          <w:tcPr>
            <w:tcW w:w="1276" w:type="dxa"/>
          </w:tcPr>
          <w:p w:rsidR="00CD71F1" w:rsidRDefault="009009E5" w:rsidP="00BF2B41">
            <w:pPr>
              <w:pStyle w:val="NoSpacing"/>
              <w:jc w:val="right"/>
            </w:pPr>
            <w:r>
              <w:t>80,506</w:t>
            </w:r>
          </w:p>
        </w:tc>
      </w:tr>
    </w:tbl>
    <w:p w:rsidR="00D27727" w:rsidRDefault="00D27727" w:rsidP="005942B8">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D27727" w:rsidTr="00BF2B41">
        <w:tc>
          <w:tcPr>
            <w:tcW w:w="10632" w:type="dxa"/>
            <w:gridSpan w:val="5"/>
          </w:tcPr>
          <w:p w:rsidR="00D27727" w:rsidRDefault="00D27727" w:rsidP="00BF2B41">
            <w:pPr>
              <w:pStyle w:val="NoSpacing"/>
            </w:pPr>
            <w:r>
              <w:t xml:space="preserve">Government contributions – capital </w:t>
            </w:r>
          </w:p>
        </w:tc>
      </w:tr>
      <w:tr w:rsidR="00D27727" w:rsidTr="00CD71F1">
        <w:tc>
          <w:tcPr>
            <w:tcW w:w="5529" w:type="dxa"/>
          </w:tcPr>
          <w:p w:rsidR="00D27727" w:rsidRDefault="00D27727" w:rsidP="00D27727">
            <w:pPr>
              <w:pStyle w:val="NoSpacing"/>
            </w:pPr>
            <w:r>
              <w:t xml:space="preserve">State government – capital </w:t>
            </w:r>
          </w:p>
        </w:tc>
        <w:tc>
          <w:tcPr>
            <w:tcW w:w="1276" w:type="dxa"/>
          </w:tcPr>
          <w:p w:rsidR="00D27727" w:rsidRDefault="009009E5" w:rsidP="00D27727">
            <w:pPr>
              <w:pStyle w:val="NoSpacing"/>
              <w:jc w:val="right"/>
            </w:pPr>
            <w:r>
              <w:t>2,814</w:t>
            </w:r>
          </w:p>
        </w:tc>
        <w:tc>
          <w:tcPr>
            <w:tcW w:w="1276" w:type="dxa"/>
          </w:tcPr>
          <w:p w:rsidR="00D27727" w:rsidRDefault="009009E5" w:rsidP="00D27727">
            <w:pPr>
              <w:pStyle w:val="NoSpacing"/>
              <w:jc w:val="right"/>
            </w:pPr>
            <w:r>
              <w:t>28,144</w:t>
            </w:r>
          </w:p>
        </w:tc>
        <w:tc>
          <w:tcPr>
            <w:tcW w:w="1275" w:type="dxa"/>
          </w:tcPr>
          <w:p w:rsidR="00D27727" w:rsidRDefault="009009E5" w:rsidP="00D27727">
            <w:pPr>
              <w:pStyle w:val="NoSpacing"/>
              <w:jc w:val="right"/>
            </w:pPr>
            <w:r>
              <w:t>2,814</w:t>
            </w:r>
          </w:p>
        </w:tc>
        <w:tc>
          <w:tcPr>
            <w:tcW w:w="1276" w:type="dxa"/>
          </w:tcPr>
          <w:p w:rsidR="00D27727" w:rsidRDefault="009009E5" w:rsidP="00D27727">
            <w:pPr>
              <w:pStyle w:val="NoSpacing"/>
              <w:jc w:val="right"/>
            </w:pPr>
            <w:r>
              <w:t>28,144</w:t>
            </w:r>
          </w:p>
        </w:tc>
      </w:tr>
      <w:tr w:rsidR="00D27727" w:rsidTr="00CD71F1">
        <w:tc>
          <w:tcPr>
            <w:tcW w:w="5529" w:type="dxa"/>
          </w:tcPr>
          <w:p w:rsidR="00D27727" w:rsidRDefault="00D27727" w:rsidP="00BF2B41">
            <w:pPr>
              <w:pStyle w:val="NoSpacing"/>
            </w:pPr>
            <w:r>
              <w:t xml:space="preserve">Total Government contributions – capital </w:t>
            </w:r>
          </w:p>
        </w:tc>
        <w:tc>
          <w:tcPr>
            <w:tcW w:w="1276" w:type="dxa"/>
          </w:tcPr>
          <w:p w:rsidR="00D27727" w:rsidRDefault="009009E5" w:rsidP="00D27727">
            <w:pPr>
              <w:pStyle w:val="NoSpacing"/>
              <w:jc w:val="right"/>
            </w:pPr>
            <w:r>
              <w:t>2,814</w:t>
            </w:r>
          </w:p>
        </w:tc>
        <w:tc>
          <w:tcPr>
            <w:tcW w:w="1276" w:type="dxa"/>
          </w:tcPr>
          <w:p w:rsidR="00D27727" w:rsidRDefault="009009E5" w:rsidP="00D27727">
            <w:pPr>
              <w:pStyle w:val="NoSpacing"/>
              <w:jc w:val="right"/>
            </w:pPr>
            <w:r>
              <w:t>28,144</w:t>
            </w:r>
          </w:p>
        </w:tc>
        <w:tc>
          <w:tcPr>
            <w:tcW w:w="1275" w:type="dxa"/>
          </w:tcPr>
          <w:p w:rsidR="00D27727" w:rsidRDefault="009009E5" w:rsidP="00D27727">
            <w:pPr>
              <w:pStyle w:val="NoSpacing"/>
              <w:jc w:val="right"/>
            </w:pPr>
            <w:r>
              <w:t>2,814</w:t>
            </w:r>
          </w:p>
        </w:tc>
        <w:tc>
          <w:tcPr>
            <w:tcW w:w="1276" w:type="dxa"/>
          </w:tcPr>
          <w:p w:rsidR="00D27727" w:rsidRDefault="009009E5" w:rsidP="00D27727">
            <w:pPr>
              <w:pStyle w:val="NoSpacing"/>
              <w:jc w:val="right"/>
            </w:pPr>
            <w:r>
              <w:t>28,144</w:t>
            </w:r>
          </w:p>
        </w:tc>
      </w:tr>
    </w:tbl>
    <w:p w:rsidR="00D27727" w:rsidRDefault="00D27727" w:rsidP="005942B8">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D27727" w:rsidTr="00CD71F1">
        <w:tc>
          <w:tcPr>
            <w:tcW w:w="5529" w:type="dxa"/>
          </w:tcPr>
          <w:p w:rsidR="00D27727" w:rsidRDefault="00D27727" w:rsidP="00D27727">
            <w:pPr>
              <w:pStyle w:val="NoSpacing"/>
            </w:pPr>
            <w:r>
              <w:t>Total Government contributions</w:t>
            </w:r>
          </w:p>
        </w:tc>
        <w:tc>
          <w:tcPr>
            <w:tcW w:w="1276" w:type="dxa"/>
          </w:tcPr>
          <w:p w:rsidR="00D27727" w:rsidRDefault="009009E5" w:rsidP="00BF2B41">
            <w:pPr>
              <w:pStyle w:val="NoSpacing"/>
              <w:jc w:val="right"/>
            </w:pPr>
            <w:r>
              <w:t>111,013</w:t>
            </w:r>
          </w:p>
        </w:tc>
        <w:tc>
          <w:tcPr>
            <w:tcW w:w="1276" w:type="dxa"/>
          </w:tcPr>
          <w:p w:rsidR="00D27727" w:rsidRDefault="009009E5" w:rsidP="00BF2B41">
            <w:pPr>
              <w:pStyle w:val="NoSpacing"/>
              <w:jc w:val="right"/>
            </w:pPr>
            <w:r>
              <w:t>110,414</w:t>
            </w:r>
          </w:p>
        </w:tc>
        <w:tc>
          <w:tcPr>
            <w:tcW w:w="1275" w:type="dxa"/>
          </w:tcPr>
          <w:p w:rsidR="00D27727" w:rsidRDefault="009009E5" w:rsidP="00BF2B41">
            <w:pPr>
              <w:pStyle w:val="NoSpacing"/>
              <w:jc w:val="right"/>
            </w:pPr>
            <w:r>
              <w:t>105,486</w:t>
            </w:r>
          </w:p>
        </w:tc>
        <w:tc>
          <w:tcPr>
            <w:tcW w:w="1276" w:type="dxa"/>
          </w:tcPr>
          <w:p w:rsidR="00D27727" w:rsidRDefault="009009E5" w:rsidP="00BF2B41">
            <w:pPr>
              <w:pStyle w:val="NoSpacing"/>
              <w:jc w:val="right"/>
            </w:pPr>
            <w:r>
              <w:t>108,650</w:t>
            </w:r>
          </w:p>
        </w:tc>
      </w:tr>
    </w:tbl>
    <w:p w:rsidR="00D27727" w:rsidRDefault="00D27727" w:rsidP="005942B8">
      <w:pPr>
        <w:pStyle w:val="NoSpacing"/>
      </w:pPr>
    </w:p>
    <w:p w:rsidR="009009E5" w:rsidRDefault="009009E5" w:rsidP="005942B8">
      <w:pPr>
        <w:pStyle w:val="NoSpacing"/>
      </w:pPr>
      <w:r>
        <w:t>Government contributions are recognised as revenue in the period when the following conditions are met: Chisholm Group obtains control of the contribution or the right to receive the contributions, the economic benefits comprising the contributions will flow to Chisholm Group, and the amount of the contributions can be measured reliably.</w:t>
      </w:r>
    </w:p>
    <w:p w:rsidR="009009E5" w:rsidRDefault="009009E5" w:rsidP="005942B8">
      <w:pPr>
        <w:pStyle w:val="NoSpacing"/>
      </w:pPr>
    </w:p>
    <w:p w:rsidR="009009E5" w:rsidRDefault="009009E5" w:rsidP="005942B8">
      <w:pPr>
        <w:pStyle w:val="NoSpacing"/>
      </w:pPr>
      <w:r>
        <w:t>&lt;page 52&gt;</w:t>
      </w:r>
    </w:p>
    <w:p w:rsidR="009009E5" w:rsidRDefault="009009E5" w:rsidP="005942B8">
      <w:pPr>
        <w:pStyle w:val="NoSpacing"/>
      </w:pPr>
    </w:p>
    <w:p w:rsidR="009009E5" w:rsidRDefault="009009E5" w:rsidP="00681D4D">
      <w:pPr>
        <w:pStyle w:val="Heading3"/>
      </w:pPr>
      <w:r>
        <w:t>2.1 Government contributions (continued)</w:t>
      </w:r>
    </w:p>
    <w:p w:rsidR="009009E5" w:rsidRDefault="009009E5" w:rsidP="005942B8">
      <w:pPr>
        <w:pStyle w:val="NoSpacing"/>
      </w:pPr>
    </w:p>
    <w:p w:rsidR="009009E5" w:rsidRDefault="009009E5" w:rsidP="005942B8">
      <w:pPr>
        <w:pStyle w:val="NoSpacing"/>
      </w:pPr>
      <w:r>
        <w:t xml:space="preserve">Government contributions – operating </w:t>
      </w:r>
    </w:p>
    <w:p w:rsidR="009009E5" w:rsidRDefault="009009E5" w:rsidP="005942B8">
      <w:pPr>
        <w:pStyle w:val="NoSpacing"/>
      </w:pPr>
    </w:p>
    <w:p w:rsidR="009009E5" w:rsidRPr="009009E5" w:rsidRDefault="009009E5" w:rsidP="009009E5">
      <w:pPr>
        <w:autoSpaceDE w:val="0"/>
        <w:autoSpaceDN w:val="0"/>
        <w:adjustRightInd w:val="0"/>
        <w:spacing w:after="0" w:line="240" w:lineRule="auto"/>
        <w:rPr>
          <w:rFonts w:cstheme="minorHAnsi"/>
        </w:rPr>
      </w:pPr>
      <w:r w:rsidRPr="009009E5">
        <w:rPr>
          <w:rFonts w:cstheme="minorHAnsi"/>
        </w:rPr>
        <w:lastRenderedPageBreak/>
        <w:t>Chisholm Group recognises income</w:t>
      </w:r>
      <w:r>
        <w:rPr>
          <w:rFonts w:cstheme="minorHAnsi"/>
        </w:rPr>
        <w:t xml:space="preserve"> </w:t>
      </w:r>
      <w:r w:rsidRPr="009009E5">
        <w:rPr>
          <w:rFonts w:cstheme="minorHAnsi"/>
        </w:rPr>
        <w:t>immediately in the Comprehensive</w:t>
      </w:r>
      <w:r>
        <w:rPr>
          <w:rFonts w:cstheme="minorHAnsi"/>
        </w:rPr>
        <w:t xml:space="preserve"> </w:t>
      </w:r>
      <w:r w:rsidRPr="009009E5">
        <w:rPr>
          <w:rFonts w:cstheme="minorHAnsi"/>
        </w:rPr>
        <w:t>Operating Statement when control</w:t>
      </w:r>
      <w:r>
        <w:rPr>
          <w:rFonts w:cstheme="minorHAnsi"/>
        </w:rPr>
        <w:t xml:space="preserve"> </w:t>
      </w:r>
      <w:r w:rsidRPr="009009E5">
        <w:rPr>
          <w:rFonts w:cstheme="minorHAnsi"/>
        </w:rPr>
        <w:t>is achieved over the funds and the</w:t>
      </w:r>
      <w:r>
        <w:rPr>
          <w:rFonts w:cstheme="minorHAnsi"/>
        </w:rPr>
        <w:t xml:space="preserve"> </w:t>
      </w:r>
      <w:r w:rsidRPr="009009E5">
        <w:rPr>
          <w:rFonts w:cstheme="minorHAnsi"/>
        </w:rPr>
        <w:t>contract is not enforceable or the</w:t>
      </w:r>
      <w:r>
        <w:rPr>
          <w:rFonts w:cstheme="minorHAnsi"/>
        </w:rPr>
        <w:t xml:space="preserve"> </w:t>
      </w:r>
      <w:r w:rsidRPr="009009E5">
        <w:rPr>
          <w:rFonts w:cstheme="minorHAnsi"/>
        </w:rPr>
        <w:t>performance obligations are not</w:t>
      </w:r>
      <w:r>
        <w:rPr>
          <w:rFonts w:cstheme="minorHAnsi"/>
        </w:rPr>
        <w:t xml:space="preserve"> </w:t>
      </w:r>
      <w:r w:rsidRPr="009009E5">
        <w:rPr>
          <w:rFonts w:cstheme="minorHAnsi"/>
        </w:rPr>
        <w:t>sufficiently specific. Where performance</w:t>
      </w:r>
      <w:r>
        <w:rPr>
          <w:rFonts w:cstheme="minorHAnsi"/>
        </w:rPr>
        <w:t xml:space="preserve"> </w:t>
      </w:r>
      <w:r w:rsidRPr="009009E5">
        <w:rPr>
          <w:rFonts w:cstheme="minorHAnsi"/>
        </w:rPr>
        <w:t>obligations are sufficiently specific,</w:t>
      </w:r>
      <w:r>
        <w:rPr>
          <w:rFonts w:cstheme="minorHAnsi"/>
        </w:rPr>
        <w:t xml:space="preserve"> </w:t>
      </w:r>
      <w:r w:rsidRPr="009009E5">
        <w:rPr>
          <w:rFonts w:cstheme="minorHAnsi"/>
        </w:rPr>
        <w:t>the asset and related liability</w:t>
      </w:r>
      <w:r>
        <w:rPr>
          <w:rFonts w:cstheme="minorHAnsi"/>
        </w:rPr>
        <w:t xml:space="preserve"> </w:t>
      </w:r>
      <w:r w:rsidRPr="009009E5">
        <w:rPr>
          <w:rFonts w:cstheme="minorHAnsi"/>
        </w:rPr>
        <w:t>are recognised with the residual</w:t>
      </w:r>
      <w:r>
        <w:rPr>
          <w:rFonts w:cstheme="minorHAnsi"/>
        </w:rPr>
        <w:t xml:space="preserve"> </w:t>
      </w:r>
      <w:r w:rsidRPr="009009E5">
        <w:rPr>
          <w:rFonts w:cstheme="minorHAnsi"/>
        </w:rPr>
        <w:t>being directly recognised in the</w:t>
      </w:r>
      <w:r>
        <w:rPr>
          <w:rFonts w:cstheme="minorHAnsi"/>
        </w:rPr>
        <w:t xml:space="preserve"> </w:t>
      </w:r>
      <w:r w:rsidRPr="009009E5">
        <w:rPr>
          <w:rFonts w:cstheme="minorHAnsi"/>
        </w:rPr>
        <w:t>Comprehensive Operating Statement.</w:t>
      </w:r>
    </w:p>
    <w:p w:rsidR="009009E5" w:rsidRDefault="009009E5" w:rsidP="009009E5">
      <w:pPr>
        <w:autoSpaceDE w:val="0"/>
        <w:autoSpaceDN w:val="0"/>
        <w:adjustRightInd w:val="0"/>
        <w:spacing w:after="0" w:line="240" w:lineRule="auto"/>
        <w:rPr>
          <w:rFonts w:cstheme="minorHAnsi"/>
          <w:b/>
          <w:bCs/>
        </w:rPr>
      </w:pPr>
    </w:p>
    <w:p w:rsidR="009009E5" w:rsidRPr="009009E5" w:rsidRDefault="009009E5" w:rsidP="009009E5">
      <w:pPr>
        <w:autoSpaceDE w:val="0"/>
        <w:autoSpaceDN w:val="0"/>
        <w:adjustRightInd w:val="0"/>
        <w:spacing w:after="0" w:line="240" w:lineRule="auto"/>
        <w:rPr>
          <w:rFonts w:cstheme="minorHAnsi"/>
        </w:rPr>
      </w:pPr>
      <w:r w:rsidRPr="009009E5">
        <w:rPr>
          <w:rFonts w:cstheme="minorHAnsi"/>
          <w:bCs/>
        </w:rPr>
        <w:t>State government – contestable</w:t>
      </w:r>
      <w:r>
        <w:rPr>
          <w:rFonts w:cstheme="minorHAnsi"/>
          <w:bCs/>
        </w:rPr>
        <w:t xml:space="preserve"> </w:t>
      </w:r>
      <w:r w:rsidRPr="009009E5">
        <w:rPr>
          <w:rFonts w:cstheme="minorHAnsi"/>
        </w:rPr>
        <w:t>refers to contributions received from</w:t>
      </w:r>
      <w:r>
        <w:rPr>
          <w:rFonts w:cstheme="minorHAnsi"/>
        </w:rPr>
        <w:t xml:space="preserve"> </w:t>
      </w:r>
      <w:r w:rsidRPr="009009E5">
        <w:rPr>
          <w:rFonts w:cstheme="minorHAnsi"/>
        </w:rPr>
        <w:t>a limited pool of government funding</w:t>
      </w:r>
      <w:r>
        <w:rPr>
          <w:rFonts w:cstheme="minorHAnsi"/>
        </w:rPr>
        <w:t xml:space="preserve"> </w:t>
      </w:r>
      <w:r w:rsidRPr="009009E5">
        <w:rPr>
          <w:rFonts w:cstheme="minorHAnsi"/>
        </w:rPr>
        <w:t>for which Chisholm must compete with</w:t>
      </w:r>
      <w:r>
        <w:rPr>
          <w:rFonts w:cstheme="minorHAnsi"/>
        </w:rPr>
        <w:t xml:space="preserve"> </w:t>
      </w:r>
      <w:r w:rsidRPr="009009E5">
        <w:rPr>
          <w:rFonts w:cstheme="minorHAnsi"/>
        </w:rPr>
        <w:t>other registered training providers.</w:t>
      </w:r>
      <w:r>
        <w:rPr>
          <w:rFonts w:cstheme="minorHAnsi"/>
        </w:rPr>
        <w:t xml:space="preserve"> </w:t>
      </w:r>
      <w:r w:rsidRPr="009009E5">
        <w:rPr>
          <w:rFonts w:cstheme="minorHAnsi"/>
        </w:rPr>
        <w:t>Funding is allocated primarily through</w:t>
      </w:r>
      <w:r>
        <w:rPr>
          <w:rFonts w:cstheme="minorHAnsi"/>
        </w:rPr>
        <w:t xml:space="preserve"> </w:t>
      </w:r>
      <w:r w:rsidRPr="009009E5">
        <w:rPr>
          <w:rFonts w:cstheme="minorHAnsi"/>
        </w:rPr>
        <w:t>a competitive tendering process and a</w:t>
      </w:r>
      <w:r>
        <w:rPr>
          <w:rFonts w:cstheme="minorHAnsi"/>
        </w:rPr>
        <w:t xml:space="preserve"> </w:t>
      </w:r>
      <w:r w:rsidRPr="009009E5">
        <w:rPr>
          <w:rFonts w:cstheme="minorHAnsi"/>
        </w:rPr>
        <w:t>‘User Choice’ system.</w:t>
      </w:r>
    </w:p>
    <w:p w:rsidR="009009E5" w:rsidRDefault="009009E5" w:rsidP="009009E5">
      <w:pPr>
        <w:autoSpaceDE w:val="0"/>
        <w:autoSpaceDN w:val="0"/>
        <w:adjustRightInd w:val="0"/>
        <w:spacing w:after="0" w:line="240" w:lineRule="auto"/>
        <w:rPr>
          <w:rFonts w:cstheme="minorHAnsi"/>
          <w:b/>
          <w:bCs/>
        </w:rPr>
      </w:pPr>
    </w:p>
    <w:p w:rsidR="009009E5" w:rsidRPr="009009E5" w:rsidRDefault="009009E5" w:rsidP="009009E5">
      <w:pPr>
        <w:autoSpaceDE w:val="0"/>
        <w:autoSpaceDN w:val="0"/>
        <w:adjustRightInd w:val="0"/>
        <w:spacing w:after="0" w:line="240" w:lineRule="auto"/>
        <w:rPr>
          <w:rFonts w:cstheme="minorHAnsi"/>
        </w:rPr>
      </w:pPr>
      <w:r w:rsidRPr="009009E5">
        <w:rPr>
          <w:rFonts w:cstheme="minorHAnsi"/>
          <w:bCs/>
        </w:rPr>
        <w:t>State government – other contributions</w:t>
      </w:r>
      <w:r>
        <w:rPr>
          <w:rFonts w:cstheme="minorHAnsi"/>
          <w:bCs/>
        </w:rPr>
        <w:t xml:space="preserve"> </w:t>
      </w:r>
      <w:r w:rsidRPr="009009E5">
        <w:rPr>
          <w:rFonts w:cstheme="minorHAnsi"/>
        </w:rPr>
        <w:t>includes funding such as specific</w:t>
      </w:r>
      <w:r>
        <w:rPr>
          <w:rFonts w:cstheme="minorHAnsi"/>
        </w:rPr>
        <w:t xml:space="preserve"> </w:t>
      </w:r>
      <w:r w:rsidRPr="009009E5">
        <w:rPr>
          <w:rFonts w:cstheme="minorHAnsi"/>
        </w:rPr>
        <w:t>purpose</w:t>
      </w:r>
      <w:r>
        <w:rPr>
          <w:rFonts w:cstheme="minorHAnsi"/>
        </w:rPr>
        <w:t xml:space="preserve"> </w:t>
      </w:r>
      <w:r w:rsidRPr="009009E5">
        <w:rPr>
          <w:rFonts w:cstheme="minorHAnsi"/>
        </w:rPr>
        <w:t>grants and additional</w:t>
      </w:r>
      <w:r>
        <w:rPr>
          <w:rFonts w:cstheme="minorHAnsi"/>
        </w:rPr>
        <w:t xml:space="preserve"> </w:t>
      </w:r>
      <w:r w:rsidRPr="009009E5">
        <w:rPr>
          <w:rFonts w:cstheme="minorHAnsi"/>
        </w:rPr>
        <w:t>contributions relating to students who</w:t>
      </w:r>
      <w:r>
        <w:rPr>
          <w:rFonts w:cstheme="minorHAnsi"/>
        </w:rPr>
        <w:t xml:space="preserve"> </w:t>
      </w:r>
      <w:r w:rsidRPr="009009E5">
        <w:rPr>
          <w:rFonts w:cstheme="minorHAnsi"/>
        </w:rPr>
        <w:t>are eligible for concession discounts.</w:t>
      </w:r>
    </w:p>
    <w:p w:rsidR="009009E5" w:rsidRDefault="009009E5" w:rsidP="009009E5">
      <w:pPr>
        <w:autoSpaceDE w:val="0"/>
        <w:autoSpaceDN w:val="0"/>
        <w:adjustRightInd w:val="0"/>
        <w:spacing w:after="0" w:line="240" w:lineRule="auto"/>
        <w:rPr>
          <w:rFonts w:cstheme="minorHAnsi"/>
          <w:b/>
          <w:bCs/>
        </w:rPr>
      </w:pPr>
    </w:p>
    <w:p w:rsidR="009009E5" w:rsidRPr="009009E5" w:rsidRDefault="009009E5" w:rsidP="009009E5">
      <w:pPr>
        <w:autoSpaceDE w:val="0"/>
        <w:autoSpaceDN w:val="0"/>
        <w:adjustRightInd w:val="0"/>
        <w:spacing w:after="0" w:line="240" w:lineRule="auto"/>
        <w:rPr>
          <w:rFonts w:cstheme="minorHAnsi"/>
        </w:rPr>
      </w:pPr>
      <w:r w:rsidRPr="009009E5">
        <w:rPr>
          <w:rFonts w:cstheme="minorHAnsi"/>
          <w:bCs/>
        </w:rPr>
        <w:t>Government contributions – capital</w:t>
      </w:r>
      <w:r>
        <w:rPr>
          <w:rFonts w:cstheme="minorHAnsi"/>
          <w:bCs/>
        </w:rPr>
        <w:t xml:space="preserve"> </w:t>
      </w:r>
      <w:r w:rsidRPr="009009E5">
        <w:rPr>
          <w:rFonts w:cstheme="minorHAnsi"/>
        </w:rPr>
        <w:t>Where Chisholm Group receives a</w:t>
      </w:r>
      <w:r>
        <w:rPr>
          <w:rFonts w:cstheme="minorHAnsi"/>
        </w:rPr>
        <w:t xml:space="preserve"> </w:t>
      </w:r>
      <w:r w:rsidRPr="009009E5">
        <w:rPr>
          <w:rFonts w:cstheme="minorHAnsi"/>
        </w:rPr>
        <w:t>financial asset to construct or acquire</w:t>
      </w:r>
      <w:r>
        <w:rPr>
          <w:rFonts w:cstheme="minorHAnsi"/>
        </w:rPr>
        <w:t xml:space="preserve"> </w:t>
      </w:r>
      <w:r w:rsidRPr="009009E5">
        <w:rPr>
          <w:rFonts w:cstheme="minorHAnsi"/>
        </w:rPr>
        <w:t>a non-financial asset which is to be</w:t>
      </w:r>
      <w:r>
        <w:rPr>
          <w:rFonts w:cstheme="minorHAnsi"/>
        </w:rPr>
        <w:t xml:space="preserve"> </w:t>
      </w:r>
      <w:r w:rsidRPr="009009E5">
        <w:rPr>
          <w:rFonts w:cstheme="minorHAnsi"/>
        </w:rPr>
        <w:t>retained and used by Chisholm, the</w:t>
      </w:r>
      <w:r>
        <w:rPr>
          <w:rFonts w:cstheme="minorHAnsi"/>
        </w:rPr>
        <w:t xml:space="preserve"> </w:t>
      </w:r>
      <w:r w:rsidRPr="009009E5">
        <w:rPr>
          <w:rFonts w:cstheme="minorHAnsi"/>
        </w:rPr>
        <w:t>financial asset and the related amount</w:t>
      </w:r>
      <w:r>
        <w:rPr>
          <w:rFonts w:cstheme="minorHAnsi"/>
        </w:rPr>
        <w:t xml:space="preserve"> </w:t>
      </w:r>
      <w:r w:rsidRPr="009009E5">
        <w:rPr>
          <w:rFonts w:cstheme="minorHAnsi"/>
        </w:rPr>
        <w:t>is recognised on the balance sheet and</w:t>
      </w:r>
      <w:r>
        <w:rPr>
          <w:rFonts w:cstheme="minorHAnsi"/>
        </w:rPr>
        <w:t xml:space="preserve"> </w:t>
      </w:r>
      <w:r w:rsidRPr="009009E5">
        <w:rPr>
          <w:rFonts w:cstheme="minorHAnsi"/>
        </w:rPr>
        <w:t>any residual is recognised immediately</w:t>
      </w:r>
      <w:r>
        <w:rPr>
          <w:rFonts w:cstheme="minorHAnsi"/>
        </w:rPr>
        <w:t xml:space="preserve"> </w:t>
      </w:r>
      <w:r w:rsidRPr="009009E5">
        <w:rPr>
          <w:rFonts w:cstheme="minorHAnsi"/>
        </w:rPr>
        <w:t>as income. When the contractual</w:t>
      </w:r>
      <w:r>
        <w:rPr>
          <w:rFonts w:cstheme="minorHAnsi"/>
        </w:rPr>
        <w:t xml:space="preserve"> </w:t>
      </w:r>
      <w:r w:rsidRPr="009009E5">
        <w:rPr>
          <w:rFonts w:cstheme="minorHAnsi"/>
        </w:rPr>
        <w:t>obligations are satisfied, additional</w:t>
      </w:r>
      <w:r>
        <w:rPr>
          <w:rFonts w:cstheme="minorHAnsi"/>
        </w:rPr>
        <w:t xml:space="preserve"> </w:t>
      </w:r>
      <w:r w:rsidRPr="009009E5">
        <w:rPr>
          <w:rFonts w:cstheme="minorHAnsi"/>
        </w:rPr>
        <w:t>income is recognised.</w:t>
      </w:r>
    </w:p>
    <w:p w:rsidR="009009E5" w:rsidRDefault="009009E5" w:rsidP="005942B8">
      <w:pPr>
        <w:pStyle w:val="NoSpacing"/>
      </w:pPr>
    </w:p>
    <w:p w:rsidR="009009E5" w:rsidRDefault="009009E5" w:rsidP="005942B8">
      <w:pPr>
        <w:pStyle w:val="NoSpacing"/>
      </w:pPr>
    </w:p>
    <w:p w:rsidR="00D27727" w:rsidRDefault="00CD71F1" w:rsidP="00681D4D">
      <w:pPr>
        <w:pStyle w:val="Heading3"/>
      </w:pPr>
      <w:r>
        <w:t xml:space="preserve">2.2 Sale </w:t>
      </w:r>
      <w:r w:rsidR="009009E5">
        <w:t xml:space="preserve">from contracts with customers </w:t>
      </w: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CD71F1" w:rsidTr="00CD71F1">
        <w:trPr>
          <w:gridBefore w:val="1"/>
          <w:wBefore w:w="5529" w:type="dxa"/>
        </w:trPr>
        <w:tc>
          <w:tcPr>
            <w:tcW w:w="2552" w:type="dxa"/>
            <w:gridSpan w:val="2"/>
          </w:tcPr>
          <w:p w:rsidR="00CD71F1" w:rsidRDefault="00CD71F1" w:rsidP="00BF2B41">
            <w:pPr>
              <w:pStyle w:val="NoSpacing"/>
              <w:jc w:val="right"/>
            </w:pPr>
            <w:r>
              <w:t>Consolidated</w:t>
            </w:r>
          </w:p>
        </w:tc>
        <w:tc>
          <w:tcPr>
            <w:tcW w:w="2551" w:type="dxa"/>
            <w:gridSpan w:val="2"/>
          </w:tcPr>
          <w:p w:rsidR="00CD71F1" w:rsidRDefault="00CD71F1" w:rsidP="00BF2B41">
            <w:pPr>
              <w:pStyle w:val="NoSpacing"/>
              <w:jc w:val="right"/>
            </w:pPr>
            <w:r>
              <w:t>Chisholm</w:t>
            </w:r>
          </w:p>
        </w:tc>
      </w:tr>
      <w:tr w:rsidR="00CD71F1" w:rsidTr="00CD71F1">
        <w:trPr>
          <w:gridBefore w:val="1"/>
          <w:wBefore w:w="5529" w:type="dxa"/>
        </w:trPr>
        <w:tc>
          <w:tcPr>
            <w:tcW w:w="1276" w:type="dxa"/>
          </w:tcPr>
          <w:p w:rsidR="00CD71F1" w:rsidRDefault="00CD71F1" w:rsidP="00BF2B41">
            <w:pPr>
              <w:pStyle w:val="NoSpacing"/>
              <w:jc w:val="right"/>
            </w:pPr>
            <w:r>
              <w:t>2019</w:t>
            </w:r>
          </w:p>
        </w:tc>
        <w:tc>
          <w:tcPr>
            <w:tcW w:w="1276" w:type="dxa"/>
          </w:tcPr>
          <w:p w:rsidR="00CD71F1" w:rsidRDefault="00CD71F1" w:rsidP="00BF2B41">
            <w:pPr>
              <w:pStyle w:val="NoSpacing"/>
              <w:jc w:val="right"/>
            </w:pPr>
            <w:r>
              <w:t>2018</w:t>
            </w:r>
          </w:p>
        </w:tc>
        <w:tc>
          <w:tcPr>
            <w:tcW w:w="1275" w:type="dxa"/>
          </w:tcPr>
          <w:p w:rsidR="00CD71F1" w:rsidRDefault="00CD71F1" w:rsidP="00BF2B41">
            <w:pPr>
              <w:pStyle w:val="NoSpacing"/>
              <w:jc w:val="right"/>
            </w:pPr>
            <w:r>
              <w:t>2019</w:t>
            </w:r>
          </w:p>
        </w:tc>
        <w:tc>
          <w:tcPr>
            <w:tcW w:w="1276" w:type="dxa"/>
          </w:tcPr>
          <w:p w:rsidR="00CD71F1" w:rsidRDefault="00CD71F1" w:rsidP="00BF2B41">
            <w:pPr>
              <w:pStyle w:val="NoSpacing"/>
              <w:jc w:val="right"/>
            </w:pPr>
            <w:r>
              <w:t>2018</w:t>
            </w:r>
          </w:p>
        </w:tc>
      </w:tr>
      <w:tr w:rsidR="00CD71F1" w:rsidTr="00CD71F1">
        <w:trPr>
          <w:gridBefore w:val="1"/>
          <w:wBefore w:w="5529" w:type="dxa"/>
        </w:trPr>
        <w:tc>
          <w:tcPr>
            <w:tcW w:w="1276" w:type="dxa"/>
          </w:tcPr>
          <w:p w:rsidR="00CD71F1" w:rsidRDefault="00CD71F1" w:rsidP="00BF2B41">
            <w:pPr>
              <w:pStyle w:val="NoSpacing"/>
              <w:jc w:val="right"/>
            </w:pPr>
            <w:r>
              <w:t>$’000</w:t>
            </w:r>
          </w:p>
        </w:tc>
        <w:tc>
          <w:tcPr>
            <w:tcW w:w="1276" w:type="dxa"/>
          </w:tcPr>
          <w:p w:rsidR="00CD71F1" w:rsidRDefault="00CD71F1" w:rsidP="00BF2B41">
            <w:pPr>
              <w:jc w:val="right"/>
            </w:pPr>
            <w:r w:rsidRPr="00105D59">
              <w:t>$’000</w:t>
            </w:r>
          </w:p>
        </w:tc>
        <w:tc>
          <w:tcPr>
            <w:tcW w:w="1275" w:type="dxa"/>
          </w:tcPr>
          <w:p w:rsidR="00CD71F1" w:rsidRDefault="00CD71F1" w:rsidP="00BF2B41">
            <w:pPr>
              <w:jc w:val="right"/>
            </w:pPr>
            <w:r w:rsidRPr="00105D59">
              <w:t>$’000</w:t>
            </w:r>
          </w:p>
        </w:tc>
        <w:tc>
          <w:tcPr>
            <w:tcW w:w="1276" w:type="dxa"/>
          </w:tcPr>
          <w:p w:rsidR="00CD71F1" w:rsidRDefault="00CD71F1" w:rsidP="00BF2B41">
            <w:pPr>
              <w:jc w:val="right"/>
            </w:pPr>
            <w:r w:rsidRPr="00105D59">
              <w:t>$’000</w:t>
            </w:r>
          </w:p>
        </w:tc>
      </w:tr>
      <w:tr w:rsidR="00CD71F1" w:rsidTr="00CD71F1">
        <w:tc>
          <w:tcPr>
            <w:tcW w:w="5529" w:type="dxa"/>
          </w:tcPr>
          <w:p w:rsidR="00CD71F1" w:rsidRDefault="00CD71F1" w:rsidP="00BF2B41">
            <w:pPr>
              <w:pStyle w:val="NoSpacing"/>
            </w:pPr>
            <w:r>
              <w:t>Student fees and charges</w:t>
            </w:r>
          </w:p>
        </w:tc>
        <w:tc>
          <w:tcPr>
            <w:tcW w:w="1276" w:type="dxa"/>
          </w:tcPr>
          <w:p w:rsidR="00CD71F1" w:rsidRDefault="009009E5" w:rsidP="00BF2B41">
            <w:pPr>
              <w:pStyle w:val="NoSpacing"/>
              <w:jc w:val="right"/>
            </w:pPr>
            <w:r>
              <w:t>19,994</w:t>
            </w:r>
          </w:p>
        </w:tc>
        <w:tc>
          <w:tcPr>
            <w:tcW w:w="1276" w:type="dxa"/>
          </w:tcPr>
          <w:p w:rsidR="00CD71F1" w:rsidRDefault="009009E5" w:rsidP="00BF2B41">
            <w:pPr>
              <w:pStyle w:val="NoSpacing"/>
              <w:jc w:val="right"/>
            </w:pPr>
            <w:r>
              <w:t>23,495</w:t>
            </w:r>
          </w:p>
        </w:tc>
        <w:tc>
          <w:tcPr>
            <w:tcW w:w="1275" w:type="dxa"/>
          </w:tcPr>
          <w:p w:rsidR="00CD71F1" w:rsidRDefault="009009E5" w:rsidP="00BF2B41">
            <w:pPr>
              <w:pStyle w:val="NoSpacing"/>
              <w:jc w:val="right"/>
            </w:pPr>
            <w:r>
              <w:t>19,145</w:t>
            </w:r>
          </w:p>
        </w:tc>
        <w:tc>
          <w:tcPr>
            <w:tcW w:w="1276" w:type="dxa"/>
          </w:tcPr>
          <w:p w:rsidR="00CD71F1" w:rsidRDefault="009009E5" w:rsidP="00BF2B41">
            <w:pPr>
              <w:pStyle w:val="NoSpacing"/>
              <w:jc w:val="right"/>
            </w:pPr>
            <w:r>
              <w:t>22,285</w:t>
            </w:r>
          </w:p>
        </w:tc>
      </w:tr>
      <w:tr w:rsidR="00CD71F1" w:rsidTr="00CD71F1">
        <w:tc>
          <w:tcPr>
            <w:tcW w:w="5529" w:type="dxa"/>
          </w:tcPr>
          <w:p w:rsidR="00CD71F1" w:rsidRDefault="00CD71F1" w:rsidP="00BF2B41">
            <w:pPr>
              <w:pStyle w:val="NoSpacing"/>
            </w:pPr>
            <w:r>
              <w:t>Fee for service – government</w:t>
            </w:r>
          </w:p>
        </w:tc>
        <w:tc>
          <w:tcPr>
            <w:tcW w:w="1276" w:type="dxa"/>
          </w:tcPr>
          <w:p w:rsidR="00CD71F1" w:rsidRDefault="009009E5" w:rsidP="00BF2B41">
            <w:pPr>
              <w:pStyle w:val="NoSpacing"/>
              <w:jc w:val="right"/>
            </w:pPr>
            <w:r>
              <w:t>21,003</w:t>
            </w:r>
          </w:p>
        </w:tc>
        <w:tc>
          <w:tcPr>
            <w:tcW w:w="1276" w:type="dxa"/>
          </w:tcPr>
          <w:p w:rsidR="00CD71F1" w:rsidRDefault="009009E5" w:rsidP="00BF2B41">
            <w:pPr>
              <w:pStyle w:val="NoSpacing"/>
              <w:jc w:val="right"/>
            </w:pPr>
            <w:r>
              <w:t>15,845</w:t>
            </w:r>
          </w:p>
        </w:tc>
        <w:tc>
          <w:tcPr>
            <w:tcW w:w="1275" w:type="dxa"/>
          </w:tcPr>
          <w:p w:rsidR="00CD71F1" w:rsidRDefault="009009E5" w:rsidP="00BF2B41">
            <w:pPr>
              <w:pStyle w:val="NoSpacing"/>
              <w:jc w:val="right"/>
            </w:pPr>
            <w:r>
              <w:t>21,003</w:t>
            </w:r>
          </w:p>
        </w:tc>
        <w:tc>
          <w:tcPr>
            <w:tcW w:w="1276" w:type="dxa"/>
          </w:tcPr>
          <w:p w:rsidR="00CD71F1" w:rsidRDefault="009009E5" w:rsidP="00BF2B41">
            <w:pPr>
              <w:pStyle w:val="NoSpacing"/>
              <w:jc w:val="right"/>
            </w:pPr>
            <w:r>
              <w:t>15,845</w:t>
            </w:r>
          </w:p>
        </w:tc>
      </w:tr>
      <w:tr w:rsidR="00CD71F1" w:rsidTr="00CD71F1">
        <w:tc>
          <w:tcPr>
            <w:tcW w:w="5529" w:type="dxa"/>
          </w:tcPr>
          <w:p w:rsidR="00CD71F1" w:rsidRDefault="00CD71F1" w:rsidP="00BF2B41">
            <w:pPr>
              <w:pStyle w:val="NoSpacing"/>
            </w:pPr>
            <w:r>
              <w:t>Fee for service – international operations – onshore</w:t>
            </w:r>
          </w:p>
        </w:tc>
        <w:tc>
          <w:tcPr>
            <w:tcW w:w="1276" w:type="dxa"/>
          </w:tcPr>
          <w:p w:rsidR="00CD71F1" w:rsidRDefault="009009E5" w:rsidP="00BF2B41">
            <w:pPr>
              <w:pStyle w:val="NoSpacing"/>
              <w:jc w:val="right"/>
            </w:pPr>
            <w:r>
              <w:t>6,057</w:t>
            </w:r>
          </w:p>
        </w:tc>
        <w:tc>
          <w:tcPr>
            <w:tcW w:w="1276" w:type="dxa"/>
          </w:tcPr>
          <w:p w:rsidR="00CD71F1" w:rsidRDefault="009009E5" w:rsidP="00BF2B41">
            <w:pPr>
              <w:pStyle w:val="NoSpacing"/>
              <w:jc w:val="right"/>
            </w:pPr>
            <w:r>
              <w:t>5,572</w:t>
            </w:r>
          </w:p>
        </w:tc>
        <w:tc>
          <w:tcPr>
            <w:tcW w:w="1275" w:type="dxa"/>
          </w:tcPr>
          <w:p w:rsidR="00CD71F1" w:rsidRDefault="009009E5" w:rsidP="00BF2B41">
            <w:pPr>
              <w:pStyle w:val="NoSpacing"/>
              <w:jc w:val="right"/>
            </w:pPr>
            <w:r>
              <w:t>6,057</w:t>
            </w:r>
          </w:p>
        </w:tc>
        <w:tc>
          <w:tcPr>
            <w:tcW w:w="1276" w:type="dxa"/>
          </w:tcPr>
          <w:p w:rsidR="00CD71F1" w:rsidRDefault="009009E5" w:rsidP="00BF2B41">
            <w:pPr>
              <w:pStyle w:val="NoSpacing"/>
              <w:jc w:val="right"/>
            </w:pPr>
            <w:r>
              <w:t>5,572</w:t>
            </w:r>
          </w:p>
        </w:tc>
      </w:tr>
      <w:tr w:rsidR="00CD71F1" w:rsidTr="00CD71F1">
        <w:tc>
          <w:tcPr>
            <w:tcW w:w="5529" w:type="dxa"/>
          </w:tcPr>
          <w:p w:rsidR="00CD71F1" w:rsidRDefault="00CD71F1" w:rsidP="00BF2B41">
            <w:pPr>
              <w:pStyle w:val="NoSpacing"/>
            </w:pPr>
            <w:r>
              <w:t>Fee for service – international operations – off shore</w:t>
            </w:r>
          </w:p>
        </w:tc>
        <w:tc>
          <w:tcPr>
            <w:tcW w:w="1276" w:type="dxa"/>
          </w:tcPr>
          <w:p w:rsidR="00CD71F1" w:rsidRDefault="009009E5" w:rsidP="00BF2B41">
            <w:pPr>
              <w:pStyle w:val="NoSpacing"/>
              <w:jc w:val="right"/>
            </w:pPr>
            <w:r>
              <w:t>7,467</w:t>
            </w:r>
          </w:p>
        </w:tc>
        <w:tc>
          <w:tcPr>
            <w:tcW w:w="1276" w:type="dxa"/>
          </w:tcPr>
          <w:p w:rsidR="00CD71F1" w:rsidRDefault="009009E5" w:rsidP="00BF2B41">
            <w:pPr>
              <w:pStyle w:val="NoSpacing"/>
              <w:jc w:val="right"/>
            </w:pPr>
            <w:r>
              <w:t>7,179</w:t>
            </w:r>
          </w:p>
        </w:tc>
        <w:tc>
          <w:tcPr>
            <w:tcW w:w="1275" w:type="dxa"/>
          </w:tcPr>
          <w:p w:rsidR="00CD71F1" w:rsidRDefault="009009E5" w:rsidP="00BF2B41">
            <w:pPr>
              <w:pStyle w:val="NoSpacing"/>
              <w:jc w:val="right"/>
            </w:pPr>
            <w:r>
              <w:t>7,467</w:t>
            </w:r>
          </w:p>
        </w:tc>
        <w:tc>
          <w:tcPr>
            <w:tcW w:w="1276" w:type="dxa"/>
          </w:tcPr>
          <w:p w:rsidR="00CD71F1" w:rsidRDefault="009009E5" w:rsidP="00BF2B41">
            <w:pPr>
              <w:pStyle w:val="NoSpacing"/>
              <w:jc w:val="right"/>
            </w:pPr>
            <w:r>
              <w:t>7,179</w:t>
            </w:r>
          </w:p>
        </w:tc>
      </w:tr>
      <w:tr w:rsidR="00CD71F1" w:rsidTr="00CD71F1">
        <w:tc>
          <w:tcPr>
            <w:tcW w:w="5529" w:type="dxa"/>
          </w:tcPr>
          <w:p w:rsidR="00CD71F1" w:rsidRDefault="00CD71F1" w:rsidP="00BF2B41">
            <w:pPr>
              <w:pStyle w:val="NoSpacing"/>
            </w:pPr>
            <w:r>
              <w:t xml:space="preserve">Fee for service – other </w:t>
            </w:r>
          </w:p>
        </w:tc>
        <w:tc>
          <w:tcPr>
            <w:tcW w:w="1276" w:type="dxa"/>
          </w:tcPr>
          <w:p w:rsidR="00CD71F1" w:rsidRDefault="009009E5" w:rsidP="00BF2B41">
            <w:pPr>
              <w:pStyle w:val="NoSpacing"/>
              <w:jc w:val="right"/>
            </w:pPr>
            <w:r>
              <w:t>6,238</w:t>
            </w:r>
          </w:p>
        </w:tc>
        <w:tc>
          <w:tcPr>
            <w:tcW w:w="1276" w:type="dxa"/>
          </w:tcPr>
          <w:p w:rsidR="00CD71F1" w:rsidRDefault="009009E5" w:rsidP="00BF2B41">
            <w:pPr>
              <w:pStyle w:val="NoSpacing"/>
              <w:jc w:val="right"/>
            </w:pPr>
            <w:r>
              <w:t>9,776</w:t>
            </w:r>
          </w:p>
        </w:tc>
        <w:tc>
          <w:tcPr>
            <w:tcW w:w="1275" w:type="dxa"/>
          </w:tcPr>
          <w:p w:rsidR="00CD71F1" w:rsidRDefault="009009E5" w:rsidP="00BF2B41">
            <w:pPr>
              <w:pStyle w:val="NoSpacing"/>
              <w:jc w:val="right"/>
            </w:pPr>
            <w:r>
              <w:t>6,107</w:t>
            </w:r>
          </w:p>
        </w:tc>
        <w:tc>
          <w:tcPr>
            <w:tcW w:w="1276" w:type="dxa"/>
          </w:tcPr>
          <w:p w:rsidR="00CD71F1" w:rsidRDefault="009009E5" w:rsidP="00BF2B41">
            <w:pPr>
              <w:pStyle w:val="NoSpacing"/>
              <w:jc w:val="right"/>
            </w:pPr>
            <w:r>
              <w:t>9,568</w:t>
            </w:r>
          </w:p>
        </w:tc>
      </w:tr>
      <w:tr w:rsidR="00CD71F1" w:rsidTr="00BF2B41">
        <w:tc>
          <w:tcPr>
            <w:tcW w:w="10632" w:type="dxa"/>
            <w:gridSpan w:val="5"/>
          </w:tcPr>
          <w:p w:rsidR="00CD71F1" w:rsidRDefault="00CD71F1" w:rsidP="00CD71F1">
            <w:pPr>
              <w:pStyle w:val="NoSpacing"/>
            </w:pPr>
            <w:r>
              <w:t>Other non-course fees and charged</w:t>
            </w:r>
          </w:p>
        </w:tc>
      </w:tr>
      <w:tr w:rsidR="00CD71F1" w:rsidTr="00CD71F1">
        <w:tc>
          <w:tcPr>
            <w:tcW w:w="5529" w:type="dxa"/>
          </w:tcPr>
          <w:p w:rsidR="00CD71F1" w:rsidRDefault="00CD71F1" w:rsidP="00BF2B41">
            <w:pPr>
              <w:pStyle w:val="NoSpacing"/>
            </w:pPr>
            <w:r>
              <w:t>Sale of goods</w:t>
            </w:r>
          </w:p>
        </w:tc>
        <w:tc>
          <w:tcPr>
            <w:tcW w:w="1276" w:type="dxa"/>
          </w:tcPr>
          <w:p w:rsidR="00CD71F1" w:rsidRDefault="009009E5" w:rsidP="00BF2B41">
            <w:pPr>
              <w:pStyle w:val="NoSpacing"/>
              <w:jc w:val="right"/>
            </w:pPr>
            <w:r>
              <w:t>380</w:t>
            </w:r>
          </w:p>
        </w:tc>
        <w:tc>
          <w:tcPr>
            <w:tcW w:w="1276" w:type="dxa"/>
          </w:tcPr>
          <w:p w:rsidR="00CD71F1" w:rsidRDefault="009009E5" w:rsidP="00BF2B41">
            <w:pPr>
              <w:pStyle w:val="NoSpacing"/>
              <w:jc w:val="right"/>
            </w:pPr>
            <w:r>
              <w:t>484</w:t>
            </w:r>
          </w:p>
        </w:tc>
        <w:tc>
          <w:tcPr>
            <w:tcW w:w="1275" w:type="dxa"/>
          </w:tcPr>
          <w:p w:rsidR="00CD71F1" w:rsidRDefault="009009E5" w:rsidP="00BF2B41">
            <w:pPr>
              <w:pStyle w:val="NoSpacing"/>
              <w:jc w:val="right"/>
            </w:pPr>
            <w:r>
              <w:t>380</w:t>
            </w:r>
          </w:p>
        </w:tc>
        <w:tc>
          <w:tcPr>
            <w:tcW w:w="1276" w:type="dxa"/>
          </w:tcPr>
          <w:p w:rsidR="00CD71F1" w:rsidRDefault="009009E5" w:rsidP="00BF2B41">
            <w:pPr>
              <w:pStyle w:val="NoSpacing"/>
              <w:jc w:val="right"/>
            </w:pPr>
            <w:r>
              <w:t>484</w:t>
            </w:r>
          </w:p>
        </w:tc>
      </w:tr>
      <w:tr w:rsidR="00CD71F1" w:rsidTr="00CD71F1">
        <w:tc>
          <w:tcPr>
            <w:tcW w:w="5529" w:type="dxa"/>
          </w:tcPr>
          <w:p w:rsidR="00CD71F1" w:rsidRDefault="00CD71F1" w:rsidP="00BF2B41">
            <w:pPr>
              <w:pStyle w:val="NoSpacing"/>
            </w:pPr>
            <w:r>
              <w:t xml:space="preserve">Total income from sales of goods and services </w:t>
            </w:r>
          </w:p>
        </w:tc>
        <w:tc>
          <w:tcPr>
            <w:tcW w:w="1276" w:type="dxa"/>
          </w:tcPr>
          <w:p w:rsidR="00CD71F1" w:rsidRDefault="009009E5" w:rsidP="00BF2B41">
            <w:pPr>
              <w:pStyle w:val="NoSpacing"/>
              <w:jc w:val="right"/>
            </w:pPr>
            <w:r>
              <w:t>61,139</w:t>
            </w:r>
          </w:p>
        </w:tc>
        <w:tc>
          <w:tcPr>
            <w:tcW w:w="1276" w:type="dxa"/>
          </w:tcPr>
          <w:p w:rsidR="00CD71F1" w:rsidRDefault="009009E5" w:rsidP="00BF2B41">
            <w:pPr>
              <w:pStyle w:val="NoSpacing"/>
              <w:jc w:val="right"/>
            </w:pPr>
            <w:r>
              <w:t>62,351</w:t>
            </w:r>
          </w:p>
        </w:tc>
        <w:tc>
          <w:tcPr>
            <w:tcW w:w="1275" w:type="dxa"/>
          </w:tcPr>
          <w:p w:rsidR="00CD71F1" w:rsidRDefault="009009E5" w:rsidP="00BF2B41">
            <w:pPr>
              <w:pStyle w:val="NoSpacing"/>
              <w:jc w:val="right"/>
            </w:pPr>
            <w:r>
              <w:t>60,159</w:t>
            </w:r>
          </w:p>
        </w:tc>
        <w:tc>
          <w:tcPr>
            <w:tcW w:w="1276" w:type="dxa"/>
          </w:tcPr>
          <w:p w:rsidR="00CD71F1" w:rsidRDefault="009009E5" w:rsidP="00BF2B41">
            <w:pPr>
              <w:pStyle w:val="NoSpacing"/>
              <w:jc w:val="right"/>
            </w:pPr>
            <w:r>
              <w:t>60,933</w:t>
            </w:r>
          </w:p>
        </w:tc>
      </w:tr>
    </w:tbl>
    <w:p w:rsidR="00D27727" w:rsidRDefault="00D27727" w:rsidP="005942B8">
      <w:pPr>
        <w:pStyle w:val="NoSpacing"/>
      </w:pPr>
    </w:p>
    <w:p w:rsidR="009009E5" w:rsidRDefault="009009E5" w:rsidP="005942B8">
      <w:pPr>
        <w:pStyle w:val="NoSpacing"/>
      </w:pPr>
      <w:r>
        <w:t>&lt;page 53&gt;</w:t>
      </w:r>
    </w:p>
    <w:p w:rsidR="009009E5" w:rsidRDefault="009009E5" w:rsidP="005942B8">
      <w:pPr>
        <w:pStyle w:val="NoSpacing"/>
      </w:pPr>
    </w:p>
    <w:p w:rsidR="009009E5" w:rsidRDefault="009009E5" w:rsidP="00681D4D">
      <w:pPr>
        <w:pStyle w:val="Heading2"/>
      </w:pPr>
      <w:r>
        <w:t>2. How we earned our funds (continued)</w:t>
      </w:r>
    </w:p>
    <w:p w:rsidR="009009E5" w:rsidRDefault="009009E5" w:rsidP="005942B8">
      <w:pPr>
        <w:pStyle w:val="NoSpacing"/>
      </w:pPr>
    </w:p>
    <w:p w:rsidR="009009E5" w:rsidRDefault="009009E5" w:rsidP="00681D4D">
      <w:pPr>
        <w:pStyle w:val="Heading3"/>
      </w:pPr>
      <w:r>
        <w:t>2.2 Sale from contracts with customers (continued)</w:t>
      </w:r>
    </w:p>
    <w:p w:rsidR="009009E5" w:rsidRDefault="009009E5" w:rsidP="005942B8">
      <w:pPr>
        <w:pStyle w:val="NoSpacing"/>
      </w:pPr>
    </w:p>
    <w:p w:rsidR="009009E5" w:rsidRDefault="009009E5" w:rsidP="005942B8">
      <w:pPr>
        <w:pStyle w:val="NoSpacing"/>
      </w:pPr>
      <w:r>
        <w:t>The following table provides a breakdown of contractual sales with customers based on the location of course delivery:</w:t>
      </w:r>
    </w:p>
    <w:p w:rsidR="009009E5" w:rsidRDefault="009009E5" w:rsidP="005942B8">
      <w:pPr>
        <w:pStyle w:val="NoSpacing"/>
      </w:pPr>
    </w:p>
    <w:tbl>
      <w:tblPr>
        <w:tblStyle w:val="TableGrid"/>
        <w:tblW w:w="10632" w:type="dxa"/>
        <w:tblInd w:w="-856" w:type="dxa"/>
        <w:tblLook w:val="04A0" w:firstRow="1" w:lastRow="0" w:firstColumn="1" w:lastColumn="0" w:noHBand="0" w:noVBand="1"/>
      </w:tblPr>
      <w:tblGrid>
        <w:gridCol w:w="4395"/>
        <w:gridCol w:w="1701"/>
        <w:gridCol w:w="1559"/>
        <w:gridCol w:w="1560"/>
        <w:gridCol w:w="1417"/>
      </w:tblGrid>
      <w:tr w:rsidR="00D169C9" w:rsidTr="005C172B">
        <w:trPr>
          <w:gridBefore w:val="1"/>
          <w:wBefore w:w="4395" w:type="dxa"/>
        </w:trPr>
        <w:tc>
          <w:tcPr>
            <w:tcW w:w="1701" w:type="dxa"/>
          </w:tcPr>
          <w:p w:rsidR="00D169C9" w:rsidRDefault="005C172B" w:rsidP="005C172B">
            <w:pPr>
              <w:pStyle w:val="NoSpacing"/>
              <w:jc w:val="right"/>
            </w:pPr>
            <w:r>
              <w:t>Student fees and charges</w:t>
            </w:r>
          </w:p>
        </w:tc>
        <w:tc>
          <w:tcPr>
            <w:tcW w:w="1559" w:type="dxa"/>
          </w:tcPr>
          <w:p w:rsidR="00D169C9" w:rsidRDefault="005C172B" w:rsidP="005C172B">
            <w:pPr>
              <w:pStyle w:val="NoSpacing"/>
              <w:jc w:val="right"/>
            </w:pPr>
            <w:r>
              <w:t>Fee for service</w:t>
            </w:r>
          </w:p>
        </w:tc>
        <w:tc>
          <w:tcPr>
            <w:tcW w:w="1560" w:type="dxa"/>
          </w:tcPr>
          <w:p w:rsidR="00D169C9" w:rsidRDefault="005C172B" w:rsidP="005C172B">
            <w:pPr>
              <w:pStyle w:val="NoSpacing"/>
              <w:jc w:val="right"/>
            </w:pPr>
            <w:r>
              <w:t>Sale of goods</w:t>
            </w:r>
          </w:p>
        </w:tc>
        <w:tc>
          <w:tcPr>
            <w:tcW w:w="1417" w:type="dxa"/>
          </w:tcPr>
          <w:p w:rsidR="00D169C9" w:rsidRDefault="005C172B" w:rsidP="005C172B">
            <w:pPr>
              <w:pStyle w:val="NoSpacing"/>
              <w:jc w:val="right"/>
            </w:pPr>
            <w:r>
              <w:t xml:space="preserve">Total </w:t>
            </w:r>
          </w:p>
        </w:tc>
      </w:tr>
      <w:tr w:rsidR="00D169C9" w:rsidTr="005C172B">
        <w:trPr>
          <w:gridBefore w:val="1"/>
          <w:wBefore w:w="4395" w:type="dxa"/>
        </w:trPr>
        <w:tc>
          <w:tcPr>
            <w:tcW w:w="1701" w:type="dxa"/>
          </w:tcPr>
          <w:p w:rsidR="00D169C9" w:rsidRDefault="00D169C9" w:rsidP="005C172B">
            <w:pPr>
              <w:pStyle w:val="NoSpacing"/>
              <w:jc w:val="right"/>
            </w:pPr>
            <w:r>
              <w:t>$’000</w:t>
            </w:r>
          </w:p>
        </w:tc>
        <w:tc>
          <w:tcPr>
            <w:tcW w:w="1559" w:type="dxa"/>
          </w:tcPr>
          <w:p w:rsidR="00D169C9" w:rsidRDefault="00D169C9" w:rsidP="005C172B">
            <w:pPr>
              <w:jc w:val="right"/>
            </w:pPr>
            <w:r w:rsidRPr="00105D59">
              <w:t>$’000</w:t>
            </w:r>
          </w:p>
        </w:tc>
        <w:tc>
          <w:tcPr>
            <w:tcW w:w="1560" w:type="dxa"/>
          </w:tcPr>
          <w:p w:rsidR="00D169C9" w:rsidRDefault="00D169C9" w:rsidP="005C172B">
            <w:pPr>
              <w:jc w:val="right"/>
            </w:pPr>
            <w:r w:rsidRPr="00105D59">
              <w:t>$’000</w:t>
            </w:r>
          </w:p>
        </w:tc>
        <w:tc>
          <w:tcPr>
            <w:tcW w:w="1417" w:type="dxa"/>
          </w:tcPr>
          <w:p w:rsidR="00D169C9" w:rsidRDefault="00D169C9" w:rsidP="005C172B">
            <w:pPr>
              <w:jc w:val="right"/>
            </w:pPr>
            <w:r w:rsidRPr="00105D59">
              <w:t>$’000</w:t>
            </w:r>
          </w:p>
        </w:tc>
      </w:tr>
      <w:tr w:rsidR="005C172B" w:rsidTr="005C172B">
        <w:tc>
          <w:tcPr>
            <w:tcW w:w="10632" w:type="dxa"/>
            <w:gridSpan w:val="5"/>
          </w:tcPr>
          <w:p w:rsidR="005C172B" w:rsidRDefault="005C172B" w:rsidP="005C172B">
            <w:pPr>
              <w:pStyle w:val="NoSpacing"/>
            </w:pPr>
            <w:r>
              <w:t>Consolidated</w:t>
            </w:r>
          </w:p>
        </w:tc>
      </w:tr>
      <w:tr w:rsidR="005C172B" w:rsidTr="005C172B">
        <w:tc>
          <w:tcPr>
            <w:tcW w:w="10632" w:type="dxa"/>
            <w:gridSpan w:val="5"/>
          </w:tcPr>
          <w:p w:rsidR="005C172B" w:rsidRDefault="005C172B" w:rsidP="005C172B">
            <w:pPr>
              <w:pStyle w:val="NoSpacing"/>
            </w:pPr>
            <w:r>
              <w:t>2019</w:t>
            </w:r>
          </w:p>
        </w:tc>
      </w:tr>
      <w:tr w:rsidR="00D169C9" w:rsidTr="005C172B">
        <w:tc>
          <w:tcPr>
            <w:tcW w:w="4395" w:type="dxa"/>
          </w:tcPr>
          <w:p w:rsidR="00D169C9" w:rsidRDefault="005C172B" w:rsidP="005C172B">
            <w:pPr>
              <w:pStyle w:val="NoSpacing"/>
            </w:pPr>
            <w:r>
              <w:t>Bass Coast</w:t>
            </w:r>
          </w:p>
        </w:tc>
        <w:tc>
          <w:tcPr>
            <w:tcW w:w="1701" w:type="dxa"/>
          </w:tcPr>
          <w:p w:rsidR="00D169C9" w:rsidRDefault="005C172B" w:rsidP="005C172B">
            <w:pPr>
              <w:pStyle w:val="NoSpacing"/>
              <w:jc w:val="right"/>
            </w:pPr>
            <w:r>
              <w:t>99</w:t>
            </w:r>
          </w:p>
        </w:tc>
        <w:tc>
          <w:tcPr>
            <w:tcW w:w="1559" w:type="dxa"/>
          </w:tcPr>
          <w:p w:rsidR="00D169C9" w:rsidRDefault="005C172B" w:rsidP="005C172B">
            <w:pPr>
              <w:pStyle w:val="NoSpacing"/>
              <w:jc w:val="right"/>
            </w:pPr>
            <w:r>
              <w:t>4</w:t>
            </w:r>
          </w:p>
        </w:tc>
        <w:tc>
          <w:tcPr>
            <w:tcW w:w="1560" w:type="dxa"/>
          </w:tcPr>
          <w:p w:rsidR="00D169C9" w:rsidRDefault="005C172B" w:rsidP="005C172B">
            <w:pPr>
              <w:pStyle w:val="NoSpacing"/>
              <w:jc w:val="right"/>
            </w:pPr>
            <w:r>
              <w:t>-</w:t>
            </w:r>
          </w:p>
        </w:tc>
        <w:tc>
          <w:tcPr>
            <w:tcW w:w="1417" w:type="dxa"/>
          </w:tcPr>
          <w:p w:rsidR="00D169C9" w:rsidRDefault="005C172B" w:rsidP="005C172B">
            <w:pPr>
              <w:pStyle w:val="NoSpacing"/>
              <w:jc w:val="right"/>
            </w:pPr>
            <w:r>
              <w:t>103</w:t>
            </w:r>
          </w:p>
        </w:tc>
      </w:tr>
      <w:tr w:rsidR="00D169C9" w:rsidTr="005C172B">
        <w:tc>
          <w:tcPr>
            <w:tcW w:w="4395" w:type="dxa"/>
          </w:tcPr>
          <w:p w:rsidR="00D169C9" w:rsidRDefault="005C172B" w:rsidP="005C172B">
            <w:pPr>
              <w:pStyle w:val="NoSpacing"/>
            </w:pPr>
            <w:r>
              <w:t>Berwick</w:t>
            </w:r>
          </w:p>
        </w:tc>
        <w:tc>
          <w:tcPr>
            <w:tcW w:w="1701" w:type="dxa"/>
          </w:tcPr>
          <w:p w:rsidR="00D169C9" w:rsidRDefault="005C172B" w:rsidP="005C172B">
            <w:pPr>
              <w:pStyle w:val="NoSpacing"/>
              <w:jc w:val="right"/>
            </w:pPr>
            <w:r>
              <w:t>3,477</w:t>
            </w:r>
          </w:p>
        </w:tc>
        <w:tc>
          <w:tcPr>
            <w:tcW w:w="1559" w:type="dxa"/>
          </w:tcPr>
          <w:p w:rsidR="00D169C9" w:rsidRDefault="005C172B" w:rsidP="005C172B">
            <w:pPr>
              <w:pStyle w:val="NoSpacing"/>
              <w:jc w:val="right"/>
            </w:pPr>
            <w:r>
              <w:t>4,277</w:t>
            </w:r>
          </w:p>
        </w:tc>
        <w:tc>
          <w:tcPr>
            <w:tcW w:w="1560" w:type="dxa"/>
          </w:tcPr>
          <w:p w:rsidR="00D169C9" w:rsidRDefault="005C172B" w:rsidP="005C172B">
            <w:pPr>
              <w:pStyle w:val="NoSpacing"/>
              <w:jc w:val="right"/>
            </w:pPr>
            <w:r>
              <w:t>-</w:t>
            </w:r>
          </w:p>
        </w:tc>
        <w:tc>
          <w:tcPr>
            <w:tcW w:w="1417" w:type="dxa"/>
          </w:tcPr>
          <w:p w:rsidR="00D169C9" w:rsidRDefault="005C172B" w:rsidP="005C172B">
            <w:pPr>
              <w:pStyle w:val="NoSpacing"/>
              <w:jc w:val="right"/>
            </w:pPr>
            <w:r>
              <w:t>7,754</w:t>
            </w:r>
          </w:p>
        </w:tc>
      </w:tr>
      <w:tr w:rsidR="00D169C9" w:rsidTr="005C172B">
        <w:tc>
          <w:tcPr>
            <w:tcW w:w="4395" w:type="dxa"/>
          </w:tcPr>
          <w:p w:rsidR="00D169C9" w:rsidRDefault="005C172B" w:rsidP="005C172B">
            <w:pPr>
              <w:pStyle w:val="NoSpacing"/>
            </w:pPr>
            <w:r>
              <w:t>Cranbourne</w:t>
            </w:r>
          </w:p>
        </w:tc>
        <w:tc>
          <w:tcPr>
            <w:tcW w:w="1701" w:type="dxa"/>
          </w:tcPr>
          <w:p w:rsidR="00D169C9" w:rsidRDefault="005C172B" w:rsidP="005C172B">
            <w:pPr>
              <w:pStyle w:val="NoSpacing"/>
              <w:jc w:val="right"/>
            </w:pPr>
            <w:r>
              <w:t>1,208</w:t>
            </w:r>
          </w:p>
        </w:tc>
        <w:tc>
          <w:tcPr>
            <w:tcW w:w="1559" w:type="dxa"/>
          </w:tcPr>
          <w:p w:rsidR="00D169C9" w:rsidRDefault="005C172B" w:rsidP="005C172B">
            <w:pPr>
              <w:pStyle w:val="NoSpacing"/>
              <w:jc w:val="right"/>
            </w:pPr>
            <w:r>
              <w:t>1,049</w:t>
            </w:r>
          </w:p>
        </w:tc>
        <w:tc>
          <w:tcPr>
            <w:tcW w:w="1560" w:type="dxa"/>
          </w:tcPr>
          <w:p w:rsidR="00D169C9" w:rsidRDefault="005C172B" w:rsidP="005C172B">
            <w:pPr>
              <w:pStyle w:val="NoSpacing"/>
              <w:jc w:val="right"/>
            </w:pPr>
            <w:r>
              <w:t>54</w:t>
            </w:r>
          </w:p>
        </w:tc>
        <w:tc>
          <w:tcPr>
            <w:tcW w:w="1417" w:type="dxa"/>
          </w:tcPr>
          <w:p w:rsidR="00D169C9" w:rsidRDefault="005C172B" w:rsidP="005C172B">
            <w:pPr>
              <w:pStyle w:val="NoSpacing"/>
              <w:jc w:val="right"/>
            </w:pPr>
            <w:r>
              <w:t>2,311</w:t>
            </w:r>
          </w:p>
        </w:tc>
      </w:tr>
      <w:tr w:rsidR="00D169C9" w:rsidTr="005C172B">
        <w:tc>
          <w:tcPr>
            <w:tcW w:w="4395" w:type="dxa"/>
          </w:tcPr>
          <w:p w:rsidR="00D169C9" w:rsidRDefault="005C172B" w:rsidP="005C172B">
            <w:pPr>
              <w:pStyle w:val="NoSpacing"/>
            </w:pPr>
            <w:r>
              <w:t>Dandenong</w:t>
            </w:r>
          </w:p>
        </w:tc>
        <w:tc>
          <w:tcPr>
            <w:tcW w:w="1701" w:type="dxa"/>
          </w:tcPr>
          <w:p w:rsidR="00D169C9" w:rsidRDefault="005C172B" w:rsidP="005C172B">
            <w:pPr>
              <w:pStyle w:val="NoSpacing"/>
              <w:jc w:val="right"/>
            </w:pPr>
            <w:r>
              <w:t>4,896</w:t>
            </w:r>
          </w:p>
        </w:tc>
        <w:tc>
          <w:tcPr>
            <w:tcW w:w="1559" w:type="dxa"/>
          </w:tcPr>
          <w:p w:rsidR="00D169C9" w:rsidRDefault="005C172B" w:rsidP="005C172B">
            <w:pPr>
              <w:pStyle w:val="NoSpacing"/>
              <w:jc w:val="right"/>
            </w:pPr>
            <w:r>
              <w:t>14,672</w:t>
            </w:r>
          </w:p>
        </w:tc>
        <w:tc>
          <w:tcPr>
            <w:tcW w:w="1560" w:type="dxa"/>
          </w:tcPr>
          <w:p w:rsidR="00D169C9" w:rsidRDefault="005C172B" w:rsidP="005C172B">
            <w:pPr>
              <w:pStyle w:val="NoSpacing"/>
              <w:jc w:val="right"/>
            </w:pPr>
            <w:r>
              <w:t>16</w:t>
            </w:r>
          </w:p>
        </w:tc>
        <w:tc>
          <w:tcPr>
            <w:tcW w:w="1417" w:type="dxa"/>
          </w:tcPr>
          <w:p w:rsidR="00D169C9" w:rsidRDefault="005C172B" w:rsidP="005C172B">
            <w:pPr>
              <w:pStyle w:val="NoSpacing"/>
              <w:jc w:val="right"/>
            </w:pPr>
            <w:r>
              <w:t>19,584</w:t>
            </w:r>
          </w:p>
        </w:tc>
      </w:tr>
      <w:tr w:rsidR="00D169C9" w:rsidTr="005C172B">
        <w:tc>
          <w:tcPr>
            <w:tcW w:w="4395" w:type="dxa"/>
          </w:tcPr>
          <w:p w:rsidR="00D169C9" w:rsidRDefault="005C172B" w:rsidP="005C172B">
            <w:pPr>
              <w:pStyle w:val="NoSpacing"/>
            </w:pPr>
            <w:r>
              <w:lastRenderedPageBreak/>
              <w:t>Frankston</w:t>
            </w:r>
          </w:p>
        </w:tc>
        <w:tc>
          <w:tcPr>
            <w:tcW w:w="1701" w:type="dxa"/>
          </w:tcPr>
          <w:p w:rsidR="00D169C9" w:rsidRDefault="005C172B" w:rsidP="005C172B">
            <w:pPr>
              <w:pStyle w:val="NoSpacing"/>
              <w:jc w:val="right"/>
            </w:pPr>
            <w:r>
              <w:t>5,558</w:t>
            </w:r>
          </w:p>
        </w:tc>
        <w:tc>
          <w:tcPr>
            <w:tcW w:w="1559" w:type="dxa"/>
          </w:tcPr>
          <w:p w:rsidR="00D169C9" w:rsidRDefault="005C172B" w:rsidP="005C172B">
            <w:pPr>
              <w:pStyle w:val="NoSpacing"/>
              <w:jc w:val="right"/>
            </w:pPr>
            <w:r>
              <w:t>5,794</w:t>
            </w:r>
          </w:p>
        </w:tc>
        <w:tc>
          <w:tcPr>
            <w:tcW w:w="1560" w:type="dxa"/>
          </w:tcPr>
          <w:p w:rsidR="00D169C9" w:rsidRDefault="005C172B" w:rsidP="005C172B">
            <w:pPr>
              <w:pStyle w:val="NoSpacing"/>
              <w:jc w:val="right"/>
            </w:pPr>
            <w:r>
              <w:t>22</w:t>
            </w:r>
          </w:p>
        </w:tc>
        <w:tc>
          <w:tcPr>
            <w:tcW w:w="1417" w:type="dxa"/>
          </w:tcPr>
          <w:p w:rsidR="00D169C9" w:rsidRDefault="005C172B" w:rsidP="005C172B">
            <w:pPr>
              <w:pStyle w:val="NoSpacing"/>
              <w:jc w:val="right"/>
            </w:pPr>
            <w:r>
              <w:t>11,374</w:t>
            </w:r>
          </w:p>
        </w:tc>
      </w:tr>
      <w:tr w:rsidR="00D169C9" w:rsidTr="005C172B">
        <w:tc>
          <w:tcPr>
            <w:tcW w:w="4395" w:type="dxa"/>
          </w:tcPr>
          <w:p w:rsidR="00D169C9" w:rsidRDefault="005C172B" w:rsidP="005C172B">
            <w:pPr>
              <w:pStyle w:val="NoSpacing"/>
            </w:pPr>
            <w:r>
              <w:t>Mornington Peninsula</w:t>
            </w:r>
          </w:p>
        </w:tc>
        <w:tc>
          <w:tcPr>
            <w:tcW w:w="1701" w:type="dxa"/>
          </w:tcPr>
          <w:p w:rsidR="00D169C9" w:rsidRDefault="005C172B" w:rsidP="005C172B">
            <w:pPr>
              <w:pStyle w:val="NoSpacing"/>
              <w:jc w:val="right"/>
            </w:pPr>
            <w:r>
              <w:t>357</w:t>
            </w:r>
          </w:p>
        </w:tc>
        <w:tc>
          <w:tcPr>
            <w:tcW w:w="1559" w:type="dxa"/>
          </w:tcPr>
          <w:p w:rsidR="00D169C9" w:rsidRDefault="005C172B" w:rsidP="005C172B">
            <w:pPr>
              <w:pStyle w:val="NoSpacing"/>
              <w:jc w:val="right"/>
            </w:pPr>
            <w:r>
              <w:t>230</w:t>
            </w:r>
          </w:p>
        </w:tc>
        <w:tc>
          <w:tcPr>
            <w:tcW w:w="1560" w:type="dxa"/>
          </w:tcPr>
          <w:p w:rsidR="00D169C9" w:rsidRDefault="005C172B" w:rsidP="005C172B">
            <w:pPr>
              <w:pStyle w:val="NoSpacing"/>
              <w:jc w:val="right"/>
            </w:pPr>
            <w:r>
              <w:t>24</w:t>
            </w:r>
          </w:p>
        </w:tc>
        <w:tc>
          <w:tcPr>
            <w:tcW w:w="1417" w:type="dxa"/>
          </w:tcPr>
          <w:p w:rsidR="00D169C9" w:rsidRDefault="005C172B" w:rsidP="005C172B">
            <w:pPr>
              <w:pStyle w:val="NoSpacing"/>
              <w:jc w:val="right"/>
            </w:pPr>
            <w:r>
              <w:t>611</w:t>
            </w:r>
          </w:p>
        </w:tc>
      </w:tr>
      <w:tr w:rsidR="005C172B" w:rsidTr="005C172B">
        <w:tc>
          <w:tcPr>
            <w:tcW w:w="4395" w:type="dxa"/>
          </w:tcPr>
          <w:p w:rsidR="005C172B" w:rsidRDefault="005C172B" w:rsidP="005C172B">
            <w:pPr>
              <w:pStyle w:val="NoSpacing"/>
            </w:pPr>
            <w:r>
              <w:t>International Projects</w:t>
            </w:r>
          </w:p>
        </w:tc>
        <w:tc>
          <w:tcPr>
            <w:tcW w:w="1701" w:type="dxa"/>
          </w:tcPr>
          <w:p w:rsidR="005C172B" w:rsidRDefault="005C172B" w:rsidP="005C172B">
            <w:pPr>
              <w:pStyle w:val="NoSpacing"/>
              <w:jc w:val="right"/>
            </w:pPr>
            <w:r>
              <w:t>-</w:t>
            </w:r>
          </w:p>
        </w:tc>
        <w:tc>
          <w:tcPr>
            <w:tcW w:w="1559" w:type="dxa"/>
          </w:tcPr>
          <w:p w:rsidR="005C172B" w:rsidRDefault="005C172B" w:rsidP="005C172B">
            <w:pPr>
              <w:pStyle w:val="NoSpacing"/>
              <w:jc w:val="right"/>
            </w:pPr>
            <w:r>
              <w:t>7,405</w:t>
            </w:r>
          </w:p>
        </w:tc>
        <w:tc>
          <w:tcPr>
            <w:tcW w:w="1560" w:type="dxa"/>
          </w:tcPr>
          <w:p w:rsidR="005C172B" w:rsidRDefault="005C172B" w:rsidP="005C172B">
            <w:pPr>
              <w:pStyle w:val="NoSpacing"/>
              <w:jc w:val="right"/>
            </w:pPr>
            <w:r>
              <w:t>-</w:t>
            </w:r>
          </w:p>
        </w:tc>
        <w:tc>
          <w:tcPr>
            <w:tcW w:w="1417" w:type="dxa"/>
          </w:tcPr>
          <w:p w:rsidR="005C172B" w:rsidRDefault="005C172B" w:rsidP="005C172B">
            <w:pPr>
              <w:pStyle w:val="NoSpacing"/>
              <w:jc w:val="right"/>
            </w:pPr>
            <w:r>
              <w:t>7,405</w:t>
            </w:r>
          </w:p>
        </w:tc>
      </w:tr>
      <w:tr w:rsidR="005C172B" w:rsidTr="005C172B">
        <w:tc>
          <w:tcPr>
            <w:tcW w:w="4395" w:type="dxa"/>
          </w:tcPr>
          <w:p w:rsidR="005C172B" w:rsidRDefault="005C172B" w:rsidP="005C172B">
            <w:pPr>
              <w:pStyle w:val="NoSpacing"/>
            </w:pPr>
            <w:r>
              <w:t>Online Delivery</w:t>
            </w:r>
          </w:p>
        </w:tc>
        <w:tc>
          <w:tcPr>
            <w:tcW w:w="1701" w:type="dxa"/>
          </w:tcPr>
          <w:p w:rsidR="005C172B" w:rsidRDefault="005C172B" w:rsidP="005C172B">
            <w:pPr>
              <w:pStyle w:val="NoSpacing"/>
              <w:jc w:val="right"/>
            </w:pPr>
            <w:r>
              <w:t>849</w:t>
            </w:r>
          </w:p>
        </w:tc>
        <w:tc>
          <w:tcPr>
            <w:tcW w:w="1559" w:type="dxa"/>
          </w:tcPr>
          <w:p w:rsidR="005C172B" w:rsidRDefault="005C172B" w:rsidP="005C172B">
            <w:pPr>
              <w:pStyle w:val="NoSpacing"/>
              <w:jc w:val="right"/>
            </w:pPr>
            <w:r>
              <w:t>131</w:t>
            </w:r>
          </w:p>
        </w:tc>
        <w:tc>
          <w:tcPr>
            <w:tcW w:w="1560" w:type="dxa"/>
          </w:tcPr>
          <w:p w:rsidR="005C172B" w:rsidRDefault="005C172B" w:rsidP="005C172B">
            <w:pPr>
              <w:pStyle w:val="NoSpacing"/>
              <w:jc w:val="right"/>
            </w:pPr>
            <w:r>
              <w:t>-</w:t>
            </w:r>
          </w:p>
        </w:tc>
        <w:tc>
          <w:tcPr>
            <w:tcW w:w="1417" w:type="dxa"/>
          </w:tcPr>
          <w:p w:rsidR="005C172B" w:rsidRDefault="005C172B" w:rsidP="005C172B">
            <w:pPr>
              <w:pStyle w:val="NoSpacing"/>
              <w:jc w:val="right"/>
            </w:pPr>
            <w:r>
              <w:t>980</w:t>
            </w:r>
          </w:p>
        </w:tc>
      </w:tr>
      <w:tr w:rsidR="005C172B" w:rsidTr="005C172B">
        <w:tc>
          <w:tcPr>
            <w:tcW w:w="4395" w:type="dxa"/>
          </w:tcPr>
          <w:p w:rsidR="005C172B" w:rsidRDefault="005C172B" w:rsidP="005C172B">
            <w:pPr>
              <w:pStyle w:val="NoSpacing"/>
            </w:pPr>
            <w:r>
              <w:t>Off-site Delivery</w:t>
            </w:r>
          </w:p>
        </w:tc>
        <w:tc>
          <w:tcPr>
            <w:tcW w:w="1701" w:type="dxa"/>
          </w:tcPr>
          <w:p w:rsidR="005C172B" w:rsidRDefault="005C172B" w:rsidP="005C172B">
            <w:pPr>
              <w:pStyle w:val="NoSpacing"/>
              <w:jc w:val="right"/>
            </w:pPr>
            <w:r>
              <w:t>1,130</w:t>
            </w:r>
          </w:p>
        </w:tc>
        <w:tc>
          <w:tcPr>
            <w:tcW w:w="1559" w:type="dxa"/>
          </w:tcPr>
          <w:p w:rsidR="005C172B" w:rsidRDefault="005C172B" w:rsidP="005C172B">
            <w:pPr>
              <w:pStyle w:val="NoSpacing"/>
              <w:jc w:val="right"/>
            </w:pPr>
            <w:r>
              <w:t>4,920</w:t>
            </w:r>
          </w:p>
        </w:tc>
        <w:tc>
          <w:tcPr>
            <w:tcW w:w="1560" w:type="dxa"/>
          </w:tcPr>
          <w:p w:rsidR="005C172B" w:rsidRDefault="005C172B" w:rsidP="005C172B">
            <w:pPr>
              <w:pStyle w:val="NoSpacing"/>
              <w:jc w:val="right"/>
            </w:pPr>
            <w:r>
              <w:t>-</w:t>
            </w:r>
          </w:p>
        </w:tc>
        <w:tc>
          <w:tcPr>
            <w:tcW w:w="1417" w:type="dxa"/>
          </w:tcPr>
          <w:p w:rsidR="005C172B" w:rsidRDefault="005C172B" w:rsidP="005C172B">
            <w:pPr>
              <w:pStyle w:val="NoSpacing"/>
              <w:jc w:val="right"/>
            </w:pPr>
            <w:r>
              <w:t>6,050</w:t>
            </w:r>
          </w:p>
        </w:tc>
      </w:tr>
      <w:tr w:rsidR="005C172B" w:rsidTr="005C172B">
        <w:tc>
          <w:tcPr>
            <w:tcW w:w="4395" w:type="dxa"/>
          </w:tcPr>
          <w:p w:rsidR="005C172B" w:rsidRDefault="005C172B" w:rsidP="005C172B">
            <w:pPr>
              <w:pStyle w:val="NoSpacing"/>
            </w:pPr>
            <w:r>
              <w:t xml:space="preserve">Other </w:t>
            </w:r>
          </w:p>
        </w:tc>
        <w:tc>
          <w:tcPr>
            <w:tcW w:w="1701" w:type="dxa"/>
          </w:tcPr>
          <w:p w:rsidR="005C172B" w:rsidRDefault="005C172B" w:rsidP="005C172B">
            <w:pPr>
              <w:pStyle w:val="NoSpacing"/>
              <w:jc w:val="right"/>
            </w:pPr>
            <w:r>
              <w:t>2,420</w:t>
            </w:r>
          </w:p>
        </w:tc>
        <w:tc>
          <w:tcPr>
            <w:tcW w:w="1559" w:type="dxa"/>
          </w:tcPr>
          <w:p w:rsidR="005C172B" w:rsidRDefault="005C172B" w:rsidP="005C172B">
            <w:pPr>
              <w:pStyle w:val="NoSpacing"/>
              <w:jc w:val="right"/>
            </w:pPr>
            <w:r>
              <w:t>2,283</w:t>
            </w:r>
          </w:p>
        </w:tc>
        <w:tc>
          <w:tcPr>
            <w:tcW w:w="1560" w:type="dxa"/>
          </w:tcPr>
          <w:p w:rsidR="005C172B" w:rsidRDefault="005C172B" w:rsidP="005C172B">
            <w:pPr>
              <w:pStyle w:val="NoSpacing"/>
              <w:jc w:val="right"/>
            </w:pPr>
            <w:r>
              <w:t>264</w:t>
            </w:r>
          </w:p>
        </w:tc>
        <w:tc>
          <w:tcPr>
            <w:tcW w:w="1417" w:type="dxa"/>
          </w:tcPr>
          <w:p w:rsidR="005C172B" w:rsidRDefault="005C172B" w:rsidP="005C172B">
            <w:pPr>
              <w:pStyle w:val="NoSpacing"/>
              <w:jc w:val="right"/>
            </w:pPr>
            <w:r>
              <w:t>4,967</w:t>
            </w:r>
          </w:p>
        </w:tc>
      </w:tr>
      <w:tr w:rsidR="005C172B" w:rsidTr="005C172B">
        <w:tc>
          <w:tcPr>
            <w:tcW w:w="4395" w:type="dxa"/>
          </w:tcPr>
          <w:p w:rsidR="005C172B" w:rsidRDefault="005C172B" w:rsidP="005C172B">
            <w:pPr>
              <w:pStyle w:val="NoSpacing"/>
            </w:pPr>
            <w:r>
              <w:t xml:space="preserve">Total income from contract with customers </w:t>
            </w:r>
          </w:p>
        </w:tc>
        <w:tc>
          <w:tcPr>
            <w:tcW w:w="1701" w:type="dxa"/>
          </w:tcPr>
          <w:p w:rsidR="005C172B" w:rsidRDefault="005C172B" w:rsidP="005C172B">
            <w:pPr>
              <w:pStyle w:val="NoSpacing"/>
              <w:jc w:val="right"/>
            </w:pPr>
            <w:r>
              <w:t>19,994</w:t>
            </w:r>
          </w:p>
        </w:tc>
        <w:tc>
          <w:tcPr>
            <w:tcW w:w="1559" w:type="dxa"/>
          </w:tcPr>
          <w:p w:rsidR="005C172B" w:rsidRDefault="005C172B" w:rsidP="005C172B">
            <w:pPr>
              <w:pStyle w:val="NoSpacing"/>
              <w:jc w:val="right"/>
            </w:pPr>
            <w:r>
              <w:t>40,765</w:t>
            </w:r>
          </w:p>
        </w:tc>
        <w:tc>
          <w:tcPr>
            <w:tcW w:w="1560" w:type="dxa"/>
          </w:tcPr>
          <w:p w:rsidR="005C172B" w:rsidRDefault="005C172B" w:rsidP="005C172B">
            <w:pPr>
              <w:pStyle w:val="NoSpacing"/>
              <w:jc w:val="right"/>
            </w:pPr>
            <w:r>
              <w:t>380</w:t>
            </w:r>
          </w:p>
        </w:tc>
        <w:tc>
          <w:tcPr>
            <w:tcW w:w="1417" w:type="dxa"/>
          </w:tcPr>
          <w:p w:rsidR="005C172B" w:rsidRDefault="005C172B" w:rsidP="005C172B">
            <w:pPr>
              <w:pStyle w:val="NoSpacing"/>
              <w:jc w:val="right"/>
            </w:pPr>
            <w:r>
              <w:t>61,139</w:t>
            </w:r>
          </w:p>
        </w:tc>
      </w:tr>
    </w:tbl>
    <w:p w:rsidR="00D169C9" w:rsidRDefault="00D169C9" w:rsidP="005942B8">
      <w:pPr>
        <w:pStyle w:val="NoSpacing"/>
      </w:pPr>
    </w:p>
    <w:p w:rsidR="00D169C9" w:rsidRDefault="00D169C9" w:rsidP="005942B8">
      <w:pPr>
        <w:pStyle w:val="NoSpacing"/>
      </w:pPr>
    </w:p>
    <w:tbl>
      <w:tblPr>
        <w:tblStyle w:val="TableGrid"/>
        <w:tblW w:w="10632" w:type="dxa"/>
        <w:tblInd w:w="-856" w:type="dxa"/>
        <w:tblLook w:val="04A0" w:firstRow="1" w:lastRow="0" w:firstColumn="1" w:lastColumn="0" w:noHBand="0" w:noVBand="1"/>
      </w:tblPr>
      <w:tblGrid>
        <w:gridCol w:w="4395"/>
        <w:gridCol w:w="1701"/>
        <w:gridCol w:w="1559"/>
        <w:gridCol w:w="1560"/>
        <w:gridCol w:w="1417"/>
      </w:tblGrid>
      <w:tr w:rsidR="005C172B" w:rsidTr="005C172B">
        <w:trPr>
          <w:gridBefore w:val="1"/>
          <w:wBefore w:w="4395" w:type="dxa"/>
        </w:trPr>
        <w:tc>
          <w:tcPr>
            <w:tcW w:w="1701" w:type="dxa"/>
          </w:tcPr>
          <w:p w:rsidR="005C172B" w:rsidRDefault="005C172B" w:rsidP="005C172B">
            <w:pPr>
              <w:pStyle w:val="NoSpacing"/>
              <w:jc w:val="right"/>
            </w:pPr>
            <w:r>
              <w:t>Student fees and charges</w:t>
            </w:r>
          </w:p>
        </w:tc>
        <w:tc>
          <w:tcPr>
            <w:tcW w:w="1559" w:type="dxa"/>
          </w:tcPr>
          <w:p w:rsidR="005C172B" w:rsidRDefault="005C172B" w:rsidP="005C172B">
            <w:pPr>
              <w:pStyle w:val="NoSpacing"/>
              <w:jc w:val="right"/>
            </w:pPr>
            <w:r>
              <w:t>Fee for service</w:t>
            </w:r>
          </w:p>
        </w:tc>
        <w:tc>
          <w:tcPr>
            <w:tcW w:w="1560" w:type="dxa"/>
          </w:tcPr>
          <w:p w:rsidR="005C172B" w:rsidRDefault="005C172B" w:rsidP="005C172B">
            <w:pPr>
              <w:pStyle w:val="NoSpacing"/>
              <w:jc w:val="right"/>
            </w:pPr>
            <w:r>
              <w:t>Sale of goods</w:t>
            </w:r>
          </w:p>
        </w:tc>
        <w:tc>
          <w:tcPr>
            <w:tcW w:w="1417" w:type="dxa"/>
          </w:tcPr>
          <w:p w:rsidR="005C172B" w:rsidRDefault="005C172B" w:rsidP="005C172B">
            <w:pPr>
              <w:pStyle w:val="NoSpacing"/>
              <w:jc w:val="right"/>
            </w:pPr>
            <w:r>
              <w:t xml:space="preserve">Total </w:t>
            </w:r>
          </w:p>
        </w:tc>
      </w:tr>
      <w:tr w:rsidR="005C172B" w:rsidTr="005C172B">
        <w:trPr>
          <w:gridBefore w:val="1"/>
          <w:wBefore w:w="4395" w:type="dxa"/>
        </w:trPr>
        <w:tc>
          <w:tcPr>
            <w:tcW w:w="1701" w:type="dxa"/>
          </w:tcPr>
          <w:p w:rsidR="005C172B" w:rsidRDefault="005C172B" w:rsidP="005C172B">
            <w:pPr>
              <w:pStyle w:val="NoSpacing"/>
              <w:jc w:val="right"/>
            </w:pPr>
            <w:r>
              <w:t>$’000</w:t>
            </w:r>
          </w:p>
        </w:tc>
        <w:tc>
          <w:tcPr>
            <w:tcW w:w="1559" w:type="dxa"/>
          </w:tcPr>
          <w:p w:rsidR="005C172B" w:rsidRDefault="005C172B" w:rsidP="005C172B">
            <w:pPr>
              <w:jc w:val="right"/>
            </w:pPr>
            <w:r w:rsidRPr="00105D59">
              <w:t>$’000</w:t>
            </w:r>
          </w:p>
        </w:tc>
        <w:tc>
          <w:tcPr>
            <w:tcW w:w="1560" w:type="dxa"/>
          </w:tcPr>
          <w:p w:rsidR="005C172B" w:rsidRDefault="005C172B" w:rsidP="005C172B">
            <w:pPr>
              <w:jc w:val="right"/>
            </w:pPr>
            <w:r w:rsidRPr="00105D59">
              <w:t>$’000</w:t>
            </w:r>
          </w:p>
        </w:tc>
        <w:tc>
          <w:tcPr>
            <w:tcW w:w="1417" w:type="dxa"/>
          </w:tcPr>
          <w:p w:rsidR="005C172B" w:rsidRDefault="005C172B" w:rsidP="005C172B">
            <w:pPr>
              <w:jc w:val="right"/>
            </w:pPr>
            <w:r w:rsidRPr="00105D59">
              <w:t>$’000</w:t>
            </w:r>
          </w:p>
        </w:tc>
      </w:tr>
      <w:tr w:rsidR="005C172B" w:rsidTr="005C172B">
        <w:tc>
          <w:tcPr>
            <w:tcW w:w="10632" w:type="dxa"/>
            <w:gridSpan w:val="5"/>
          </w:tcPr>
          <w:p w:rsidR="005C172B" w:rsidRDefault="005C172B" w:rsidP="005C172B">
            <w:pPr>
              <w:pStyle w:val="NoSpacing"/>
            </w:pPr>
            <w:r>
              <w:t>Consolidated</w:t>
            </w:r>
          </w:p>
        </w:tc>
      </w:tr>
      <w:tr w:rsidR="005C172B" w:rsidTr="005C172B">
        <w:tc>
          <w:tcPr>
            <w:tcW w:w="10632" w:type="dxa"/>
            <w:gridSpan w:val="5"/>
          </w:tcPr>
          <w:p w:rsidR="005C172B" w:rsidRDefault="005C172B" w:rsidP="005C172B">
            <w:pPr>
              <w:pStyle w:val="NoSpacing"/>
            </w:pPr>
            <w:r>
              <w:t>2018</w:t>
            </w:r>
          </w:p>
        </w:tc>
      </w:tr>
      <w:tr w:rsidR="005C172B" w:rsidTr="005C172B">
        <w:tc>
          <w:tcPr>
            <w:tcW w:w="4395" w:type="dxa"/>
          </w:tcPr>
          <w:p w:rsidR="005C172B" w:rsidRDefault="005C172B" w:rsidP="005C172B">
            <w:pPr>
              <w:pStyle w:val="NoSpacing"/>
            </w:pPr>
            <w:r>
              <w:t>Bass Coast</w:t>
            </w:r>
          </w:p>
        </w:tc>
        <w:tc>
          <w:tcPr>
            <w:tcW w:w="1701" w:type="dxa"/>
          </w:tcPr>
          <w:p w:rsidR="005C172B" w:rsidRDefault="005C172B" w:rsidP="005C172B">
            <w:pPr>
              <w:pStyle w:val="NoSpacing"/>
              <w:jc w:val="right"/>
            </w:pPr>
            <w:r>
              <w:t>128</w:t>
            </w:r>
          </w:p>
        </w:tc>
        <w:tc>
          <w:tcPr>
            <w:tcW w:w="1559" w:type="dxa"/>
          </w:tcPr>
          <w:p w:rsidR="005C172B" w:rsidRDefault="005C172B" w:rsidP="005C172B">
            <w:pPr>
              <w:pStyle w:val="NoSpacing"/>
              <w:jc w:val="right"/>
            </w:pPr>
            <w:r>
              <w:t>37</w:t>
            </w:r>
          </w:p>
        </w:tc>
        <w:tc>
          <w:tcPr>
            <w:tcW w:w="1560" w:type="dxa"/>
          </w:tcPr>
          <w:p w:rsidR="005C172B" w:rsidRDefault="005C172B" w:rsidP="005C172B">
            <w:pPr>
              <w:pStyle w:val="NoSpacing"/>
              <w:jc w:val="right"/>
            </w:pPr>
            <w:r>
              <w:t>-</w:t>
            </w:r>
          </w:p>
        </w:tc>
        <w:tc>
          <w:tcPr>
            <w:tcW w:w="1417" w:type="dxa"/>
          </w:tcPr>
          <w:p w:rsidR="005C172B" w:rsidRDefault="005C172B" w:rsidP="005C172B">
            <w:pPr>
              <w:pStyle w:val="NoSpacing"/>
              <w:jc w:val="right"/>
            </w:pPr>
            <w:r>
              <w:t>165</w:t>
            </w:r>
          </w:p>
        </w:tc>
      </w:tr>
      <w:tr w:rsidR="005C172B" w:rsidTr="005C172B">
        <w:tc>
          <w:tcPr>
            <w:tcW w:w="4395" w:type="dxa"/>
          </w:tcPr>
          <w:p w:rsidR="005C172B" w:rsidRDefault="005C172B" w:rsidP="005C172B">
            <w:pPr>
              <w:pStyle w:val="NoSpacing"/>
            </w:pPr>
            <w:r>
              <w:t>Berwick</w:t>
            </w:r>
          </w:p>
        </w:tc>
        <w:tc>
          <w:tcPr>
            <w:tcW w:w="1701" w:type="dxa"/>
          </w:tcPr>
          <w:p w:rsidR="005C172B" w:rsidRDefault="005C172B" w:rsidP="005C172B">
            <w:pPr>
              <w:pStyle w:val="NoSpacing"/>
              <w:jc w:val="right"/>
            </w:pPr>
            <w:r>
              <w:t>4,571</w:t>
            </w:r>
          </w:p>
        </w:tc>
        <w:tc>
          <w:tcPr>
            <w:tcW w:w="1559" w:type="dxa"/>
          </w:tcPr>
          <w:p w:rsidR="005C172B" w:rsidRDefault="005C172B" w:rsidP="005C172B">
            <w:pPr>
              <w:pStyle w:val="NoSpacing"/>
              <w:jc w:val="right"/>
            </w:pPr>
            <w:r>
              <w:t>3,451</w:t>
            </w:r>
          </w:p>
        </w:tc>
        <w:tc>
          <w:tcPr>
            <w:tcW w:w="1560" w:type="dxa"/>
          </w:tcPr>
          <w:p w:rsidR="005C172B" w:rsidRDefault="005C172B" w:rsidP="005C172B">
            <w:pPr>
              <w:pStyle w:val="NoSpacing"/>
              <w:jc w:val="right"/>
            </w:pPr>
            <w:r>
              <w:t>10</w:t>
            </w:r>
          </w:p>
        </w:tc>
        <w:tc>
          <w:tcPr>
            <w:tcW w:w="1417" w:type="dxa"/>
          </w:tcPr>
          <w:p w:rsidR="005C172B" w:rsidRDefault="005C172B" w:rsidP="005C172B">
            <w:pPr>
              <w:pStyle w:val="NoSpacing"/>
              <w:jc w:val="right"/>
            </w:pPr>
            <w:r>
              <w:t>8,032</w:t>
            </w:r>
          </w:p>
        </w:tc>
      </w:tr>
      <w:tr w:rsidR="005C172B" w:rsidTr="005C172B">
        <w:tc>
          <w:tcPr>
            <w:tcW w:w="4395" w:type="dxa"/>
          </w:tcPr>
          <w:p w:rsidR="005C172B" w:rsidRDefault="005C172B" w:rsidP="005C172B">
            <w:pPr>
              <w:pStyle w:val="NoSpacing"/>
            </w:pPr>
            <w:r>
              <w:t>Cranbourne</w:t>
            </w:r>
          </w:p>
        </w:tc>
        <w:tc>
          <w:tcPr>
            <w:tcW w:w="1701" w:type="dxa"/>
          </w:tcPr>
          <w:p w:rsidR="005C172B" w:rsidRDefault="005C172B" w:rsidP="005C172B">
            <w:pPr>
              <w:pStyle w:val="NoSpacing"/>
              <w:jc w:val="right"/>
            </w:pPr>
            <w:r>
              <w:t>1,011</w:t>
            </w:r>
          </w:p>
        </w:tc>
        <w:tc>
          <w:tcPr>
            <w:tcW w:w="1559" w:type="dxa"/>
          </w:tcPr>
          <w:p w:rsidR="005C172B" w:rsidRDefault="005C172B" w:rsidP="005C172B">
            <w:pPr>
              <w:pStyle w:val="NoSpacing"/>
              <w:jc w:val="right"/>
            </w:pPr>
            <w:r>
              <w:t>930</w:t>
            </w:r>
          </w:p>
        </w:tc>
        <w:tc>
          <w:tcPr>
            <w:tcW w:w="1560" w:type="dxa"/>
          </w:tcPr>
          <w:p w:rsidR="005C172B" w:rsidRDefault="005C172B" w:rsidP="005C172B">
            <w:pPr>
              <w:pStyle w:val="NoSpacing"/>
              <w:jc w:val="right"/>
            </w:pPr>
            <w:r>
              <w:t>33</w:t>
            </w:r>
          </w:p>
        </w:tc>
        <w:tc>
          <w:tcPr>
            <w:tcW w:w="1417" w:type="dxa"/>
          </w:tcPr>
          <w:p w:rsidR="005C172B" w:rsidRDefault="005C172B" w:rsidP="005C172B">
            <w:pPr>
              <w:pStyle w:val="NoSpacing"/>
              <w:jc w:val="right"/>
            </w:pPr>
            <w:r>
              <w:t>1,974</w:t>
            </w:r>
          </w:p>
        </w:tc>
      </w:tr>
      <w:tr w:rsidR="005C172B" w:rsidTr="005C172B">
        <w:tc>
          <w:tcPr>
            <w:tcW w:w="4395" w:type="dxa"/>
          </w:tcPr>
          <w:p w:rsidR="005C172B" w:rsidRDefault="005C172B" w:rsidP="005C172B">
            <w:pPr>
              <w:pStyle w:val="NoSpacing"/>
            </w:pPr>
            <w:r>
              <w:t>Dandenong</w:t>
            </w:r>
          </w:p>
        </w:tc>
        <w:tc>
          <w:tcPr>
            <w:tcW w:w="1701" w:type="dxa"/>
          </w:tcPr>
          <w:p w:rsidR="005C172B" w:rsidRDefault="005C172B" w:rsidP="005C172B">
            <w:pPr>
              <w:pStyle w:val="NoSpacing"/>
              <w:jc w:val="right"/>
            </w:pPr>
            <w:r>
              <w:t>5,941</w:t>
            </w:r>
          </w:p>
        </w:tc>
        <w:tc>
          <w:tcPr>
            <w:tcW w:w="1559" w:type="dxa"/>
          </w:tcPr>
          <w:p w:rsidR="005C172B" w:rsidRDefault="005C172B" w:rsidP="005C172B">
            <w:pPr>
              <w:pStyle w:val="NoSpacing"/>
              <w:jc w:val="right"/>
            </w:pPr>
            <w:r>
              <w:t>12,618</w:t>
            </w:r>
          </w:p>
        </w:tc>
        <w:tc>
          <w:tcPr>
            <w:tcW w:w="1560" w:type="dxa"/>
          </w:tcPr>
          <w:p w:rsidR="005C172B" w:rsidRDefault="005C172B" w:rsidP="005C172B">
            <w:pPr>
              <w:pStyle w:val="NoSpacing"/>
              <w:jc w:val="right"/>
            </w:pPr>
            <w:r>
              <w:t>9</w:t>
            </w:r>
          </w:p>
        </w:tc>
        <w:tc>
          <w:tcPr>
            <w:tcW w:w="1417" w:type="dxa"/>
          </w:tcPr>
          <w:p w:rsidR="005C172B" w:rsidRDefault="005C172B" w:rsidP="005C172B">
            <w:pPr>
              <w:pStyle w:val="NoSpacing"/>
              <w:jc w:val="right"/>
            </w:pPr>
            <w:r>
              <w:t>18,568</w:t>
            </w:r>
          </w:p>
        </w:tc>
      </w:tr>
      <w:tr w:rsidR="005C172B" w:rsidTr="005C172B">
        <w:tc>
          <w:tcPr>
            <w:tcW w:w="4395" w:type="dxa"/>
          </w:tcPr>
          <w:p w:rsidR="005C172B" w:rsidRDefault="005C172B" w:rsidP="005C172B">
            <w:pPr>
              <w:pStyle w:val="NoSpacing"/>
            </w:pPr>
            <w:r>
              <w:t>Frankston</w:t>
            </w:r>
          </w:p>
        </w:tc>
        <w:tc>
          <w:tcPr>
            <w:tcW w:w="1701" w:type="dxa"/>
          </w:tcPr>
          <w:p w:rsidR="005C172B" w:rsidRDefault="005C172B" w:rsidP="005C172B">
            <w:pPr>
              <w:pStyle w:val="NoSpacing"/>
              <w:jc w:val="right"/>
            </w:pPr>
            <w:r>
              <w:t>7,004</w:t>
            </w:r>
          </w:p>
        </w:tc>
        <w:tc>
          <w:tcPr>
            <w:tcW w:w="1559" w:type="dxa"/>
          </w:tcPr>
          <w:p w:rsidR="005C172B" w:rsidRDefault="005C172B" w:rsidP="005C172B">
            <w:pPr>
              <w:pStyle w:val="NoSpacing"/>
              <w:jc w:val="right"/>
            </w:pPr>
            <w:r>
              <w:t>4,267</w:t>
            </w:r>
          </w:p>
        </w:tc>
        <w:tc>
          <w:tcPr>
            <w:tcW w:w="1560" w:type="dxa"/>
          </w:tcPr>
          <w:p w:rsidR="005C172B" w:rsidRDefault="005C172B" w:rsidP="005C172B">
            <w:pPr>
              <w:pStyle w:val="NoSpacing"/>
              <w:jc w:val="right"/>
            </w:pPr>
            <w:r>
              <w:t>9</w:t>
            </w:r>
          </w:p>
        </w:tc>
        <w:tc>
          <w:tcPr>
            <w:tcW w:w="1417" w:type="dxa"/>
          </w:tcPr>
          <w:p w:rsidR="005C172B" w:rsidRDefault="005C172B" w:rsidP="005C172B">
            <w:pPr>
              <w:pStyle w:val="NoSpacing"/>
              <w:jc w:val="right"/>
            </w:pPr>
            <w:r>
              <w:t>11,280</w:t>
            </w:r>
          </w:p>
        </w:tc>
      </w:tr>
      <w:tr w:rsidR="005C172B" w:rsidTr="005C172B">
        <w:tc>
          <w:tcPr>
            <w:tcW w:w="4395" w:type="dxa"/>
          </w:tcPr>
          <w:p w:rsidR="005C172B" w:rsidRDefault="005C172B" w:rsidP="005C172B">
            <w:pPr>
              <w:pStyle w:val="NoSpacing"/>
            </w:pPr>
            <w:r>
              <w:t>Mornington Peninsula</w:t>
            </w:r>
          </w:p>
        </w:tc>
        <w:tc>
          <w:tcPr>
            <w:tcW w:w="1701" w:type="dxa"/>
          </w:tcPr>
          <w:p w:rsidR="005C172B" w:rsidRDefault="005C172B" w:rsidP="005C172B">
            <w:pPr>
              <w:pStyle w:val="NoSpacing"/>
              <w:jc w:val="right"/>
            </w:pPr>
            <w:r>
              <w:t>419</w:t>
            </w:r>
          </w:p>
        </w:tc>
        <w:tc>
          <w:tcPr>
            <w:tcW w:w="1559" w:type="dxa"/>
          </w:tcPr>
          <w:p w:rsidR="005C172B" w:rsidRDefault="005C172B" w:rsidP="005C172B">
            <w:pPr>
              <w:pStyle w:val="NoSpacing"/>
              <w:jc w:val="right"/>
            </w:pPr>
            <w:r>
              <w:t>276</w:t>
            </w:r>
          </w:p>
        </w:tc>
        <w:tc>
          <w:tcPr>
            <w:tcW w:w="1560" w:type="dxa"/>
          </w:tcPr>
          <w:p w:rsidR="005C172B" w:rsidRDefault="005C172B" w:rsidP="005C172B">
            <w:pPr>
              <w:pStyle w:val="NoSpacing"/>
              <w:jc w:val="right"/>
            </w:pPr>
            <w:r>
              <w:t>25</w:t>
            </w:r>
          </w:p>
        </w:tc>
        <w:tc>
          <w:tcPr>
            <w:tcW w:w="1417" w:type="dxa"/>
          </w:tcPr>
          <w:p w:rsidR="005C172B" w:rsidRDefault="005C172B" w:rsidP="005C172B">
            <w:pPr>
              <w:pStyle w:val="NoSpacing"/>
              <w:jc w:val="right"/>
            </w:pPr>
            <w:r>
              <w:t>720</w:t>
            </w:r>
          </w:p>
        </w:tc>
      </w:tr>
      <w:tr w:rsidR="005C172B" w:rsidTr="005C172B">
        <w:tc>
          <w:tcPr>
            <w:tcW w:w="4395" w:type="dxa"/>
          </w:tcPr>
          <w:p w:rsidR="005C172B" w:rsidRDefault="005C172B" w:rsidP="005C172B">
            <w:pPr>
              <w:pStyle w:val="NoSpacing"/>
            </w:pPr>
            <w:r>
              <w:t>International Projects</w:t>
            </w:r>
          </w:p>
        </w:tc>
        <w:tc>
          <w:tcPr>
            <w:tcW w:w="1701" w:type="dxa"/>
          </w:tcPr>
          <w:p w:rsidR="005C172B" w:rsidRDefault="005C172B" w:rsidP="005C172B">
            <w:pPr>
              <w:pStyle w:val="NoSpacing"/>
              <w:jc w:val="right"/>
            </w:pPr>
            <w:r>
              <w:t>-</w:t>
            </w:r>
          </w:p>
        </w:tc>
        <w:tc>
          <w:tcPr>
            <w:tcW w:w="1559" w:type="dxa"/>
          </w:tcPr>
          <w:p w:rsidR="005C172B" w:rsidRDefault="005C172B" w:rsidP="005C172B">
            <w:pPr>
              <w:pStyle w:val="NoSpacing"/>
              <w:jc w:val="right"/>
            </w:pPr>
            <w:r>
              <w:t>7,180</w:t>
            </w:r>
          </w:p>
        </w:tc>
        <w:tc>
          <w:tcPr>
            <w:tcW w:w="1560" w:type="dxa"/>
          </w:tcPr>
          <w:p w:rsidR="005C172B" w:rsidRDefault="005C172B" w:rsidP="005C172B">
            <w:pPr>
              <w:pStyle w:val="NoSpacing"/>
              <w:jc w:val="right"/>
            </w:pPr>
            <w:r>
              <w:t>-</w:t>
            </w:r>
          </w:p>
        </w:tc>
        <w:tc>
          <w:tcPr>
            <w:tcW w:w="1417" w:type="dxa"/>
          </w:tcPr>
          <w:p w:rsidR="005C172B" w:rsidRDefault="005C172B" w:rsidP="005C172B">
            <w:pPr>
              <w:pStyle w:val="NoSpacing"/>
              <w:jc w:val="right"/>
            </w:pPr>
            <w:r>
              <w:t>7,180</w:t>
            </w:r>
          </w:p>
        </w:tc>
      </w:tr>
      <w:tr w:rsidR="005C172B" w:rsidTr="005C172B">
        <w:tc>
          <w:tcPr>
            <w:tcW w:w="4395" w:type="dxa"/>
          </w:tcPr>
          <w:p w:rsidR="005C172B" w:rsidRDefault="005C172B" w:rsidP="005C172B">
            <w:pPr>
              <w:pStyle w:val="NoSpacing"/>
            </w:pPr>
            <w:r>
              <w:t>Online Delivery</w:t>
            </w:r>
          </w:p>
        </w:tc>
        <w:tc>
          <w:tcPr>
            <w:tcW w:w="1701" w:type="dxa"/>
          </w:tcPr>
          <w:p w:rsidR="005C172B" w:rsidRDefault="005C172B" w:rsidP="005C172B">
            <w:pPr>
              <w:pStyle w:val="NoSpacing"/>
              <w:jc w:val="right"/>
            </w:pPr>
            <w:r>
              <w:t>1,198</w:t>
            </w:r>
          </w:p>
        </w:tc>
        <w:tc>
          <w:tcPr>
            <w:tcW w:w="1559" w:type="dxa"/>
          </w:tcPr>
          <w:p w:rsidR="005C172B" w:rsidRDefault="005C172B" w:rsidP="005C172B">
            <w:pPr>
              <w:pStyle w:val="NoSpacing"/>
              <w:jc w:val="right"/>
            </w:pPr>
            <w:r>
              <w:t>208</w:t>
            </w:r>
          </w:p>
        </w:tc>
        <w:tc>
          <w:tcPr>
            <w:tcW w:w="1560" w:type="dxa"/>
          </w:tcPr>
          <w:p w:rsidR="005C172B" w:rsidRDefault="005C172B" w:rsidP="005C172B">
            <w:pPr>
              <w:pStyle w:val="NoSpacing"/>
              <w:jc w:val="right"/>
            </w:pPr>
            <w:r>
              <w:t>-</w:t>
            </w:r>
          </w:p>
        </w:tc>
        <w:tc>
          <w:tcPr>
            <w:tcW w:w="1417" w:type="dxa"/>
          </w:tcPr>
          <w:p w:rsidR="005C172B" w:rsidRDefault="005C172B" w:rsidP="005C172B">
            <w:pPr>
              <w:pStyle w:val="NoSpacing"/>
              <w:jc w:val="right"/>
            </w:pPr>
            <w:r>
              <w:t>1,406</w:t>
            </w:r>
          </w:p>
        </w:tc>
      </w:tr>
      <w:tr w:rsidR="005C172B" w:rsidTr="005C172B">
        <w:tc>
          <w:tcPr>
            <w:tcW w:w="4395" w:type="dxa"/>
          </w:tcPr>
          <w:p w:rsidR="005C172B" w:rsidRDefault="005C172B" w:rsidP="005C172B">
            <w:pPr>
              <w:pStyle w:val="NoSpacing"/>
            </w:pPr>
            <w:r>
              <w:t>Off-site Delivery</w:t>
            </w:r>
          </w:p>
        </w:tc>
        <w:tc>
          <w:tcPr>
            <w:tcW w:w="1701" w:type="dxa"/>
          </w:tcPr>
          <w:p w:rsidR="005C172B" w:rsidRDefault="005C172B" w:rsidP="005C172B">
            <w:pPr>
              <w:pStyle w:val="NoSpacing"/>
              <w:jc w:val="right"/>
            </w:pPr>
            <w:r>
              <w:t>851</w:t>
            </w:r>
          </w:p>
        </w:tc>
        <w:tc>
          <w:tcPr>
            <w:tcW w:w="1559" w:type="dxa"/>
          </w:tcPr>
          <w:p w:rsidR="005C172B" w:rsidRDefault="005C172B" w:rsidP="005C172B">
            <w:pPr>
              <w:pStyle w:val="NoSpacing"/>
              <w:jc w:val="right"/>
            </w:pPr>
            <w:r>
              <w:t>3,910</w:t>
            </w:r>
          </w:p>
        </w:tc>
        <w:tc>
          <w:tcPr>
            <w:tcW w:w="1560" w:type="dxa"/>
          </w:tcPr>
          <w:p w:rsidR="005C172B" w:rsidRDefault="005C172B" w:rsidP="005C172B">
            <w:pPr>
              <w:pStyle w:val="NoSpacing"/>
              <w:jc w:val="right"/>
            </w:pPr>
            <w:r>
              <w:t>20</w:t>
            </w:r>
          </w:p>
        </w:tc>
        <w:tc>
          <w:tcPr>
            <w:tcW w:w="1417" w:type="dxa"/>
          </w:tcPr>
          <w:p w:rsidR="005C172B" w:rsidRDefault="005C172B" w:rsidP="005C172B">
            <w:pPr>
              <w:pStyle w:val="NoSpacing"/>
              <w:jc w:val="right"/>
            </w:pPr>
            <w:r>
              <w:t>4,781</w:t>
            </w:r>
          </w:p>
        </w:tc>
      </w:tr>
      <w:tr w:rsidR="005C172B" w:rsidTr="005C172B">
        <w:tc>
          <w:tcPr>
            <w:tcW w:w="4395" w:type="dxa"/>
          </w:tcPr>
          <w:p w:rsidR="005C172B" w:rsidRDefault="005C172B" w:rsidP="005C172B">
            <w:pPr>
              <w:pStyle w:val="NoSpacing"/>
            </w:pPr>
            <w:r>
              <w:t xml:space="preserve">Other </w:t>
            </w:r>
          </w:p>
        </w:tc>
        <w:tc>
          <w:tcPr>
            <w:tcW w:w="1701" w:type="dxa"/>
          </w:tcPr>
          <w:p w:rsidR="005C172B" w:rsidRDefault="005C172B" w:rsidP="005C172B">
            <w:pPr>
              <w:pStyle w:val="NoSpacing"/>
              <w:jc w:val="right"/>
            </w:pPr>
            <w:r>
              <w:t>2,372</w:t>
            </w:r>
          </w:p>
        </w:tc>
        <w:tc>
          <w:tcPr>
            <w:tcW w:w="1559" w:type="dxa"/>
          </w:tcPr>
          <w:p w:rsidR="005C172B" w:rsidRDefault="005C172B" w:rsidP="005C172B">
            <w:pPr>
              <w:pStyle w:val="NoSpacing"/>
              <w:jc w:val="right"/>
            </w:pPr>
            <w:r>
              <w:t>5,495</w:t>
            </w:r>
          </w:p>
        </w:tc>
        <w:tc>
          <w:tcPr>
            <w:tcW w:w="1560" w:type="dxa"/>
          </w:tcPr>
          <w:p w:rsidR="005C172B" w:rsidRDefault="005C172B" w:rsidP="005C172B">
            <w:pPr>
              <w:pStyle w:val="NoSpacing"/>
              <w:jc w:val="right"/>
            </w:pPr>
            <w:r>
              <w:t>378</w:t>
            </w:r>
          </w:p>
        </w:tc>
        <w:tc>
          <w:tcPr>
            <w:tcW w:w="1417" w:type="dxa"/>
          </w:tcPr>
          <w:p w:rsidR="005C172B" w:rsidRDefault="005C172B" w:rsidP="005C172B">
            <w:pPr>
              <w:pStyle w:val="NoSpacing"/>
              <w:jc w:val="right"/>
            </w:pPr>
            <w:r>
              <w:t>8,245</w:t>
            </w:r>
          </w:p>
        </w:tc>
      </w:tr>
      <w:tr w:rsidR="005C172B" w:rsidTr="005C172B">
        <w:tc>
          <w:tcPr>
            <w:tcW w:w="4395" w:type="dxa"/>
          </w:tcPr>
          <w:p w:rsidR="005C172B" w:rsidRDefault="005C172B" w:rsidP="005C172B">
            <w:pPr>
              <w:pStyle w:val="NoSpacing"/>
            </w:pPr>
            <w:r>
              <w:t xml:space="preserve">Total income from contract with customers </w:t>
            </w:r>
          </w:p>
        </w:tc>
        <w:tc>
          <w:tcPr>
            <w:tcW w:w="1701" w:type="dxa"/>
          </w:tcPr>
          <w:p w:rsidR="005C172B" w:rsidRDefault="005C172B" w:rsidP="005C172B">
            <w:pPr>
              <w:pStyle w:val="NoSpacing"/>
              <w:jc w:val="right"/>
            </w:pPr>
            <w:r>
              <w:t>23,495</w:t>
            </w:r>
          </w:p>
        </w:tc>
        <w:tc>
          <w:tcPr>
            <w:tcW w:w="1559" w:type="dxa"/>
          </w:tcPr>
          <w:p w:rsidR="005C172B" w:rsidRDefault="005C172B" w:rsidP="005C172B">
            <w:pPr>
              <w:pStyle w:val="NoSpacing"/>
              <w:jc w:val="right"/>
            </w:pPr>
            <w:r>
              <w:t>38,372</w:t>
            </w:r>
          </w:p>
        </w:tc>
        <w:tc>
          <w:tcPr>
            <w:tcW w:w="1560" w:type="dxa"/>
          </w:tcPr>
          <w:p w:rsidR="005C172B" w:rsidRDefault="005C172B" w:rsidP="005C172B">
            <w:pPr>
              <w:pStyle w:val="NoSpacing"/>
              <w:jc w:val="right"/>
            </w:pPr>
            <w:r>
              <w:t>484</w:t>
            </w:r>
          </w:p>
        </w:tc>
        <w:tc>
          <w:tcPr>
            <w:tcW w:w="1417" w:type="dxa"/>
          </w:tcPr>
          <w:p w:rsidR="005C172B" w:rsidRDefault="005C172B" w:rsidP="005C172B">
            <w:pPr>
              <w:pStyle w:val="NoSpacing"/>
              <w:jc w:val="right"/>
            </w:pPr>
            <w:r>
              <w:t>62,351</w:t>
            </w:r>
          </w:p>
        </w:tc>
      </w:tr>
    </w:tbl>
    <w:p w:rsidR="00D169C9" w:rsidRDefault="00D169C9" w:rsidP="005942B8">
      <w:pPr>
        <w:pStyle w:val="NoSpacing"/>
      </w:pPr>
    </w:p>
    <w:p w:rsidR="005C172B" w:rsidRDefault="005C172B" w:rsidP="005942B8">
      <w:pPr>
        <w:pStyle w:val="NoSpacing"/>
      </w:pPr>
      <w:r>
        <w:t>&lt;page 54&gt;</w:t>
      </w:r>
    </w:p>
    <w:p w:rsidR="005C172B" w:rsidRDefault="005C172B" w:rsidP="005942B8">
      <w:pPr>
        <w:pStyle w:val="NoSpacing"/>
      </w:pPr>
    </w:p>
    <w:p w:rsidR="005C172B" w:rsidRDefault="005C172B" w:rsidP="005942B8">
      <w:pPr>
        <w:pStyle w:val="NoSpacing"/>
      </w:pPr>
    </w:p>
    <w:p w:rsidR="005C172B" w:rsidRPr="005C172B" w:rsidRDefault="005C172B" w:rsidP="00681D4D">
      <w:pPr>
        <w:pStyle w:val="Heading2"/>
      </w:pPr>
      <w:r>
        <w:t>2. How we earned out finds (continued)</w:t>
      </w:r>
    </w:p>
    <w:p w:rsidR="00681D4D" w:rsidRDefault="00681D4D" w:rsidP="00681D4D">
      <w:pPr>
        <w:pStyle w:val="NoSpacing"/>
      </w:pPr>
    </w:p>
    <w:p w:rsidR="005C172B" w:rsidRDefault="005C172B" w:rsidP="00681D4D">
      <w:pPr>
        <w:pStyle w:val="Heading3"/>
      </w:pPr>
      <w:r>
        <w:t>2.2 Sale from contracts with customers (continued)</w:t>
      </w:r>
    </w:p>
    <w:p w:rsidR="005C172B" w:rsidRDefault="005C172B" w:rsidP="005942B8">
      <w:pPr>
        <w:pStyle w:val="NoSpacing"/>
      </w:pPr>
    </w:p>
    <w:tbl>
      <w:tblPr>
        <w:tblStyle w:val="TableGrid"/>
        <w:tblW w:w="10632" w:type="dxa"/>
        <w:tblInd w:w="-856" w:type="dxa"/>
        <w:tblLook w:val="04A0" w:firstRow="1" w:lastRow="0" w:firstColumn="1" w:lastColumn="0" w:noHBand="0" w:noVBand="1"/>
      </w:tblPr>
      <w:tblGrid>
        <w:gridCol w:w="4395"/>
        <w:gridCol w:w="1701"/>
        <w:gridCol w:w="1559"/>
        <w:gridCol w:w="1560"/>
        <w:gridCol w:w="1417"/>
      </w:tblGrid>
      <w:tr w:rsidR="005C172B" w:rsidTr="005C172B">
        <w:trPr>
          <w:gridBefore w:val="1"/>
          <w:wBefore w:w="4395" w:type="dxa"/>
        </w:trPr>
        <w:tc>
          <w:tcPr>
            <w:tcW w:w="1701" w:type="dxa"/>
          </w:tcPr>
          <w:p w:rsidR="005C172B" w:rsidRDefault="005C172B" w:rsidP="005C172B">
            <w:pPr>
              <w:pStyle w:val="NoSpacing"/>
              <w:jc w:val="right"/>
            </w:pPr>
            <w:r>
              <w:t>Student fees and charges</w:t>
            </w:r>
          </w:p>
        </w:tc>
        <w:tc>
          <w:tcPr>
            <w:tcW w:w="1559" w:type="dxa"/>
          </w:tcPr>
          <w:p w:rsidR="005C172B" w:rsidRDefault="005C172B" w:rsidP="005C172B">
            <w:pPr>
              <w:pStyle w:val="NoSpacing"/>
              <w:jc w:val="right"/>
            </w:pPr>
            <w:r>
              <w:t>Fee for service</w:t>
            </w:r>
          </w:p>
        </w:tc>
        <w:tc>
          <w:tcPr>
            <w:tcW w:w="1560" w:type="dxa"/>
          </w:tcPr>
          <w:p w:rsidR="005C172B" w:rsidRDefault="005C172B" w:rsidP="005C172B">
            <w:pPr>
              <w:pStyle w:val="NoSpacing"/>
              <w:jc w:val="right"/>
            </w:pPr>
            <w:r>
              <w:t>Sale of goods</w:t>
            </w:r>
          </w:p>
        </w:tc>
        <w:tc>
          <w:tcPr>
            <w:tcW w:w="1417" w:type="dxa"/>
          </w:tcPr>
          <w:p w:rsidR="005C172B" w:rsidRDefault="005C172B" w:rsidP="005C172B">
            <w:pPr>
              <w:pStyle w:val="NoSpacing"/>
              <w:jc w:val="right"/>
            </w:pPr>
            <w:r>
              <w:t xml:space="preserve">Total </w:t>
            </w:r>
          </w:p>
        </w:tc>
      </w:tr>
      <w:tr w:rsidR="005C172B" w:rsidTr="005C172B">
        <w:trPr>
          <w:gridBefore w:val="1"/>
          <w:wBefore w:w="4395" w:type="dxa"/>
        </w:trPr>
        <w:tc>
          <w:tcPr>
            <w:tcW w:w="1701" w:type="dxa"/>
          </w:tcPr>
          <w:p w:rsidR="005C172B" w:rsidRDefault="005C172B" w:rsidP="005C172B">
            <w:pPr>
              <w:pStyle w:val="NoSpacing"/>
              <w:jc w:val="right"/>
            </w:pPr>
            <w:r>
              <w:t>$’000</w:t>
            </w:r>
          </w:p>
        </w:tc>
        <w:tc>
          <w:tcPr>
            <w:tcW w:w="1559" w:type="dxa"/>
          </w:tcPr>
          <w:p w:rsidR="005C172B" w:rsidRDefault="005C172B" w:rsidP="005C172B">
            <w:pPr>
              <w:jc w:val="right"/>
            </w:pPr>
            <w:r w:rsidRPr="00105D59">
              <w:t>$’000</w:t>
            </w:r>
          </w:p>
        </w:tc>
        <w:tc>
          <w:tcPr>
            <w:tcW w:w="1560" w:type="dxa"/>
          </w:tcPr>
          <w:p w:rsidR="005C172B" w:rsidRDefault="005C172B" w:rsidP="005C172B">
            <w:pPr>
              <w:jc w:val="right"/>
            </w:pPr>
            <w:r w:rsidRPr="00105D59">
              <w:t>$’000</w:t>
            </w:r>
          </w:p>
        </w:tc>
        <w:tc>
          <w:tcPr>
            <w:tcW w:w="1417" w:type="dxa"/>
          </w:tcPr>
          <w:p w:rsidR="005C172B" w:rsidRDefault="005C172B" w:rsidP="005C172B">
            <w:pPr>
              <w:jc w:val="right"/>
            </w:pPr>
            <w:r w:rsidRPr="00105D59">
              <w:t>$’000</w:t>
            </w:r>
          </w:p>
        </w:tc>
      </w:tr>
      <w:tr w:rsidR="005C172B" w:rsidTr="005C172B">
        <w:tc>
          <w:tcPr>
            <w:tcW w:w="10632" w:type="dxa"/>
            <w:gridSpan w:val="5"/>
          </w:tcPr>
          <w:p w:rsidR="005C172B" w:rsidRDefault="005C172B" w:rsidP="005C172B">
            <w:pPr>
              <w:pStyle w:val="NoSpacing"/>
            </w:pPr>
            <w:r>
              <w:t>Chisholm</w:t>
            </w:r>
          </w:p>
        </w:tc>
      </w:tr>
      <w:tr w:rsidR="005C172B" w:rsidTr="005C172B">
        <w:tc>
          <w:tcPr>
            <w:tcW w:w="10632" w:type="dxa"/>
            <w:gridSpan w:val="5"/>
          </w:tcPr>
          <w:p w:rsidR="005C172B" w:rsidRDefault="005C172B" w:rsidP="005C172B">
            <w:pPr>
              <w:pStyle w:val="NoSpacing"/>
            </w:pPr>
            <w:r>
              <w:t>2019</w:t>
            </w:r>
          </w:p>
        </w:tc>
      </w:tr>
      <w:tr w:rsidR="005C172B" w:rsidTr="005C172B">
        <w:tc>
          <w:tcPr>
            <w:tcW w:w="4395" w:type="dxa"/>
          </w:tcPr>
          <w:p w:rsidR="005C172B" w:rsidRDefault="005C172B" w:rsidP="005C172B">
            <w:pPr>
              <w:pStyle w:val="NoSpacing"/>
            </w:pPr>
            <w:r>
              <w:t>Bass Coast</w:t>
            </w:r>
          </w:p>
        </w:tc>
        <w:tc>
          <w:tcPr>
            <w:tcW w:w="1701" w:type="dxa"/>
          </w:tcPr>
          <w:p w:rsidR="005C172B" w:rsidRDefault="005C172B" w:rsidP="005C172B">
            <w:pPr>
              <w:pStyle w:val="NoSpacing"/>
              <w:jc w:val="right"/>
            </w:pPr>
            <w:r>
              <w:t>99</w:t>
            </w:r>
          </w:p>
        </w:tc>
        <w:tc>
          <w:tcPr>
            <w:tcW w:w="1559" w:type="dxa"/>
          </w:tcPr>
          <w:p w:rsidR="005C172B" w:rsidRDefault="00CE065E" w:rsidP="005C172B">
            <w:pPr>
              <w:pStyle w:val="NoSpacing"/>
              <w:jc w:val="right"/>
            </w:pPr>
            <w:r>
              <w:t>4</w:t>
            </w:r>
          </w:p>
        </w:tc>
        <w:tc>
          <w:tcPr>
            <w:tcW w:w="1560" w:type="dxa"/>
          </w:tcPr>
          <w:p w:rsidR="005C172B" w:rsidRDefault="00CE065E" w:rsidP="005C172B">
            <w:pPr>
              <w:pStyle w:val="NoSpacing"/>
              <w:jc w:val="right"/>
            </w:pPr>
            <w:r>
              <w:t>-</w:t>
            </w:r>
          </w:p>
        </w:tc>
        <w:tc>
          <w:tcPr>
            <w:tcW w:w="1417" w:type="dxa"/>
          </w:tcPr>
          <w:p w:rsidR="005C172B" w:rsidRDefault="00CE065E" w:rsidP="005C172B">
            <w:pPr>
              <w:pStyle w:val="NoSpacing"/>
              <w:jc w:val="right"/>
            </w:pPr>
            <w:r>
              <w:t>103</w:t>
            </w:r>
          </w:p>
        </w:tc>
      </w:tr>
      <w:tr w:rsidR="005C172B" w:rsidTr="005C172B">
        <w:tc>
          <w:tcPr>
            <w:tcW w:w="4395" w:type="dxa"/>
          </w:tcPr>
          <w:p w:rsidR="005C172B" w:rsidRDefault="005C172B" w:rsidP="005C172B">
            <w:pPr>
              <w:pStyle w:val="NoSpacing"/>
            </w:pPr>
            <w:r>
              <w:t>Berwick</w:t>
            </w:r>
          </w:p>
        </w:tc>
        <w:tc>
          <w:tcPr>
            <w:tcW w:w="1701" w:type="dxa"/>
          </w:tcPr>
          <w:p w:rsidR="005C172B" w:rsidRDefault="005C172B" w:rsidP="005C172B">
            <w:pPr>
              <w:pStyle w:val="NoSpacing"/>
              <w:jc w:val="right"/>
            </w:pPr>
            <w:r>
              <w:t>3,477</w:t>
            </w:r>
          </w:p>
        </w:tc>
        <w:tc>
          <w:tcPr>
            <w:tcW w:w="1559" w:type="dxa"/>
          </w:tcPr>
          <w:p w:rsidR="005C172B" w:rsidRDefault="00CE065E" w:rsidP="005C172B">
            <w:pPr>
              <w:pStyle w:val="NoSpacing"/>
              <w:jc w:val="right"/>
            </w:pPr>
            <w:r>
              <w:t>4,277</w:t>
            </w:r>
          </w:p>
        </w:tc>
        <w:tc>
          <w:tcPr>
            <w:tcW w:w="1560" w:type="dxa"/>
          </w:tcPr>
          <w:p w:rsidR="005C172B" w:rsidRDefault="00CE065E" w:rsidP="005C172B">
            <w:pPr>
              <w:pStyle w:val="NoSpacing"/>
              <w:jc w:val="right"/>
            </w:pPr>
            <w:r>
              <w:t>-</w:t>
            </w:r>
          </w:p>
        </w:tc>
        <w:tc>
          <w:tcPr>
            <w:tcW w:w="1417" w:type="dxa"/>
          </w:tcPr>
          <w:p w:rsidR="005C172B" w:rsidRDefault="00CE065E" w:rsidP="005C172B">
            <w:pPr>
              <w:pStyle w:val="NoSpacing"/>
              <w:jc w:val="right"/>
            </w:pPr>
            <w:r>
              <w:t>7,754</w:t>
            </w:r>
          </w:p>
        </w:tc>
      </w:tr>
      <w:tr w:rsidR="005C172B" w:rsidTr="005C172B">
        <w:tc>
          <w:tcPr>
            <w:tcW w:w="4395" w:type="dxa"/>
          </w:tcPr>
          <w:p w:rsidR="005C172B" w:rsidRDefault="005C172B" w:rsidP="005C172B">
            <w:pPr>
              <w:pStyle w:val="NoSpacing"/>
            </w:pPr>
            <w:r>
              <w:t>Cranbourne</w:t>
            </w:r>
          </w:p>
        </w:tc>
        <w:tc>
          <w:tcPr>
            <w:tcW w:w="1701" w:type="dxa"/>
          </w:tcPr>
          <w:p w:rsidR="005C172B" w:rsidRDefault="005C172B" w:rsidP="005C172B">
            <w:pPr>
              <w:pStyle w:val="NoSpacing"/>
              <w:jc w:val="right"/>
            </w:pPr>
            <w:r>
              <w:t>1,208</w:t>
            </w:r>
          </w:p>
        </w:tc>
        <w:tc>
          <w:tcPr>
            <w:tcW w:w="1559" w:type="dxa"/>
          </w:tcPr>
          <w:p w:rsidR="005C172B" w:rsidRDefault="00CE065E" w:rsidP="005C172B">
            <w:pPr>
              <w:pStyle w:val="NoSpacing"/>
              <w:jc w:val="right"/>
            </w:pPr>
            <w:r>
              <w:t>1,049</w:t>
            </w:r>
          </w:p>
        </w:tc>
        <w:tc>
          <w:tcPr>
            <w:tcW w:w="1560" w:type="dxa"/>
          </w:tcPr>
          <w:p w:rsidR="005C172B" w:rsidRDefault="00CE065E" w:rsidP="005C172B">
            <w:pPr>
              <w:pStyle w:val="NoSpacing"/>
              <w:jc w:val="right"/>
            </w:pPr>
            <w:r>
              <w:t>54</w:t>
            </w:r>
          </w:p>
        </w:tc>
        <w:tc>
          <w:tcPr>
            <w:tcW w:w="1417" w:type="dxa"/>
          </w:tcPr>
          <w:p w:rsidR="005C172B" w:rsidRDefault="00CE065E" w:rsidP="005C172B">
            <w:pPr>
              <w:pStyle w:val="NoSpacing"/>
              <w:jc w:val="right"/>
            </w:pPr>
            <w:r>
              <w:t>2,311</w:t>
            </w:r>
          </w:p>
        </w:tc>
      </w:tr>
      <w:tr w:rsidR="005C172B" w:rsidTr="005C172B">
        <w:tc>
          <w:tcPr>
            <w:tcW w:w="4395" w:type="dxa"/>
          </w:tcPr>
          <w:p w:rsidR="005C172B" w:rsidRDefault="005C172B" w:rsidP="005C172B">
            <w:pPr>
              <w:pStyle w:val="NoSpacing"/>
            </w:pPr>
            <w:r>
              <w:t>Dandenong</w:t>
            </w:r>
          </w:p>
        </w:tc>
        <w:tc>
          <w:tcPr>
            <w:tcW w:w="1701" w:type="dxa"/>
          </w:tcPr>
          <w:p w:rsidR="005C172B" w:rsidRDefault="005C172B" w:rsidP="005C172B">
            <w:pPr>
              <w:pStyle w:val="NoSpacing"/>
              <w:jc w:val="right"/>
            </w:pPr>
            <w:r>
              <w:t>4,896</w:t>
            </w:r>
          </w:p>
        </w:tc>
        <w:tc>
          <w:tcPr>
            <w:tcW w:w="1559" w:type="dxa"/>
          </w:tcPr>
          <w:p w:rsidR="005C172B" w:rsidRDefault="00CE065E" w:rsidP="005C172B">
            <w:pPr>
              <w:pStyle w:val="NoSpacing"/>
              <w:jc w:val="right"/>
            </w:pPr>
            <w:r>
              <w:t>14,672</w:t>
            </w:r>
          </w:p>
        </w:tc>
        <w:tc>
          <w:tcPr>
            <w:tcW w:w="1560" w:type="dxa"/>
          </w:tcPr>
          <w:p w:rsidR="005C172B" w:rsidRDefault="00CE065E" w:rsidP="005C172B">
            <w:pPr>
              <w:pStyle w:val="NoSpacing"/>
              <w:jc w:val="right"/>
            </w:pPr>
            <w:r>
              <w:t>16</w:t>
            </w:r>
          </w:p>
        </w:tc>
        <w:tc>
          <w:tcPr>
            <w:tcW w:w="1417" w:type="dxa"/>
          </w:tcPr>
          <w:p w:rsidR="005C172B" w:rsidRDefault="00CE065E" w:rsidP="005C172B">
            <w:pPr>
              <w:pStyle w:val="NoSpacing"/>
              <w:jc w:val="right"/>
            </w:pPr>
            <w:r>
              <w:t>19,584</w:t>
            </w:r>
          </w:p>
        </w:tc>
      </w:tr>
      <w:tr w:rsidR="005C172B" w:rsidTr="005C172B">
        <w:tc>
          <w:tcPr>
            <w:tcW w:w="4395" w:type="dxa"/>
          </w:tcPr>
          <w:p w:rsidR="005C172B" w:rsidRDefault="005C172B" w:rsidP="005C172B">
            <w:pPr>
              <w:pStyle w:val="NoSpacing"/>
            </w:pPr>
            <w:r>
              <w:t>Frankston</w:t>
            </w:r>
          </w:p>
        </w:tc>
        <w:tc>
          <w:tcPr>
            <w:tcW w:w="1701" w:type="dxa"/>
          </w:tcPr>
          <w:p w:rsidR="005C172B" w:rsidRDefault="005C172B" w:rsidP="005C172B">
            <w:pPr>
              <w:pStyle w:val="NoSpacing"/>
              <w:jc w:val="right"/>
            </w:pPr>
            <w:r>
              <w:t>5,558</w:t>
            </w:r>
          </w:p>
        </w:tc>
        <w:tc>
          <w:tcPr>
            <w:tcW w:w="1559" w:type="dxa"/>
          </w:tcPr>
          <w:p w:rsidR="005C172B" w:rsidRDefault="00CE065E" w:rsidP="005C172B">
            <w:pPr>
              <w:pStyle w:val="NoSpacing"/>
              <w:jc w:val="right"/>
            </w:pPr>
            <w:r>
              <w:t>5,794</w:t>
            </w:r>
          </w:p>
        </w:tc>
        <w:tc>
          <w:tcPr>
            <w:tcW w:w="1560" w:type="dxa"/>
          </w:tcPr>
          <w:p w:rsidR="005C172B" w:rsidRDefault="00CE065E" w:rsidP="005C172B">
            <w:pPr>
              <w:pStyle w:val="NoSpacing"/>
              <w:jc w:val="right"/>
            </w:pPr>
            <w:r>
              <w:t>22</w:t>
            </w:r>
          </w:p>
        </w:tc>
        <w:tc>
          <w:tcPr>
            <w:tcW w:w="1417" w:type="dxa"/>
          </w:tcPr>
          <w:p w:rsidR="005C172B" w:rsidRDefault="00CE065E" w:rsidP="005C172B">
            <w:pPr>
              <w:pStyle w:val="NoSpacing"/>
              <w:jc w:val="right"/>
            </w:pPr>
            <w:r>
              <w:t>11,374</w:t>
            </w:r>
          </w:p>
        </w:tc>
      </w:tr>
      <w:tr w:rsidR="005C172B" w:rsidTr="005C172B">
        <w:tc>
          <w:tcPr>
            <w:tcW w:w="4395" w:type="dxa"/>
          </w:tcPr>
          <w:p w:rsidR="005C172B" w:rsidRDefault="005C172B" w:rsidP="005C172B">
            <w:pPr>
              <w:pStyle w:val="NoSpacing"/>
            </w:pPr>
            <w:r>
              <w:t>Mornington Peninsula</w:t>
            </w:r>
          </w:p>
        </w:tc>
        <w:tc>
          <w:tcPr>
            <w:tcW w:w="1701" w:type="dxa"/>
          </w:tcPr>
          <w:p w:rsidR="005C172B" w:rsidRDefault="005C172B" w:rsidP="005C172B">
            <w:pPr>
              <w:pStyle w:val="NoSpacing"/>
              <w:jc w:val="right"/>
            </w:pPr>
            <w:r>
              <w:t>357</w:t>
            </w:r>
          </w:p>
        </w:tc>
        <w:tc>
          <w:tcPr>
            <w:tcW w:w="1559" w:type="dxa"/>
          </w:tcPr>
          <w:p w:rsidR="005C172B" w:rsidRDefault="00CE065E" w:rsidP="005C172B">
            <w:pPr>
              <w:pStyle w:val="NoSpacing"/>
              <w:jc w:val="right"/>
            </w:pPr>
            <w:r>
              <w:t>230</w:t>
            </w:r>
          </w:p>
        </w:tc>
        <w:tc>
          <w:tcPr>
            <w:tcW w:w="1560" w:type="dxa"/>
          </w:tcPr>
          <w:p w:rsidR="005C172B" w:rsidRDefault="00CE065E" w:rsidP="005C172B">
            <w:pPr>
              <w:pStyle w:val="NoSpacing"/>
              <w:jc w:val="right"/>
            </w:pPr>
            <w:r>
              <w:t>24</w:t>
            </w:r>
          </w:p>
        </w:tc>
        <w:tc>
          <w:tcPr>
            <w:tcW w:w="1417" w:type="dxa"/>
          </w:tcPr>
          <w:p w:rsidR="005C172B" w:rsidRDefault="00CE065E" w:rsidP="005C172B">
            <w:pPr>
              <w:pStyle w:val="NoSpacing"/>
              <w:jc w:val="right"/>
            </w:pPr>
            <w:r>
              <w:t>611</w:t>
            </w:r>
          </w:p>
        </w:tc>
      </w:tr>
      <w:tr w:rsidR="005C172B" w:rsidTr="005C172B">
        <w:tc>
          <w:tcPr>
            <w:tcW w:w="4395" w:type="dxa"/>
          </w:tcPr>
          <w:p w:rsidR="005C172B" w:rsidRDefault="005C172B" w:rsidP="005C172B">
            <w:pPr>
              <w:pStyle w:val="NoSpacing"/>
            </w:pPr>
            <w:r>
              <w:t>International Projects</w:t>
            </w:r>
          </w:p>
        </w:tc>
        <w:tc>
          <w:tcPr>
            <w:tcW w:w="1701" w:type="dxa"/>
          </w:tcPr>
          <w:p w:rsidR="005C172B" w:rsidRDefault="005C172B" w:rsidP="005C172B">
            <w:pPr>
              <w:pStyle w:val="NoSpacing"/>
              <w:jc w:val="right"/>
            </w:pPr>
            <w:r>
              <w:t>-</w:t>
            </w:r>
          </w:p>
        </w:tc>
        <w:tc>
          <w:tcPr>
            <w:tcW w:w="1559" w:type="dxa"/>
          </w:tcPr>
          <w:p w:rsidR="005C172B" w:rsidRDefault="00CE065E" w:rsidP="005C172B">
            <w:pPr>
              <w:pStyle w:val="NoSpacing"/>
              <w:jc w:val="right"/>
            </w:pPr>
            <w:r>
              <w:t>7,405</w:t>
            </w:r>
          </w:p>
        </w:tc>
        <w:tc>
          <w:tcPr>
            <w:tcW w:w="1560" w:type="dxa"/>
          </w:tcPr>
          <w:p w:rsidR="005C172B" w:rsidRDefault="00CE065E" w:rsidP="005C172B">
            <w:pPr>
              <w:pStyle w:val="NoSpacing"/>
              <w:jc w:val="right"/>
            </w:pPr>
            <w:r>
              <w:t>-</w:t>
            </w:r>
          </w:p>
        </w:tc>
        <w:tc>
          <w:tcPr>
            <w:tcW w:w="1417" w:type="dxa"/>
          </w:tcPr>
          <w:p w:rsidR="005C172B" w:rsidRDefault="00CE065E" w:rsidP="005C172B">
            <w:pPr>
              <w:pStyle w:val="NoSpacing"/>
              <w:jc w:val="right"/>
            </w:pPr>
            <w:r>
              <w:t>7,405</w:t>
            </w:r>
          </w:p>
        </w:tc>
      </w:tr>
      <w:tr w:rsidR="005C172B" w:rsidTr="005C172B">
        <w:tc>
          <w:tcPr>
            <w:tcW w:w="4395" w:type="dxa"/>
          </w:tcPr>
          <w:p w:rsidR="005C172B" w:rsidRDefault="005C172B" w:rsidP="005C172B">
            <w:pPr>
              <w:pStyle w:val="NoSpacing"/>
            </w:pPr>
            <w:r>
              <w:t>Off-site Delivery</w:t>
            </w:r>
          </w:p>
        </w:tc>
        <w:tc>
          <w:tcPr>
            <w:tcW w:w="1701" w:type="dxa"/>
          </w:tcPr>
          <w:p w:rsidR="005C172B" w:rsidRDefault="00CE065E" w:rsidP="005C172B">
            <w:pPr>
              <w:pStyle w:val="NoSpacing"/>
              <w:jc w:val="right"/>
            </w:pPr>
            <w:r>
              <w:t>1,130</w:t>
            </w:r>
          </w:p>
        </w:tc>
        <w:tc>
          <w:tcPr>
            <w:tcW w:w="1559" w:type="dxa"/>
          </w:tcPr>
          <w:p w:rsidR="005C172B" w:rsidRDefault="00CE065E" w:rsidP="005C172B">
            <w:pPr>
              <w:pStyle w:val="NoSpacing"/>
              <w:jc w:val="right"/>
            </w:pPr>
            <w:r>
              <w:t>4,920</w:t>
            </w:r>
          </w:p>
        </w:tc>
        <w:tc>
          <w:tcPr>
            <w:tcW w:w="1560" w:type="dxa"/>
          </w:tcPr>
          <w:p w:rsidR="005C172B" w:rsidRDefault="00CE065E" w:rsidP="005C172B">
            <w:pPr>
              <w:pStyle w:val="NoSpacing"/>
              <w:jc w:val="right"/>
            </w:pPr>
            <w:r>
              <w:t>-</w:t>
            </w:r>
          </w:p>
        </w:tc>
        <w:tc>
          <w:tcPr>
            <w:tcW w:w="1417" w:type="dxa"/>
          </w:tcPr>
          <w:p w:rsidR="005C172B" w:rsidRDefault="00CE065E" w:rsidP="005C172B">
            <w:pPr>
              <w:pStyle w:val="NoSpacing"/>
              <w:jc w:val="right"/>
            </w:pPr>
            <w:r>
              <w:t>6,050</w:t>
            </w:r>
          </w:p>
        </w:tc>
      </w:tr>
      <w:tr w:rsidR="005C172B" w:rsidTr="005C172B">
        <w:tc>
          <w:tcPr>
            <w:tcW w:w="4395" w:type="dxa"/>
          </w:tcPr>
          <w:p w:rsidR="005C172B" w:rsidRDefault="005C172B" w:rsidP="005C172B">
            <w:pPr>
              <w:pStyle w:val="NoSpacing"/>
            </w:pPr>
            <w:r>
              <w:t xml:space="preserve">Other </w:t>
            </w:r>
          </w:p>
        </w:tc>
        <w:tc>
          <w:tcPr>
            <w:tcW w:w="1701" w:type="dxa"/>
          </w:tcPr>
          <w:p w:rsidR="005C172B" w:rsidRDefault="00CE065E" w:rsidP="005C172B">
            <w:pPr>
              <w:pStyle w:val="NoSpacing"/>
              <w:jc w:val="right"/>
            </w:pPr>
            <w:r>
              <w:t>2,420</w:t>
            </w:r>
          </w:p>
        </w:tc>
        <w:tc>
          <w:tcPr>
            <w:tcW w:w="1559" w:type="dxa"/>
          </w:tcPr>
          <w:p w:rsidR="005C172B" w:rsidRDefault="00CE065E" w:rsidP="005C172B">
            <w:pPr>
              <w:pStyle w:val="NoSpacing"/>
              <w:jc w:val="right"/>
            </w:pPr>
            <w:r>
              <w:t>2,283</w:t>
            </w:r>
          </w:p>
        </w:tc>
        <w:tc>
          <w:tcPr>
            <w:tcW w:w="1560" w:type="dxa"/>
          </w:tcPr>
          <w:p w:rsidR="005C172B" w:rsidRDefault="00CE065E" w:rsidP="005C172B">
            <w:pPr>
              <w:pStyle w:val="NoSpacing"/>
              <w:jc w:val="right"/>
            </w:pPr>
            <w:r>
              <w:t>264</w:t>
            </w:r>
          </w:p>
        </w:tc>
        <w:tc>
          <w:tcPr>
            <w:tcW w:w="1417" w:type="dxa"/>
          </w:tcPr>
          <w:p w:rsidR="005C172B" w:rsidRDefault="00CE065E" w:rsidP="005C172B">
            <w:pPr>
              <w:pStyle w:val="NoSpacing"/>
              <w:jc w:val="right"/>
            </w:pPr>
            <w:r>
              <w:t>4,967</w:t>
            </w:r>
          </w:p>
        </w:tc>
      </w:tr>
      <w:tr w:rsidR="005C172B" w:rsidTr="005C172B">
        <w:tc>
          <w:tcPr>
            <w:tcW w:w="4395" w:type="dxa"/>
          </w:tcPr>
          <w:p w:rsidR="005C172B" w:rsidRDefault="005C172B" w:rsidP="005C172B">
            <w:pPr>
              <w:pStyle w:val="NoSpacing"/>
            </w:pPr>
            <w:r>
              <w:t xml:space="preserve">Total income from contract with customers </w:t>
            </w:r>
          </w:p>
        </w:tc>
        <w:tc>
          <w:tcPr>
            <w:tcW w:w="1701" w:type="dxa"/>
          </w:tcPr>
          <w:p w:rsidR="005C172B" w:rsidRDefault="00CE065E" w:rsidP="005C172B">
            <w:pPr>
              <w:pStyle w:val="NoSpacing"/>
              <w:jc w:val="right"/>
            </w:pPr>
            <w:r>
              <w:t>19,145</w:t>
            </w:r>
          </w:p>
        </w:tc>
        <w:tc>
          <w:tcPr>
            <w:tcW w:w="1559" w:type="dxa"/>
          </w:tcPr>
          <w:p w:rsidR="005C172B" w:rsidRDefault="00CE065E" w:rsidP="005C172B">
            <w:pPr>
              <w:pStyle w:val="NoSpacing"/>
              <w:jc w:val="right"/>
            </w:pPr>
            <w:r>
              <w:t>40,634</w:t>
            </w:r>
          </w:p>
        </w:tc>
        <w:tc>
          <w:tcPr>
            <w:tcW w:w="1560" w:type="dxa"/>
          </w:tcPr>
          <w:p w:rsidR="005C172B" w:rsidRDefault="00CE065E" w:rsidP="005C172B">
            <w:pPr>
              <w:pStyle w:val="NoSpacing"/>
              <w:jc w:val="right"/>
            </w:pPr>
            <w:r>
              <w:t>380</w:t>
            </w:r>
          </w:p>
        </w:tc>
        <w:tc>
          <w:tcPr>
            <w:tcW w:w="1417" w:type="dxa"/>
          </w:tcPr>
          <w:p w:rsidR="005C172B" w:rsidRDefault="00CE065E" w:rsidP="005C172B">
            <w:pPr>
              <w:pStyle w:val="NoSpacing"/>
              <w:jc w:val="right"/>
            </w:pPr>
            <w:r>
              <w:t>60,159</w:t>
            </w:r>
          </w:p>
        </w:tc>
      </w:tr>
    </w:tbl>
    <w:p w:rsidR="005C172B" w:rsidRDefault="005C172B" w:rsidP="005C172B">
      <w:pPr>
        <w:pStyle w:val="NoSpacing"/>
      </w:pPr>
    </w:p>
    <w:p w:rsidR="005C172B" w:rsidRDefault="005C172B" w:rsidP="005C172B">
      <w:pPr>
        <w:pStyle w:val="NoSpacing"/>
      </w:pPr>
    </w:p>
    <w:tbl>
      <w:tblPr>
        <w:tblStyle w:val="TableGrid"/>
        <w:tblW w:w="10632" w:type="dxa"/>
        <w:tblInd w:w="-856" w:type="dxa"/>
        <w:tblLook w:val="04A0" w:firstRow="1" w:lastRow="0" w:firstColumn="1" w:lastColumn="0" w:noHBand="0" w:noVBand="1"/>
      </w:tblPr>
      <w:tblGrid>
        <w:gridCol w:w="4395"/>
        <w:gridCol w:w="1701"/>
        <w:gridCol w:w="1559"/>
        <w:gridCol w:w="1560"/>
        <w:gridCol w:w="1417"/>
      </w:tblGrid>
      <w:tr w:rsidR="005C172B" w:rsidTr="005C172B">
        <w:trPr>
          <w:gridBefore w:val="1"/>
          <w:wBefore w:w="4395" w:type="dxa"/>
        </w:trPr>
        <w:tc>
          <w:tcPr>
            <w:tcW w:w="1701" w:type="dxa"/>
          </w:tcPr>
          <w:p w:rsidR="005C172B" w:rsidRDefault="005C172B" w:rsidP="005C172B">
            <w:pPr>
              <w:pStyle w:val="NoSpacing"/>
              <w:jc w:val="right"/>
            </w:pPr>
            <w:r>
              <w:t>Student fees and charges</w:t>
            </w:r>
          </w:p>
        </w:tc>
        <w:tc>
          <w:tcPr>
            <w:tcW w:w="1559" w:type="dxa"/>
          </w:tcPr>
          <w:p w:rsidR="005C172B" w:rsidRDefault="005C172B" w:rsidP="005C172B">
            <w:pPr>
              <w:pStyle w:val="NoSpacing"/>
              <w:jc w:val="right"/>
            </w:pPr>
            <w:r>
              <w:t>Fee for service</w:t>
            </w:r>
          </w:p>
        </w:tc>
        <w:tc>
          <w:tcPr>
            <w:tcW w:w="1560" w:type="dxa"/>
          </w:tcPr>
          <w:p w:rsidR="005C172B" w:rsidRDefault="005C172B" w:rsidP="005C172B">
            <w:pPr>
              <w:pStyle w:val="NoSpacing"/>
              <w:jc w:val="right"/>
            </w:pPr>
            <w:r>
              <w:t>Sale of goods</w:t>
            </w:r>
          </w:p>
        </w:tc>
        <w:tc>
          <w:tcPr>
            <w:tcW w:w="1417" w:type="dxa"/>
          </w:tcPr>
          <w:p w:rsidR="005C172B" w:rsidRDefault="005C172B" w:rsidP="005C172B">
            <w:pPr>
              <w:pStyle w:val="NoSpacing"/>
              <w:jc w:val="right"/>
            </w:pPr>
            <w:r>
              <w:t xml:space="preserve">Total </w:t>
            </w:r>
          </w:p>
        </w:tc>
      </w:tr>
      <w:tr w:rsidR="005C172B" w:rsidTr="005C172B">
        <w:trPr>
          <w:gridBefore w:val="1"/>
          <w:wBefore w:w="4395" w:type="dxa"/>
        </w:trPr>
        <w:tc>
          <w:tcPr>
            <w:tcW w:w="1701" w:type="dxa"/>
          </w:tcPr>
          <w:p w:rsidR="005C172B" w:rsidRDefault="005C172B" w:rsidP="005C172B">
            <w:pPr>
              <w:pStyle w:val="NoSpacing"/>
              <w:jc w:val="right"/>
            </w:pPr>
            <w:r>
              <w:t>$’000</w:t>
            </w:r>
          </w:p>
        </w:tc>
        <w:tc>
          <w:tcPr>
            <w:tcW w:w="1559" w:type="dxa"/>
          </w:tcPr>
          <w:p w:rsidR="005C172B" w:rsidRDefault="005C172B" w:rsidP="005C172B">
            <w:pPr>
              <w:jc w:val="right"/>
            </w:pPr>
            <w:r w:rsidRPr="00105D59">
              <w:t>$’000</w:t>
            </w:r>
          </w:p>
        </w:tc>
        <w:tc>
          <w:tcPr>
            <w:tcW w:w="1560" w:type="dxa"/>
          </w:tcPr>
          <w:p w:rsidR="005C172B" w:rsidRDefault="005C172B" w:rsidP="005C172B">
            <w:pPr>
              <w:jc w:val="right"/>
            </w:pPr>
            <w:r w:rsidRPr="00105D59">
              <w:t>$’000</w:t>
            </w:r>
          </w:p>
        </w:tc>
        <w:tc>
          <w:tcPr>
            <w:tcW w:w="1417" w:type="dxa"/>
          </w:tcPr>
          <w:p w:rsidR="005C172B" w:rsidRDefault="005C172B" w:rsidP="005C172B">
            <w:pPr>
              <w:jc w:val="right"/>
            </w:pPr>
            <w:r w:rsidRPr="00105D59">
              <w:t>$’000</w:t>
            </w:r>
          </w:p>
        </w:tc>
      </w:tr>
      <w:tr w:rsidR="005C172B" w:rsidTr="005C172B">
        <w:tc>
          <w:tcPr>
            <w:tcW w:w="10632" w:type="dxa"/>
            <w:gridSpan w:val="5"/>
          </w:tcPr>
          <w:p w:rsidR="005C172B" w:rsidRDefault="005C172B" w:rsidP="005C172B">
            <w:pPr>
              <w:pStyle w:val="NoSpacing"/>
            </w:pPr>
            <w:r>
              <w:t>Chisholm</w:t>
            </w:r>
          </w:p>
        </w:tc>
      </w:tr>
      <w:tr w:rsidR="005C172B" w:rsidTr="005C172B">
        <w:tc>
          <w:tcPr>
            <w:tcW w:w="10632" w:type="dxa"/>
            <w:gridSpan w:val="5"/>
          </w:tcPr>
          <w:p w:rsidR="005C172B" w:rsidRDefault="005C172B" w:rsidP="005C172B">
            <w:pPr>
              <w:pStyle w:val="NoSpacing"/>
            </w:pPr>
            <w:r>
              <w:t>2018</w:t>
            </w:r>
          </w:p>
        </w:tc>
      </w:tr>
      <w:tr w:rsidR="005C172B" w:rsidTr="005C172B">
        <w:tc>
          <w:tcPr>
            <w:tcW w:w="4395" w:type="dxa"/>
          </w:tcPr>
          <w:p w:rsidR="005C172B" w:rsidRDefault="005C172B" w:rsidP="005C172B">
            <w:pPr>
              <w:pStyle w:val="NoSpacing"/>
            </w:pPr>
            <w:r>
              <w:t>Bass Coast</w:t>
            </w:r>
          </w:p>
        </w:tc>
        <w:tc>
          <w:tcPr>
            <w:tcW w:w="1701" w:type="dxa"/>
          </w:tcPr>
          <w:p w:rsidR="005C172B" w:rsidRDefault="00CE065E" w:rsidP="005C172B">
            <w:pPr>
              <w:pStyle w:val="NoSpacing"/>
              <w:jc w:val="right"/>
            </w:pPr>
            <w:r>
              <w:t>128</w:t>
            </w:r>
          </w:p>
        </w:tc>
        <w:tc>
          <w:tcPr>
            <w:tcW w:w="1559" w:type="dxa"/>
          </w:tcPr>
          <w:p w:rsidR="005C172B" w:rsidRDefault="00CE065E" w:rsidP="005C172B">
            <w:pPr>
              <w:pStyle w:val="NoSpacing"/>
              <w:jc w:val="right"/>
            </w:pPr>
            <w:r>
              <w:t>37</w:t>
            </w:r>
          </w:p>
        </w:tc>
        <w:tc>
          <w:tcPr>
            <w:tcW w:w="1560" w:type="dxa"/>
          </w:tcPr>
          <w:p w:rsidR="005C172B" w:rsidRDefault="00CE065E" w:rsidP="005C172B">
            <w:pPr>
              <w:pStyle w:val="NoSpacing"/>
              <w:jc w:val="right"/>
            </w:pPr>
            <w:r>
              <w:t>-</w:t>
            </w:r>
          </w:p>
        </w:tc>
        <w:tc>
          <w:tcPr>
            <w:tcW w:w="1417" w:type="dxa"/>
          </w:tcPr>
          <w:p w:rsidR="005C172B" w:rsidRDefault="00CE065E" w:rsidP="005C172B">
            <w:pPr>
              <w:pStyle w:val="NoSpacing"/>
              <w:jc w:val="right"/>
            </w:pPr>
            <w:r>
              <w:t>165</w:t>
            </w:r>
          </w:p>
        </w:tc>
      </w:tr>
      <w:tr w:rsidR="005C172B" w:rsidTr="005C172B">
        <w:tc>
          <w:tcPr>
            <w:tcW w:w="4395" w:type="dxa"/>
          </w:tcPr>
          <w:p w:rsidR="005C172B" w:rsidRDefault="005C172B" w:rsidP="005C172B">
            <w:pPr>
              <w:pStyle w:val="NoSpacing"/>
            </w:pPr>
            <w:r>
              <w:t>Berwick</w:t>
            </w:r>
          </w:p>
        </w:tc>
        <w:tc>
          <w:tcPr>
            <w:tcW w:w="1701" w:type="dxa"/>
          </w:tcPr>
          <w:p w:rsidR="005C172B" w:rsidRDefault="00CE065E" w:rsidP="005C172B">
            <w:pPr>
              <w:pStyle w:val="NoSpacing"/>
              <w:jc w:val="right"/>
            </w:pPr>
            <w:r>
              <w:t>4,571</w:t>
            </w:r>
          </w:p>
        </w:tc>
        <w:tc>
          <w:tcPr>
            <w:tcW w:w="1559" w:type="dxa"/>
          </w:tcPr>
          <w:p w:rsidR="005C172B" w:rsidRDefault="00CE065E" w:rsidP="005C172B">
            <w:pPr>
              <w:pStyle w:val="NoSpacing"/>
              <w:jc w:val="right"/>
            </w:pPr>
            <w:r>
              <w:t>3,451</w:t>
            </w:r>
          </w:p>
        </w:tc>
        <w:tc>
          <w:tcPr>
            <w:tcW w:w="1560" w:type="dxa"/>
          </w:tcPr>
          <w:p w:rsidR="005C172B" w:rsidRDefault="00CE065E" w:rsidP="005C172B">
            <w:pPr>
              <w:pStyle w:val="NoSpacing"/>
              <w:jc w:val="right"/>
            </w:pPr>
            <w:r>
              <w:t>10</w:t>
            </w:r>
          </w:p>
        </w:tc>
        <w:tc>
          <w:tcPr>
            <w:tcW w:w="1417" w:type="dxa"/>
          </w:tcPr>
          <w:p w:rsidR="005C172B" w:rsidRDefault="00CE065E" w:rsidP="005C172B">
            <w:pPr>
              <w:pStyle w:val="NoSpacing"/>
              <w:jc w:val="right"/>
            </w:pPr>
            <w:r>
              <w:t>8,032</w:t>
            </w:r>
          </w:p>
        </w:tc>
      </w:tr>
      <w:tr w:rsidR="005C172B" w:rsidTr="005C172B">
        <w:tc>
          <w:tcPr>
            <w:tcW w:w="4395" w:type="dxa"/>
          </w:tcPr>
          <w:p w:rsidR="005C172B" w:rsidRDefault="005C172B" w:rsidP="005C172B">
            <w:pPr>
              <w:pStyle w:val="NoSpacing"/>
            </w:pPr>
            <w:r>
              <w:t>Cranbourne</w:t>
            </w:r>
          </w:p>
        </w:tc>
        <w:tc>
          <w:tcPr>
            <w:tcW w:w="1701" w:type="dxa"/>
          </w:tcPr>
          <w:p w:rsidR="005C172B" w:rsidRDefault="00CE065E" w:rsidP="005C172B">
            <w:pPr>
              <w:pStyle w:val="NoSpacing"/>
              <w:jc w:val="right"/>
            </w:pPr>
            <w:r>
              <w:t>1,011</w:t>
            </w:r>
          </w:p>
        </w:tc>
        <w:tc>
          <w:tcPr>
            <w:tcW w:w="1559" w:type="dxa"/>
          </w:tcPr>
          <w:p w:rsidR="005C172B" w:rsidRDefault="00CE065E" w:rsidP="005C172B">
            <w:pPr>
              <w:pStyle w:val="NoSpacing"/>
              <w:jc w:val="right"/>
            </w:pPr>
            <w:r>
              <w:t>930</w:t>
            </w:r>
          </w:p>
        </w:tc>
        <w:tc>
          <w:tcPr>
            <w:tcW w:w="1560" w:type="dxa"/>
          </w:tcPr>
          <w:p w:rsidR="005C172B" w:rsidRDefault="00CE065E" w:rsidP="005C172B">
            <w:pPr>
              <w:pStyle w:val="NoSpacing"/>
              <w:jc w:val="right"/>
            </w:pPr>
            <w:r>
              <w:t>33</w:t>
            </w:r>
          </w:p>
        </w:tc>
        <w:tc>
          <w:tcPr>
            <w:tcW w:w="1417" w:type="dxa"/>
          </w:tcPr>
          <w:p w:rsidR="005C172B" w:rsidRDefault="00CE065E" w:rsidP="005C172B">
            <w:pPr>
              <w:pStyle w:val="NoSpacing"/>
              <w:jc w:val="right"/>
            </w:pPr>
            <w:r>
              <w:t>1,974</w:t>
            </w:r>
          </w:p>
        </w:tc>
      </w:tr>
      <w:tr w:rsidR="005C172B" w:rsidTr="005C172B">
        <w:tc>
          <w:tcPr>
            <w:tcW w:w="4395" w:type="dxa"/>
          </w:tcPr>
          <w:p w:rsidR="005C172B" w:rsidRDefault="005C172B" w:rsidP="005C172B">
            <w:pPr>
              <w:pStyle w:val="NoSpacing"/>
            </w:pPr>
            <w:r>
              <w:t>Dandenong</w:t>
            </w:r>
          </w:p>
        </w:tc>
        <w:tc>
          <w:tcPr>
            <w:tcW w:w="1701" w:type="dxa"/>
          </w:tcPr>
          <w:p w:rsidR="005C172B" w:rsidRDefault="00CE065E" w:rsidP="005C172B">
            <w:pPr>
              <w:pStyle w:val="NoSpacing"/>
              <w:jc w:val="right"/>
            </w:pPr>
            <w:r>
              <w:t>5,941</w:t>
            </w:r>
          </w:p>
        </w:tc>
        <w:tc>
          <w:tcPr>
            <w:tcW w:w="1559" w:type="dxa"/>
          </w:tcPr>
          <w:p w:rsidR="005C172B" w:rsidRDefault="00CE065E" w:rsidP="005C172B">
            <w:pPr>
              <w:pStyle w:val="NoSpacing"/>
              <w:jc w:val="right"/>
            </w:pPr>
            <w:r>
              <w:t>12,618</w:t>
            </w:r>
          </w:p>
        </w:tc>
        <w:tc>
          <w:tcPr>
            <w:tcW w:w="1560" w:type="dxa"/>
          </w:tcPr>
          <w:p w:rsidR="005C172B" w:rsidRDefault="00CE065E" w:rsidP="005C172B">
            <w:pPr>
              <w:pStyle w:val="NoSpacing"/>
              <w:jc w:val="right"/>
            </w:pPr>
            <w:r>
              <w:t>9</w:t>
            </w:r>
          </w:p>
        </w:tc>
        <w:tc>
          <w:tcPr>
            <w:tcW w:w="1417" w:type="dxa"/>
          </w:tcPr>
          <w:p w:rsidR="005C172B" w:rsidRDefault="00CE065E" w:rsidP="005C172B">
            <w:pPr>
              <w:pStyle w:val="NoSpacing"/>
              <w:jc w:val="right"/>
            </w:pPr>
            <w:r>
              <w:t>18,568</w:t>
            </w:r>
          </w:p>
        </w:tc>
      </w:tr>
      <w:tr w:rsidR="005C172B" w:rsidTr="005C172B">
        <w:tc>
          <w:tcPr>
            <w:tcW w:w="4395" w:type="dxa"/>
          </w:tcPr>
          <w:p w:rsidR="005C172B" w:rsidRDefault="005C172B" w:rsidP="005C172B">
            <w:pPr>
              <w:pStyle w:val="NoSpacing"/>
            </w:pPr>
            <w:r>
              <w:t>Frankston</w:t>
            </w:r>
          </w:p>
        </w:tc>
        <w:tc>
          <w:tcPr>
            <w:tcW w:w="1701" w:type="dxa"/>
          </w:tcPr>
          <w:p w:rsidR="005C172B" w:rsidRDefault="00CE065E" w:rsidP="005C172B">
            <w:pPr>
              <w:pStyle w:val="NoSpacing"/>
              <w:jc w:val="right"/>
            </w:pPr>
            <w:r>
              <w:t>7,004</w:t>
            </w:r>
          </w:p>
        </w:tc>
        <w:tc>
          <w:tcPr>
            <w:tcW w:w="1559" w:type="dxa"/>
          </w:tcPr>
          <w:p w:rsidR="005C172B" w:rsidRDefault="00CE065E" w:rsidP="005C172B">
            <w:pPr>
              <w:pStyle w:val="NoSpacing"/>
              <w:jc w:val="right"/>
            </w:pPr>
            <w:r>
              <w:t>4,267</w:t>
            </w:r>
          </w:p>
        </w:tc>
        <w:tc>
          <w:tcPr>
            <w:tcW w:w="1560" w:type="dxa"/>
          </w:tcPr>
          <w:p w:rsidR="005C172B" w:rsidRDefault="00CE065E" w:rsidP="005C172B">
            <w:pPr>
              <w:pStyle w:val="NoSpacing"/>
              <w:jc w:val="right"/>
            </w:pPr>
            <w:r>
              <w:t>9</w:t>
            </w:r>
          </w:p>
        </w:tc>
        <w:tc>
          <w:tcPr>
            <w:tcW w:w="1417" w:type="dxa"/>
          </w:tcPr>
          <w:p w:rsidR="005C172B" w:rsidRDefault="00CE065E" w:rsidP="005C172B">
            <w:pPr>
              <w:pStyle w:val="NoSpacing"/>
              <w:jc w:val="right"/>
            </w:pPr>
            <w:r>
              <w:t>11,280</w:t>
            </w:r>
          </w:p>
        </w:tc>
      </w:tr>
      <w:tr w:rsidR="005C172B" w:rsidTr="005C172B">
        <w:tc>
          <w:tcPr>
            <w:tcW w:w="4395" w:type="dxa"/>
          </w:tcPr>
          <w:p w:rsidR="005C172B" w:rsidRDefault="005C172B" w:rsidP="005C172B">
            <w:pPr>
              <w:pStyle w:val="NoSpacing"/>
            </w:pPr>
            <w:r>
              <w:t>Mornington Peninsula</w:t>
            </w:r>
          </w:p>
        </w:tc>
        <w:tc>
          <w:tcPr>
            <w:tcW w:w="1701" w:type="dxa"/>
          </w:tcPr>
          <w:p w:rsidR="005C172B" w:rsidRDefault="00CE065E" w:rsidP="005C172B">
            <w:pPr>
              <w:pStyle w:val="NoSpacing"/>
              <w:jc w:val="right"/>
            </w:pPr>
            <w:r>
              <w:t>419</w:t>
            </w:r>
          </w:p>
        </w:tc>
        <w:tc>
          <w:tcPr>
            <w:tcW w:w="1559" w:type="dxa"/>
          </w:tcPr>
          <w:p w:rsidR="005C172B" w:rsidRDefault="00CE065E" w:rsidP="005C172B">
            <w:pPr>
              <w:pStyle w:val="NoSpacing"/>
              <w:jc w:val="right"/>
            </w:pPr>
            <w:r>
              <w:t>276</w:t>
            </w:r>
          </w:p>
        </w:tc>
        <w:tc>
          <w:tcPr>
            <w:tcW w:w="1560" w:type="dxa"/>
          </w:tcPr>
          <w:p w:rsidR="005C172B" w:rsidRDefault="00CE065E" w:rsidP="005C172B">
            <w:pPr>
              <w:pStyle w:val="NoSpacing"/>
              <w:jc w:val="right"/>
            </w:pPr>
            <w:r>
              <w:t>25</w:t>
            </w:r>
          </w:p>
        </w:tc>
        <w:tc>
          <w:tcPr>
            <w:tcW w:w="1417" w:type="dxa"/>
          </w:tcPr>
          <w:p w:rsidR="005C172B" w:rsidRDefault="00CE065E" w:rsidP="005C172B">
            <w:pPr>
              <w:pStyle w:val="NoSpacing"/>
              <w:jc w:val="right"/>
            </w:pPr>
            <w:r>
              <w:t>720</w:t>
            </w:r>
          </w:p>
        </w:tc>
      </w:tr>
      <w:tr w:rsidR="005C172B" w:rsidTr="005C172B">
        <w:tc>
          <w:tcPr>
            <w:tcW w:w="4395" w:type="dxa"/>
          </w:tcPr>
          <w:p w:rsidR="005C172B" w:rsidRDefault="005C172B" w:rsidP="005C172B">
            <w:pPr>
              <w:pStyle w:val="NoSpacing"/>
            </w:pPr>
            <w:r>
              <w:t>International Projects</w:t>
            </w:r>
          </w:p>
        </w:tc>
        <w:tc>
          <w:tcPr>
            <w:tcW w:w="1701" w:type="dxa"/>
          </w:tcPr>
          <w:p w:rsidR="005C172B" w:rsidRDefault="00CE065E" w:rsidP="005C172B">
            <w:pPr>
              <w:pStyle w:val="NoSpacing"/>
              <w:jc w:val="right"/>
            </w:pPr>
            <w:r>
              <w:t>-</w:t>
            </w:r>
          </w:p>
        </w:tc>
        <w:tc>
          <w:tcPr>
            <w:tcW w:w="1559" w:type="dxa"/>
          </w:tcPr>
          <w:p w:rsidR="005C172B" w:rsidRDefault="00CE065E" w:rsidP="005C172B">
            <w:pPr>
              <w:pStyle w:val="NoSpacing"/>
              <w:jc w:val="right"/>
            </w:pPr>
            <w:r>
              <w:t>7,180</w:t>
            </w:r>
          </w:p>
        </w:tc>
        <w:tc>
          <w:tcPr>
            <w:tcW w:w="1560" w:type="dxa"/>
          </w:tcPr>
          <w:p w:rsidR="005C172B" w:rsidRDefault="00CE065E" w:rsidP="005C172B">
            <w:pPr>
              <w:pStyle w:val="NoSpacing"/>
              <w:jc w:val="right"/>
            </w:pPr>
            <w:r>
              <w:t>-</w:t>
            </w:r>
          </w:p>
        </w:tc>
        <w:tc>
          <w:tcPr>
            <w:tcW w:w="1417" w:type="dxa"/>
          </w:tcPr>
          <w:p w:rsidR="005C172B" w:rsidRDefault="00CE065E" w:rsidP="005C172B">
            <w:pPr>
              <w:pStyle w:val="NoSpacing"/>
              <w:jc w:val="right"/>
            </w:pPr>
            <w:r>
              <w:t>7,180</w:t>
            </w:r>
          </w:p>
        </w:tc>
      </w:tr>
      <w:tr w:rsidR="005C172B" w:rsidTr="005C172B">
        <w:tc>
          <w:tcPr>
            <w:tcW w:w="4395" w:type="dxa"/>
          </w:tcPr>
          <w:p w:rsidR="005C172B" w:rsidRDefault="005C172B" w:rsidP="005C172B">
            <w:pPr>
              <w:pStyle w:val="NoSpacing"/>
            </w:pPr>
            <w:r>
              <w:t>Off-site Delivery</w:t>
            </w:r>
          </w:p>
        </w:tc>
        <w:tc>
          <w:tcPr>
            <w:tcW w:w="1701" w:type="dxa"/>
          </w:tcPr>
          <w:p w:rsidR="005C172B" w:rsidRDefault="00CE065E" w:rsidP="005C172B">
            <w:pPr>
              <w:pStyle w:val="NoSpacing"/>
              <w:jc w:val="right"/>
            </w:pPr>
            <w:r>
              <w:t>851</w:t>
            </w:r>
          </w:p>
        </w:tc>
        <w:tc>
          <w:tcPr>
            <w:tcW w:w="1559" w:type="dxa"/>
          </w:tcPr>
          <w:p w:rsidR="005C172B" w:rsidRDefault="00CE065E" w:rsidP="005C172B">
            <w:pPr>
              <w:pStyle w:val="NoSpacing"/>
              <w:jc w:val="right"/>
            </w:pPr>
            <w:r>
              <w:t>3,910</w:t>
            </w:r>
          </w:p>
        </w:tc>
        <w:tc>
          <w:tcPr>
            <w:tcW w:w="1560" w:type="dxa"/>
          </w:tcPr>
          <w:p w:rsidR="005C172B" w:rsidRDefault="00CE065E" w:rsidP="005C172B">
            <w:pPr>
              <w:pStyle w:val="NoSpacing"/>
              <w:jc w:val="right"/>
            </w:pPr>
            <w:r>
              <w:t>20</w:t>
            </w:r>
          </w:p>
        </w:tc>
        <w:tc>
          <w:tcPr>
            <w:tcW w:w="1417" w:type="dxa"/>
          </w:tcPr>
          <w:p w:rsidR="005C172B" w:rsidRDefault="00CE065E" w:rsidP="005C172B">
            <w:pPr>
              <w:pStyle w:val="NoSpacing"/>
              <w:jc w:val="right"/>
            </w:pPr>
            <w:r>
              <w:t>4,781</w:t>
            </w:r>
          </w:p>
        </w:tc>
      </w:tr>
      <w:tr w:rsidR="005C172B" w:rsidTr="005C172B">
        <w:tc>
          <w:tcPr>
            <w:tcW w:w="4395" w:type="dxa"/>
          </w:tcPr>
          <w:p w:rsidR="005C172B" w:rsidRDefault="005C172B" w:rsidP="005C172B">
            <w:pPr>
              <w:pStyle w:val="NoSpacing"/>
            </w:pPr>
            <w:r>
              <w:t xml:space="preserve">Other </w:t>
            </w:r>
          </w:p>
        </w:tc>
        <w:tc>
          <w:tcPr>
            <w:tcW w:w="1701" w:type="dxa"/>
          </w:tcPr>
          <w:p w:rsidR="005C172B" w:rsidRDefault="00CE065E" w:rsidP="005C172B">
            <w:pPr>
              <w:pStyle w:val="NoSpacing"/>
              <w:jc w:val="right"/>
            </w:pPr>
            <w:r>
              <w:t>2,360</w:t>
            </w:r>
          </w:p>
        </w:tc>
        <w:tc>
          <w:tcPr>
            <w:tcW w:w="1559" w:type="dxa"/>
          </w:tcPr>
          <w:p w:rsidR="005C172B" w:rsidRDefault="00CE065E" w:rsidP="005C172B">
            <w:pPr>
              <w:pStyle w:val="NoSpacing"/>
              <w:jc w:val="right"/>
            </w:pPr>
            <w:r>
              <w:t>5,495</w:t>
            </w:r>
          </w:p>
        </w:tc>
        <w:tc>
          <w:tcPr>
            <w:tcW w:w="1560" w:type="dxa"/>
          </w:tcPr>
          <w:p w:rsidR="005C172B" w:rsidRDefault="00CE065E" w:rsidP="005C172B">
            <w:pPr>
              <w:pStyle w:val="NoSpacing"/>
              <w:jc w:val="right"/>
            </w:pPr>
            <w:r>
              <w:t>378</w:t>
            </w:r>
          </w:p>
        </w:tc>
        <w:tc>
          <w:tcPr>
            <w:tcW w:w="1417" w:type="dxa"/>
          </w:tcPr>
          <w:p w:rsidR="005C172B" w:rsidRDefault="00CE065E" w:rsidP="005C172B">
            <w:pPr>
              <w:pStyle w:val="NoSpacing"/>
              <w:jc w:val="right"/>
            </w:pPr>
            <w:r>
              <w:t>8,233</w:t>
            </w:r>
          </w:p>
        </w:tc>
      </w:tr>
      <w:tr w:rsidR="005C172B" w:rsidTr="005C172B">
        <w:tc>
          <w:tcPr>
            <w:tcW w:w="4395" w:type="dxa"/>
          </w:tcPr>
          <w:p w:rsidR="005C172B" w:rsidRDefault="005C172B" w:rsidP="005C172B">
            <w:pPr>
              <w:pStyle w:val="NoSpacing"/>
            </w:pPr>
            <w:r>
              <w:t xml:space="preserve">Total income from contract with customers </w:t>
            </w:r>
          </w:p>
        </w:tc>
        <w:tc>
          <w:tcPr>
            <w:tcW w:w="1701" w:type="dxa"/>
          </w:tcPr>
          <w:p w:rsidR="005C172B" w:rsidRDefault="00CE065E" w:rsidP="005C172B">
            <w:pPr>
              <w:pStyle w:val="NoSpacing"/>
              <w:jc w:val="right"/>
            </w:pPr>
            <w:r>
              <w:t>22,285</w:t>
            </w:r>
          </w:p>
        </w:tc>
        <w:tc>
          <w:tcPr>
            <w:tcW w:w="1559" w:type="dxa"/>
          </w:tcPr>
          <w:p w:rsidR="005C172B" w:rsidRDefault="00CE065E" w:rsidP="005C172B">
            <w:pPr>
              <w:pStyle w:val="NoSpacing"/>
              <w:jc w:val="right"/>
            </w:pPr>
            <w:r>
              <w:t>38,164</w:t>
            </w:r>
          </w:p>
        </w:tc>
        <w:tc>
          <w:tcPr>
            <w:tcW w:w="1560" w:type="dxa"/>
          </w:tcPr>
          <w:p w:rsidR="005C172B" w:rsidRDefault="00CE065E" w:rsidP="005C172B">
            <w:pPr>
              <w:pStyle w:val="NoSpacing"/>
              <w:jc w:val="right"/>
            </w:pPr>
            <w:r>
              <w:t>484</w:t>
            </w:r>
          </w:p>
        </w:tc>
        <w:tc>
          <w:tcPr>
            <w:tcW w:w="1417" w:type="dxa"/>
          </w:tcPr>
          <w:p w:rsidR="005C172B" w:rsidRDefault="00CE065E" w:rsidP="005C172B">
            <w:pPr>
              <w:pStyle w:val="NoSpacing"/>
              <w:jc w:val="right"/>
            </w:pPr>
            <w:r>
              <w:t>60,933</w:t>
            </w:r>
          </w:p>
        </w:tc>
      </w:tr>
    </w:tbl>
    <w:p w:rsidR="00D169C9" w:rsidRDefault="00D169C9" w:rsidP="005942B8">
      <w:pPr>
        <w:pStyle w:val="NoSpacing"/>
      </w:pPr>
    </w:p>
    <w:p w:rsidR="00D169C9" w:rsidRDefault="00CE065E" w:rsidP="005942B8">
      <w:pPr>
        <w:pStyle w:val="NoSpacing"/>
      </w:pPr>
      <w:r>
        <w:t>&lt;page 55&gt;</w:t>
      </w:r>
    </w:p>
    <w:p w:rsidR="009009E5" w:rsidRDefault="009009E5" w:rsidP="005942B8">
      <w:pPr>
        <w:pStyle w:val="NoSpacing"/>
      </w:pPr>
    </w:p>
    <w:p w:rsidR="00E45340" w:rsidRDefault="00E45340" w:rsidP="005942B8">
      <w:pPr>
        <w:pStyle w:val="NoSpacing"/>
      </w:pPr>
    </w:p>
    <w:p w:rsidR="00E45340" w:rsidRPr="005C172B" w:rsidRDefault="00E45340" w:rsidP="00681D4D">
      <w:pPr>
        <w:pStyle w:val="Heading2"/>
      </w:pPr>
      <w:r>
        <w:t>2. How we earned out finds (continued)</w:t>
      </w:r>
    </w:p>
    <w:p w:rsidR="00681D4D" w:rsidRDefault="00681D4D" w:rsidP="00681D4D">
      <w:pPr>
        <w:pStyle w:val="NoSpacing"/>
      </w:pPr>
    </w:p>
    <w:p w:rsidR="00E45340" w:rsidRDefault="00E45340" w:rsidP="00681D4D">
      <w:pPr>
        <w:pStyle w:val="Heading3"/>
      </w:pPr>
      <w:r>
        <w:t>2.2 Sale from contracts with customers (continued)</w:t>
      </w:r>
    </w:p>
    <w:p w:rsidR="00E45340" w:rsidRDefault="00E45340" w:rsidP="005942B8">
      <w:pPr>
        <w:pStyle w:val="NoSpacing"/>
      </w:pPr>
    </w:p>
    <w:p w:rsidR="00E45340" w:rsidRDefault="00E45340" w:rsidP="005942B8">
      <w:pPr>
        <w:pStyle w:val="NoSpacing"/>
      </w:pPr>
      <w:r>
        <w:t>Contributions recognised in line with AASB 15</w:t>
      </w:r>
    </w:p>
    <w:p w:rsidR="00E45340" w:rsidRDefault="00E45340" w:rsidP="005942B8">
      <w:pPr>
        <w:pStyle w:val="NoSpacing"/>
      </w:pPr>
    </w:p>
    <w:p w:rsidR="00E45340" w:rsidRDefault="00E45340" w:rsidP="005942B8">
      <w:pPr>
        <w:pStyle w:val="NoSpacing"/>
      </w:pPr>
      <w:r>
        <w:t>Revenue arises mainly from the provision of education services.</w:t>
      </w:r>
    </w:p>
    <w:p w:rsidR="00E45340" w:rsidRDefault="00E45340" w:rsidP="00E45340">
      <w:pPr>
        <w:autoSpaceDE w:val="0"/>
        <w:autoSpaceDN w:val="0"/>
        <w:adjustRightInd w:val="0"/>
        <w:spacing w:after="0" w:line="240" w:lineRule="auto"/>
        <w:rPr>
          <w:rFonts w:cstheme="minorHAnsi"/>
        </w:rPr>
      </w:pPr>
      <w:r w:rsidRPr="00E45340">
        <w:rPr>
          <w:rFonts w:cstheme="minorHAnsi"/>
        </w:rPr>
        <w:t>To determine whether to recognise</w:t>
      </w:r>
      <w:r>
        <w:rPr>
          <w:rFonts w:cstheme="minorHAnsi"/>
        </w:rPr>
        <w:t xml:space="preserve"> </w:t>
      </w:r>
      <w:r w:rsidRPr="00E45340">
        <w:rPr>
          <w:rFonts w:cstheme="minorHAnsi"/>
        </w:rPr>
        <w:t>revenue, Chisholm Group follows a six</w:t>
      </w:r>
      <w:r>
        <w:rPr>
          <w:rFonts w:cstheme="minorHAnsi"/>
        </w:rPr>
        <w:t xml:space="preserve"> </w:t>
      </w:r>
      <w:r w:rsidRPr="00E45340">
        <w:rPr>
          <w:rFonts w:cstheme="minorHAnsi"/>
        </w:rPr>
        <w:t>step process:</w:t>
      </w:r>
    </w:p>
    <w:p w:rsidR="00E45340" w:rsidRPr="00E45340" w:rsidRDefault="00E45340" w:rsidP="00E45340">
      <w:pPr>
        <w:autoSpaceDE w:val="0"/>
        <w:autoSpaceDN w:val="0"/>
        <w:adjustRightInd w:val="0"/>
        <w:spacing w:after="0" w:line="240" w:lineRule="auto"/>
        <w:rPr>
          <w:rFonts w:cstheme="minorHAnsi"/>
        </w:rPr>
      </w:pPr>
    </w:p>
    <w:p w:rsidR="00E45340" w:rsidRPr="00E45340" w:rsidRDefault="00E45340" w:rsidP="00E45340">
      <w:pPr>
        <w:autoSpaceDE w:val="0"/>
        <w:autoSpaceDN w:val="0"/>
        <w:adjustRightInd w:val="0"/>
        <w:spacing w:after="0" w:line="240" w:lineRule="auto"/>
        <w:rPr>
          <w:rFonts w:cstheme="minorHAnsi"/>
        </w:rPr>
      </w:pPr>
      <w:r w:rsidRPr="00E45340">
        <w:rPr>
          <w:rFonts w:cstheme="minorHAnsi"/>
        </w:rPr>
        <w:t>1. Identify the contract with the customer.</w:t>
      </w:r>
    </w:p>
    <w:p w:rsidR="00E45340" w:rsidRDefault="00E45340" w:rsidP="00E45340">
      <w:pPr>
        <w:autoSpaceDE w:val="0"/>
        <w:autoSpaceDN w:val="0"/>
        <w:adjustRightInd w:val="0"/>
        <w:spacing w:after="0" w:line="240" w:lineRule="auto"/>
        <w:rPr>
          <w:rFonts w:cstheme="minorHAnsi"/>
        </w:rPr>
      </w:pPr>
    </w:p>
    <w:p w:rsidR="00E45340" w:rsidRPr="00E45340" w:rsidRDefault="00E45340" w:rsidP="00E45340">
      <w:pPr>
        <w:autoSpaceDE w:val="0"/>
        <w:autoSpaceDN w:val="0"/>
        <w:adjustRightInd w:val="0"/>
        <w:spacing w:after="0" w:line="240" w:lineRule="auto"/>
        <w:rPr>
          <w:rFonts w:cstheme="minorHAnsi"/>
        </w:rPr>
      </w:pPr>
      <w:r w:rsidRPr="00E45340">
        <w:rPr>
          <w:rFonts w:cstheme="minorHAnsi"/>
        </w:rPr>
        <w:t>2. Identify the performance obligations</w:t>
      </w:r>
      <w:r>
        <w:rPr>
          <w:rFonts w:cstheme="minorHAnsi"/>
        </w:rPr>
        <w:t xml:space="preserve"> </w:t>
      </w:r>
      <w:r w:rsidRPr="00E45340">
        <w:rPr>
          <w:rFonts w:cstheme="minorHAnsi"/>
        </w:rPr>
        <w:t>in line with project plans.</w:t>
      </w:r>
    </w:p>
    <w:p w:rsidR="00E45340" w:rsidRDefault="00E45340" w:rsidP="00E45340">
      <w:pPr>
        <w:autoSpaceDE w:val="0"/>
        <w:autoSpaceDN w:val="0"/>
        <w:adjustRightInd w:val="0"/>
        <w:spacing w:after="0" w:line="240" w:lineRule="auto"/>
        <w:rPr>
          <w:rFonts w:cstheme="minorHAnsi"/>
        </w:rPr>
      </w:pPr>
    </w:p>
    <w:p w:rsidR="00E45340" w:rsidRPr="00E45340" w:rsidRDefault="00E45340" w:rsidP="00E45340">
      <w:pPr>
        <w:autoSpaceDE w:val="0"/>
        <w:autoSpaceDN w:val="0"/>
        <w:adjustRightInd w:val="0"/>
        <w:spacing w:after="0" w:line="240" w:lineRule="auto"/>
        <w:rPr>
          <w:rFonts w:cstheme="minorHAnsi"/>
        </w:rPr>
      </w:pPr>
      <w:r w:rsidRPr="00E45340">
        <w:rPr>
          <w:rFonts w:cstheme="minorHAnsi"/>
        </w:rPr>
        <w:t>3. Determine the transaction price.</w:t>
      </w:r>
    </w:p>
    <w:p w:rsidR="00E45340" w:rsidRDefault="00E45340" w:rsidP="00E45340">
      <w:pPr>
        <w:autoSpaceDE w:val="0"/>
        <w:autoSpaceDN w:val="0"/>
        <w:adjustRightInd w:val="0"/>
        <w:spacing w:after="0" w:line="240" w:lineRule="auto"/>
        <w:rPr>
          <w:rFonts w:cstheme="minorHAnsi"/>
        </w:rPr>
      </w:pPr>
    </w:p>
    <w:p w:rsidR="00E45340" w:rsidRPr="00E45340" w:rsidRDefault="00E45340" w:rsidP="00E45340">
      <w:pPr>
        <w:autoSpaceDE w:val="0"/>
        <w:autoSpaceDN w:val="0"/>
        <w:adjustRightInd w:val="0"/>
        <w:spacing w:after="0" w:line="240" w:lineRule="auto"/>
        <w:rPr>
          <w:rFonts w:cstheme="minorHAnsi"/>
        </w:rPr>
      </w:pPr>
      <w:r w:rsidRPr="00E45340">
        <w:rPr>
          <w:rFonts w:cstheme="minorHAnsi"/>
        </w:rPr>
        <w:t>4. Allocate the transaction price to the</w:t>
      </w:r>
      <w:r>
        <w:rPr>
          <w:rFonts w:cstheme="minorHAnsi"/>
        </w:rPr>
        <w:t xml:space="preserve"> </w:t>
      </w:r>
      <w:r w:rsidRPr="00E45340">
        <w:rPr>
          <w:rFonts w:cstheme="minorHAnsi"/>
        </w:rPr>
        <w:t>performance obligations.</w:t>
      </w:r>
    </w:p>
    <w:p w:rsidR="00E45340" w:rsidRDefault="00E45340" w:rsidP="00E45340">
      <w:pPr>
        <w:autoSpaceDE w:val="0"/>
        <w:autoSpaceDN w:val="0"/>
        <w:adjustRightInd w:val="0"/>
        <w:spacing w:after="0" w:line="240" w:lineRule="auto"/>
        <w:rPr>
          <w:rFonts w:cstheme="minorHAnsi"/>
        </w:rPr>
      </w:pPr>
    </w:p>
    <w:p w:rsidR="00E45340" w:rsidRPr="00E45340" w:rsidRDefault="00E45340" w:rsidP="00E45340">
      <w:pPr>
        <w:autoSpaceDE w:val="0"/>
        <w:autoSpaceDN w:val="0"/>
        <w:adjustRightInd w:val="0"/>
        <w:spacing w:after="0" w:line="240" w:lineRule="auto"/>
        <w:rPr>
          <w:rFonts w:cstheme="minorHAnsi"/>
        </w:rPr>
      </w:pPr>
      <w:r w:rsidRPr="00E45340">
        <w:rPr>
          <w:rFonts w:cstheme="minorHAnsi"/>
        </w:rPr>
        <w:t>5. Recognise the revenue when/as</w:t>
      </w:r>
      <w:r>
        <w:rPr>
          <w:rFonts w:cstheme="minorHAnsi"/>
        </w:rPr>
        <w:t xml:space="preserve"> </w:t>
      </w:r>
      <w:r w:rsidRPr="00E45340">
        <w:rPr>
          <w:rFonts w:cstheme="minorHAnsi"/>
        </w:rPr>
        <w:t>performance obligations are satisfied.</w:t>
      </w:r>
    </w:p>
    <w:p w:rsidR="00E45340" w:rsidRDefault="00E45340" w:rsidP="00E45340">
      <w:pPr>
        <w:autoSpaceDE w:val="0"/>
        <w:autoSpaceDN w:val="0"/>
        <w:adjustRightInd w:val="0"/>
        <w:spacing w:after="0" w:line="240" w:lineRule="auto"/>
        <w:rPr>
          <w:rFonts w:cstheme="minorHAnsi"/>
        </w:rPr>
      </w:pPr>
    </w:p>
    <w:p w:rsidR="00E45340" w:rsidRDefault="00E45340" w:rsidP="00E45340">
      <w:pPr>
        <w:autoSpaceDE w:val="0"/>
        <w:autoSpaceDN w:val="0"/>
        <w:adjustRightInd w:val="0"/>
        <w:spacing w:after="0" w:line="240" w:lineRule="auto"/>
        <w:rPr>
          <w:rFonts w:cstheme="minorHAnsi"/>
        </w:rPr>
      </w:pPr>
      <w:r w:rsidRPr="00E45340">
        <w:rPr>
          <w:rFonts w:cstheme="minorHAnsi"/>
        </w:rPr>
        <w:t>6. If required under the contract</w:t>
      </w:r>
      <w:r>
        <w:rPr>
          <w:rFonts w:cstheme="minorHAnsi"/>
        </w:rPr>
        <w:t xml:space="preserve"> </w:t>
      </w:r>
      <w:r w:rsidRPr="00E45340">
        <w:rPr>
          <w:rFonts w:cstheme="minorHAnsi"/>
        </w:rPr>
        <w:t>agreement, provide an acquittal of</w:t>
      </w:r>
      <w:r>
        <w:rPr>
          <w:rFonts w:cstheme="minorHAnsi"/>
        </w:rPr>
        <w:t xml:space="preserve"> </w:t>
      </w:r>
      <w:r w:rsidRPr="00E45340">
        <w:rPr>
          <w:rFonts w:cstheme="minorHAnsi"/>
        </w:rPr>
        <w:t>finds expensed with the expectation</w:t>
      </w:r>
      <w:r>
        <w:rPr>
          <w:rFonts w:cstheme="minorHAnsi"/>
        </w:rPr>
        <w:t xml:space="preserve"> </w:t>
      </w:r>
      <w:r w:rsidRPr="00E45340">
        <w:rPr>
          <w:rFonts w:cstheme="minorHAnsi"/>
        </w:rPr>
        <w:t>that unspent grant monies may be</w:t>
      </w:r>
      <w:r>
        <w:rPr>
          <w:rFonts w:cstheme="minorHAnsi"/>
        </w:rPr>
        <w:t xml:space="preserve"> </w:t>
      </w:r>
      <w:r w:rsidRPr="00E45340">
        <w:rPr>
          <w:rFonts w:cstheme="minorHAnsi"/>
        </w:rPr>
        <w:t>required to be returned.</w:t>
      </w:r>
    </w:p>
    <w:p w:rsidR="00E45340" w:rsidRPr="00E45340" w:rsidRDefault="00E45340" w:rsidP="00E45340">
      <w:pPr>
        <w:autoSpaceDE w:val="0"/>
        <w:autoSpaceDN w:val="0"/>
        <w:adjustRightInd w:val="0"/>
        <w:spacing w:after="0" w:line="240" w:lineRule="auto"/>
        <w:rPr>
          <w:rFonts w:cstheme="minorHAnsi"/>
        </w:rPr>
      </w:pPr>
    </w:p>
    <w:p w:rsidR="00E45340" w:rsidRPr="00E45340" w:rsidRDefault="00E45340" w:rsidP="00E45340">
      <w:pPr>
        <w:autoSpaceDE w:val="0"/>
        <w:autoSpaceDN w:val="0"/>
        <w:adjustRightInd w:val="0"/>
        <w:spacing w:after="0" w:line="240" w:lineRule="auto"/>
        <w:rPr>
          <w:rFonts w:cstheme="minorHAnsi"/>
        </w:rPr>
      </w:pPr>
      <w:r w:rsidRPr="00E45340">
        <w:rPr>
          <w:rFonts w:cstheme="minorHAnsi"/>
        </w:rPr>
        <w:t>Chisholm Group often enters into</w:t>
      </w:r>
      <w:r>
        <w:rPr>
          <w:rFonts w:cstheme="minorHAnsi"/>
        </w:rPr>
        <w:t xml:space="preserve"> </w:t>
      </w:r>
      <w:r w:rsidRPr="00E45340">
        <w:rPr>
          <w:rFonts w:cstheme="minorHAnsi"/>
        </w:rPr>
        <w:t>transactions involving a range of its</w:t>
      </w:r>
      <w:r>
        <w:rPr>
          <w:rFonts w:cstheme="minorHAnsi"/>
        </w:rPr>
        <w:t xml:space="preserve"> </w:t>
      </w:r>
      <w:r w:rsidRPr="00E45340">
        <w:rPr>
          <w:rFonts w:cstheme="minorHAnsi"/>
        </w:rPr>
        <w:t>services, for example the delivery of</w:t>
      </w:r>
      <w:r>
        <w:rPr>
          <w:rFonts w:cstheme="minorHAnsi"/>
        </w:rPr>
        <w:t xml:space="preserve"> </w:t>
      </w:r>
      <w:r w:rsidRPr="00E45340">
        <w:rPr>
          <w:rFonts w:cstheme="minorHAnsi"/>
        </w:rPr>
        <w:t>education and the provision of materials</w:t>
      </w:r>
      <w:r>
        <w:rPr>
          <w:rFonts w:cstheme="minorHAnsi"/>
        </w:rPr>
        <w:t xml:space="preserve"> </w:t>
      </w:r>
      <w:r w:rsidRPr="00E45340">
        <w:rPr>
          <w:rFonts w:cstheme="minorHAnsi"/>
        </w:rPr>
        <w:t>such as textbooks and tools of trade.</w:t>
      </w:r>
    </w:p>
    <w:p w:rsidR="00E45340" w:rsidRPr="00E45340" w:rsidRDefault="00E45340" w:rsidP="00E45340">
      <w:pPr>
        <w:autoSpaceDE w:val="0"/>
        <w:autoSpaceDN w:val="0"/>
        <w:adjustRightInd w:val="0"/>
        <w:spacing w:after="0" w:line="240" w:lineRule="auto"/>
        <w:rPr>
          <w:rFonts w:cstheme="minorHAnsi"/>
        </w:rPr>
      </w:pPr>
      <w:r w:rsidRPr="00E45340">
        <w:rPr>
          <w:rFonts w:cstheme="minorHAnsi"/>
        </w:rPr>
        <w:t>In all cases, the total transaction price</w:t>
      </w:r>
      <w:r>
        <w:rPr>
          <w:rFonts w:cstheme="minorHAnsi"/>
        </w:rPr>
        <w:t xml:space="preserve"> </w:t>
      </w:r>
      <w:r w:rsidRPr="00E45340">
        <w:rPr>
          <w:rFonts w:cstheme="minorHAnsi"/>
        </w:rPr>
        <w:t>for a contract is allocated amongst</w:t>
      </w:r>
      <w:r>
        <w:rPr>
          <w:rFonts w:cstheme="minorHAnsi"/>
        </w:rPr>
        <w:t xml:space="preserve"> </w:t>
      </w:r>
      <w:r w:rsidRPr="00E45340">
        <w:rPr>
          <w:rFonts w:cstheme="minorHAnsi"/>
        </w:rPr>
        <w:t>the various performance obligations</w:t>
      </w:r>
      <w:r>
        <w:rPr>
          <w:rFonts w:cstheme="minorHAnsi"/>
        </w:rPr>
        <w:t xml:space="preserve"> </w:t>
      </w:r>
      <w:r w:rsidRPr="00E45340">
        <w:rPr>
          <w:rFonts w:cstheme="minorHAnsi"/>
        </w:rPr>
        <w:t>based on their relative stand-alone</w:t>
      </w:r>
      <w:r>
        <w:rPr>
          <w:rFonts w:cstheme="minorHAnsi"/>
        </w:rPr>
        <w:t xml:space="preserve"> </w:t>
      </w:r>
      <w:r w:rsidRPr="00E45340">
        <w:rPr>
          <w:rFonts w:cstheme="minorHAnsi"/>
        </w:rPr>
        <w:t>selling prices and project plans. The</w:t>
      </w:r>
      <w:r>
        <w:rPr>
          <w:rFonts w:cstheme="minorHAnsi"/>
        </w:rPr>
        <w:t xml:space="preserve"> </w:t>
      </w:r>
      <w:r w:rsidRPr="00E45340">
        <w:rPr>
          <w:rFonts w:cstheme="minorHAnsi"/>
        </w:rPr>
        <w:t>transaction price for a contract excludes</w:t>
      </w:r>
      <w:r>
        <w:rPr>
          <w:rFonts w:cstheme="minorHAnsi"/>
        </w:rPr>
        <w:t xml:space="preserve"> </w:t>
      </w:r>
      <w:r w:rsidRPr="00E45340">
        <w:rPr>
          <w:rFonts w:cstheme="minorHAnsi"/>
        </w:rPr>
        <w:t>any amounts collected on behalf of</w:t>
      </w:r>
      <w:r>
        <w:rPr>
          <w:rFonts w:cstheme="minorHAnsi"/>
        </w:rPr>
        <w:t xml:space="preserve"> </w:t>
      </w:r>
      <w:r w:rsidRPr="00E45340">
        <w:rPr>
          <w:rFonts w:cstheme="minorHAnsi"/>
        </w:rPr>
        <w:t>third parties.</w:t>
      </w:r>
    </w:p>
    <w:p w:rsidR="00E45340" w:rsidRPr="00E45340" w:rsidRDefault="00E45340" w:rsidP="00E45340">
      <w:pPr>
        <w:autoSpaceDE w:val="0"/>
        <w:autoSpaceDN w:val="0"/>
        <w:adjustRightInd w:val="0"/>
        <w:spacing w:after="0" w:line="240" w:lineRule="auto"/>
        <w:rPr>
          <w:rFonts w:cstheme="minorHAnsi"/>
        </w:rPr>
      </w:pPr>
      <w:r w:rsidRPr="00E45340">
        <w:rPr>
          <w:rFonts w:cstheme="minorHAnsi"/>
        </w:rPr>
        <w:t>Revenue is recognised either at a</w:t>
      </w:r>
      <w:r>
        <w:rPr>
          <w:rFonts w:cstheme="minorHAnsi"/>
        </w:rPr>
        <w:t xml:space="preserve"> </w:t>
      </w:r>
      <w:r w:rsidRPr="00E45340">
        <w:rPr>
          <w:rFonts w:cstheme="minorHAnsi"/>
        </w:rPr>
        <w:t>point in time or over time, as or when</w:t>
      </w:r>
      <w:r>
        <w:rPr>
          <w:rFonts w:cstheme="minorHAnsi"/>
        </w:rPr>
        <w:t xml:space="preserve"> </w:t>
      </w:r>
      <w:r w:rsidRPr="00E45340">
        <w:rPr>
          <w:rFonts w:cstheme="minorHAnsi"/>
        </w:rPr>
        <w:t>Chisholm Group satisfies performance</w:t>
      </w:r>
      <w:r>
        <w:rPr>
          <w:rFonts w:cstheme="minorHAnsi"/>
        </w:rPr>
        <w:t xml:space="preserve"> </w:t>
      </w:r>
      <w:r w:rsidRPr="00E45340">
        <w:rPr>
          <w:rFonts w:cstheme="minorHAnsi"/>
        </w:rPr>
        <w:t>obligations by transferring the promised</w:t>
      </w:r>
      <w:r>
        <w:rPr>
          <w:rFonts w:cstheme="minorHAnsi"/>
        </w:rPr>
        <w:t xml:space="preserve"> </w:t>
      </w:r>
      <w:r w:rsidRPr="00E45340">
        <w:rPr>
          <w:rFonts w:cstheme="minorHAnsi"/>
        </w:rPr>
        <w:t>goods and/or services to its customers.</w:t>
      </w:r>
    </w:p>
    <w:p w:rsidR="00E45340" w:rsidRDefault="00E45340" w:rsidP="00E45340">
      <w:pPr>
        <w:autoSpaceDE w:val="0"/>
        <w:autoSpaceDN w:val="0"/>
        <w:adjustRightInd w:val="0"/>
        <w:spacing w:after="0" w:line="240" w:lineRule="auto"/>
        <w:rPr>
          <w:rFonts w:cstheme="minorHAnsi"/>
        </w:rPr>
      </w:pPr>
    </w:p>
    <w:p w:rsidR="00E45340" w:rsidRPr="00E45340" w:rsidRDefault="00E45340" w:rsidP="00E45340">
      <w:pPr>
        <w:autoSpaceDE w:val="0"/>
        <w:autoSpaceDN w:val="0"/>
        <w:adjustRightInd w:val="0"/>
        <w:spacing w:after="0" w:line="240" w:lineRule="auto"/>
        <w:rPr>
          <w:rFonts w:cstheme="minorHAnsi"/>
        </w:rPr>
      </w:pPr>
      <w:r w:rsidRPr="00E45340">
        <w:rPr>
          <w:rFonts w:cstheme="minorHAnsi"/>
        </w:rPr>
        <w:lastRenderedPageBreak/>
        <w:t>Revenue is measured based on the</w:t>
      </w:r>
      <w:r>
        <w:rPr>
          <w:rFonts w:cstheme="minorHAnsi"/>
        </w:rPr>
        <w:t xml:space="preserve"> </w:t>
      </w:r>
      <w:r w:rsidRPr="00E45340">
        <w:rPr>
          <w:rFonts w:cstheme="minorHAnsi"/>
        </w:rPr>
        <w:t>consideration specified in a contract with</w:t>
      </w:r>
      <w:r>
        <w:rPr>
          <w:rFonts w:cstheme="minorHAnsi"/>
        </w:rPr>
        <w:t xml:space="preserve"> </w:t>
      </w:r>
      <w:r w:rsidRPr="00E45340">
        <w:rPr>
          <w:rFonts w:cstheme="minorHAnsi"/>
        </w:rPr>
        <w:t>a customer. Chisholm Group recognises</w:t>
      </w:r>
      <w:r>
        <w:rPr>
          <w:rFonts w:cstheme="minorHAnsi"/>
        </w:rPr>
        <w:t xml:space="preserve"> </w:t>
      </w:r>
      <w:r w:rsidRPr="00E45340">
        <w:rPr>
          <w:rFonts w:cstheme="minorHAnsi"/>
        </w:rPr>
        <w:t>revenue when it transfers control over a</w:t>
      </w:r>
      <w:r>
        <w:rPr>
          <w:rFonts w:cstheme="minorHAnsi"/>
        </w:rPr>
        <w:t xml:space="preserve"> </w:t>
      </w:r>
      <w:r w:rsidRPr="00E45340">
        <w:rPr>
          <w:rFonts w:cstheme="minorHAnsi"/>
        </w:rPr>
        <w:t>good or service to a customer.</w:t>
      </w:r>
    </w:p>
    <w:p w:rsidR="00E45340" w:rsidRPr="00E45340" w:rsidRDefault="00E45340" w:rsidP="00E45340">
      <w:pPr>
        <w:autoSpaceDE w:val="0"/>
        <w:autoSpaceDN w:val="0"/>
        <w:adjustRightInd w:val="0"/>
        <w:spacing w:after="0" w:line="240" w:lineRule="auto"/>
        <w:rPr>
          <w:rFonts w:cstheme="minorHAnsi"/>
        </w:rPr>
      </w:pPr>
      <w:r w:rsidRPr="00E45340">
        <w:rPr>
          <w:rFonts w:cstheme="minorHAnsi"/>
        </w:rPr>
        <w:t>Chisholm Group recognises contract</w:t>
      </w:r>
      <w:r>
        <w:rPr>
          <w:rFonts w:cstheme="minorHAnsi"/>
        </w:rPr>
        <w:t xml:space="preserve"> </w:t>
      </w:r>
      <w:r w:rsidRPr="00E45340">
        <w:rPr>
          <w:rFonts w:cstheme="minorHAnsi"/>
        </w:rPr>
        <w:t>liabilities for consideration received</w:t>
      </w:r>
      <w:r>
        <w:rPr>
          <w:rFonts w:cstheme="minorHAnsi"/>
        </w:rPr>
        <w:t xml:space="preserve"> </w:t>
      </w:r>
      <w:r w:rsidRPr="00E45340">
        <w:rPr>
          <w:rFonts w:cstheme="minorHAnsi"/>
        </w:rPr>
        <w:t>in respect of unsatisfied performance</w:t>
      </w:r>
      <w:r>
        <w:rPr>
          <w:rFonts w:cstheme="minorHAnsi"/>
        </w:rPr>
        <w:t xml:space="preserve"> </w:t>
      </w:r>
      <w:r w:rsidRPr="00E45340">
        <w:rPr>
          <w:rFonts w:cstheme="minorHAnsi"/>
        </w:rPr>
        <w:t>obligations and reports these amounts</w:t>
      </w:r>
      <w:r>
        <w:rPr>
          <w:rFonts w:cstheme="minorHAnsi"/>
        </w:rPr>
        <w:t xml:space="preserve"> </w:t>
      </w:r>
      <w:r w:rsidRPr="00E45340">
        <w:rPr>
          <w:rFonts w:cstheme="minorHAnsi"/>
        </w:rPr>
        <w:t>as other liabilities in the balance sheet.</w:t>
      </w:r>
    </w:p>
    <w:p w:rsidR="00E45340" w:rsidRPr="00E45340" w:rsidRDefault="00E45340" w:rsidP="00E45340">
      <w:pPr>
        <w:autoSpaceDE w:val="0"/>
        <w:autoSpaceDN w:val="0"/>
        <w:adjustRightInd w:val="0"/>
        <w:spacing w:after="0" w:line="240" w:lineRule="auto"/>
        <w:rPr>
          <w:rFonts w:cstheme="minorHAnsi"/>
        </w:rPr>
      </w:pPr>
      <w:r w:rsidRPr="00E45340">
        <w:rPr>
          <w:rFonts w:cstheme="minorHAnsi"/>
        </w:rPr>
        <w:t>Similarly, if Chisholm Group satisfies</w:t>
      </w:r>
      <w:r>
        <w:rPr>
          <w:rFonts w:cstheme="minorHAnsi"/>
        </w:rPr>
        <w:t xml:space="preserve"> </w:t>
      </w:r>
      <w:r w:rsidRPr="00E45340">
        <w:rPr>
          <w:rFonts w:cstheme="minorHAnsi"/>
        </w:rPr>
        <w:t>a performance obligation before it</w:t>
      </w:r>
      <w:r>
        <w:rPr>
          <w:rFonts w:cstheme="minorHAnsi"/>
        </w:rPr>
        <w:t xml:space="preserve"> </w:t>
      </w:r>
      <w:r w:rsidRPr="00E45340">
        <w:rPr>
          <w:rFonts w:cstheme="minorHAnsi"/>
        </w:rPr>
        <w:t>receives the consideration, Chisholm</w:t>
      </w:r>
      <w:r>
        <w:rPr>
          <w:rFonts w:cstheme="minorHAnsi"/>
        </w:rPr>
        <w:t xml:space="preserve"> </w:t>
      </w:r>
      <w:r w:rsidRPr="00E45340">
        <w:rPr>
          <w:rFonts w:cstheme="minorHAnsi"/>
        </w:rPr>
        <w:t>Group recognises either a contract</w:t>
      </w:r>
      <w:r>
        <w:rPr>
          <w:rFonts w:cstheme="minorHAnsi"/>
        </w:rPr>
        <w:t xml:space="preserve"> </w:t>
      </w:r>
      <w:r w:rsidRPr="00E45340">
        <w:rPr>
          <w:rFonts w:cstheme="minorHAnsi"/>
        </w:rPr>
        <w:t>asset or a receivable in its balance</w:t>
      </w:r>
      <w:r>
        <w:rPr>
          <w:rFonts w:cstheme="minorHAnsi"/>
        </w:rPr>
        <w:t xml:space="preserve"> </w:t>
      </w:r>
      <w:r w:rsidRPr="00E45340">
        <w:rPr>
          <w:rFonts w:cstheme="minorHAnsi"/>
        </w:rPr>
        <w:t>sheet, depending on whether something</w:t>
      </w:r>
      <w:r>
        <w:rPr>
          <w:rFonts w:cstheme="minorHAnsi"/>
        </w:rPr>
        <w:t xml:space="preserve"> </w:t>
      </w:r>
      <w:r w:rsidRPr="00E45340">
        <w:rPr>
          <w:rFonts w:cstheme="minorHAnsi"/>
        </w:rPr>
        <w:t>other than the passage of time is</w:t>
      </w:r>
      <w:r>
        <w:rPr>
          <w:rFonts w:cstheme="minorHAnsi"/>
        </w:rPr>
        <w:t xml:space="preserve"> </w:t>
      </w:r>
      <w:r w:rsidRPr="00E45340">
        <w:rPr>
          <w:rFonts w:cstheme="minorHAnsi"/>
        </w:rPr>
        <w:t>required before the consideration is due.</w:t>
      </w:r>
    </w:p>
    <w:p w:rsidR="00E45340" w:rsidRDefault="00E45340" w:rsidP="005942B8">
      <w:pPr>
        <w:pStyle w:val="NoSpacing"/>
      </w:pPr>
    </w:p>
    <w:p w:rsidR="00E45340" w:rsidRDefault="00E45340" w:rsidP="005942B8">
      <w:pPr>
        <w:pStyle w:val="NoSpacing"/>
      </w:pPr>
      <w:r>
        <w:t>Chisholm Group has recognised the following assets and liabilities related to contracts with customers:</w:t>
      </w:r>
    </w:p>
    <w:p w:rsidR="00E45340" w:rsidRDefault="00E45340" w:rsidP="005942B8">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E45340" w:rsidTr="0006627D">
        <w:trPr>
          <w:gridBefore w:val="1"/>
          <w:wBefore w:w="5529" w:type="dxa"/>
        </w:trPr>
        <w:tc>
          <w:tcPr>
            <w:tcW w:w="2552" w:type="dxa"/>
            <w:gridSpan w:val="2"/>
          </w:tcPr>
          <w:p w:rsidR="00E45340" w:rsidRDefault="00E45340" w:rsidP="0006627D">
            <w:pPr>
              <w:pStyle w:val="NoSpacing"/>
              <w:jc w:val="right"/>
            </w:pPr>
            <w:r>
              <w:t>Consolidated</w:t>
            </w:r>
          </w:p>
        </w:tc>
        <w:tc>
          <w:tcPr>
            <w:tcW w:w="2551" w:type="dxa"/>
            <w:gridSpan w:val="2"/>
          </w:tcPr>
          <w:p w:rsidR="00E45340" w:rsidRDefault="00E45340" w:rsidP="0006627D">
            <w:pPr>
              <w:pStyle w:val="NoSpacing"/>
              <w:jc w:val="right"/>
            </w:pPr>
            <w:r>
              <w:t>Chisholm</w:t>
            </w:r>
          </w:p>
        </w:tc>
      </w:tr>
      <w:tr w:rsidR="00E45340" w:rsidTr="0006627D">
        <w:trPr>
          <w:gridBefore w:val="1"/>
          <w:wBefore w:w="5529" w:type="dxa"/>
        </w:trPr>
        <w:tc>
          <w:tcPr>
            <w:tcW w:w="1276" w:type="dxa"/>
          </w:tcPr>
          <w:p w:rsidR="00E45340" w:rsidRDefault="00E45340" w:rsidP="0006627D">
            <w:pPr>
              <w:pStyle w:val="NoSpacing"/>
              <w:jc w:val="right"/>
            </w:pPr>
            <w:r>
              <w:t>2019</w:t>
            </w:r>
          </w:p>
        </w:tc>
        <w:tc>
          <w:tcPr>
            <w:tcW w:w="1276" w:type="dxa"/>
          </w:tcPr>
          <w:p w:rsidR="00E45340" w:rsidRDefault="00E45340" w:rsidP="0006627D">
            <w:pPr>
              <w:pStyle w:val="NoSpacing"/>
              <w:jc w:val="right"/>
            </w:pPr>
            <w:r>
              <w:t>2018</w:t>
            </w:r>
          </w:p>
        </w:tc>
        <w:tc>
          <w:tcPr>
            <w:tcW w:w="1275" w:type="dxa"/>
          </w:tcPr>
          <w:p w:rsidR="00E45340" w:rsidRDefault="00E45340" w:rsidP="0006627D">
            <w:pPr>
              <w:pStyle w:val="NoSpacing"/>
              <w:jc w:val="right"/>
            </w:pPr>
            <w:r>
              <w:t>2019</w:t>
            </w:r>
          </w:p>
        </w:tc>
        <w:tc>
          <w:tcPr>
            <w:tcW w:w="1276" w:type="dxa"/>
          </w:tcPr>
          <w:p w:rsidR="00E45340" w:rsidRDefault="00E45340" w:rsidP="0006627D">
            <w:pPr>
              <w:pStyle w:val="NoSpacing"/>
              <w:jc w:val="right"/>
            </w:pPr>
            <w:r>
              <w:t>2018</w:t>
            </w:r>
          </w:p>
        </w:tc>
      </w:tr>
      <w:tr w:rsidR="00E45340" w:rsidTr="0006627D">
        <w:trPr>
          <w:gridBefore w:val="1"/>
          <w:wBefore w:w="5529" w:type="dxa"/>
        </w:trPr>
        <w:tc>
          <w:tcPr>
            <w:tcW w:w="1276" w:type="dxa"/>
          </w:tcPr>
          <w:p w:rsidR="00E45340" w:rsidRDefault="00E45340" w:rsidP="0006627D">
            <w:pPr>
              <w:pStyle w:val="NoSpacing"/>
              <w:jc w:val="right"/>
            </w:pPr>
            <w:r>
              <w:t>$’000</w:t>
            </w:r>
          </w:p>
        </w:tc>
        <w:tc>
          <w:tcPr>
            <w:tcW w:w="1276" w:type="dxa"/>
          </w:tcPr>
          <w:p w:rsidR="00E45340" w:rsidRDefault="00E45340" w:rsidP="0006627D">
            <w:pPr>
              <w:jc w:val="right"/>
            </w:pPr>
            <w:r w:rsidRPr="00105D59">
              <w:t>$’000</w:t>
            </w:r>
          </w:p>
        </w:tc>
        <w:tc>
          <w:tcPr>
            <w:tcW w:w="1275" w:type="dxa"/>
          </w:tcPr>
          <w:p w:rsidR="00E45340" w:rsidRDefault="00E45340" w:rsidP="0006627D">
            <w:pPr>
              <w:jc w:val="right"/>
            </w:pPr>
            <w:r w:rsidRPr="00105D59">
              <w:t>$’000</w:t>
            </w:r>
          </w:p>
        </w:tc>
        <w:tc>
          <w:tcPr>
            <w:tcW w:w="1276" w:type="dxa"/>
          </w:tcPr>
          <w:p w:rsidR="00E45340" w:rsidRDefault="00E45340" w:rsidP="0006627D">
            <w:pPr>
              <w:jc w:val="right"/>
            </w:pPr>
            <w:r w:rsidRPr="00105D59">
              <w:t>$’000</w:t>
            </w:r>
          </w:p>
        </w:tc>
      </w:tr>
      <w:tr w:rsidR="00E45340" w:rsidTr="0006627D">
        <w:tc>
          <w:tcPr>
            <w:tcW w:w="5529" w:type="dxa"/>
          </w:tcPr>
          <w:p w:rsidR="00E45340" w:rsidRDefault="00E45340" w:rsidP="0006627D">
            <w:pPr>
              <w:pStyle w:val="NoSpacing"/>
            </w:pPr>
            <w:r>
              <w:t>Accounts receivable</w:t>
            </w:r>
          </w:p>
        </w:tc>
        <w:tc>
          <w:tcPr>
            <w:tcW w:w="1276" w:type="dxa"/>
          </w:tcPr>
          <w:p w:rsidR="00E45340" w:rsidRDefault="00E45340" w:rsidP="0006627D">
            <w:pPr>
              <w:pStyle w:val="NoSpacing"/>
              <w:jc w:val="right"/>
            </w:pPr>
            <w:r>
              <w:t>4,659</w:t>
            </w:r>
          </w:p>
        </w:tc>
        <w:tc>
          <w:tcPr>
            <w:tcW w:w="1276" w:type="dxa"/>
          </w:tcPr>
          <w:p w:rsidR="00E45340" w:rsidRDefault="00E45340" w:rsidP="0006627D">
            <w:pPr>
              <w:pStyle w:val="NoSpacing"/>
              <w:jc w:val="right"/>
            </w:pPr>
            <w:r>
              <w:t>5,907</w:t>
            </w:r>
          </w:p>
        </w:tc>
        <w:tc>
          <w:tcPr>
            <w:tcW w:w="1275" w:type="dxa"/>
          </w:tcPr>
          <w:p w:rsidR="00E45340" w:rsidRDefault="00266866" w:rsidP="0006627D">
            <w:pPr>
              <w:pStyle w:val="NoSpacing"/>
              <w:jc w:val="right"/>
            </w:pPr>
            <w:r>
              <w:t>4,659</w:t>
            </w:r>
          </w:p>
        </w:tc>
        <w:tc>
          <w:tcPr>
            <w:tcW w:w="1276" w:type="dxa"/>
          </w:tcPr>
          <w:p w:rsidR="00E45340" w:rsidRDefault="00266866" w:rsidP="0006627D">
            <w:pPr>
              <w:pStyle w:val="NoSpacing"/>
              <w:jc w:val="right"/>
            </w:pPr>
            <w:r>
              <w:t>5,907</w:t>
            </w:r>
          </w:p>
        </w:tc>
      </w:tr>
      <w:tr w:rsidR="00E45340" w:rsidTr="0006627D">
        <w:tc>
          <w:tcPr>
            <w:tcW w:w="5529" w:type="dxa"/>
          </w:tcPr>
          <w:p w:rsidR="00E45340" w:rsidRDefault="00E45340" w:rsidP="0006627D">
            <w:pPr>
              <w:pStyle w:val="NoSpacing"/>
            </w:pPr>
            <w:r>
              <w:t>Loss allowance</w:t>
            </w:r>
          </w:p>
        </w:tc>
        <w:tc>
          <w:tcPr>
            <w:tcW w:w="1276" w:type="dxa"/>
          </w:tcPr>
          <w:p w:rsidR="00E45340" w:rsidRDefault="00E45340" w:rsidP="0006627D">
            <w:pPr>
              <w:pStyle w:val="NoSpacing"/>
              <w:jc w:val="right"/>
            </w:pPr>
            <w:r>
              <w:t>(405)</w:t>
            </w:r>
          </w:p>
        </w:tc>
        <w:tc>
          <w:tcPr>
            <w:tcW w:w="1276" w:type="dxa"/>
          </w:tcPr>
          <w:p w:rsidR="00E45340" w:rsidRDefault="00E45340" w:rsidP="0006627D">
            <w:pPr>
              <w:pStyle w:val="NoSpacing"/>
              <w:jc w:val="right"/>
            </w:pPr>
            <w:r>
              <w:t>(165)</w:t>
            </w:r>
          </w:p>
        </w:tc>
        <w:tc>
          <w:tcPr>
            <w:tcW w:w="1275" w:type="dxa"/>
          </w:tcPr>
          <w:p w:rsidR="00E45340" w:rsidRDefault="00266866" w:rsidP="0006627D">
            <w:pPr>
              <w:pStyle w:val="NoSpacing"/>
              <w:jc w:val="right"/>
            </w:pPr>
            <w:r>
              <w:t>(405)</w:t>
            </w:r>
          </w:p>
        </w:tc>
        <w:tc>
          <w:tcPr>
            <w:tcW w:w="1276" w:type="dxa"/>
          </w:tcPr>
          <w:p w:rsidR="00E45340" w:rsidRDefault="00266866" w:rsidP="0006627D">
            <w:pPr>
              <w:pStyle w:val="NoSpacing"/>
              <w:jc w:val="right"/>
            </w:pPr>
            <w:r>
              <w:t>(165)</w:t>
            </w:r>
          </w:p>
        </w:tc>
      </w:tr>
      <w:tr w:rsidR="00E45340" w:rsidTr="0006627D">
        <w:tc>
          <w:tcPr>
            <w:tcW w:w="5529" w:type="dxa"/>
          </w:tcPr>
          <w:p w:rsidR="00E45340" w:rsidRDefault="00E45340" w:rsidP="0006627D">
            <w:pPr>
              <w:pStyle w:val="NoSpacing"/>
            </w:pPr>
            <w:r>
              <w:t>Contract assets</w:t>
            </w:r>
          </w:p>
        </w:tc>
        <w:tc>
          <w:tcPr>
            <w:tcW w:w="1276" w:type="dxa"/>
          </w:tcPr>
          <w:p w:rsidR="00E45340" w:rsidRDefault="00E45340" w:rsidP="0006627D">
            <w:pPr>
              <w:pStyle w:val="NoSpacing"/>
              <w:jc w:val="right"/>
            </w:pPr>
            <w:r>
              <w:t>8,733</w:t>
            </w:r>
          </w:p>
        </w:tc>
        <w:tc>
          <w:tcPr>
            <w:tcW w:w="1276" w:type="dxa"/>
          </w:tcPr>
          <w:p w:rsidR="00E45340" w:rsidRDefault="00E45340" w:rsidP="0006627D">
            <w:pPr>
              <w:pStyle w:val="NoSpacing"/>
              <w:jc w:val="right"/>
            </w:pPr>
            <w:r>
              <w:t>7,158</w:t>
            </w:r>
          </w:p>
        </w:tc>
        <w:tc>
          <w:tcPr>
            <w:tcW w:w="1275" w:type="dxa"/>
          </w:tcPr>
          <w:p w:rsidR="00E45340" w:rsidRDefault="00266866" w:rsidP="0006627D">
            <w:pPr>
              <w:pStyle w:val="NoSpacing"/>
              <w:jc w:val="right"/>
            </w:pPr>
            <w:r>
              <w:t>8,348</w:t>
            </w:r>
          </w:p>
        </w:tc>
        <w:tc>
          <w:tcPr>
            <w:tcW w:w="1276" w:type="dxa"/>
          </w:tcPr>
          <w:p w:rsidR="00E45340" w:rsidRDefault="00266866" w:rsidP="0006627D">
            <w:pPr>
              <w:pStyle w:val="NoSpacing"/>
              <w:jc w:val="right"/>
            </w:pPr>
            <w:r>
              <w:t>6,993</w:t>
            </w:r>
          </w:p>
        </w:tc>
      </w:tr>
      <w:tr w:rsidR="00E45340" w:rsidTr="0006627D">
        <w:tc>
          <w:tcPr>
            <w:tcW w:w="5529" w:type="dxa"/>
          </w:tcPr>
          <w:p w:rsidR="00E45340" w:rsidRDefault="00E45340" w:rsidP="0006627D">
            <w:pPr>
              <w:pStyle w:val="NoSpacing"/>
            </w:pPr>
            <w:r>
              <w:t>Other receivables</w:t>
            </w:r>
          </w:p>
        </w:tc>
        <w:tc>
          <w:tcPr>
            <w:tcW w:w="1276" w:type="dxa"/>
          </w:tcPr>
          <w:p w:rsidR="00E45340" w:rsidRDefault="00E45340" w:rsidP="0006627D">
            <w:pPr>
              <w:pStyle w:val="NoSpacing"/>
              <w:jc w:val="right"/>
            </w:pPr>
            <w:r>
              <w:t>2,785</w:t>
            </w:r>
          </w:p>
        </w:tc>
        <w:tc>
          <w:tcPr>
            <w:tcW w:w="1276" w:type="dxa"/>
          </w:tcPr>
          <w:p w:rsidR="00E45340" w:rsidRDefault="00E45340" w:rsidP="0006627D">
            <w:pPr>
              <w:pStyle w:val="NoSpacing"/>
              <w:jc w:val="right"/>
            </w:pPr>
            <w:r>
              <w:t>3,675</w:t>
            </w:r>
          </w:p>
        </w:tc>
        <w:tc>
          <w:tcPr>
            <w:tcW w:w="1275" w:type="dxa"/>
          </w:tcPr>
          <w:p w:rsidR="00E45340" w:rsidRDefault="00266866" w:rsidP="0006627D">
            <w:pPr>
              <w:pStyle w:val="NoSpacing"/>
              <w:jc w:val="right"/>
            </w:pPr>
            <w:r>
              <w:t>5,111</w:t>
            </w:r>
          </w:p>
        </w:tc>
        <w:tc>
          <w:tcPr>
            <w:tcW w:w="1276" w:type="dxa"/>
          </w:tcPr>
          <w:p w:rsidR="00E45340" w:rsidRDefault="00266866" w:rsidP="0006627D">
            <w:pPr>
              <w:pStyle w:val="NoSpacing"/>
              <w:jc w:val="right"/>
            </w:pPr>
            <w:r>
              <w:t>6,720</w:t>
            </w:r>
          </w:p>
        </w:tc>
      </w:tr>
      <w:tr w:rsidR="00E45340" w:rsidTr="0006627D">
        <w:tc>
          <w:tcPr>
            <w:tcW w:w="5529" w:type="dxa"/>
          </w:tcPr>
          <w:p w:rsidR="00E45340" w:rsidRDefault="00E45340" w:rsidP="0006627D">
            <w:pPr>
              <w:pStyle w:val="NoSpacing"/>
            </w:pPr>
            <w:r>
              <w:t xml:space="preserve">Total receivables from contracts with customers </w:t>
            </w:r>
          </w:p>
        </w:tc>
        <w:tc>
          <w:tcPr>
            <w:tcW w:w="1276" w:type="dxa"/>
          </w:tcPr>
          <w:p w:rsidR="00E45340" w:rsidRDefault="00E45340" w:rsidP="0006627D">
            <w:pPr>
              <w:pStyle w:val="NoSpacing"/>
              <w:jc w:val="right"/>
            </w:pPr>
            <w:r>
              <w:t>15,772</w:t>
            </w:r>
          </w:p>
        </w:tc>
        <w:tc>
          <w:tcPr>
            <w:tcW w:w="1276" w:type="dxa"/>
          </w:tcPr>
          <w:p w:rsidR="00E45340" w:rsidRDefault="00E45340" w:rsidP="0006627D">
            <w:pPr>
              <w:pStyle w:val="NoSpacing"/>
              <w:jc w:val="right"/>
            </w:pPr>
            <w:r>
              <w:t>16,575</w:t>
            </w:r>
          </w:p>
        </w:tc>
        <w:tc>
          <w:tcPr>
            <w:tcW w:w="1275" w:type="dxa"/>
          </w:tcPr>
          <w:p w:rsidR="00E45340" w:rsidRDefault="00266866" w:rsidP="0006627D">
            <w:pPr>
              <w:pStyle w:val="NoSpacing"/>
              <w:jc w:val="right"/>
            </w:pPr>
            <w:r>
              <w:t>17,713</w:t>
            </w:r>
          </w:p>
        </w:tc>
        <w:tc>
          <w:tcPr>
            <w:tcW w:w="1276" w:type="dxa"/>
          </w:tcPr>
          <w:p w:rsidR="00E45340" w:rsidRDefault="00266866" w:rsidP="0006627D">
            <w:pPr>
              <w:pStyle w:val="NoSpacing"/>
              <w:jc w:val="right"/>
            </w:pPr>
            <w:r>
              <w:t>19,455</w:t>
            </w:r>
          </w:p>
        </w:tc>
      </w:tr>
    </w:tbl>
    <w:p w:rsidR="00E45340" w:rsidRDefault="00E45340" w:rsidP="005942B8">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E45340" w:rsidTr="0006627D">
        <w:tc>
          <w:tcPr>
            <w:tcW w:w="5529" w:type="dxa"/>
          </w:tcPr>
          <w:p w:rsidR="00E45340" w:rsidRDefault="00E45340" w:rsidP="0006627D">
            <w:pPr>
              <w:pStyle w:val="NoSpacing"/>
            </w:pPr>
            <w:r>
              <w:t>Contract liabilities – student fees</w:t>
            </w:r>
          </w:p>
        </w:tc>
        <w:tc>
          <w:tcPr>
            <w:tcW w:w="1276" w:type="dxa"/>
          </w:tcPr>
          <w:p w:rsidR="00E45340" w:rsidRDefault="00E45340" w:rsidP="0006627D">
            <w:pPr>
              <w:pStyle w:val="NoSpacing"/>
              <w:jc w:val="right"/>
            </w:pPr>
            <w:r>
              <w:t>4,438</w:t>
            </w:r>
          </w:p>
        </w:tc>
        <w:tc>
          <w:tcPr>
            <w:tcW w:w="1276" w:type="dxa"/>
          </w:tcPr>
          <w:p w:rsidR="00E45340" w:rsidRDefault="00E45340" w:rsidP="0006627D">
            <w:pPr>
              <w:pStyle w:val="NoSpacing"/>
              <w:jc w:val="right"/>
            </w:pPr>
            <w:r>
              <w:t>6,128</w:t>
            </w:r>
          </w:p>
        </w:tc>
        <w:tc>
          <w:tcPr>
            <w:tcW w:w="1275" w:type="dxa"/>
          </w:tcPr>
          <w:p w:rsidR="00E45340" w:rsidRDefault="00266866" w:rsidP="0006627D">
            <w:pPr>
              <w:pStyle w:val="NoSpacing"/>
              <w:jc w:val="right"/>
            </w:pPr>
            <w:r>
              <w:t>4,381</w:t>
            </w:r>
          </w:p>
        </w:tc>
        <w:tc>
          <w:tcPr>
            <w:tcW w:w="1276" w:type="dxa"/>
          </w:tcPr>
          <w:p w:rsidR="00E45340" w:rsidRDefault="00266866" w:rsidP="0006627D">
            <w:pPr>
              <w:pStyle w:val="NoSpacing"/>
              <w:jc w:val="right"/>
            </w:pPr>
            <w:r>
              <w:t>6,079</w:t>
            </w:r>
          </w:p>
        </w:tc>
      </w:tr>
      <w:tr w:rsidR="00E45340" w:rsidTr="0006627D">
        <w:tc>
          <w:tcPr>
            <w:tcW w:w="5529" w:type="dxa"/>
          </w:tcPr>
          <w:p w:rsidR="00E45340" w:rsidRDefault="00E45340" w:rsidP="0006627D">
            <w:pPr>
              <w:pStyle w:val="NoSpacing"/>
            </w:pPr>
            <w:r>
              <w:t>Contract liabilities – fee for service</w:t>
            </w:r>
          </w:p>
        </w:tc>
        <w:tc>
          <w:tcPr>
            <w:tcW w:w="1276" w:type="dxa"/>
          </w:tcPr>
          <w:p w:rsidR="00E45340" w:rsidRDefault="00E45340" w:rsidP="0006627D">
            <w:pPr>
              <w:pStyle w:val="NoSpacing"/>
              <w:jc w:val="right"/>
            </w:pPr>
            <w:r>
              <w:t>1,872</w:t>
            </w:r>
          </w:p>
        </w:tc>
        <w:tc>
          <w:tcPr>
            <w:tcW w:w="1276" w:type="dxa"/>
          </w:tcPr>
          <w:p w:rsidR="00E45340" w:rsidRDefault="00E45340" w:rsidP="0006627D">
            <w:pPr>
              <w:pStyle w:val="NoSpacing"/>
              <w:jc w:val="right"/>
            </w:pPr>
            <w:r>
              <w:t>384</w:t>
            </w:r>
          </w:p>
        </w:tc>
        <w:tc>
          <w:tcPr>
            <w:tcW w:w="1275" w:type="dxa"/>
          </w:tcPr>
          <w:p w:rsidR="00E45340" w:rsidRDefault="00266866" w:rsidP="0006627D">
            <w:pPr>
              <w:pStyle w:val="NoSpacing"/>
              <w:jc w:val="right"/>
            </w:pPr>
            <w:r>
              <w:t>1,859</w:t>
            </w:r>
          </w:p>
        </w:tc>
        <w:tc>
          <w:tcPr>
            <w:tcW w:w="1276" w:type="dxa"/>
          </w:tcPr>
          <w:p w:rsidR="00E45340" w:rsidRDefault="00266866" w:rsidP="0006627D">
            <w:pPr>
              <w:pStyle w:val="NoSpacing"/>
              <w:jc w:val="right"/>
            </w:pPr>
            <w:r>
              <w:t>380</w:t>
            </w:r>
          </w:p>
        </w:tc>
      </w:tr>
      <w:tr w:rsidR="00E45340" w:rsidTr="0006627D">
        <w:tc>
          <w:tcPr>
            <w:tcW w:w="5529" w:type="dxa"/>
          </w:tcPr>
          <w:p w:rsidR="00E45340" w:rsidRDefault="00E45340" w:rsidP="0006627D">
            <w:pPr>
              <w:pStyle w:val="NoSpacing"/>
            </w:pPr>
            <w:r>
              <w:t xml:space="preserve">Contract liabilities – other </w:t>
            </w:r>
          </w:p>
        </w:tc>
        <w:tc>
          <w:tcPr>
            <w:tcW w:w="1276" w:type="dxa"/>
          </w:tcPr>
          <w:p w:rsidR="00E45340" w:rsidRDefault="00E45340" w:rsidP="0006627D">
            <w:pPr>
              <w:pStyle w:val="NoSpacing"/>
              <w:jc w:val="right"/>
            </w:pPr>
            <w:r>
              <w:t>11,529</w:t>
            </w:r>
          </w:p>
        </w:tc>
        <w:tc>
          <w:tcPr>
            <w:tcW w:w="1276" w:type="dxa"/>
          </w:tcPr>
          <w:p w:rsidR="00E45340" w:rsidRDefault="00E45340" w:rsidP="0006627D">
            <w:pPr>
              <w:pStyle w:val="NoSpacing"/>
              <w:jc w:val="right"/>
            </w:pPr>
            <w:r>
              <w:t>2,542</w:t>
            </w:r>
          </w:p>
        </w:tc>
        <w:tc>
          <w:tcPr>
            <w:tcW w:w="1275" w:type="dxa"/>
          </w:tcPr>
          <w:p w:rsidR="00E45340" w:rsidRDefault="00266866" w:rsidP="0006627D">
            <w:pPr>
              <w:pStyle w:val="NoSpacing"/>
              <w:jc w:val="right"/>
            </w:pPr>
            <w:r>
              <w:t>11,528</w:t>
            </w:r>
          </w:p>
        </w:tc>
        <w:tc>
          <w:tcPr>
            <w:tcW w:w="1276" w:type="dxa"/>
          </w:tcPr>
          <w:p w:rsidR="00E45340" w:rsidRDefault="00266866" w:rsidP="0006627D">
            <w:pPr>
              <w:pStyle w:val="NoSpacing"/>
              <w:jc w:val="right"/>
            </w:pPr>
            <w:r>
              <w:t>2,542</w:t>
            </w:r>
          </w:p>
        </w:tc>
      </w:tr>
    </w:tbl>
    <w:p w:rsidR="00E45340" w:rsidRDefault="00E45340" w:rsidP="005942B8">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E45340" w:rsidTr="0006627D">
        <w:tc>
          <w:tcPr>
            <w:tcW w:w="5529" w:type="dxa"/>
          </w:tcPr>
          <w:p w:rsidR="00E45340" w:rsidRDefault="00E45340" w:rsidP="0006627D">
            <w:pPr>
              <w:pStyle w:val="NoSpacing"/>
            </w:pPr>
            <w:r>
              <w:t>Total liabilities from contracts with customers</w:t>
            </w:r>
          </w:p>
        </w:tc>
        <w:tc>
          <w:tcPr>
            <w:tcW w:w="1276" w:type="dxa"/>
          </w:tcPr>
          <w:p w:rsidR="00E45340" w:rsidRDefault="00E45340" w:rsidP="0006627D">
            <w:pPr>
              <w:pStyle w:val="NoSpacing"/>
              <w:jc w:val="right"/>
            </w:pPr>
            <w:r>
              <w:t>17,839</w:t>
            </w:r>
          </w:p>
        </w:tc>
        <w:tc>
          <w:tcPr>
            <w:tcW w:w="1276" w:type="dxa"/>
          </w:tcPr>
          <w:p w:rsidR="00E45340" w:rsidRDefault="00266866" w:rsidP="0006627D">
            <w:pPr>
              <w:pStyle w:val="NoSpacing"/>
              <w:jc w:val="right"/>
            </w:pPr>
            <w:r>
              <w:t>9,054</w:t>
            </w:r>
          </w:p>
        </w:tc>
        <w:tc>
          <w:tcPr>
            <w:tcW w:w="1275" w:type="dxa"/>
          </w:tcPr>
          <w:p w:rsidR="00E45340" w:rsidRDefault="00266866" w:rsidP="0006627D">
            <w:pPr>
              <w:pStyle w:val="NoSpacing"/>
              <w:jc w:val="right"/>
            </w:pPr>
            <w:r>
              <w:t>17,768</w:t>
            </w:r>
          </w:p>
        </w:tc>
        <w:tc>
          <w:tcPr>
            <w:tcW w:w="1276" w:type="dxa"/>
          </w:tcPr>
          <w:p w:rsidR="00E45340" w:rsidRDefault="00266866" w:rsidP="0006627D">
            <w:pPr>
              <w:pStyle w:val="NoSpacing"/>
              <w:jc w:val="right"/>
            </w:pPr>
            <w:r>
              <w:t>9,001</w:t>
            </w:r>
          </w:p>
        </w:tc>
      </w:tr>
    </w:tbl>
    <w:p w:rsidR="00E45340" w:rsidRDefault="00E45340" w:rsidP="005942B8">
      <w:pPr>
        <w:pStyle w:val="NoSpacing"/>
      </w:pPr>
    </w:p>
    <w:p w:rsidR="00266866" w:rsidRDefault="00266866" w:rsidP="00681D4D">
      <w:pPr>
        <w:pStyle w:val="Heading4"/>
      </w:pPr>
      <w:r>
        <w:t xml:space="preserve">Significant changes in contract assets and liabilities </w:t>
      </w:r>
    </w:p>
    <w:p w:rsidR="00266866" w:rsidRDefault="00266866" w:rsidP="005942B8">
      <w:pPr>
        <w:pStyle w:val="NoSpacing"/>
      </w:pPr>
      <w:r>
        <w:t>Contract assets decreased as a result of a reduction in VET Student Loan amounts receivable.</w:t>
      </w:r>
    </w:p>
    <w:p w:rsidR="00266866" w:rsidRDefault="00266866" w:rsidP="005942B8">
      <w:pPr>
        <w:pStyle w:val="NoSpacing"/>
      </w:pPr>
      <w:r>
        <w:t>Contract liabilities increased as a result of a number of prepaid revenue items received in 2019 where the revenue will be recognised over several years. The anticipated spread of revenue is shown later in this note.</w:t>
      </w:r>
    </w:p>
    <w:p w:rsidR="00266866" w:rsidRDefault="00266866" w:rsidP="005942B8">
      <w:pPr>
        <w:pStyle w:val="NoSpacing"/>
      </w:pPr>
      <w:r>
        <w:t>Chisholm Group also recognised a loss allowance for contract assets following adoption of AASB 9. Refer to Note 7.1 for more information.</w:t>
      </w:r>
    </w:p>
    <w:p w:rsidR="00266866" w:rsidRDefault="00266866" w:rsidP="005942B8">
      <w:pPr>
        <w:pStyle w:val="NoSpacing"/>
      </w:pPr>
    </w:p>
    <w:p w:rsidR="00266866" w:rsidRDefault="00266866" w:rsidP="005942B8">
      <w:pPr>
        <w:pStyle w:val="NoSpacing"/>
      </w:pPr>
      <w:r>
        <w:t>&lt;page 56&gt;</w:t>
      </w:r>
    </w:p>
    <w:p w:rsidR="00E45340" w:rsidRDefault="00E45340" w:rsidP="005942B8">
      <w:pPr>
        <w:pStyle w:val="NoSpacing"/>
      </w:pPr>
    </w:p>
    <w:p w:rsidR="0014140B" w:rsidRPr="005C172B" w:rsidRDefault="0014140B" w:rsidP="00681D4D">
      <w:pPr>
        <w:pStyle w:val="Heading2"/>
      </w:pPr>
      <w:r>
        <w:t>2. How we earned out finds (continued)</w:t>
      </w:r>
    </w:p>
    <w:p w:rsidR="00681D4D" w:rsidRDefault="00681D4D" w:rsidP="00681D4D">
      <w:pPr>
        <w:pStyle w:val="NoSpacing"/>
      </w:pPr>
    </w:p>
    <w:p w:rsidR="0014140B" w:rsidRDefault="0014140B" w:rsidP="00681D4D">
      <w:pPr>
        <w:pStyle w:val="Heading3"/>
      </w:pPr>
      <w:r>
        <w:t>2.2 Sale from contracts with customers (continued)</w:t>
      </w:r>
    </w:p>
    <w:p w:rsidR="0014140B" w:rsidRDefault="0014140B" w:rsidP="005942B8">
      <w:pPr>
        <w:pStyle w:val="NoSpacing"/>
      </w:pPr>
    </w:p>
    <w:p w:rsidR="0014140B" w:rsidRDefault="0014140B" w:rsidP="00681D4D">
      <w:pPr>
        <w:pStyle w:val="Heading4"/>
      </w:pPr>
      <w:r>
        <w:t xml:space="preserve">Revenue recognised in relation to contract liabilities </w:t>
      </w:r>
    </w:p>
    <w:p w:rsidR="0014140B" w:rsidRDefault="0014140B" w:rsidP="005942B8">
      <w:pPr>
        <w:pStyle w:val="NoSpacing"/>
      </w:pPr>
      <w:r>
        <w:t>The following table shows how much of the revenue recognised in the current reporting period relates to carried-forward contract liabilities and how much relates to performance obligations that were satisfied in a prior year:</w:t>
      </w:r>
    </w:p>
    <w:p w:rsidR="0014140B" w:rsidRDefault="0014140B" w:rsidP="005942B8">
      <w:pPr>
        <w:pStyle w:val="NoSpacing"/>
      </w:pPr>
    </w:p>
    <w:tbl>
      <w:tblPr>
        <w:tblStyle w:val="TableGrid"/>
        <w:tblW w:w="10349" w:type="dxa"/>
        <w:tblInd w:w="-856" w:type="dxa"/>
        <w:tblLook w:val="04A0" w:firstRow="1" w:lastRow="0" w:firstColumn="1" w:lastColumn="0" w:noHBand="0" w:noVBand="1"/>
      </w:tblPr>
      <w:tblGrid>
        <w:gridCol w:w="7655"/>
        <w:gridCol w:w="1306"/>
        <w:gridCol w:w="1388"/>
      </w:tblGrid>
      <w:tr w:rsidR="0014140B" w:rsidTr="0014140B">
        <w:trPr>
          <w:gridBefore w:val="1"/>
          <w:wBefore w:w="7655" w:type="dxa"/>
        </w:trPr>
        <w:tc>
          <w:tcPr>
            <w:tcW w:w="1306" w:type="dxa"/>
          </w:tcPr>
          <w:p w:rsidR="0014140B" w:rsidRDefault="0014140B" w:rsidP="008B3C35">
            <w:pPr>
              <w:pStyle w:val="NoSpacing"/>
              <w:jc w:val="right"/>
            </w:pPr>
            <w:r>
              <w:t>Chisholm</w:t>
            </w:r>
          </w:p>
        </w:tc>
        <w:tc>
          <w:tcPr>
            <w:tcW w:w="1388" w:type="dxa"/>
          </w:tcPr>
          <w:p w:rsidR="0014140B" w:rsidRDefault="0014140B" w:rsidP="008B3C35">
            <w:pPr>
              <w:pStyle w:val="NoSpacing"/>
              <w:jc w:val="right"/>
            </w:pPr>
            <w:r>
              <w:t>Consolidated</w:t>
            </w:r>
          </w:p>
        </w:tc>
      </w:tr>
      <w:tr w:rsidR="0014140B" w:rsidTr="0014140B">
        <w:trPr>
          <w:gridBefore w:val="1"/>
          <w:wBefore w:w="7655" w:type="dxa"/>
        </w:trPr>
        <w:tc>
          <w:tcPr>
            <w:tcW w:w="1306" w:type="dxa"/>
          </w:tcPr>
          <w:p w:rsidR="0014140B" w:rsidRDefault="0014140B" w:rsidP="008B3C35">
            <w:pPr>
              <w:pStyle w:val="NoSpacing"/>
              <w:jc w:val="right"/>
            </w:pPr>
            <w:r>
              <w:t>2019</w:t>
            </w:r>
          </w:p>
        </w:tc>
        <w:tc>
          <w:tcPr>
            <w:tcW w:w="1388" w:type="dxa"/>
          </w:tcPr>
          <w:p w:rsidR="0014140B" w:rsidRDefault="0014140B" w:rsidP="008B3C35">
            <w:pPr>
              <w:pStyle w:val="NoSpacing"/>
              <w:jc w:val="right"/>
            </w:pPr>
            <w:r>
              <w:t>2018</w:t>
            </w:r>
          </w:p>
        </w:tc>
      </w:tr>
      <w:tr w:rsidR="0014140B" w:rsidTr="0014140B">
        <w:trPr>
          <w:gridBefore w:val="1"/>
          <w:wBefore w:w="7655" w:type="dxa"/>
        </w:trPr>
        <w:tc>
          <w:tcPr>
            <w:tcW w:w="1306" w:type="dxa"/>
          </w:tcPr>
          <w:p w:rsidR="0014140B" w:rsidRDefault="0014140B" w:rsidP="008B3C35">
            <w:pPr>
              <w:jc w:val="right"/>
            </w:pPr>
            <w:r w:rsidRPr="00105D59">
              <w:t>$’000</w:t>
            </w:r>
          </w:p>
        </w:tc>
        <w:tc>
          <w:tcPr>
            <w:tcW w:w="1388" w:type="dxa"/>
          </w:tcPr>
          <w:p w:rsidR="0014140B" w:rsidRDefault="0014140B" w:rsidP="008B3C35">
            <w:pPr>
              <w:jc w:val="right"/>
            </w:pPr>
            <w:r w:rsidRPr="00105D59">
              <w:t>$’000</w:t>
            </w:r>
          </w:p>
        </w:tc>
      </w:tr>
      <w:tr w:rsidR="0014140B" w:rsidTr="008B3C35">
        <w:tc>
          <w:tcPr>
            <w:tcW w:w="10349" w:type="dxa"/>
            <w:gridSpan w:val="3"/>
          </w:tcPr>
          <w:p w:rsidR="0014140B" w:rsidRDefault="0014140B" w:rsidP="0014140B">
            <w:pPr>
              <w:pStyle w:val="NoSpacing"/>
            </w:pPr>
            <w:r>
              <w:t>Revenue recognised that was included in the contract liability balance at the beginning of the period</w:t>
            </w:r>
          </w:p>
        </w:tc>
      </w:tr>
      <w:tr w:rsidR="0014140B" w:rsidTr="0014140B">
        <w:tc>
          <w:tcPr>
            <w:tcW w:w="7655" w:type="dxa"/>
          </w:tcPr>
          <w:p w:rsidR="0014140B" w:rsidRDefault="0014140B" w:rsidP="008B3C35">
            <w:pPr>
              <w:pStyle w:val="NoSpacing"/>
            </w:pPr>
            <w:r>
              <w:lastRenderedPageBreak/>
              <w:t>Student fees and charges</w:t>
            </w:r>
          </w:p>
        </w:tc>
        <w:tc>
          <w:tcPr>
            <w:tcW w:w="1306" w:type="dxa"/>
          </w:tcPr>
          <w:p w:rsidR="0014140B" w:rsidRDefault="0014140B" w:rsidP="008B3C35">
            <w:pPr>
              <w:pStyle w:val="NoSpacing"/>
              <w:jc w:val="right"/>
            </w:pPr>
            <w:r>
              <w:t>6,128</w:t>
            </w:r>
          </w:p>
        </w:tc>
        <w:tc>
          <w:tcPr>
            <w:tcW w:w="1388" w:type="dxa"/>
          </w:tcPr>
          <w:p w:rsidR="0014140B" w:rsidRDefault="0014140B" w:rsidP="008B3C35">
            <w:pPr>
              <w:pStyle w:val="NoSpacing"/>
              <w:jc w:val="right"/>
            </w:pPr>
            <w:r>
              <w:t>6,079</w:t>
            </w:r>
          </w:p>
        </w:tc>
      </w:tr>
      <w:tr w:rsidR="0014140B" w:rsidTr="0014140B">
        <w:tc>
          <w:tcPr>
            <w:tcW w:w="7655" w:type="dxa"/>
          </w:tcPr>
          <w:p w:rsidR="0014140B" w:rsidRDefault="0014140B" w:rsidP="008B3C35">
            <w:pPr>
              <w:pStyle w:val="NoSpacing"/>
            </w:pPr>
            <w:r>
              <w:t>Fee for service</w:t>
            </w:r>
          </w:p>
        </w:tc>
        <w:tc>
          <w:tcPr>
            <w:tcW w:w="1306" w:type="dxa"/>
          </w:tcPr>
          <w:p w:rsidR="0014140B" w:rsidRDefault="0014140B" w:rsidP="008B3C35">
            <w:pPr>
              <w:pStyle w:val="NoSpacing"/>
              <w:jc w:val="right"/>
            </w:pPr>
            <w:r>
              <w:t>384</w:t>
            </w:r>
          </w:p>
        </w:tc>
        <w:tc>
          <w:tcPr>
            <w:tcW w:w="1388" w:type="dxa"/>
          </w:tcPr>
          <w:p w:rsidR="0014140B" w:rsidRDefault="0014140B" w:rsidP="008B3C35">
            <w:pPr>
              <w:pStyle w:val="NoSpacing"/>
              <w:jc w:val="right"/>
            </w:pPr>
            <w:r>
              <w:t>380</w:t>
            </w:r>
          </w:p>
        </w:tc>
      </w:tr>
      <w:tr w:rsidR="0014140B" w:rsidTr="0014140B">
        <w:tc>
          <w:tcPr>
            <w:tcW w:w="7655" w:type="dxa"/>
          </w:tcPr>
          <w:p w:rsidR="0014140B" w:rsidRDefault="0014140B" w:rsidP="008B3C35">
            <w:pPr>
              <w:pStyle w:val="NoSpacing"/>
            </w:pPr>
            <w:r>
              <w:t>Other</w:t>
            </w:r>
          </w:p>
        </w:tc>
        <w:tc>
          <w:tcPr>
            <w:tcW w:w="1306" w:type="dxa"/>
          </w:tcPr>
          <w:p w:rsidR="0014140B" w:rsidRDefault="0014140B" w:rsidP="008B3C35">
            <w:pPr>
              <w:pStyle w:val="NoSpacing"/>
              <w:jc w:val="right"/>
            </w:pPr>
            <w:r>
              <w:t>2,477</w:t>
            </w:r>
          </w:p>
        </w:tc>
        <w:tc>
          <w:tcPr>
            <w:tcW w:w="1388" w:type="dxa"/>
          </w:tcPr>
          <w:p w:rsidR="0014140B" w:rsidRDefault="0014140B" w:rsidP="008B3C35">
            <w:pPr>
              <w:pStyle w:val="NoSpacing"/>
              <w:jc w:val="right"/>
            </w:pPr>
            <w:r>
              <w:t>2,477</w:t>
            </w:r>
          </w:p>
        </w:tc>
      </w:tr>
      <w:tr w:rsidR="0014140B" w:rsidTr="0014140B">
        <w:tc>
          <w:tcPr>
            <w:tcW w:w="7655" w:type="dxa"/>
          </w:tcPr>
          <w:p w:rsidR="0014140B" w:rsidRDefault="0014140B" w:rsidP="008B3C35">
            <w:pPr>
              <w:pStyle w:val="NoSpacing"/>
            </w:pPr>
            <w:r>
              <w:t xml:space="preserve">Total </w:t>
            </w:r>
          </w:p>
        </w:tc>
        <w:tc>
          <w:tcPr>
            <w:tcW w:w="1306" w:type="dxa"/>
          </w:tcPr>
          <w:p w:rsidR="0014140B" w:rsidRDefault="0014140B" w:rsidP="008B3C35">
            <w:pPr>
              <w:pStyle w:val="NoSpacing"/>
              <w:jc w:val="right"/>
            </w:pPr>
            <w:r>
              <w:t>8,989</w:t>
            </w:r>
          </w:p>
        </w:tc>
        <w:tc>
          <w:tcPr>
            <w:tcW w:w="1388" w:type="dxa"/>
          </w:tcPr>
          <w:p w:rsidR="0014140B" w:rsidRDefault="0014140B" w:rsidP="008B3C35">
            <w:pPr>
              <w:pStyle w:val="NoSpacing"/>
              <w:jc w:val="right"/>
            </w:pPr>
            <w:r>
              <w:t>8,936</w:t>
            </w:r>
          </w:p>
        </w:tc>
      </w:tr>
    </w:tbl>
    <w:p w:rsidR="0014140B" w:rsidRDefault="0014140B" w:rsidP="005942B8">
      <w:pPr>
        <w:pStyle w:val="NoSpacing"/>
      </w:pPr>
    </w:p>
    <w:p w:rsidR="0014140B" w:rsidRDefault="0014140B" w:rsidP="00681D4D">
      <w:pPr>
        <w:pStyle w:val="Heading4"/>
      </w:pPr>
      <w:r>
        <w:t>Transaction price allocated to remaining performance obligations</w:t>
      </w:r>
    </w:p>
    <w:p w:rsidR="0014140B" w:rsidRDefault="0014140B" w:rsidP="005942B8">
      <w:pPr>
        <w:pStyle w:val="NoSpacing"/>
      </w:pPr>
      <w:r>
        <w:t>Revenue is recognised on a quantitative bases using the time bands that are most appropriate for the duration of the remaining performance obligations.</w:t>
      </w:r>
    </w:p>
    <w:p w:rsidR="0014140B" w:rsidRDefault="0014140B" w:rsidP="005942B8">
      <w:pPr>
        <w:pStyle w:val="NoSpacing"/>
      </w:pPr>
      <w:r>
        <w:t>The following table includes revenue expected to be recognised in the future related to performance obligations that are unsatisfied (or partially satisfied) at the reporting date:</w:t>
      </w:r>
    </w:p>
    <w:p w:rsidR="0014140B" w:rsidRDefault="0014140B" w:rsidP="005942B8">
      <w:pPr>
        <w:pStyle w:val="NoSpacing"/>
      </w:pPr>
    </w:p>
    <w:tbl>
      <w:tblPr>
        <w:tblStyle w:val="TableGrid"/>
        <w:tblW w:w="10632" w:type="dxa"/>
        <w:tblInd w:w="-856" w:type="dxa"/>
        <w:tblLook w:val="04A0" w:firstRow="1" w:lastRow="0" w:firstColumn="1" w:lastColumn="0" w:noHBand="0" w:noVBand="1"/>
      </w:tblPr>
      <w:tblGrid>
        <w:gridCol w:w="6805"/>
        <w:gridCol w:w="1276"/>
        <w:gridCol w:w="1275"/>
        <w:gridCol w:w="1276"/>
      </w:tblGrid>
      <w:tr w:rsidR="0014140B" w:rsidTr="008B148F">
        <w:trPr>
          <w:gridBefore w:val="1"/>
          <w:wBefore w:w="6805" w:type="dxa"/>
        </w:trPr>
        <w:tc>
          <w:tcPr>
            <w:tcW w:w="1276" w:type="dxa"/>
          </w:tcPr>
          <w:p w:rsidR="0014140B" w:rsidRDefault="008B148F" w:rsidP="008B148F">
            <w:pPr>
              <w:pStyle w:val="NoSpacing"/>
              <w:jc w:val="right"/>
            </w:pPr>
            <w:r>
              <w:t>2020</w:t>
            </w:r>
          </w:p>
        </w:tc>
        <w:tc>
          <w:tcPr>
            <w:tcW w:w="1275" w:type="dxa"/>
          </w:tcPr>
          <w:p w:rsidR="0014140B" w:rsidRDefault="008B148F" w:rsidP="008B148F">
            <w:pPr>
              <w:pStyle w:val="NoSpacing"/>
              <w:jc w:val="right"/>
            </w:pPr>
            <w:r>
              <w:t>2021</w:t>
            </w:r>
          </w:p>
        </w:tc>
        <w:tc>
          <w:tcPr>
            <w:tcW w:w="1276" w:type="dxa"/>
          </w:tcPr>
          <w:p w:rsidR="0014140B" w:rsidRDefault="008B148F" w:rsidP="008B148F">
            <w:pPr>
              <w:pStyle w:val="NoSpacing"/>
              <w:jc w:val="right"/>
            </w:pPr>
            <w:r>
              <w:t>2022</w:t>
            </w:r>
          </w:p>
        </w:tc>
      </w:tr>
      <w:tr w:rsidR="0014140B" w:rsidTr="008B148F">
        <w:trPr>
          <w:gridBefore w:val="1"/>
          <w:wBefore w:w="6805" w:type="dxa"/>
        </w:trPr>
        <w:tc>
          <w:tcPr>
            <w:tcW w:w="1276" w:type="dxa"/>
          </w:tcPr>
          <w:p w:rsidR="0014140B" w:rsidRDefault="008B148F" w:rsidP="008B148F">
            <w:pPr>
              <w:pStyle w:val="NoSpacing"/>
              <w:jc w:val="right"/>
            </w:pPr>
            <w:r>
              <w:t>$’000</w:t>
            </w:r>
          </w:p>
        </w:tc>
        <w:tc>
          <w:tcPr>
            <w:tcW w:w="1275" w:type="dxa"/>
          </w:tcPr>
          <w:p w:rsidR="0014140B" w:rsidRDefault="008B148F" w:rsidP="008B148F">
            <w:pPr>
              <w:pStyle w:val="NoSpacing"/>
              <w:jc w:val="right"/>
            </w:pPr>
            <w:r>
              <w:t>$’000</w:t>
            </w:r>
          </w:p>
        </w:tc>
        <w:tc>
          <w:tcPr>
            <w:tcW w:w="1276" w:type="dxa"/>
          </w:tcPr>
          <w:p w:rsidR="0014140B" w:rsidRDefault="008B148F" w:rsidP="008B148F">
            <w:pPr>
              <w:pStyle w:val="NoSpacing"/>
              <w:jc w:val="right"/>
            </w:pPr>
            <w:r>
              <w:t>$’000</w:t>
            </w:r>
          </w:p>
        </w:tc>
      </w:tr>
      <w:tr w:rsidR="008B148F" w:rsidTr="008B3C35">
        <w:tc>
          <w:tcPr>
            <w:tcW w:w="10632" w:type="dxa"/>
            <w:gridSpan w:val="4"/>
          </w:tcPr>
          <w:p w:rsidR="008B148F" w:rsidRDefault="008B148F" w:rsidP="008B148F">
            <w:pPr>
              <w:pStyle w:val="NoSpacing"/>
            </w:pPr>
            <w:r>
              <w:t>Consolidated</w:t>
            </w:r>
          </w:p>
        </w:tc>
      </w:tr>
      <w:tr w:rsidR="008B148F" w:rsidTr="008B148F">
        <w:tc>
          <w:tcPr>
            <w:tcW w:w="6805" w:type="dxa"/>
          </w:tcPr>
          <w:p w:rsidR="008B148F" w:rsidRDefault="008B148F" w:rsidP="005942B8">
            <w:pPr>
              <w:pStyle w:val="NoSpacing"/>
            </w:pPr>
            <w:r>
              <w:t>Revenue expected to be recognised</w:t>
            </w:r>
          </w:p>
        </w:tc>
        <w:tc>
          <w:tcPr>
            <w:tcW w:w="1276" w:type="dxa"/>
          </w:tcPr>
          <w:p w:rsidR="008B148F" w:rsidRDefault="008B148F" w:rsidP="008B148F">
            <w:pPr>
              <w:pStyle w:val="NoSpacing"/>
              <w:jc w:val="right"/>
            </w:pPr>
            <w:r>
              <w:t>7,864</w:t>
            </w:r>
          </w:p>
        </w:tc>
        <w:tc>
          <w:tcPr>
            <w:tcW w:w="1275" w:type="dxa"/>
          </w:tcPr>
          <w:p w:rsidR="008B148F" w:rsidRDefault="008B148F" w:rsidP="008B148F">
            <w:pPr>
              <w:pStyle w:val="NoSpacing"/>
              <w:jc w:val="right"/>
            </w:pPr>
            <w:r>
              <w:t>7,710</w:t>
            </w:r>
          </w:p>
        </w:tc>
        <w:tc>
          <w:tcPr>
            <w:tcW w:w="1276" w:type="dxa"/>
          </w:tcPr>
          <w:p w:rsidR="008B148F" w:rsidRDefault="008B148F" w:rsidP="008B148F">
            <w:pPr>
              <w:pStyle w:val="NoSpacing"/>
              <w:jc w:val="right"/>
            </w:pPr>
            <w:r>
              <w:t>2,266</w:t>
            </w:r>
          </w:p>
        </w:tc>
      </w:tr>
    </w:tbl>
    <w:p w:rsidR="0014140B" w:rsidRDefault="0014140B" w:rsidP="005942B8">
      <w:pPr>
        <w:pStyle w:val="NoSpacing"/>
      </w:pPr>
    </w:p>
    <w:tbl>
      <w:tblPr>
        <w:tblStyle w:val="TableGrid"/>
        <w:tblW w:w="10632" w:type="dxa"/>
        <w:tblInd w:w="-856" w:type="dxa"/>
        <w:tblLook w:val="04A0" w:firstRow="1" w:lastRow="0" w:firstColumn="1" w:lastColumn="0" w:noHBand="0" w:noVBand="1"/>
      </w:tblPr>
      <w:tblGrid>
        <w:gridCol w:w="6805"/>
        <w:gridCol w:w="1276"/>
        <w:gridCol w:w="1275"/>
        <w:gridCol w:w="1276"/>
      </w:tblGrid>
      <w:tr w:rsidR="008B148F" w:rsidTr="008B3C35">
        <w:tc>
          <w:tcPr>
            <w:tcW w:w="10632" w:type="dxa"/>
            <w:gridSpan w:val="4"/>
          </w:tcPr>
          <w:p w:rsidR="008B148F" w:rsidRDefault="008B148F" w:rsidP="008B148F">
            <w:pPr>
              <w:pStyle w:val="NoSpacing"/>
            </w:pPr>
            <w:r>
              <w:t>Chisholm</w:t>
            </w:r>
          </w:p>
        </w:tc>
      </w:tr>
      <w:tr w:rsidR="008B148F" w:rsidTr="008B3C35">
        <w:tc>
          <w:tcPr>
            <w:tcW w:w="6805" w:type="dxa"/>
          </w:tcPr>
          <w:p w:rsidR="008B148F" w:rsidRDefault="008B148F" w:rsidP="008B3C35">
            <w:pPr>
              <w:pStyle w:val="NoSpacing"/>
            </w:pPr>
            <w:r>
              <w:t>Revenue expected to be recognised</w:t>
            </w:r>
          </w:p>
        </w:tc>
        <w:tc>
          <w:tcPr>
            <w:tcW w:w="1276" w:type="dxa"/>
          </w:tcPr>
          <w:p w:rsidR="008B148F" w:rsidRDefault="008B148F" w:rsidP="008B148F">
            <w:pPr>
              <w:pStyle w:val="NoSpacing"/>
              <w:jc w:val="right"/>
            </w:pPr>
            <w:r>
              <w:t>7,793</w:t>
            </w:r>
          </w:p>
        </w:tc>
        <w:tc>
          <w:tcPr>
            <w:tcW w:w="1275" w:type="dxa"/>
          </w:tcPr>
          <w:p w:rsidR="008B148F" w:rsidRDefault="008B148F" w:rsidP="008B148F">
            <w:pPr>
              <w:pStyle w:val="NoSpacing"/>
              <w:jc w:val="right"/>
            </w:pPr>
            <w:r>
              <w:t>7,710</w:t>
            </w:r>
          </w:p>
        </w:tc>
        <w:tc>
          <w:tcPr>
            <w:tcW w:w="1276" w:type="dxa"/>
          </w:tcPr>
          <w:p w:rsidR="008B148F" w:rsidRDefault="008B148F" w:rsidP="008B148F">
            <w:pPr>
              <w:pStyle w:val="NoSpacing"/>
              <w:jc w:val="right"/>
            </w:pPr>
            <w:r>
              <w:t>2,266</w:t>
            </w:r>
          </w:p>
        </w:tc>
      </w:tr>
    </w:tbl>
    <w:p w:rsidR="0014140B" w:rsidRDefault="008B148F" w:rsidP="008B148F">
      <w:r>
        <w:t>Note: These are estimates only, based on professional judgement and past experience.</w:t>
      </w:r>
    </w:p>
    <w:p w:rsidR="008B148F" w:rsidRDefault="008B148F" w:rsidP="008B148F">
      <w:pPr>
        <w:pStyle w:val="NoSpacing"/>
      </w:pPr>
      <w:r>
        <w:t xml:space="preserve">Chisholm Group applies the practical expedient in paragraph 121 of AASB 15 and does not disclose information about remaining performance obligations that have an original expected duration of one year or less. </w:t>
      </w:r>
    </w:p>
    <w:p w:rsidR="008B148F" w:rsidRDefault="008B148F" w:rsidP="008B148F">
      <w:pPr>
        <w:pStyle w:val="NoSpacing"/>
      </w:pPr>
    </w:p>
    <w:p w:rsidR="008B148F" w:rsidRDefault="008B148F" w:rsidP="00681D4D">
      <w:pPr>
        <w:pStyle w:val="Heading4"/>
      </w:pPr>
      <w:r>
        <w:t xml:space="preserve">Student fees and charges </w:t>
      </w:r>
    </w:p>
    <w:p w:rsidR="008B148F" w:rsidRDefault="008B148F" w:rsidP="008B148F">
      <w:pPr>
        <w:pStyle w:val="NoSpacing"/>
      </w:pPr>
      <w:r>
        <w:t>Revenue is recognised over time as the services are provided, with the stage of completion determined with reference to the training hours provided as a percentage of total expected training hours.</w:t>
      </w:r>
    </w:p>
    <w:p w:rsidR="008B148F" w:rsidRDefault="008B148F" w:rsidP="008B148F">
      <w:pPr>
        <w:pStyle w:val="NoSpacing"/>
      </w:pPr>
      <w:r>
        <w:t>Where student fees and charges revenue has been clearly received in respect of courses or programs to be delivered in the following year, such amounts are disclosed as a contract liability.</w:t>
      </w:r>
    </w:p>
    <w:p w:rsidR="008B148F" w:rsidRDefault="008B148F" w:rsidP="008B148F">
      <w:pPr>
        <w:pStyle w:val="NoSpacing"/>
      </w:pPr>
    </w:p>
    <w:p w:rsidR="008B148F" w:rsidRDefault="008B148F" w:rsidP="00681D4D">
      <w:pPr>
        <w:pStyle w:val="Heading4"/>
      </w:pPr>
      <w:r>
        <w:t>Significant judgement</w:t>
      </w:r>
    </w:p>
    <w:p w:rsidR="008B148F" w:rsidRDefault="008B148F" w:rsidP="008B148F">
      <w:pPr>
        <w:pStyle w:val="NoSpacing"/>
      </w:pPr>
      <w:r>
        <w:t>Chisholm Group uses actual student contact hours and performance obligations as set out in project plans to recognise revenue over time in line with AASB 15.</w:t>
      </w:r>
    </w:p>
    <w:p w:rsidR="008B148F" w:rsidRDefault="008B148F" w:rsidP="008B148F">
      <w:pPr>
        <w:pStyle w:val="NoSpacing"/>
      </w:pPr>
    </w:p>
    <w:p w:rsidR="008B148F" w:rsidRDefault="008B148F" w:rsidP="00681D4D">
      <w:pPr>
        <w:pStyle w:val="Heading4"/>
      </w:pPr>
      <w:r>
        <w:t>Fee for service</w:t>
      </w:r>
    </w:p>
    <w:p w:rsidR="008B148F" w:rsidRDefault="008B148F" w:rsidP="008B148F">
      <w:pPr>
        <w:pStyle w:val="NoSpacing"/>
      </w:pPr>
      <w:r>
        <w:t xml:space="preserve">Chisholm Group provides educational services to the general public, both nationally and internationally. Fee for service revenue is recognised by reference to the percentage completion of each contract, i.e. in the reporting period in which the services are rendered. The percentage completion is determined </w:t>
      </w:r>
      <w:r w:rsidR="00F353E8">
        <w:t>based on the performance obligations set out in project plans.</w:t>
      </w:r>
    </w:p>
    <w:p w:rsidR="00F353E8" w:rsidRDefault="00F353E8" w:rsidP="008B148F">
      <w:pPr>
        <w:pStyle w:val="NoSpacing"/>
      </w:pPr>
      <w:r>
        <w:t>Revenue is recognised to the extent that it is highly probable a reversal will not occur. Where fee for service revenue of a reciprocal nature has been clearly received in respect of programs or services to be delivered in the following year, such amounts are disclosed as a contract liability.</w:t>
      </w:r>
    </w:p>
    <w:p w:rsidR="00F353E8" w:rsidRDefault="00F353E8" w:rsidP="008B148F">
      <w:pPr>
        <w:pStyle w:val="NoSpacing"/>
      </w:pPr>
    </w:p>
    <w:p w:rsidR="00F353E8" w:rsidRDefault="00F353E8" w:rsidP="008B148F">
      <w:pPr>
        <w:pStyle w:val="NoSpacing"/>
      </w:pPr>
      <w:r>
        <w:t>&lt;page 57&gt;</w:t>
      </w:r>
    </w:p>
    <w:p w:rsidR="00F353E8" w:rsidRDefault="00F353E8" w:rsidP="008B148F">
      <w:pPr>
        <w:pStyle w:val="NoSpacing"/>
      </w:pPr>
    </w:p>
    <w:p w:rsidR="00F353E8" w:rsidRPr="005C172B" w:rsidRDefault="00F353E8" w:rsidP="00681D4D">
      <w:pPr>
        <w:pStyle w:val="Heading2"/>
      </w:pPr>
      <w:r>
        <w:t>2. How we earned out finds (continued)</w:t>
      </w:r>
    </w:p>
    <w:p w:rsidR="00681D4D" w:rsidRDefault="00681D4D" w:rsidP="00681D4D">
      <w:pPr>
        <w:pStyle w:val="NoSpacing"/>
      </w:pPr>
    </w:p>
    <w:p w:rsidR="00F353E8" w:rsidRDefault="00F353E8" w:rsidP="00681D4D">
      <w:pPr>
        <w:pStyle w:val="Heading3"/>
      </w:pPr>
      <w:r>
        <w:t>2.2 Sale from contracts with customers (continued)</w:t>
      </w:r>
    </w:p>
    <w:p w:rsidR="00F353E8" w:rsidRDefault="00F353E8" w:rsidP="008B148F">
      <w:pPr>
        <w:pStyle w:val="NoSpacing"/>
      </w:pPr>
    </w:p>
    <w:p w:rsidR="008B148F" w:rsidRDefault="00F353E8" w:rsidP="00681D4D">
      <w:pPr>
        <w:pStyle w:val="Heading4"/>
      </w:pPr>
      <w:r>
        <w:lastRenderedPageBreak/>
        <w:t>Payment terms</w:t>
      </w:r>
    </w:p>
    <w:p w:rsidR="00F353E8" w:rsidRDefault="00F353E8" w:rsidP="008B148F">
      <w:pPr>
        <w:pStyle w:val="NoSpacing"/>
      </w:pPr>
      <w:r>
        <w:t>The payment terms for student fees as follows:</w:t>
      </w:r>
    </w:p>
    <w:p w:rsidR="00F353E8" w:rsidRDefault="00F353E8" w:rsidP="00925530">
      <w:pPr>
        <w:pStyle w:val="NoSpacing"/>
        <w:numPr>
          <w:ilvl w:val="0"/>
          <w:numId w:val="43"/>
        </w:numPr>
      </w:pPr>
      <w:r>
        <w:t>up-front payment via cash, EFTPOS or credit card prior to course commencement;</w:t>
      </w:r>
    </w:p>
    <w:p w:rsidR="00F353E8" w:rsidRDefault="00F353E8" w:rsidP="00925530">
      <w:pPr>
        <w:pStyle w:val="NoSpacing"/>
        <w:numPr>
          <w:ilvl w:val="0"/>
          <w:numId w:val="43"/>
        </w:numPr>
      </w:pPr>
      <w:r>
        <w:t>payment plan via a third party (Debitsuccess);</w:t>
      </w:r>
    </w:p>
    <w:p w:rsidR="00F353E8" w:rsidRDefault="00F353E8" w:rsidP="00925530">
      <w:pPr>
        <w:pStyle w:val="NoSpacing"/>
        <w:numPr>
          <w:ilvl w:val="0"/>
          <w:numId w:val="43"/>
        </w:numPr>
      </w:pPr>
      <w:r>
        <w:t>federal government assistance (VET Student Loan); and/or</w:t>
      </w:r>
    </w:p>
    <w:p w:rsidR="00F353E8" w:rsidRDefault="00F353E8" w:rsidP="00925530">
      <w:pPr>
        <w:pStyle w:val="NoSpacing"/>
        <w:numPr>
          <w:ilvl w:val="0"/>
          <w:numId w:val="43"/>
        </w:numPr>
      </w:pPr>
      <w:r>
        <w:t>invoice to a third party (e.g. a student’s employer or workers’ compensation provider), where a credit check has been performed on the party being invoiced (payment terms are 21 days).</w:t>
      </w:r>
    </w:p>
    <w:p w:rsidR="00F353E8" w:rsidRDefault="00F353E8" w:rsidP="00F353E8">
      <w:pPr>
        <w:pStyle w:val="NoSpacing"/>
      </w:pPr>
    </w:p>
    <w:p w:rsidR="00F353E8" w:rsidRDefault="00F353E8" w:rsidP="00F353E8">
      <w:pPr>
        <w:pStyle w:val="NoSpacing"/>
      </w:pPr>
      <w:r>
        <w:t>Students are generally entitled to a refund (less administration fee) if they withdraw from a course within 28 days of enrolment. Students who withdraw after this time are generally not entitled to a refund.</w:t>
      </w:r>
    </w:p>
    <w:p w:rsidR="00D6397A" w:rsidRDefault="00D6397A" w:rsidP="00F353E8">
      <w:pPr>
        <w:pStyle w:val="NoSpacing"/>
      </w:pPr>
    </w:p>
    <w:p w:rsidR="00D6397A" w:rsidRDefault="00D6397A" w:rsidP="00681D4D">
      <w:pPr>
        <w:pStyle w:val="Heading4"/>
      </w:pPr>
      <w:r>
        <w:t>Revenue from sale of goods</w:t>
      </w:r>
    </w:p>
    <w:p w:rsidR="00D6397A" w:rsidRDefault="00D6397A" w:rsidP="00F353E8">
      <w:pPr>
        <w:pStyle w:val="NoSpacing"/>
      </w:pPr>
      <w:r>
        <w:t>Revenue is recognised when the goods are delivered and have been accepted by customers. Sales are recognised based on the contractual price, net of any discounts (if applicable). Payment of transaction price is due immediately.</w:t>
      </w:r>
    </w:p>
    <w:p w:rsidR="00D6397A" w:rsidRDefault="00D6397A" w:rsidP="00F353E8">
      <w:pPr>
        <w:pStyle w:val="NoSpacing"/>
      </w:pPr>
    </w:p>
    <w:p w:rsidR="00D6397A" w:rsidRDefault="00D6397A" w:rsidP="00F353E8">
      <w:pPr>
        <w:pStyle w:val="NoSpacing"/>
      </w:pPr>
      <w:r>
        <w:t>Policy applicable prior to 1 July 2019.</w:t>
      </w:r>
    </w:p>
    <w:p w:rsidR="00D6397A" w:rsidRDefault="00D6397A" w:rsidP="00F353E8">
      <w:pPr>
        <w:pStyle w:val="NoSpacing"/>
      </w:pPr>
    </w:p>
    <w:p w:rsidR="00D6397A" w:rsidRDefault="00D6397A" w:rsidP="00F353E8">
      <w:pPr>
        <w:pStyle w:val="NoSpacing"/>
      </w:pPr>
      <w:r>
        <w:t>In the comparative period, revenue was measured at the fair value of the consideration received or receivable.</w:t>
      </w:r>
    </w:p>
    <w:p w:rsidR="00D6397A" w:rsidRDefault="00D6397A" w:rsidP="00F353E8">
      <w:pPr>
        <w:pStyle w:val="NoSpacing"/>
      </w:pPr>
      <w:r>
        <w:t>Revenue from sale of goods was recognised when the significant risks and rewards of ownership has been transferred to the customer, recovery of the consideration was probable, the associated costs and possible return of goods could be estimated reliably, there was no continuing management involvement with the goods, and the amount of revenue could be measured reliably. Revenue from rendering of services was recognised in proportion to the stage of completion of the work performed at the reporting date.</w:t>
      </w:r>
    </w:p>
    <w:p w:rsidR="00D6397A" w:rsidRDefault="00D6397A" w:rsidP="00F353E8">
      <w:pPr>
        <w:pStyle w:val="NoSpacing"/>
      </w:pPr>
      <w:r>
        <w:t xml:space="preserve">Chisholm Group has applied AASB 15 using the cumulative effect method, i.e. by recognising the cumulative effect of initially applying AASB 15 as an adjustment to the opening balance of equity at 1 January 2019. As a result, the comparative information has not been restated and continues to be reported </w:t>
      </w:r>
      <w:r w:rsidR="00710F91">
        <w:t>under AASB 118 and AASB 111. The details of the significant changes and quantitative impact of the changes are set out below.</w:t>
      </w:r>
    </w:p>
    <w:p w:rsidR="008B148F" w:rsidRDefault="008B148F" w:rsidP="008B148F"/>
    <w:p w:rsidR="00710F91" w:rsidRDefault="00710F91" w:rsidP="00681D4D">
      <w:pPr>
        <w:pStyle w:val="Heading4"/>
      </w:pPr>
      <w:r>
        <w:t>Impacts on the financial statements</w:t>
      </w:r>
    </w:p>
    <w:p w:rsidR="00710F91" w:rsidRDefault="00710F91" w:rsidP="00710F91">
      <w:pPr>
        <w:pStyle w:val="NoSpacing"/>
      </w:pPr>
      <w:r>
        <w:t>The following table summarises the impact of adopting AASB 15 on Chisholm Group’s consolidated financial statements for the year ending 31 December 2019:</w:t>
      </w:r>
    </w:p>
    <w:p w:rsidR="00710F91" w:rsidRDefault="00710F91" w:rsidP="00710F91">
      <w:pPr>
        <w:pStyle w:val="NoSpacing"/>
      </w:pPr>
    </w:p>
    <w:tbl>
      <w:tblPr>
        <w:tblStyle w:val="TableGrid"/>
        <w:tblW w:w="10774" w:type="dxa"/>
        <w:tblInd w:w="-856" w:type="dxa"/>
        <w:tblLook w:val="04A0" w:firstRow="1" w:lastRow="0" w:firstColumn="1" w:lastColumn="0" w:noHBand="0" w:noVBand="1"/>
      </w:tblPr>
      <w:tblGrid>
        <w:gridCol w:w="3828"/>
        <w:gridCol w:w="2268"/>
        <w:gridCol w:w="2410"/>
        <w:gridCol w:w="2268"/>
      </w:tblGrid>
      <w:tr w:rsidR="00710F91" w:rsidTr="00710F91">
        <w:trPr>
          <w:gridBefore w:val="1"/>
          <w:wBefore w:w="3828" w:type="dxa"/>
        </w:trPr>
        <w:tc>
          <w:tcPr>
            <w:tcW w:w="2268" w:type="dxa"/>
          </w:tcPr>
          <w:p w:rsidR="00710F91" w:rsidRDefault="00710F91" w:rsidP="00710F91">
            <w:pPr>
              <w:pStyle w:val="NoSpacing"/>
              <w:jc w:val="right"/>
            </w:pPr>
            <w:r>
              <w:t>As reported</w:t>
            </w:r>
          </w:p>
        </w:tc>
        <w:tc>
          <w:tcPr>
            <w:tcW w:w="2410" w:type="dxa"/>
          </w:tcPr>
          <w:p w:rsidR="00710F91" w:rsidRDefault="00710F91" w:rsidP="00710F91">
            <w:pPr>
              <w:pStyle w:val="NoSpacing"/>
              <w:jc w:val="right"/>
            </w:pPr>
            <w:r>
              <w:t>Adjustments (AASB 15)</w:t>
            </w:r>
          </w:p>
        </w:tc>
        <w:tc>
          <w:tcPr>
            <w:tcW w:w="2268" w:type="dxa"/>
          </w:tcPr>
          <w:p w:rsidR="00710F91" w:rsidRDefault="00710F91" w:rsidP="00710F91">
            <w:pPr>
              <w:pStyle w:val="NoSpacing"/>
              <w:jc w:val="right"/>
            </w:pPr>
            <w:r>
              <w:t>Balance without adoption of AASB 15 / AASB 1058</w:t>
            </w:r>
          </w:p>
        </w:tc>
      </w:tr>
      <w:tr w:rsidR="00710F91" w:rsidTr="00710F91">
        <w:trPr>
          <w:gridBefore w:val="1"/>
          <w:wBefore w:w="3828" w:type="dxa"/>
        </w:trPr>
        <w:tc>
          <w:tcPr>
            <w:tcW w:w="2268" w:type="dxa"/>
          </w:tcPr>
          <w:p w:rsidR="00710F91" w:rsidRDefault="00710F91" w:rsidP="00710F91">
            <w:pPr>
              <w:pStyle w:val="NoSpacing"/>
              <w:jc w:val="right"/>
            </w:pPr>
            <w:r>
              <w:t>$’000</w:t>
            </w:r>
          </w:p>
        </w:tc>
        <w:tc>
          <w:tcPr>
            <w:tcW w:w="2410" w:type="dxa"/>
          </w:tcPr>
          <w:p w:rsidR="00710F91" w:rsidRDefault="00710F91" w:rsidP="00710F91">
            <w:pPr>
              <w:pStyle w:val="NoSpacing"/>
              <w:jc w:val="right"/>
            </w:pPr>
            <w:r>
              <w:t>$’000</w:t>
            </w:r>
          </w:p>
        </w:tc>
        <w:tc>
          <w:tcPr>
            <w:tcW w:w="2268" w:type="dxa"/>
          </w:tcPr>
          <w:p w:rsidR="00710F91" w:rsidRDefault="00710F91" w:rsidP="00710F91">
            <w:pPr>
              <w:pStyle w:val="NoSpacing"/>
              <w:jc w:val="right"/>
            </w:pPr>
            <w:r>
              <w:t>$’000</w:t>
            </w:r>
          </w:p>
        </w:tc>
      </w:tr>
      <w:tr w:rsidR="00710F91" w:rsidTr="008B3C35">
        <w:tc>
          <w:tcPr>
            <w:tcW w:w="10774" w:type="dxa"/>
            <w:gridSpan w:val="4"/>
          </w:tcPr>
          <w:p w:rsidR="00710F91" w:rsidRDefault="00710F91" w:rsidP="00710F91">
            <w:pPr>
              <w:pStyle w:val="NoSpacing"/>
            </w:pPr>
            <w:r>
              <w:t>Consolidated</w:t>
            </w:r>
          </w:p>
        </w:tc>
      </w:tr>
      <w:tr w:rsidR="00710F91" w:rsidTr="00710F91">
        <w:tc>
          <w:tcPr>
            <w:tcW w:w="3828" w:type="dxa"/>
          </w:tcPr>
          <w:p w:rsidR="00710F91" w:rsidRDefault="00710F91" w:rsidP="00710F91">
            <w:pPr>
              <w:pStyle w:val="NoSpacing"/>
            </w:pPr>
            <w:r>
              <w:t>Revenue</w:t>
            </w:r>
          </w:p>
        </w:tc>
        <w:tc>
          <w:tcPr>
            <w:tcW w:w="2268" w:type="dxa"/>
          </w:tcPr>
          <w:p w:rsidR="00710F91" w:rsidRDefault="00710F91" w:rsidP="00710F91">
            <w:pPr>
              <w:pStyle w:val="NoSpacing"/>
              <w:jc w:val="right"/>
            </w:pPr>
            <w:r>
              <w:t>61,139</w:t>
            </w:r>
          </w:p>
        </w:tc>
        <w:tc>
          <w:tcPr>
            <w:tcW w:w="2410" w:type="dxa"/>
          </w:tcPr>
          <w:p w:rsidR="00710F91" w:rsidRDefault="00710F91" w:rsidP="00710F91">
            <w:pPr>
              <w:pStyle w:val="NoSpacing"/>
              <w:jc w:val="right"/>
            </w:pPr>
            <w:r>
              <w:t>-</w:t>
            </w:r>
          </w:p>
        </w:tc>
        <w:tc>
          <w:tcPr>
            <w:tcW w:w="2268" w:type="dxa"/>
          </w:tcPr>
          <w:p w:rsidR="00710F91" w:rsidRDefault="00710F91" w:rsidP="00710F91">
            <w:pPr>
              <w:pStyle w:val="NoSpacing"/>
              <w:jc w:val="right"/>
            </w:pPr>
            <w:r>
              <w:t>61,139</w:t>
            </w:r>
          </w:p>
        </w:tc>
      </w:tr>
      <w:tr w:rsidR="00710F91" w:rsidTr="00710F91">
        <w:tc>
          <w:tcPr>
            <w:tcW w:w="3828" w:type="dxa"/>
          </w:tcPr>
          <w:p w:rsidR="00710F91" w:rsidRDefault="00710F91" w:rsidP="00710F91">
            <w:pPr>
              <w:pStyle w:val="NoSpacing"/>
            </w:pPr>
            <w:r>
              <w:t>Receivables</w:t>
            </w:r>
          </w:p>
        </w:tc>
        <w:tc>
          <w:tcPr>
            <w:tcW w:w="2268" w:type="dxa"/>
          </w:tcPr>
          <w:p w:rsidR="00710F91" w:rsidRDefault="00710F91" w:rsidP="00710F91">
            <w:pPr>
              <w:pStyle w:val="NoSpacing"/>
              <w:jc w:val="right"/>
            </w:pPr>
            <w:r>
              <w:t>7,039</w:t>
            </w:r>
          </w:p>
        </w:tc>
        <w:tc>
          <w:tcPr>
            <w:tcW w:w="2410" w:type="dxa"/>
          </w:tcPr>
          <w:p w:rsidR="00710F91" w:rsidRDefault="00710F91" w:rsidP="00710F91">
            <w:pPr>
              <w:pStyle w:val="NoSpacing"/>
              <w:jc w:val="right"/>
            </w:pPr>
            <w:r>
              <w:t>(8,733)</w:t>
            </w:r>
          </w:p>
        </w:tc>
        <w:tc>
          <w:tcPr>
            <w:tcW w:w="2268" w:type="dxa"/>
          </w:tcPr>
          <w:p w:rsidR="00710F91" w:rsidRDefault="00710F91" w:rsidP="00710F91">
            <w:pPr>
              <w:pStyle w:val="NoSpacing"/>
              <w:jc w:val="right"/>
            </w:pPr>
            <w:r>
              <w:t>15,772</w:t>
            </w:r>
          </w:p>
        </w:tc>
      </w:tr>
      <w:tr w:rsidR="00710F91" w:rsidTr="00710F91">
        <w:tc>
          <w:tcPr>
            <w:tcW w:w="3828" w:type="dxa"/>
          </w:tcPr>
          <w:p w:rsidR="00710F91" w:rsidRDefault="00710F91" w:rsidP="00710F91">
            <w:pPr>
              <w:pStyle w:val="NoSpacing"/>
            </w:pPr>
            <w:r>
              <w:t>Contract assets</w:t>
            </w:r>
          </w:p>
        </w:tc>
        <w:tc>
          <w:tcPr>
            <w:tcW w:w="2268" w:type="dxa"/>
          </w:tcPr>
          <w:p w:rsidR="00710F91" w:rsidRDefault="00710F91" w:rsidP="00710F91">
            <w:pPr>
              <w:pStyle w:val="NoSpacing"/>
              <w:jc w:val="right"/>
            </w:pPr>
            <w:r>
              <w:t>8,733</w:t>
            </w:r>
          </w:p>
        </w:tc>
        <w:tc>
          <w:tcPr>
            <w:tcW w:w="2410" w:type="dxa"/>
          </w:tcPr>
          <w:p w:rsidR="00710F91" w:rsidRDefault="00710F91" w:rsidP="00710F91">
            <w:pPr>
              <w:pStyle w:val="NoSpacing"/>
              <w:jc w:val="right"/>
            </w:pPr>
            <w:r>
              <w:t>8,733</w:t>
            </w:r>
          </w:p>
        </w:tc>
        <w:tc>
          <w:tcPr>
            <w:tcW w:w="2268" w:type="dxa"/>
          </w:tcPr>
          <w:p w:rsidR="00710F91" w:rsidRDefault="00710F91" w:rsidP="00710F91">
            <w:pPr>
              <w:pStyle w:val="NoSpacing"/>
              <w:jc w:val="right"/>
            </w:pPr>
            <w:r>
              <w:t>-</w:t>
            </w:r>
          </w:p>
        </w:tc>
      </w:tr>
      <w:tr w:rsidR="00710F91" w:rsidTr="00710F91">
        <w:tc>
          <w:tcPr>
            <w:tcW w:w="3828" w:type="dxa"/>
          </w:tcPr>
          <w:p w:rsidR="00710F91" w:rsidRDefault="00710F91" w:rsidP="00710F91">
            <w:pPr>
              <w:pStyle w:val="NoSpacing"/>
            </w:pPr>
            <w:r>
              <w:t xml:space="preserve">Total </w:t>
            </w:r>
          </w:p>
        </w:tc>
        <w:tc>
          <w:tcPr>
            <w:tcW w:w="2268" w:type="dxa"/>
          </w:tcPr>
          <w:p w:rsidR="00710F91" w:rsidRDefault="00710F91" w:rsidP="00710F91">
            <w:pPr>
              <w:pStyle w:val="NoSpacing"/>
              <w:jc w:val="right"/>
            </w:pPr>
            <w:r>
              <w:t>76,911</w:t>
            </w:r>
          </w:p>
        </w:tc>
        <w:tc>
          <w:tcPr>
            <w:tcW w:w="2410" w:type="dxa"/>
          </w:tcPr>
          <w:p w:rsidR="00710F91" w:rsidRDefault="00710F91" w:rsidP="00710F91">
            <w:pPr>
              <w:pStyle w:val="NoSpacing"/>
              <w:jc w:val="right"/>
            </w:pPr>
            <w:r>
              <w:t>-</w:t>
            </w:r>
          </w:p>
        </w:tc>
        <w:tc>
          <w:tcPr>
            <w:tcW w:w="2268" w:type="dxa"/>
          </w:tcPr>
          <w:p w:rsidR="00710F91" w:rsidRDefault="00710F91" w:rsidP="00710F91">
            <w:pPr>
              <w:pStyle w:val="NoSpacing"/>
              <w:jc w:val="right"/>
            </w:pPr>
            <w:r>
              <w:t>76,911</w:t>
            </w:r>
          </w:p>
        </w:tc>
      </w:tr>
    </w:tbl>
    <w:p w:rsidR="00710F91" w:rsidRDefault="00710F91" w:rsidP="00710F91">
      <w:pPr>
        <w:pStyle w:val="NoSpacing"/>
      </w:pPr>
    </w:p>
    <w:tbl>
      <w:tblPr>
        <w:tblStyle w:val="TableGrid"/>
        <w:tblW w:w="10774" w:type="dxa"/>
        <w:tblInd w:w="-856" w:type="dxa"/>
        <w:tblLook w:val="04A0" w:firstRow="1" w:lastRow="0" w:firstColumn="1" w:lastColumn="0" w:noHBand="0" w:noVBand="1"/>
      </w:tblPr>
      <w:tblGrid>
        <w:gridCol w:w="3828"/>
        <w:gridCol w:w="2268"/>
        <w:gridCol w:w="2410"/>
        <w:gridCol w:w="2268"/>
      </w:tblGrid>
      <w:tr w:rsidR="00710F91" w:rsidTr="008B3C35">
        <w:tc>
          <w:tcPr>
            <w:tcW w:w="10774" w:type="dxa"/>
            <w:gridSpan w:val="4"/>
          </w:tcPr>
          <w:p w:rsidR="00710F91" w:rsidRDefault="00710F91" w:rsidP="008B3C35">
            <w:pPr>
              <w:pStyle w:val="NoSpacing"/>
            </w:pPr>
            <w:r>
              <w:t xml:space="preserve">Chisholm </w:t>
            </w:r>
          </w:p>
        </w:tc>
      </w:tr>
      <w:tr w:rsidR="00710F91" w:rsidTr="00710F91">
        <w:tc>
          <w:tcPr>
            <w:tcW w:w="3828" w:type="dxa"/>
          </w:tcPr>
          <w:p w:rsidR="00710F91" w:rsidRDefault="00710F91" w:rsidP="008B3C35">
            <w:pPr>
              <w:pStyle w:val="NoSpacing"/>
            </w:pPr>
            <w:r>
              <w:t>Revenue</w:t>
            </w:r>
          </w:p>
        </w:tc>
        <w:tc>
          <w:tcPr>
            <w:tcW w:w="2268" w:type="dxa"/>
          </w:tcPr>
          <w:p w:rsidR="00710F91" w:rsidRDefault="00710F91" w:rsidP="00710F91">
            <w:pPr>
              <w:pStyle w:val="NoSpacing"/>
              <w:jc w:val="right"/>
            </w:pPr>
            <w:r>
              <w:t>60,159</w:t>
            </w:r>
          </w:p>
        </w:tc>
        <w:tc>
          <w:tcPr>
            <w:tcW w:w="2410" w:type="dxa"/>
          </w:tcPr>
          <w:p w:rsidR="00710F91" w:rsidRDefault="00710F91" w:rsidP="00710F91">
            <w:pPr>
              <w:pStyle w:val="NoSpacing"/>
              <w:jc w:val="right"/>
            </w:pPr>
            <w:r>
              <w:t>-</w:t>
            </w:r>
          </w:p>
        </w:tc>
        <w:tc>
          <w:tcPr>
            <w:tcW w:w="2268" w:type="dxa"/>
          </w:tcPr>
          <w:p w:rsidR="00710F91" w:rsidRDefault="00710F91" w:rsidP="00710F91">
            <w:pPr>
              <w:pStyle w:val="NoSpacing"/>
              <w:jc w:val="right"/>
            </w:pPr>
            <w:r>
              <w:t>60,159</w:t>
            </w:r>
          </w:p>
        </w:tc>
      </w:tr>
      <w:tr w:rsidR="00710F91" w:rsidTr="00710F91">
        <w:tc>
          <w:tcPr>
            <w:tcW w:w="3828" w:type="dxa"/>
          </w:tcPr>
          <w:p w:rsidR="00710F91" w:rsidRDefault="00710F91" w:rsidP="008B3C35">
            <w:pPr>
              <w:pStyle w:val="NoSpacing"/>
            </w:pPr>
            <w:r>
              <w:lastRenderedPageBreak/>
              <w:t xml:space="preserve">Receivables </w:t>
            </w:r>
          </w:p>
        </w:tc>
        <w:tc>
          <w:tcPr>
            <w:tcW w:w="2268" w:type="dxa"/>
          </w:tcPr>
          <w:p w:rsidR="00710F91" w:rsidRDefault="00710F91" w:rsidP="00710F91">
            <w:pPr>
              <w:pStyle w:val="NoSpacing"/>
              <w:jc w:val="right"/>
            </w:pPr>
            <w:r>
              <w:t>9,365</w:t>
            </w:r>
          </w:p>
        </w:tc>
        <w:tc>
          <w:tcPr>
            <w:tcW w:w="2410" w:type="dxa"/>
          </w:tcPr>
          <w:p w:rsidR="00710F91" w:rsidRDefault="00710F91" w:rsidP="00710F91">
            <w:pPr>
              <w:pStyle w:val="NoSpacing"/>
              <w:jc w:val="right"/>
            </w:pPr>
            <w:r>
              <w:t>(8,348)</w:t>
            </w:r>
          </w:p>
        </w:tc>
        <w:tc>
          <w:tcPr>
            <w:tcW w:w="2268" w:type="dxa"/>
          </w:tcPr>
          <w:p w:rsidR="00710F91" w:rsidRDefault="00710F91" w:rsidP="00710F91">
            <w:pPr>
              <w:pStyle w:val="NoSpacing"/>
              <w:jc w:val="right"/>
            </w:pPr>
            <w:r>
              <w:t>17,713</w:t>
            </w:r>
          </w:p>
        </w:tc>
      </w:tr>
      <w:tr w:rsidR="00710F91" w:rsidTr="00710F91">
        <w:tc>
          <w:tcPr>
            <w:tcW w:w="3828" w:type="dxa"/>
          </w:tcPr>
          <w:p w:rsidR="00710F91" w:rsidRDefault="00710F91" w:rsidP="008B3C35">
            <w:pPr>
              <w:pStyle w:val="NoSpacing"/>
            </w:pPr>
            <w:r>
              <w:t xml:space="preserve">Contract assets </w:t>
            </w:r>
          </w:p>
        </w:tc>
        <w:tc>
          <w:tcPr>
            <w:tcW w:w="2268" w:type="dxa"/>
          </w:tcPr>
          <w:p w:rsidR="00710F91" w:rsidRDefault="00710F91" w:rsidP="00710F91">
            <w:pPr>
              <w:pStyle w:val="NoSpacing"/>
              <w:jc w:val="right"/>
            </w:pPr>
            <w:r>
              <w:t>8,348</w:t>
            </w:r>
          </w:p>
        </w:tc>
        <w:tc>
          <w:tcPr>
            <w:tcW w:w="2410" w:type="dxa"/>
          </w:tcPr>
          <w:p w:rsidR="00710F91" w:rsidRDefault="00710F91" w:rsidP="00710F91">
            <w:pPr>
              <w:pStyle w:val="NoSpacing"/>
              <w:jc w:val="right"/>
            </w:pPr>
            <w:r>
              <w:t>8,348</w:t>
            </w:r>
          </w:p>
        </w:tc>
        <w:tc>
          <w:tcPr>
            <w:tcW w:w="2268" w:type="dxa"/>
          </w:tcPr>
          <w:p w:rsidR="00710F91" w:rsidRDefault="00710F91" w:rsidP="00710F91">
            <w:pPr>
              <w:pStyle w:val="NoSpacing"/>
              <w:jc w:val="right"/>
            </w:pPr>
            <w:r>
              <w:t>-</w:t>
            </w:r>
          </w:p>
        </w:tc>
      </w:tr>
      <w:tr w:rsidR="00710F91" w:rsidTr="00710F91">
        <w:tc>
          <w:tcPr>
            <w:tcW w:w="3828" w:type="dxa"/>
          </w:tcPr>
          <w:p w:rsidR="00710F91" w:rsidRDefault="00710F91" w:rsidP="008B3C35">
            <w:pPr>
              <w:pStyle w:val="NoSpacing"/>
            </w:pPr>
            <w:r>
              <w:t xml:space="preserve">Total </w:t>
            </w:r>
          </w:p>
        </w:tc>
        <w:tc>
          <w:tcPr>
            <w:tcW w:w="2268" w:type="dxa"/>
          </w:tcPr>
          <w:p w:rsidR="00710F91" w:rsidRDefault="00710F91" w:rsidP="00710F91">
            <w:pPr>
              <w:pStyle w:val="NoSpacing"/>
              <w:jc w:val="right"/>
            </w:pPr>
            <w:r>
              <w:t>77,872</w:t>
            </w:r>
          </w:p>
        </w:tc>
        <w:tc>
          <w:tcPr>
            <w:tcW w:w="2410" w:type="dxa"/>
          </w:tcPr>
          <w:p w:rsidR="00710F91" w:rsidRDefault="00710F91" w:rsidP="00710F91">
            <w:pPr>
              <w:pStyle w:val="NoSpacing"/>
              <w:jc w:val="right"/>
            </w:pPr>
            <w:r>
              <w:t>-</w:t>
            </w:r>
          </w:p>
        </w:tc>
        <w:tc>
          <w:tcPr>
            <w:tcW w:w="2268" w:type="dxa"/>
          </w:tcPr>
          <w:p w:rsidR="00710F91" w:rsidRDefault="00710F91" w:rsidP="00710F91">
            <w:pPr>
              <w:pStyle w:val="NoSpacing"/>
              <w:jc w:val="right"/>
            </w:pPr>
            <w:r>
              <w:t>77,872</w:t>
            </w:r>
          </w:p>
        </w:tc>
      </w:tr>
    </w:tbl>
    <w:p w:rsidR="008B148F" w:rsidRDefault="008B148F" w:rsidP="008B148F"/>
    <w:p w:rsidR="00710F91" w:rsidRDefault="00710F91" w:rsidP="008B148F">
      <w:r>
        <w:t>&lt;page 58&gt;</w:t>
      </w:r>
    </w:p>
    <w:p w:rsidR="00710F91" w:rsidRDefault="00710F91" w:rsidP="008B148F"/>
    <w:p w:rsidR="0014140B" w:rsidRPr="00681D4D" w:rsidRDefault="00710F91" w:rsidP="00681D4D">
      <w:pPr>
        <w:pStyle w:val="Heading2"/>
      </w:pPr>
      <w:r w:rsidRPr="00681D4D">
        <w:t>2. How we earned out finds (continued)</w:t>
      </w:r>
    </w:p>
    <w:p w:rsidR="00681D4D" w:rsidRDefault="00681D4D" w:rsidP="00681D4D">
      <w:pPr>
        <w:pStyle w:val="NoSpacing"/>
      </w:pPr>
    </w:p>
    <w:p w:rsidR="00196238" w:rsidRDefault="00196238" w:rsidP="00681D4D">
      <w:pPr>
        <w:pStyle w:val="Heading3"/>
      </w:pPr>
      <w:r>
        <w:t>2.3 Other income</w:t>
      </w:r>
    </w:p>
    <w:p w:rsidR="00196238" w:rsidRDefault="00196238" w:rsidP="005942B8">
      <w:pPr>
        <w:pStyle w:val="NoSpacing"/>
      </w:pPr>
    </w:p>
    <w:p w:rsidR="00710F91" w:rsidRDefault="00710F91" w:rsidP="005942B8">
      <w:pPr>
        <w:pStyle w:val="NoSpacing"/>
      </w:pPr>
      <w:r>
        <w:t>Chisholm Group has recognised the following assets and liabilities related to contracts with customers:</w:t>
      </w: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196238" w:rsidTr="00BF2B41">
        <w:trPr>
          <w:gridBefore w:val="1"/>
          <w:wBefore w:w="5529" w:type="dxa"/>
        </w:trPr>
        <w:tc>
          <w:tcPr>
            <w:tcW w:w="2552" w:type="dxa"/>
            <w:gridSpan w:val="2"/>
          </w:tcPr>
          <w:p w:rsidR="00196238" w:rsidRDefault="00196238" w:rsidP="00BF2B41">
            <w:pPr>
              <w:pStyle w:val="NoSpacing"/>
              <w:jc w:val="right"/>
            </w:pPr>
            <w:r>
              <w:t>Consolidated</w:t>
            </w:r>
          </w:p>
        </w:tc>
        <w:tc>
          <w:tcPr>
            <w:tcW w:w="2551" w:type="dxa"/>
            <w:gridSpan w:val="2"/>
          </w:tcPr>
          <w:p w:rsidR="00196238" w:rsidRDefault="00196238" w:rsidP="00BF2B41">
            <w:pPr>
              <w:pStyle w:val="NoSpacing"/>
              <w:jc w:val="right"/>
            </w:pPr>
            <w:r>
              <w:t>Chisholm</w:t>
            </w:r>
          </w:p>
        </w:tc>
      </w:tr>
      <w:tr w:rsidR="00196238" w:rsidTr="00BF2B41">
        <w:trPr>
          <w:gridBefore w:val="1"/>
          <w:wBefore w:w="5529" w:type="dxa"/>
        </w:trPr>
        <w:tc>
          <w:tcPr>
            <w:tcW w:w="1276" w:type="dxa"/>
          </w:tcPr>
          <w:p w:rsidR="00196238" w:rsidRDefault="00196238" w:rsidP="00BF2B41">
            <w:pPr>
              <w:pStyle w:val="NoSpacing"/>
              <w:jc w:val="right"/>
            </w:pPr>
            <w:r>
              <w:t>2019</w:t>
            </w:r>
          </w:p>
        </w:tc>
        <w:tc>
          <w:tcPr>
            <w:tcW w:w="1276" w:type="dxa"/>
          </w:tcPr>
          <w:p w:rsidR="00196238" w:rsidRDefault="00196238" w:rsidP="00BF2B41">
            <w:pPr>
              <w:pStyle w:val="NoSpacing"/>
              <w:jc w:val="right"/>
            </w:pPr>
            <w:r>
              <w:t>2018</w:t>
            </w:r>
          </w:p>
        </w:tc>
        <w:tc>
          <w:tcPr>
            <w:tcW w:w="1275" w:type="dxa"/>
          </w:tcPr>
          <w:p w:rsidR="00196238" w:rsidRDefault="00196238" w:rsidP="00BF2B41">
            <w:pPr>
              <w:pStyle w:val="NoSpacing"/>
              <w:jc w:val="right"/>
            </w:pPr>
            <w:r>
              <w:t>2019</w:t>
            </w:r>
          </w:p>
        </w:tc>
        <w:tc>
          <w:tcPr>
            <w:tcW w:w="1276" w:type="dxa"/>
          </w:tcPr>
          <w:p w:rsidR="00196238" w:rsidRDefault="00196238" w:rsidP="00BF2B41">
            <w:pPr>
              <w:pStyle w:val="NoSpacing"/>
              <w:jc w:val="right"/>
            </w:pPr>
            <w:r>
              <w:t>2018</w:t>
            </w:r>
          </w:p>
        </w:tc>
      </w:tr>
      <w:tr w:rsidR="00196238" w:rsidTr="00BF2B41">
        <w:trPr>
          <w:gridBefore w:val="1"/>
          <w:wBefore w:w="5529" w:type="dxa"/>
        </w:trPr>
        <w:tc>
          <w:tcPr>
            <w:tcW w:w="1276" w:type="dxa"/>
          </w:tcPr>
          <w:p w:rsidR="00196238" w:rsidRDefault="00196238" w:rsidP="00BF2B41">
            <w:pPr>
              <w:pStyle w:val="NoSpacing"/>
              <w:jc w:val="right"/>
            </w:pPr>
            <w:r>
              <w:t>$’000</w:t>
            </w:r>
          </w:p>
        </w:tc>
        <w:tc>
          <w:tcPr>
            <w:tcW w:w="1276" w:type="dxa"/>
          </w:tcPr>
          <w:p w:rsidR="00196238" w:rsidRDefault="00196238" w:rsidP="00BF2B41">
            <w:pPr>
              <w:jc w:val="right"/>
            </w:pPr>
            <w:r w:rsidRPr="00105D59">
              <w:t>$’000</w:t>
            </w:r>
          </w:p>
        </w:tc>
        <w:tc>
          <w:tcPr>
            <w:tcW w:w="1275" w:type="dxa"/>
          </w:tcPr>
          <w:p w:rsidR="00196238" w:rsidRDefault="00196238" w:rsidP="00BF2B41">
            <w:pPr>
              <w:jc w:val="right"/>
            </w:pPr>
            <w:r w:rsidRPr="00105D59">
              <w:t>$’000</w:t>
            </w:r>
          </w:p>
        </w:tc>
        <w:tc>
          <w:tcPr>
            <w:tcW w:w="1276" w:type="dxa"/>
          </w:tcPr>
          <w:p w:rsidR="00196238" w:rsidRDefault="00196238" w:rsidP="00BF2B41">
            <w:pPr>
              <w:jc w:val="right"/>
            </w:pPr>
            <w:r w:rsidRPr="00105D59">
              <w:t>$’000</w:t>
            </w:r>
          </w:p>
        </w:tc>
      </w:tr>
      <w:tr w:rsidR="00196238" w:rsidTr="00BF2B41">
        <w:tc>
          <w:tcPr>
            <w:tcW w:w="5529" w:type="dxa"/>
          </w:tcPr>
          <w:p w:rsidR="00196238" w:rsidRDefault="008B3C35" w:rsidP="00BF2B41">
            <w:pPr>
              <w:pStyle w:val="NoSpacing"/>
            </w:pPr>
            <w:r>
              <w:t>Interest income</w:t>
            </w:r>
          </w:p>
        </w:tc>
        <w:tc>
          <w:tcPr>
            <w:tcW w:w="1276" w:type="dxa"/>
          </w:tcPr>
          <w:p w:rsidR="00196238" w:rsidRDefault="008B3C35" w:rsidP="00BF2B41">
            <w:pPr>
              <w:pStyle w:val="NoSpacing"/>
              <w:jc w:val="right"/>
            </w:pPr>
            <w:r>
              <w:t>823</w:t>
            </w:r>
          </w:p>
        </w:tc>
        <w:tc>
          <w:tcPr>
            <w:tcW w:w="1276" w:type="dxa"/>
          </w:tcPr>
          <w:p w:rsidR="00196238" w:rsidRDefault="008B3C35" w:rsidP="00BF2B41">
            <w:pPr>
              <w:pStyle w:val="NoSpacing"/>
              <w:jc w:val="right"/>
            </w:pPr>
            <w:r>
              <w:t>1,506</w:t>
            </w:r>
          </w:p>
        </w:tc>
        <w:tc>
          <w:tcPr>
            <w:tcW w:w="1275" w:type="dxa"/>
          </w:tcPr>
          <w:p w:rsidR="00196238" w:rsidRDefault="008B3C35" w:rsidP="00BF2B41">
            <w:pPr>
              <w:pStyle w:val="NoSpacing"/>
              <w:jc w:val="right"/>
            </w:pPr>
            <w:r>
              <w:t>795</w:t>
            </w:r>
          </w:p>
        </w:tc>
        <w:tc>
          <w:tcPr>
            <w:tcW w:w="1276" w:type="dxa"/>
          </w:tcPr>
          <w:p w:rsidR="00196238" w:rsidRDefault="008B3C35" w:rsidP="00BF2B41">
            <w:pPr>
              <w:pStyle w:val="NoSpacing"/>
              <w:jc w:val="right"/>
            </w:pPr>
            <w:r>
              <w:t>1,473</w:t>
            </w:r>
          </w:p>
        </w:tc>
      </w:tr>
      <w:tr w:rsidR="00196238" w:rsidTr="00BF2B41">
        <w:tc>
          <w:tcPr>
            <w:tcW w:w="5529" w:type="dxa"/>
          </w:tcPr>
          <w:p w:rsidR="00196238" w:rsidRDefault="008B3C35" w:rsidP="00BF2B41">
            <w:pPr>
              <w:pStyle w:val="NoSpacing"/>
            </w:pPr>
            <w:r>
              <w:t>Scholarships</w:t>
            </w:r>
          </w:p>
        </w:tc>
        <w:tc>
          <w:tcPr>
            <w:tcW w:w="1276" w:type="dxa"/>
          </w:tcPr>
          <w:p w:rsidR="00196238" w:rsidRDefault="008B3C35" w:rsidP="00BF2B41">
            <w:pPr>
              <w:pStyle w:val="NoSpacing"/>
              <w:jc w:val="right"/>
            </w:pPr>
            <w:r>
              <w:t>322</w:t>
            </w:r>
          </w:p>
        </w:tc>
        <w:tc>
          <w:tcPr>
            <w:tcW w:w="1276" w:type="dxa"/>
          </w:tcPr>
          <w:p w:rsidR="00196238" w:rsidRDefault="008B3C35" w:rsidP="00BF2B41">
            <w:pPr>
              <w:pStyle w:val="NoSpacing"/>
              <w:jc w:val="right"/>
            </w:pPr>
            <w:r>
              <w:t>367</w:t>
            </w:r>
          </w:p>
        </w:tc>
        <w:tc>
          <w:tcPr>
            <w:tcW w:w="1275" w:type="dxa"/>
          </w:tcPr>
          <w:p w:rsidR="00196238" w:rsidRDefault="008B3C35" w:rsidP="00BF2B41">
            <w:pPr>
              <w:pStyle w:val="NoSpacing"/>
              <w:jc w:val="right"/>
            </w:pPr>
            <w:r>
              <w:t>70</w:t>
            </w:r>
          </w:p>
        </w:tc>
        <w:tc>
          <w:tcPr>
            <w:tcW w:w="1276" w:type="dxa"/>
          </w:tcPr>
          <w:p w:rsidR="00196238" w:rsidRDefault="008B3C35" w:rsidP="00BF2B41">
            <w:pPr>
              <w:pStyle w:val="NoSpacing"/>
              <w:jc w:val="right"/>
            </w:pPr>
            <w:r>
              <w:t>110</w:t>
            </w:r>
          </w:p>
        </w:tc>
      </w:tr>
      <w:tr w:rsidR="00196238" w:rsidTr="00BF2B41">
        <w:tc>
          <w:tcPr>
            <w:tcW w:w="5529" w:type="dxa"/>
          </w:tcPr>
          <w:p w:rsidR="00196238" w:rsidRDefault="008B3C35" w:rsidP="00BF2B41">
            <w:pPr>
              <w:pStyle w:val="NoSpacing"/>
            </w:pPr>
            <w:r>
              <w:t>Rental income</w:t>
            </w:r>
          </w:p>
        </w:tc>
        <w:tc>
          <w:tcPr>
            <w:tcW w:w="1276" w:type="dxa"/>
          </w:tcPr>
          <w:p w:rsidR="00196238" w:rsidRDefault="008B3C35" w:rsidP="00BF2B41">
            <w:pPr>
              <w:pStyle w:val="NoSpacing"/>
              <w:jc w:val="right"/>
            </w:pPr>
            <w:r>
              <w:t>383</w:t>
            </w:r>
          </w:p>
        </w:tc>
        <w:tc>
          <w:tcPr>
            <w:tcW w:w="1276" w:type="dxa"/>
          </w:tcPr>
          <w:p w:rsidR="00196238" w:rsidRDefault="008B3C35" w:rsidP="00BF2B41">
            <w:pPr>
              <w:pStyle w:val="NoSpacing"/>
              <w:jc w:val="right"/>
            </w:pPr>
            <w:r>
              <w:t>356</w:t>
            </w:r>
          </w:p>
        </w:tc>
        <w:tc>
          <w:tcPr>
            <w:tcW w:w="1275" w:type="dxa"/>
          </w:tcPr>
          <w:p w:rsidR="00196238" w:rsidRDefault="008B3C35" w:rsidP="00BF2B41">
            <w:pPr>
              <w:pStyle w:val="NoSpacing"/>
              <w:jc w:val="right"/>
            </w:pPr>
            <w:r>
              <w:t>383</w:t>
            </w:r>
          </w:p>
        </w:tc>
        <w:tc>
          <w:tcPr>
            <w:tcW w:w="1276" w:type="dxa"/>
          </w:tcPr>
          <w:p w:rsidR="00196238" w:rsidRDefault="008B3C35" w:rsidP="00BF2B41">
            <w:pPr>
              <w:pStyle w:val="NoSpacing"/>
              <w:jc w:val="right"/>
            </w:pPr>
            <w:r>
              <w:t>356</w:t>
            </w:r>
          </w:p>
        </w:tc>
      </w:tr>
      <w:tr w:rsidR="00196238" w:rsidTr="00BF2B41">
        <w:tc>
          <w:tcPr>
            <w:tcW w:w="5529" w:type="dxa"/>
          </w:tcPr>
          <w:p w:rsidR="00196238" w:rsidRDefault="008B3C35" w:rsidP="00BF2B41">
            <w:pPr>
              <w:pStyle w:val="NoSpacing"/>
            </w:pPr>
            <w:r>
              <w:t xml:space="preserve">Donations, bequests and contributions </w:t>
            </w:r>
          </w:p>
        </w:tc>
        <w:tc>
          <w:tcPr>
            <w:tcW w:w="1276" w:type="dxa"/>
          </w:tcPr>
          <w:p w:rsidR="00196238" w:rsidRDefault="008B3C35" w:rsidP="00BF2B41">
            <w:pPr>
              <w:pStyle w:val="NoSpacing"/>
              <w:jc w:val="right"/>
            </w:pPr>
            <w:r>
              <w:t>40</w:t>
            </w:r>
          </w:p>
        </w:tc>
        <w:tc>
          <w:tcPr>
            <w:tcW w:w="1276" w:type="dxa"/>
          </w:tcPr>
          <w:p w:rsidR="00196238" w:rsidRDefault="008B3C35" w:rsidP="00BF2B41">
            <w:pPr>
              <w:pStyle w:val="NoSpacing"/>
              <w:jc w:val="right"/>
            </w:pPr>
            <w:r>
              <w:t>30</w:t>
            </w:r>
          </w:p>
        </w:tc>
        <w:tc>
          <w:tcPr>
            <w:tcW w:w="1275" w:type="dxa"/>
          </w:tcPr>
          <w:p w:rsidR="00196238" w:rsidRDefault="008B3C35" w:rsidP="00BF2B41">
            <w:pPr>
              <w:pStyle w:val="NoSpacing"/>
              <w:jc w:val="right"/>
            </w:pPr>
            <w:r>
              <w:t>-</w:t>
            </w:r>
          </w:p>
        </w:tc>
        <w:tc>
          <w:tcPr>
            <w:tcW w:w="1276" w:type="dxa"/>
          </w:tcPr>
          <w:p w:rsidR="00196238" w:rsidRDefault="008B3C35" w:rsidP="00BF2B41">
            <w:pPr>
              <w:pStyle w:val="NoSpacing"/>
              <w:jc w:val="right"/>
            </w:pPr>
            <w:r>
              <w:t>-</w:t>
            </w:r>
          </w:p>
        </w:tc>
      </w:tr>
      <w:tr w:rsidR="00196238" w:rsidTr="00BF2B41">
        <w:tc>
          <w:tcPr>
            <w:tcW w:w="5529" w:type="dxa"/>
          </w:tcPr>
          <w:p w:rsidR="00196238" w:rsidRDefault="008B3C35" w:rsidP="00BF2B41">
            <w:pPr>
              <w:pStyle w:val="NoSpacing"/>
            </w:pPr>
            <w:r>
              <w:t>Overhead recovery</w:t>
            </w:r>
          </w:p>
        </w:tc>
        <w:tc>
          <w:tcPr>
            <w:tcW w:w="1276" w:type="dxa"/>
          </w:tcPr>
          <w:p w:rsidR="00196238" w:rsidRDefault="008B3C35" w:rsidP="00BF2B41">
            <w:pPr>
              <w:pStyle w:val="NoSpacing"/>
              <w:jc w:val="right"/>
            </w:pPr>
            <w:r>
              <w:t>-</w:t>
            </w:r>
          </w:p>
        </w:tc>
        <w:tc>
          <w:tcPr>
            <w:tcW w:w="1276" w:type="dxa"/>
          </w:tcPr>
          <w:p w:rsidR="00196238" w:rsidRDefault="008B3C35" w:rsidP="00BF2B41">
            <w:pPr>
              <w:pStyle w:val="NoSpacing"/>
              <w:jc w:val="right"/>
            </w:pPr>
            <w:r>
              <w:t>-</w:t>
            </w:r>
          </w:p>
        </w:tc>
        <w:tc>
          <w:tcPr>
            <w:tcW w:w="1275" w:type="dxa"/>
          </w:tcPr>
          <w:p w:rsidR="00196238" w:rsidRDefault="008B3C35" w:rsidP="00BF2B41">
            <w:pPr>
              <w:pStyle w:val="NoSpacing"/>
              <w:jc w:val="right"/>
            </w:pPr>
            <w:r>
              <w:t>894</w:t>
            </w:r>
          </w:p>
        </w:tc>
        <w:tc>
          <w:tcPr>
            <w:tcW w:w="1276" w:type="dxa"/>
          </w:tcPr>
          <w:p w:rsidR="00196238" w:rsidRDefault="008B3C35" w:rsidP="00BF2B41">
            <w:pPr>
              <w:pStyle w:val="NoSpacing"/>
              <w:jc w:val="right"/>
            </w:pPr>
            <w:r>
              <w:t>652</w:t>
            </w:r>
          </w:p>
        </w:tc>
      </w:tr>
      <w:tr w:rsidR="00196238" w:rsidTr="00BF2B41">
        <w:tc>
          <w:tcPr>
            <w:tcW w:w="5529" w:type="dxa"/>
          </w:tcPr>
          <w:p w:rsidR="00196238" w:rsidRDefault="008B3C35" w:rsidP="00BF2B41">
            <w:pPr>
              <w:pStyle w:val="NoSpacing"/>
            </w:pPr>
            <w:r>
              <w:t>Revenue recovery</w:t>
            </w:r>
          </w:p>
        </w:tc>
        <w:tc>
          <w:tcPr>
            <w:tcW w:w="1276" w:type="dxa"/>
          </w:tcPr>
          <w:p w:rsidR="00196238" w:rsidRDefault="008B3C35" w:rsidP="00BF2B41">
            <w:pPr>
              <w:pStyle w:val="NoSpacing"/>
              <w:jc w:val="right"/>
            </w:pPr>
            <w:r>
              <w:t>-</w:t>
            </w:r>
          </w:p>
        </w:tc>
        <w:tc>
          <w:tcPr>
            <w:tcW w:w="1276" w:type="dxa"/>
          </w:tcPr>
          <w:p w:rsidR="00196238" w:rsidRDefault="008B3C35" w:rsidP="00BF2B41">
            <w:pPr>
              <w:pStyle w:val="NoSpacing"/>
              <w:jc w:val="right"/>
            </w:pPr>
            <w:r>
              <w:t>-</w:t>
            </w:r>
          </w:p>
        </w:tc>
        <w:tc>
          <w:tcPr>
            <w:tcW w:w="1275" w:type="dxa"/>
          </w:tcPr>
          <w:p w:rsidR="00196238" w:rsidRDefault="008B3C35" w:rsidP="00BF2B41">
            <w:pPr>
              <w:pStyle w:val="NoSpacing"/>
              <w:jc w:val="right"/>
            </w:pPr>
            <w:r>
              <w:t>1</w:t>
            </w:r>
          </w:p>
        </w:tc>
        <w:tc>
          <w:tcPr>
            <w:tcW w:w="1276" w:type="dxa"/>
          </w:tcPr>
          <w:p w:rsidR="00196238" w:rsidRDefault="008B3C35" w:rsidP="00BF2B41">
            <w:pPr>
              <w:pStyle w:val="NoSpacing"/>
              <w:jc w:val="right"/>
            </w:pPr>
            <w:r>
              <w:t>662</w:t>
            </w:r>
          </w:p>
        </w:tc>
      </w:tr>
      <w:tr w:rsidR="00196238" w:rsidTr="00BF2B41">
        <w:tc>
          <w:tcPr>
            <w:tcW w:w="5529" w:type="dxa"/>
          </w:tcPr>
          <w:p w:rsidR="00196238" w:rsidRDefault="008B3C35" w:rsidP="00BF2B41">
            <w:pPr>
              <w:pStyle w:val="NoSpacing"/>
            </w:pPr>
            <w:r>
              <w:t>Other</w:t>
            </w:r>
          </w:p>
        </w:tc>
        <w:tc>
          <w:tcPr>
            <w:tcW w:w="1276" w:type="dxa"/>
          </w:tcPr>
          <w:p w:rsidR="00196238" w:rsidRDefault="008B3C35" w:rsidP="00BF2B41">
            <w:pPr>
              <w:pStyle w:val="NoSpacing"/>
              <w:jc w:val="right"/>
            </w:pPr>
            <w:r>
              <w:t>729</w:t>
            </w:r>
          </w:p>
        </w:tc>
        <w:tc>
          <w:tcPr>
            <w:tcW w:w="1276" w:type="dxa"/>
          </w:tcPr>
          <w:p w:rsidR="00196238" w:rsidRDefault="008B3C35" w:rsidP="00BF2B41">
            <w:pPr>
              <w:pStyle w:val="NoSpacing"/>
              <w:jc w:val="right"/>
            </w:pPr>
            <w:r>
              <w:t>711</w:t>
            </w:r>
          </w:p>
        </w:tc>
        <w:tc>
          <w:tcPr>
            <w:tcW w:w="1275" w:type="dxa"/>
          </w:tcPr>
          <w:p w:rsidR="00196238" w:rsidRDefault="008B3C35" w:rsidP="00BF2B41">
            <w:pPr>
              <w:pStyle w:val="NoSpacing"/>
              <w:jc w:val="right"/>
            </w:pPr>
            <w:r>
              <w:t>735</w:t>
            </w:r>
          </w:p>
        </w:tc>
        <w:tc>
          <w:tcPr>
            <w:tcW w:w="1276" w:type="dxa"/>
          </w:tcPr>
          <w:p w:rsidR="00196238" w:rsidRDefault="008B3C35" w:rsidP="00BF2B41">
            <w:pPr>
              <w:pStyle w:val="NoSpacing"/>
              <w:jc w:val="right"/>
            </w:pPr>
            <w:r>
              <w:t>711</w:t>
            </w:r>
          </w:p>
        </w:tc>
      </w:tr>
      <w:tr w:rsidR="00196238" w:rsidTr="00BF2B41">
        <w:tc>
          <w:tcPr>
            <w:tcW w:w="5529" w:type="dxa"/>
          </w:tcPr>
          <w:p w:rsidR="00196238" w:rsidRDefault="008B3C35" w:rsidP="00BF2B41">
            <w:pPr>
              <w:pStyle w:val="NoSpacing"/>
            </w:pPr>
            <w:r>
              <w:t xml:space="preserve">Total other income </w:t>
            </w:r>
          </w:p>
        </w:tc>
        <w:tc>
          <w:tcPr>
            <w:tcW w:w="1276" w:type="dxa"/>
          </w:tcPr>
          <w:p w:rsidR="00196238" w:rsidRDefault="008B3C35" w:rsidP="00BF2B41">
            <w:pPr>
              <w:pStyle w:val="NoSpacing"/>
              <w:jc w:val="right"/>
            </w:pPr>
            <w:r>
              <w:t>2,297</w:t>
            </w:r>
          </w:p>
        </w:tc>
        <w:tc>
          <w:tcPr>
            <w:tcW w:w="1276" w:type="dxa"/>
          </w:tcPr>
          <w:p w:rsidR="00196238" w:rsidRDefault="008B3C35" w:rsidP="00BF2B41">
            <w:pPr>
              <w:pStyle w:val="NoSpacing"/>
              <w:jc w:val="right"/>
            </w:pPr>
            <w:r>
              <w:t>2,970</w:t>
            </w:r>
          </w:p>
        </w:tc>
        <w:tc>
          <w:tcPr>
            <w:tcW w:w="1275" w:type="dxa"/>
          </w:tcPr>
          <w:p w:rsidR="00196238" w:rsidRDefault="008B3C35" w:rsidP="00BF2B41">
            <w:pPr>
              <w:pStyle w:val="NoSpacing"/>
              <w:jc w:val="right"/>
            </w:pPr>
            <w:r>
              <w:t>2,878</w:t>
            </w:r>
          </w:p>
        </w:tc>
        <w:tc>
          <w:tcPr>
            <w:tcW w:w="1276" w:type="dxa"/>
          </w:tcPr>
          <w:p w:rsidR="00196238" w:rsidRDefault="008B3C35" w:rsidP="00BF2B41">
            <w:pPr>
              <w:pStyle w:val="NoSpacing"/>
              <w:jc w:val="right"/>
            </w:pPr>
            <w:r>
              <w:t>3,964</w:t>
            </w:r>
          </w:p>
        </w:tc>
      </w:tr>
    </w:tbl>
    <w:p w:rsidR="00196238" w:rsidRDefault="00196238" w:rsidP="005942B8">
      <w:pPr>
        <w:pStyle w:val="NoSpacing"/>
      </w:pPr>
    </w:p>
    <w:p w:rsidR="008B3C35" w:rsidRDefault="008B3C35" w:rsidP="00681D4D">
      <w:pPr>
        <w:pStyle w:val="Heading4"/>
      </w:pPr>
      <w:r>
        <w:t xml:space="preserve">Rental income </w:t>
      </w:r>
    </w:p>
    <w:p w:rsidR="008B3C35" w:rsidRDefault="008B3C35" w:rsidP="005942B8">
      <w:pPr>
        <w:pStyle w:val="NoSpacing"/>
      </w:pPr>
      <w:r>
        <w:t>Chisholm receives rental income for certain land and buildings leased out to the general public during the semester break period and when the buildings are excess to the current requirement.</w:t>
      </w:r>
    </w:p>
    <w:p w:rsidR="008B3C35" w:rsidRDefault="008B3C35" w:rsidP="005942B8">
      <w:pPr>
        <w:pStyle w:val="NoSpacing"/>
      </w:pPr>
    </w:p>
    <w:p w:rsidR="008B3C35" w:rsidRDefault="008B3C35" w:rsidP="005942B8">
      <w:pPr>
        <w:pStyle w:val="NoSpacing"/>
      </w:pPr>
      <w:r>
        <w:t>Rental income is recognised on a time proportional basis and is brought to account when Chisholm’s right to receive the rental is established.</w:t>
      </w:r>
    </w:p>
    <w:p w:rsidR="008B3C35" w:rsidRDefault="008B3C35" w:rsidP="005942B8">
      <w:pPr>
        <w:pStyle w:val="NoSpacing"/>
      </w:pPr>
    </w:p>
    <w:p w:rsidR="008B3C35" w:rsidRDefault="008B3C35" w:rsidP="005942B8">
      <w:pPr>
        <w:pStyle w:val="NoSpacing"/>
      </w:pPr>
    </w:p>
    <w:p w:rsidR="008B3C35" w:rsidRDefault="008B3C35" w:rsidP="005942B8">
      <w:pPr>
        <w:pStyle w:val="NoSpacing"/>
      </w:pPr>
    </w:p>
    <w:p w:rsidR="008B3C35" w:rsidRDefault="008B3C35" w:rsidP="005942B8">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196238" w:rsidTr="00BF2B41">
        <w:trPr>
          <w:gridBefore w:val="1"/>
          <w:wBefore w:w="5529" w:type="dxa"/>
        </w:trPr>
        <w:tc>
          <w:tcPr>
            <w:tcW w:w="2552" w:type="dxa"/>
            <w:gridSpan w:val="2"/>
          </w:tcPr>
          <w:p w:rsidR="00196238" w:rsidRDefault="00196238" w:rsidP="00BF2B41">
            <w:pPr>
              <w:pStyle w:val="NoSpacing"/>
              <w:jc w:val="right"/>
            </w:pPr>
            <w:r>
              <w:t>Consolidated</w:t>
            </w:r>
          </w:p>
        </w:tc>
        <w:tc>
          <w:tcPr>
            <w:tcW w:w="2551" w:type="dxa"/>
            <w:gridSpan w:val="2"/>
          </w:tcPr>
          <w:p w:rsidR="00196238" w:rsidRDefault="00196238" w:rsidP="00BF2B41">
            <w:pPr>
              <w:pStyle w:val="NoSpacing"/>
              <w:jc w:val="right"/>
            </w:pPr>
            <w:r>
              <w:t>Chisholm</w:t>
            </w:r>
          </w:p>
        </w:tc>
      </w:tr>
      <w:tr w:rsidR="00196238" w:rsidTr="00BF2B41">
        <w:trPr>
          <w:gridBefore w:val="1"/>
          <w:wBefore w:w="5529" w:type="dxa"/>
        </w:trPr>
        <w:tc>
          <w:tcPr>
            <w:tcW w:w="1276" w:type="dxa"/>
          </w:tcPr>
          <w:p w:rsidR="00196238" w:rsidRDefault="00196238" w:rsidP="00BF2B41">
            <w:pPr>
              <w:pStyle w:val="NoSpacing"/>
              <w:jc w:val="right"/>
            </w:pPr>
            <w:r>
              <w:t>2019</w:t>
            </w:r>
          </w:p>
        </w:tc>
        <w:tc>
          <w:tcPr>
            <w:tcW w:w="1276" w:type="dxa"/>
          </w:tcPr>
          <w:p w:rsidR="00196238" w:rsidRDefault="00196238" w:rsidP="00BF2B41">
            <w:pPr>
              <w:pStyle w:val="NoSpacing"/>
              <w:jc w:val="right"/>
            </w:pPr>
            <w:r>
              <w:t>2018</w:t>
            </w:r>
          </w:p>
        </w:tc>
        <w:tc>
          <w:tcPr>
            <w:tcW w:w="1275" w:type="dxa"/>
          </w:tcPr>
          <w:p w:rsidR="00196238" w:rsidRDefault="00196238" w:rsidP="00BF2B41">
            <w:pPr>
              <w:pStyle w:val="NoSpacing"/>
              <w:jc w:val="right"/>
            </w:pPr>
            <w:r>
              <w:t>2019</w:t>
            </w:r>
          </w:p>
        </w:tc>
        <w:tc>
          <w:tcPr>
            <w:tcW w:w="1276" w:type="dxa"/>
          </w:tcPr>
          <w:p w:rsidR="00196238" w:rsidRDefault="00196238" w:rsidP="00BF2B41">
            <w:pPr>
              <w:pStyle w:val="NoSpacing"/>
              <w:jc w:val="right"/>
            </w:pPr>
            <w:r>
              <w:t>2018</w:t>
            </w:r>
          </w:p>
        </w:tc>
      </w:tr>
      <w:tr w:rsidR="00196238" w:rsidTr="00BF2B41">
        <w:trPr>
          <w:gridBefore w:val="1"/>
          <w:wBefore w:w="5529" w:type="dxa"/>
        </w:trPr>
        <w:tc>
          <w:tcPr>
            <w:tcW w:w="1276" w:type="dxa"/>
          </w:tcPr>
          <w:p w:rsidR="00196238" w:rsidRDefault="00196238" w:rsidP="00BF2B41">
            <w:pPr>
              <w:pStyle w:val="NoSpacing"/>
              <w:jc w:val="right"/>
            </w:pPr>
            <w:r>
              <w:t>$’000</w:t>
            </w:r>
          </w:p>
        </w:tc>
        <w:tc>
          <w:tcPr>
            <w:tcW w:w="1276" w:type="dxa"/>
          </w:tcPr>
          <w:p w:rsidR="00196238" w:rsidRDefault="00196238" w:rsidP="00BF2B41">
            <w:pPr>
              <w:jc w:val="right"/>
            </w:pPr>
            <w:r w:rsidRPr="00105D59">
              <w:t>$’000</w:t>
            </w:r>
          </w:p>
        </w:tc>
        <w:tc>
          <w:tcPr>
            <w:tcW w:w="1275" w:type="dxa"/>
          </w:tcPr>
          <w:p w:rsidR="00196238" w:rsidRDefault="00196238" w:rsidP="00BF2B41">
            <w:pPr>
              <w:jc w:val="right"/>
            </w:pPr>
            <w:r w:rsidRPr="00105D59">
              <w:t>$’000</w:t>
            </w:r>
          </w:p>
        </w:tc>
        <w:tc>
          <w:tcPr>
            <w:tcW w:w="1276" w:type="dxa"/>
          </w:tcPr>
          <w:p w:rsidR="00196238" w:rsidRDefault="00196238" w:rsidP="00BF2B41">
            <w:pPr>
              <w:jc w:val="right"/>
            </w:pPr>
            <w:r w:rsidRPr="00105D59">
              <w:t>$’000</w:t>
            </w:r>
          </w:p>
        </w:tc>
      </w:tr>
      <w:tr w:rsidR="00196238" w:rsidTr="00BF2B41">
        <w:tc>
          <w:tcPr>
            <w:tcW w:w="10632" w:type="dxa"/>
            <w:gridSpan w:val="5"/>
          </w:tcPr>
          <w:p w:rsidR="00196238" w:rsidRDefault="00196238" w:rsidP="00196238">
            <w:pPr>
              <w:pStyle w:val="NoSpacing"/>
            </w:pPr>
            <w:r>
              <w:t>Receivable:</w:t>
            </w:r>
          </w:p>
        </w:tc>
      </w:tr>
      <w:tr w:rsidR="00196238" w:rsidTr="00BF2B41">
        <w:tc>
          <w:tcPr>
            <w:tcW w:w="5529" w:type="dxa"/>
          </w:tcPr>
          <w:p w:rsidR="00196238" w:rsidRDefault="00196238" w:rsidP="00BF2B41">
            <w:pPr>
              <w:pStyle w:val="NoSpacing"/>
            </w:pPr>
            <w:r>
              <w:t>Within one year</w:t>
            </w:r>
          </w:p>
        </w:tc>
        <w:tc>
          <w:tcPr>
            <w:tcW w:w="1276" w:type="dxa"/>
          </w:tcPr>
          <w:p w:rsidR="00196238" w:rsidRDefault="008B3C35" w:rsidP="00BF2B41">
            <w:pPr>
              <w:pStyle w:val="NoSpacing"/>
              <w:jc w:val="right"/>
            </w:pPr>
            <w:r>
              <w:t>138</w:t>
            </w:r>
          </w:p>
        </w:tc>
        <w:tc>
          <w:tcPr>
            <w:tcW w:w="1276" w:type="dxa"/>
          </w:tcPr>
          <w:p w:rsidR="00196238" w:rsidRDefault="008B3C35" w:rsidP="00BF2B41">
            <w:pPr>
              <w:pStyle w:val="NoSpacing"/>
              <w:jc w:val="right"/>
            </w:pPr>
            <w:r>
              <w:t>76</w:t>
            </w:r>
          </w:p>
        </w:tc>
        <w:tc>
          <w:tcPr>
            <w:tcW w:w="1275" w:type="dxa"/>
          </w:tcPr>
          <w:p w:rsidR="00196238" w:rsidRDefault="008B3C35" w:rsidP="00BF2B41">
            <w:pPr>
              <w:pStyle w:val="NoSpacing"/>
              <w:jc w:val="right"/>
            </w:pPr>
            <w:r>
              <w:t>138</w:t>
            </w:r>
          </w:p>
        </w:tc>
        <w:tc>
          <w:tcPr>
            <w:tcW w:w="1276" w:type="dxa"/>
          </w:tcPr>
          <w:p w:rsidR="00196238" w:rsidRDefault="008B3C35" w:rsidP="00BF2B41">
            <w:pPr>
              <w:pStyle w:val="NoSpacing"/>
              <w:jc w:val="right"/>
            </w:pPr>
            <w:r>
              <w:t>76</w:t>
            </w:r>
          </w:p>
        </w:tc>
      </w:tr>
      <w:tr w:rsidR="00196238" w:rsidTr="00BF2B41">
        <w:tc>
          <w:tcPr>
            <w:tcW w:w="5529" w:type="dxa"/>
          </w:tcPr>
          <w:p w:rsidR="00196238" w:rsidRDefault="00196238" w:rsidP="00BF2B41">
            <w:pPr>
              <w:pStyle w:val="NoSpacing"/>
            </w:pPr>
            <w:r>
              <w:t>Later than one year but no later than five years</w:t>
            </w:r>
          </w:p>
        </w:tc>
        <w:tc>
          <w:tcPr>
            <w:tcW w:w="1276" w:type="dxa"/>
          </w:tcPr>
          <w:p w:rsidR="00196238" w:rsidRDefault="008B3C35" w:rsidP="00BF2B41">
            <w:pPr>
              <w:pStyle w:val="NoSpacing"/>
              <w:jc w:val="right"/>
            </w:pPr>
            <w:r>
              <w:t>449</w:t>
            </w:r>
          </w:p>
        </w:tc>
        <w:tc>
          <w:tcPr>
            <w:tcW w:w="1276" w:type="dxa"/>
          </w:tcPr>
          <w:p w:rsidR="00196238" w:rsidRDefault="008B3C35" w:rsidP="00BF2B41">
            <w:pPr>
              <w:pStyle w:val="NoSpacing"/>
              <w:jc w:val="right"/>
            </w:pPr>
            <w:r>
              <w:t>283</w:t>
            </w:r>
          </w:p>
        </w:tc>
        <w:tc>
          <w:tcPr>
            <w:tcW w:w="1275" w:type="dxa"/>
          </w:tcPr>
          <w:p w:rsidR="00196238" w:rsidRDefault="008B3C35" w:rsidP="00BF2B41">
            <w:pPr>
              <w:pStyle w:val="NoSpacing"/>
              <w:jc w:val="right"/>
            </w:pPr>
            <w:r>
              <w:t>449</w:t>
            </w:r>
          </w:p>
        </w:tc>
        <w:tc>
          <w:tcPr>
            <w:tcW w:w="1276" w:type="dxa"/>
          </w:tcPr>
          <w:p w:rsidR="00196238" w:rsidRDefault="008B3C35" w:rsidP="00BF2B41">
            <w:pPr>
              <w:pStyle w:val="NoSpacing"/>
              <w:jc w:val="right"/>
            </w:pPr>
            <w:r>
              <w:t>283</w:t>
            </w:r>
          </w:p>
        </w:tc>
      </w:tr>
      <w:tr w:rsidR="00196238" w:rsidTr="00BF2B41">
        <w:tc>
          <w:tcPr>
            <w:tcW w:w="5529" w:type="dxa"/>
          </w:tcPr>
          <w:p w:rsidR="00196238" w:rsidRDefault="00196238" w:rsidP="00BF2B41">
            <w:pPr>
              <w:pStyle w:val="NoSpacing"/>
            </w:pPr>
            <w:r>
              <w:t>Total leases receivable</w:t>
            </w:r>
          </w:p>
        </w:tc>
        <w:tc>
          <w:tcPr>
            <w:tcW w:w="1276" w:type="dxa"/>
          </w:tcPr>
          <w:p w:rsidR="00196238" w:rsidRDefault="008B3C35" w:rsidP="00BF2B41">
            <w:pPr>
              <w:pStyle w:val="NoSpacing"/>
              <w:jc w:val="right"/>
            </w:pPr>
            <w:r>
              <w:t>587</w:t>
            </w:r>
          </w:p>
        </w:tc>
        <w:tc>
          <w:tcPr>
            <w:tcW w:w="1276" w:type="dxa"/>
          </w:tcPr>
          <w:p w:rsidR="00196238" w:rsidRDefault="008B3C35" w:rsidP="00BF2B41">
            <w:pPr>
              <w:pStyle w:val="NoSpacing"/>
              <w:jc w:val="right"/>
            </w:pPr>
            <w:r>
              <w:t>359</w:t>
            </w:r>
          </w:p>
        </w:tc>
        <w:tc>
          <w:tcPr>
            <w:tcW w:w="1275" w:type="dxa"/>
          </w:tcPr>
          <w:p w:rsidR="00196238" w:rsidRDefault="008B3C35" w:rsidP="00BF2B41">
            <w:pPr>
              <w:pStyle w:val="NoSpacing"/>
              <w:jc w:val="right"/>
            </w:pPr>
            <w:r>
              <w:t>587</w:t>
            </w:r>
          </w:p>
        </w:tc>
        <w:tc>
          <w:tcPr>
            <w:tcW w:w="1276" w:type="dxa"/>
          </w:tcPr>
          <w:p w:rsidR="00196238" w:rsidRDefault="008B3C35" w:rsidP="00BF2B41">
            <w:pPr>
              <w:pStyle w:val="NoSpacing"/>
              <w:jc w:val="right"/>
            </w:pPr>
            <w:r>
              <w:t>359</w:t>
            </w:r>
          </w:p>
        </w:tc>
      </w:tr>
    </w:tbl>
    <w:p w:rsidR="00196238" w:rsidRDefault="00196238" w:rsidP="005942B8">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196238" w:rsidTr="00BF2B41">
        <w:tc>
          <w:tcPr>
            <w:tcW w:w="5529" w:type="dxa"/>
          </w:tcPr>
          <w:p w:rsidR="00196238" w:rsidRDefault="00196238" w:rsidP="00BF2B41">
            <w:pPr>
              <w:pStyle w:val="NoSpacing"/>
            </w:pPr>
            <w:r>
              <w:t>GST payable on the above</w:t>
            </w:r>
          </w:p>
        </w:tc>
        <w:tc>
          <w:tcPr>
            <w:tcW w:w="1276" w:type="dxa"/>
          </w:tcPr>
          <w:p w:rsidR="00196238" w:rsidRDefault="008B3C35" w:rsidP="00BF2B41">
            <w:pPr>
              <w:pStyle w:val="NoSpacing"/>
              <w:jc w:val="right"/>
            </w:pPr>
            <w:r>
              <w:t>53</w:t>
            </w:r>
          </w:p>
        </w:tc>
        <w:tc>
          <w:tcPr>
            <w:tcW w:w="1276" w:type="dxa"/>
          </w:tcPr>
          <w:p w:rsidR="00196238" w:rsidRDefault="008B3C35" w:rsidP="00BF2B41">
            <w:pPr>
              <w:pStyle w:val="NoSpacing"/>
              <w:jc w:val="right"/>
            </w:pPr>
            <w:r>
              <w:t>33</w:t>
            </w:r>
          </w:p>
        </w:tc>
        <w:tc>
          <w:tcPr>
            <w:tcW w:w="1275" w:type="dxa"/>
          </w:tcPr>
          <w:p w:rsidR="00196238" w:rsidRDefault="008B3C35" w:rsidP="00BF2B41">
            <w:pPr>
              <w:pStyle w:val="NoSpacing"/>
              <w:jc w:val="right"/>
            </w:pPr>
            <w:r>
              <w:t>53</w:t>
            </w:r>
          </w:p>
        </w:tc>
        <w:tc>
          <w:tcPr>
            <w:tcW w:w="1276" w:type="dxa"/>
          </w:tcPr>
          <w:p w:rsidR="00196238" w:rsidRDefault="008B3C35" w:rsidP="00BF2B41">
            <w:pPr>
              <w:pStyle w:val="NoSpacing"/>
              <w:jc w:val="right"/>
            </w:pPr>
            <w:r>
              <w:t>33</w:t>
            </w:r>
          </w:p>
        </w:tc>
      </w:tr>
      <w:tr w:rsidR="00196238" w:rsidTr="00BF2B41">
        <w:tc>
          <w:tcPr>
            <w:tcW w:w="5529" w:type="dxa"/>
          </w:tcPr>
          <w:p w:rsidR="00196238" w:rsidRDefault="00196238" w:rsidP="00BF2B41">
            <w:pPr>
              <w:pStyle w:val="NoSpacing"/>
            </w:pPr>
            <w:r>
              <w:t>Net operating leases receivable</w:t>
            </w:r>
          </w:p>
        </w:tc>
        <w:tc>
          <w:tcPr>
            <w:tcW w:w="1276" w:type="dxa"/>
          </w:tcPr>
          <w:p w:rsidR="00196238" w:rsidRDefault="008B3C35" w:rsidP="00BF2B41">
            <w:pPr>
              <w:pStyle w:val="NoSpacing"/>
              <w:jc w:val="right"/>
            </w:pPr>
            <w:r>
              <w:t>534</w:t>
            </w:r>
          </w:p>
        </w:tc>
        <w:tc>
          <w:tcPr>
            <w:tcW w:w="1276" w:type="dxa"/>
          </w:tcPr>
          <w:p w:rsidR="00196238" w:rsidRDefault="008B3C35" w:rsidP="00BF2B41">
            <w:pPr>
              <w:pStyle w:val="NoSpacing"/>
              <w:jc w:val="right"/>
            </w:pPr>
            <w:r>
              <w:t>326</w:t>
            </w:r>
          </w:p>
        </w:tc>
        <w:tc>
          <w:tcPr>
            <w:tcW w:w="1275" w:type="dxa"/>
          </w:tcPr>
          <w:p w:rsidR="00196238" w:rsidRDefault="008B3C35" w:rsidP="00BF2B41">
            <w:pPr>
              <w:pStyle w:val="NoSpacing"/>
              <w:jc w:val="right"/>
            </w:pPr>
            <w:r>
              <w:t>534</w:t>
            </w:r>
          </w:p>
        </w:tc>
        <w:tc>
          <w:tcPr>
            <w:tcW w:w="1276" w:type="dxa"/>
          </w:tcPr>
          <w:p w:rsidR="00196238" w:rsidRDefault="008B3C35" w:rsidP="00BF2B41">
            <w:pPr>
              <w:pStyle w:val="NoSpacing"/>
              <w:jc w:val="right"/>
            </w:pPr>
            <w:r>
              <w:t>326</w:t>
            </w:r>
          </w:p>
        </w:tc>
      </w:tr>
    </w:tbl>
    <w:p w:rsidR="00196238" w:rsidRDefault="00196238" w:rsidP="005942B8">
      <w:pPr>
        <w:pStyle w:val="NoSpacing"/>
      </w:pPr>
    </w:p>
    <w:p w:rsidR="008B3C35" w:rsidRDefault="008B3C35" w:rsidP="005942B8">
      <w:pPr>
        <w:pStyle w:val="NoSpacing"/>
      </w:pPr>
      <w:r>
        <w:t>Rental income from operating leases is recognised on a straight-line basis over the term of the relevant lease.</w:t>
      </w:r>
    </w:p>
    <w:p w:rsidR="008B3C35" w:rsidRDefault="008B3C35" w:rsidP="005942B8">
      <w:pPr>
        <w:pStyle w:val="NoSpacing"/>
      </w:pPr>
      <w:r>
        <w:lastRenderedPageBreak/>
        <w:t xml:space="preserve">All incentives for the agreement of a new or renewed operating lease are recognised as an integral part of the new consideration agreed for the use of the leased asset. </w:t>
      </w:r>
    </w:p>
    <w:p w:rsidR="008B3C35" w:rsidRDefault="008B3C35" w:rsidP="005942B8">
      <w:pPr>
        <w:pStyle w:val="NoSpacing"/>
      </w:pPr>
    </w:p>
    <w:p w:rsidR="008B3C35" w:rsidRDefault="008B3C35" w:rsidP="005942B8">
      <w:pPr>
        <w:pStyle w:val="NoSpacing"/>
      </w:pPr>
      <w:r>
        <w:t>&lt;page 59&gt;</w:t>
      </w:r>
    </w:p>
    <w:p w:rsidR="008B3C35" w:rsidRDefault="008B3C35" w:rsidP="005942B8">
      <w:pPr>
        <w:pStyle w:val="NoSpacing"/>
      </w:pPr>
    </w:p>
    <w:p w:rsidR="00196238" w:rsidRDefault="00196238" w:rsidP="00681D4D">
      <w:pPr>
        <w:pStyle w:val="Heading2"/>
      </w:pPr>
      <w:r>
        <w:t>3. How we expended our funds</w:t>
      </w:r>
    </w:p>
    <w:p w:rsidR="00681D4D" w:rsidRDefault="00681D4D" w:rsidP="00681D4D">
      <w:pPr>
        <w:pStyle w:val="NoSpacing"/>
      </w:pPr>
    </w:p>
    <w:p w:rsidR="00196238" w:rsidRPr="00681D4D" w:rsidRDefault="00196238" w:rsidP="00681D4D">
      <w:pPr>
        <w:pStyle w:val="Heading3"/>
      </w:pPr>
      <w:r w:rsidRPr="00681D4D">
        <w:t>3.1 Employee benefits</w:t>
      </w:r>
    </w:p>
    <w:p w:rsidR="00196238" w:rsidRDefault="00196238" w:rsidP="005942B8">
      <w:pPr>
        <w:pStyle w:val="NoSpacing"/>
      </w:pPr>
    </w:p>
    <w:p w:rsidR="00E37F96" w:rsidRDefault="008B3C35" w:rsidP="005942B8">
      <w:pPr>
        <w:pStyle w:val="NoSpacing"/>
      </w:pPr>
      <w:r>
        <w:t>The present value of employee benefit obligations including annual leave, long service leave and on-costs are determined using various</w:t>
      </w:r>
      <w:r w:rsidR="00E37F96">
        <w:t xml:space="preserve"> assumptions that may differ from actual developments in the future. These include future salary growth rate, future discount rates (as advised by the Assistant Treasurer), tenure of existing staff, and patterns of leave claims. </w:t>
      </w:r>
    </w:p>
    <w:p w:rsidR="00E37F96" w:rsidRDefault="00E37F96" w:rsidP="005942B8">
      <w:pPr>
        <w:pStyle w:val="NoSpacing"/>
      </w:pPr>
    </w:p>
    <w:p w:rsidR="008B3C35" w:rsidRDefault="00E37F96" w:rsidP="005942B8">
      <w:pPr>
        <w:pStyle w:val="NoSpacing"/>
      </w:pPr>
      <w:r>
        <w:t>All assumptions are reviewed at each reporting date.</w:t>
      </w:r>
      <w:r w:rsidR="008B3C35">
        <w:t xml:space="preserve"> </w:t>
      </w:r>
    </w:p>
    <w:p w:rsidR="00E37F96" w:rsidRDefault="00E37F96" w:rsidP="005942B8">
      <w:pPr>
        <w:pStyle w:val="NoSpacing"/>
      </w:pPr>
    </w:p>
    <w:p w:rsidR="00196238" w:rsidRDefault="00196238" w:rsidP="00E37F96">
      <w:pPr>
        <w:pStyle w:val="Heading4"/>
      </w:pPr>
      <w:r>
        <w:t>3.1.1 Employee benefits in the comprehensive operating statement</w:t>
      </w:r>
    </w:p>
    <w:p w:rsidR="00196238" w:rsidRDefault="00196238" w:rsidP="005942B8">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196238" w:rsidTr="00196238">
        <w:trPr>
          <w:gridBefore w:val="1"/>
          <w:wBefore w:w="5529" w:type="dxa"/>
        </w:trPr>
        <w:tc>
          <w:tcPr>
            <w:tcW w:w="2552" w:type="dxa"/>
            <w:gridSpan w:val="2"/>
          </w:tcPr>
          <w:p w:rsidR="00196238" w:rsidRDefault="00196238" w:rsidP="00BF2B41">
            <w:pPr>
              <w:pStyle w:val="NoSpacing"/>
              <w:jc w:val="right"/>
            </w:pPr>
            <w:r>
              <w:t>Consolidated</w:t>
            </w:r>
          </w:p>
        </w:tc>
        <w:tc>
          <w:tcPr>
            <w:tcW w:w="2551" w:type="dxa"/>
            <w:gridSpan w:val="2"/>
          </w:tcPr>
          <w:p w:rsidR="00196238" w:rsidRDefault="00196238" w:rsidP="00BF2B41">
            <w:pPr>
              <w:pStyle w:val="NoSpacing"/>
              <w:jc w:val="right"/>
            </w:pPr>
            <w:r>
              <w:t>Chisholm</w:t>
            </w:r>
          </w:p>
        </w:tc>
      </w:tr>
      <w:tr w:rsidR="00196238" w:rsidTr="00196238">
        <w:trPr>
          <w:gridBefore w:val="1"/>
          <w:wBefore w:w="5529" w:type="dxa"/>
        </w:trPr>
        <w:tc>
          <w:tcPr>
            <w:tcW w:w="1276" w:type="dxa"/>
          </w:tcPr>
          <w:p w:rsidR="00196238" w:rsidRDefault="00196238" w:rsidP="00BF2B41">
            <w:pPr>
              <w:pStyle w:val="NoSpacing"/>
              <w:jc w:val="right"/>
            </w:pPr>
            <w:r>
              <w:t>2019</w:t>
            </w:r>
          </w:p>
        </w:tc>
        <w:tc>
          <w:tcPr>
            <w:tcW w:w="1276" w:type="dxa"/>
          </w:tcPr>
          <w:p w:rsidR="00196238" w:rsidRDefault="00196238" w:rsidP="00BF2B41">
            <w:pPr>
              <w:pStyle w:val="NoSpacing"/>
              <w:jc w:val="right"/>
            </w:pPr>
            <w:r>
              <w:t>2018</w:t>
            </w:r>
          </w:p>
        </w:tc>
        <w:tc>
          <w:tcPr>
            <w:tcW w:w="1275" w:type="dxa"/>
          </w:tcPr>
          <w:p w:rsidR="00196238" w:rsidRDefault="00196238" w:rsidP="00BF2B41">
            <w:pPr>
              <w:pStyle w:val="NoSpacing"/>
              <w:jc w:val="right"/>
            </w:pPr>
            <w:r>
              <w:t>2019</w:t>
            </w:r>
          </w:p>
        </w:tc>
        <w:tc>
          <w:tcPr>
            <w:tcW w:w="1276" w:type="dxa"/>
          </w:tcPr>
          <w:p w:rsidR="00196238" w:rsidRDefault="00196238" w:rsidP="00BF2B41">
            <w:pPr>
              <w:pStyle w:val="NoSpacing"/>
              <w:jc w:val="right"/>
            </w:pPr>
            <w:r>
              <w:t>2018</w:t>
            </w:r>
          </w:p>
        </w:tc>
      </w:tr>
      <w:tr w:rsidR="00196238" w:rsidTr="00196238">
        <w:trPr>
          <w:gridBefore w:val="1"/>
          <w:wBefore w:w="5529" w:type="dxa"/>
        </w:trPr>
        <w:tc>
          <w:tcPr>
            <w:tcW w:w="1276" w:type="dxa"/>
          </w:tcPr>
          <w:p w:rsidR="00196238" w:rsidRDefault="00196238" w:rsidP="00BF2B41">
            <w:pPr>
              <w:pStyle w:val="NoSpacing"/>
              <w:jc w:val="right"/>
            </w:pPr>
            <w:r>
              <w:t>$’000</w:t>
            </w:r>
          </w:p>
        </w:tc>
        <w:tc>
          <w:tcPr>
            <w:tcW w:w="1276" w:type="dxa"/>
          </w:tcPr>
          <w:p w:rsidR="00196238" w:rsidRDefault="00196238" w:rsidP="00BF2B41">
            <w:pPr>
              <w:jc w:val="right"/>
            </w:pPr>
            <w:r w:rsidRPr="00105D59">
              <w:t>$’000</w:t>
            </w:r>
          </w:p>
        </w:tc>
        <w:tc>
          <w:tcPr>
            <w:tcW w:w="1275" w:type="dxa"/>
          </w:tcPr>
          <w:p w:rsidR="00196238" w:rsidRDefault="00196238" w:rsidP="00BF2B41">
            <w:pPr>
              <w:jc w:val="right"/>
            </w:pPr>
            <w:r w:rsidRPr="00105D59">
              <w:t>$’000</w:t>
            </w:r>
          </w:p>
        </w:tc>
        <w:tc>
          <w:tcPr>
            <w:tcW w:w="1276" w:type="dxa"/>
          </w:tcPr>
          <w:p w:rsidR="00196238" w:rsidRDefault="00196238" w:rsidP="00BF2B41">
            <w:pPr>
              <w:jc w:val="right"/>
            </w:pPr>
            <w:r w:rsidRPr="00105D59">
              <w:t>$’000</w:t>
            </w:r>
          </w:p>
        </w:tc>
      </w:tr>
      <w:tr w:rsidR="00196238" w:rsidTr="00196238">
        <w:tc>
          <w:tcPr>
            <w:tcW w:w="5529" w:type="dxa"/>
          </w:tcPr>
          <w:p w:rsidR="00196238" w:rsidRDefault="00196238" w:rsidP="00BF2B41">
            <w:pPr>
              <w:pStyle w:val="NoSpacing"/>
            </w:pPr>
            <w:r>
              <w:t>Salaries, wages, overtime and allowances</w:t>
            </w:r>
          </w:p>
        </w:tc>
        <w:tc>
          <w:tcPr>
            <w:tcW w:w="1276" w:type="dxa"/>
          </w:tcPr>
          <w:p w:rsidR="00196238" w:rsidRDefault="00E37F96" w:rsidP="00BF2B41">
            <w:pPr>
              <w:pStyle w:val="NoSpacing"/>
              <w:jc w:val="right"/>
            </w:pPr>
            <w:r>
              <w:t>89,908</w:t>
            </w:r>
          </w:p>
        </w:tc>
        <w:tc>
          <w:tcPr>
            <w:tcW w:w="1276" w:type="dxa"/>
          </w:tcPr>
          <w:p w:rsidR="00196238" w:rsidRDefault="00E37F96" w:rsidP="00BF2B41">
            <w:pPr>
              <w:pStyle w:val="NoSpacing"/>
              <w:jc w:val="right"/>
            </w:pPr>
            <w:r>
              <w:t>75,947</w:t>
            </w:r>
          </w:p>
        </w:tc>
        <w:tc>
          <w:tcPr>
            <w:tcW w:w="1275" w:type="dxa"/>
          </w:tcPr>
          <w:p w:rsidR="00196238" w:rsidRDefault="00E37F96" w:rsidP="00BF2B41">
            <w:pPr>
              <w:pStyle w:val="NoSpacing"/>
              <w:jc w:val="right"/>
            </w:pPr>
            <w:r>
              <w:t>86,197</w:t>
            </w:r>
          </w:p>
        </w:tc>
        <w:tc>
          <w:tcPr>
            <w:tcW w:w="1276" w:type="dxa"/>
          </w:tcPr>
          <w:p w:rsidR="00196238" w:rsidRDefault="00E37F96" w:rsidP="00BF2B41">
            <w:pPr>
              <w:pStyle w:val="NoSpacing"/>
              <w:jc w:val="right"/>
            </w:pPr>
            <w:r>
              <w:t>73,908</w:t>
            </w:r>
          </w:p>
        </w:tc>
      </w:tr>
      <w:tr w:rsidR="00196238" w:rsidTr="00196238">
        <w:tc>
          <w:tcPr>
            <w:tcW w:w="5529" w:type="dxa"/>
          </w:tcPr>
          <w:p w:rsidR="00196238" w:rsidRDefault="00196238" w:rsidP="00BF2B41">
            <w:pPr>
              <w:pStyle w:val="NoSpacing"/>
            </w:pPr>
            <w:r>
              <w:t>Superannuation</w:t>
            </w:r>
          </w:p>
        </w:tc>
        <w:tc>
          <w:tcPr>
            <w:tcW w:w="1276" w:type="dxa"/>
          </w:tcPr>
          <w:p w:rsidR="00196238" w:rsidRDefault="00E37F96" w:rsidP="00BF2B41">
            <w:pPr>
              <w:pStyle w:val="NoSpacing"/>
              <w:jc w:val="right"/>
            </w:pPr>
            <w:r>
              <w:t>8,004</w:t>
            </w:r>
          </w:p>
        </w:tc>
        <w:tc>
          <w:tcPr>
            <w:tcW w:w="1276" w:type="dxa"/>
          </w:tcPr>
          <w:p w:rsidR="00196238" w:rsidRDefault="00E37F96" w:rsidP="00BF2B41">
            <w:pPr>
              <w:pStyle w:val="NoSpacing"/>
              <w:jc w:val="right"/>
            </w:pPr>
            <w:r>
              <w:t>6,692</w:t>
            </w:r>
          </w:p>
        </w:tc>
        <w:tc>
          <w:tcPr>
            <w:tcW w:w="1275" w:type="dxa"/>
          </w:tcPr>
          <w:p w:rsidR="00196238" w:rsidRDefault="00E37F96" w:rsidP="00BF2B41">
            <w:pPr>
              <w:pStyle w:val="NoSpacing"/>
              <w:jc w:val="right"/>
            </w:pPr>
            <w:r>
              <w:t>7,659</w:t>
            </w:r>
          </w:p>
        </w:tc>
        <w:tc>
          <w:tcPr>
            <w:tcW w:w="1276" w:type="dxa"/>
          </w:tcPr>
          <w:p w:rsidR="00196238" w:rsidRDefault="00E37F96" w:rsidP="00BF2B41">
            <w:pPr>
              <w:pStyle w:val="NoSpacing"/>
              <w:jc w:val="right"/>
            </w:pPr>
            <w:r>
              <w:t>6,507</w:t>
            </w:r>
          </w:p>
        </w:tc>
      </w:tr>
      <w:tr w:rsidR="00196238" w:rsidTr="00196238">
        <w:tc>
          <w:tcPr>
            <w:tcW w:w="5529" w:type="dxa"/>
          </w:tcPr>
          <w:p w:rsidR="00196238" w:rsidRDefault="00196238" w:rsidP="00BF2B41">
            <w:pPr>
              <w:pStyle w:val="NoSpacing"/>
            </w:pPr>
            <w:r>
              <w:t>Payroll tax</w:t>
            </w:r>
          </w:p>
        </w:tc>
        <w:tc>
          <w:tcPr>
            <w:tcW w:w="1276" w:type="dxa"/>
          </w:tcPr>
          <w:p w:rsidR="00196238" w:rsidRDefault="00E37F96" w:rsidP="00BF2B41">
            <w:pPr>
              <w:pStyle w:val="NoSpacing"/>
              <w:jc w:val="right"/>
            </w:pPr>
            <w:r>
              <w:t>4,573</w:t>
            </w:r>
          </w:p>
        </w:tc>
        <w:tc>
          <w:tcPr>
            <w:tcW w:w="1276" w:type="dxa"/>
          </w:tcPr>
          <w:p w:rsidR="00196238" w:rsidRDefault="00E37F96" w:rsidP="00BF2B41">
            <w:pPr>
              <w:pStyle w:val="NoSpacing"/>
              <w:jc w:val="right"/>
            </w:pPr>
            <w:r>
              <w:t>3,837</w:t>
            </w:r>
          </w:p>
        </w:tc>
        <w:tc>
          <w:tcPr>
            <w:tcW w:w="1275" w:type="dxa"/>
          </w:tcPr>
          <w:p w:rsidR="00196238" w:rsidRDefault="00E37F96" w:rsidP="00BF2B41">
            <w:pPr>
              <w:pStyle w:val="NoSpacing"/>
              <w:jc w:val="right"/>
            </w:pPr>
            <w:r>
              <w:t>4,375</w:t>
            </w:r>
          </w:p>
        </w:tc>
        <w:tc>
          <w:tcPr>
            <w:tcW w:w="1276" w:type="dxa"/>
          </w:tcPr>
          <w:p w:rsidR="00196238" w:rsidRDefault="00E37F96" w:rsidP="00BF2B41">
            <w:pPr>
              <w:pStyle w:val="NoSpacing"/>
              <w:jc w:val="right"/>
            </w:pPr>
            <w:r>
              <w:t>3,728</w:t>
            </w:r>
          </w:p>
        </w:tc>
      </w:tr>
      <w:tr w:rsidR="00196238" w:rsidTr="00196238">
        <w:tc>
          <w:tcPr>
            <w:tcW w:w="5529" w:type="dxa"/>
          </w:tcPr>
          <w:p w:rsidR="00196238" w:rsidRDefault="00196238" w:rsidP="00BF2B41">
            <w:pPr>
              <w:pStyle w:val="NoSpacing"/>
            </w:pPr>
            <w:r>
              <w:t>Worker’s compensation</w:t>
            </w:r>
          </w:p>
        </w:tc>
        <w:tc>
          <w:tcPr>
            <w:tcW w:w="1276" w:type="dxa"/>
          </w:tcPr>
          <w:p w:rsidR="00196238" w:rsidRDefault="00E37F96" w:rsidP="00BF2B41">
            <w:pPr>
              <w:pStyle w:val="NoSpacing"/>
              <w:jc w:val="right"/>
            </w:pPr>
            <w:r>
              <w:t>788</w:t>
            </w:r>
          </w:p>
        </w:tc>
        <w:tc>
          <w:tcPr>
            <w:tcW w:w="1276" w:type="dxa"/>
          </w:tcPr>
          <w:p w:rsidR="00196238" w:rsidRDefault="00E37F96" w:rsidP="00BF2B41">
            <w:pPr>
              <w:pStyle w:val="NoSpacing"/>
              <w:jc w:val="right"/>
            </w:pPr>
            <w:r>
              <w:t>870</w:t>
            </w:r>
          </w:p>
        </w:tc>
        <w:tc>
          <w:tcPr>
            <w:tcW w:w="1275" w:type="dxa"/>
          </w:tcPr>
          <w:p w:rsidR="00196238" w:rsidRDefault="00E37F96" w:rsidP="00BF2B41">
            <w:pPr>
              <w:pStyle w:val="NoSpacing"/>
              <w:jc w:val="right"/>
            </w:pPr>
            <w:r>
              <w:t>757</w:t>
            </w:r>
          </w:p>
        </w:tc>
        <w:tc>
          <w:tcPr>
            <w:tcW w:w="1276" w:type="dxa"/>
          </w:tcPr>
          <w:p w:rsidR="00196238" w:rsidRDefault="00E37F96" w:rsidP="00BF2B41">
            <w:pPr>
              <w:pStyle w:val="NoSpacing"/>
              <w:jc w:val="right"/>
            </w:pPr>
            <w:r>
              <w:t>852</w:t>
            </w:r>
          </w:p>
        </w:tc>
      </w:tr>
      <w:tr w:rsidR="00196238" w:rsidTr="00196238">
        <w:tc>
          <w:tcPr>
            <w:tcW w:w="5529" w:type="dxa"/>
          </w:tcPr>
          <w:p w:rsidR="00196238" w:rsidRDefault="00196238" w:rsidP="00BF2B41">
            <w:pPr>
              <w:pStyle w:val="NoSpacing"/>
            </w:pPr>
            <w:r>
              <w:t>Long service leave</w:t>
            </w:r>
          </w:p>
        </w:tc>
        <w:tc>
          <w:tcPr>
            <w:tcW w:w="1276" w:type="dxa"/>
          </w:tcPr>
          <w:p w:rsidR="00196238" w:rsidRDefault="00E37F96" w:rsidP="00BF2B41">
            <w:pPr>
              <w:pStyle w:val="NoSpacing"/>
              <w:jc w:val="right"/>
            </w:pPr>
            <w:r>
              <w:t>1,688</w:t>
            </w:r>
          </w:p>
        </w:tc>
        <w:tc>
          <w:tcPr>
            <w:tcW w:w="1276" w:type="dxa"/>
          </w:tcPr>
          <w:p w:rsidR="00196238" w:rsidRDefault="00E37F96" w:rsidP="00BF2B41">
            <w:pPr>
              <w:pStyle w:val="NoSpacing"/>
              <w:jc w:val="right"/>
            </w:pPr>
            <w:r>
              <w:t>2,249</w:t>
            </w:r>
          </w:p>
        </w:tc>
        <w:tc>
          <w:tcPr>
            <w:tcW w:w="1275" w:type="dxa"/>
          </w:tcPr>
          <w:p w:rsidR="00196238" w:rsidRDefault="00E37F96" w:rsidP="00BF2B41">
            <w:pPr>
              <w:pStyle w:val="NoSpacing"/>
              <w:jc w:val="right"/>
            </w:pPr>
            <w:r>
              <w:t>1,715</w:t>
            </w:r>
          </w:p>
        </w:tc>
        <w:tc>
          <w:tcPr>
            <w:tcW w:w="1276" w:type="dxa"/>
          </w:tcPr>
          <w:p w:rsidR="00196238" w:rsidRDefault="00E37F96" w:rsidP="00BF2B41">
            <w:pPr>
              <w:pStyle w:val="NoSpacing"/>
              <w:jc w:val="right"/>
            </w:pPr>
            <w:r>
              <w:t>2,186</w:t>
            </w:r>
          </w:p>
        </w:tc>
      </w:tr>
      <w:tr w:rsidR="00196238" w:rsidTr="00196238">
        <w:tc>
          <w:tcPr>
            <w:tcW w:w="5529" w:type="dxa"/>
          </w:tcPr>
          <w:p w:rsidR="00196238" w:rsidRDefault="00196238" w:rsidP="00BF2B41">
            <w:pPr>
              <w:pStyle w:val="NoSpacing"/>
            </w:pPr>
            <w:r>
              <w:t>Annual leave</w:t>
            </w:r>
          </w:p>
        </w:tc>
        <w:tc>
          <w:tcPr>
            <w:tcW w:w="1276" w:type="dxa"/>
          </w:tcPr>
          <w:p w:rsidR="00196238" w:rsidRDefault="00E37F96" w:rsidP="00BF2B41">
            <w:pPr>
              <w:pStyle w:val="NoSpacing"/>
              <w:jc w:val="right"/>
            </w:pPr>
            <w:r>
              <w:t>2,209</w:t>
            </w:r>
          </w:p>
        </w:tc>
        <w:tc>
          <w:tcPr>
            <w:tcW w:w="1276" w:type="dxa"/>
          </w:tcPr>
          <w:p w:rsidR="00196238" w:rsidRDefault="00E37F96" w:rsidP="00BF2B41">
            <w:pPr>
              <w:pStyle w:val="NoSpacing"/>
              <w:jc w:val="right"/>
            </w:pPr>
            <w:r>
              <w:t>1,248</w:t>
            </w:r>
          </w:p>
        </w:tc>
        <w:tc>
          <w:tcPr>
            <w:tcW w:w="1275" w:type="dxa"/>
          </w:tcPr>
          <w:p w:rsidR="00196238" w:rsidRDefault="00E37F96" w:rsidP="00BF2B41">
            <w:pPr>
              <w:pStyle w:val="NoSpacing"/>
              <w:jc w:val="right"/>
            </w:pPr>
            <w:r>
              <w:t>2,153</w:t>
            </w:r>
          </w:p>
        </w:tc>
        <w:tc>
          <w:tcPr>
            <w:tcW w:w="1276" w:type="dxa"/>
          </w:tcPr>
          <w:p w:rsidR="00196238" w:rsidRDefault="00E37F96" w:rsidP="00BF2B41">
            <w:pPr>
              <w:pStyle w:val="NoSpacing"/>
              <w:jc w:val="right"/>
            </w:pPr>
            <w:r>
              <w:t>1,188</w:t>
            </w:r>
          </w:p>
        </w:tc>
      </w:tr>
      <w:tr w:rsidR="00196238" w:rsidTr="00196238">
        <w:tc>
          <w:tcPr>
            <w:tcW w:w="5529" w:type="dxa"/>
          </w:tcPr>
          <w:p w:rsidR="00196238" w:rsidRDefault="00196238" w:rsidP="00BF2B41">
            <w:pPr>
              <w:pStyle w:val="NoSpacing"/>
            </w:pPr>
            <w:r>
              <w:t>Termination benefits</w:t>
            </w:r>
          </w:p>
        </w:tc>
        <w:tc>
          <w:tcPr>
            <w:tcW w:w="1276" w:type="dxa"/>
          </w:tcPr>
          <w:p w:rsidR="00196238" w:rsidRDefault="00E37F96" w:rsidP="00BF2B41">
            <w:pPr>
              <w:pStyle w:val="NoSpacing"/>
              <w:jc w:val="right"/>
            </w:pPr>
            <w:r>
              <w:t>102</w:t>
            </w:r>
          </w:p>
        </w:tc>
        <w:tc>
          <w:tcPr>
            <w:tcW w:w="1276" w:type="dxa"/>
          </w:tcPr>
          <w:p w:rsidR="00196238" w:rsidRDefault="00E37F96" w:rsidP="00BF2B41">
            <w:pPr>
              <w:pStyle w:val="NoSpacing"/>
              <w:jc w:val="right"/>
            </w:pPr>
            <w:r>
              <w:t>93</w:t>
            </w:r>
          </w:p>
        </w:tc>
        <w:tc>
          <w:tcPr>
            <w:tcW w:w="1275" w:type="dxa"/>
          </w:tcPr>
          <w:p w:rsidR="00196238" w:rsidRDefault="00E37F96" w:rsidP="00BF2B41">
            <w:pPr>
              <w:pStyle w:val="NoSpacing"/>
              <w:jc w:val="right"/>
            </w:pPr>
            <w:r>
              <w:t>102</w:t>
            </w:r>
          </w:p>
        </w:tc>
        <w:tc>
          <w:tcPr>
            <w:tcW w:w="1276" w:type="dxa"/>
          </w:tcPr>
          <w:p w:rsidR="00196238" w:rsidRDefault="00E37F96" w:rsidP="00BF2B41">
            <w:pPr>
              <w:pStyle w:val="NoSpacing"/>
              <w:jc w:val="right"/>
            </w:pPr>
            <w:r>
              <w:t>93</w:t>
            </w:r>
          </w:p>
        </w:tc>
      </w:tr>
      <w:tr w:rsidR="00196238" w:rsidTr="00196238">
        <w:tc>
          <w:tcPr>
            <w:tcW w:w="5529" w:type="dxa"/>
          </w:tcPr>
          <w:p w:rsidR="00196238" w:rsidRDefault="00196238" w:rsidP="00BF2B41">
            <w:pPr>
              <w:pStyle w:val="NoSpacing"/>
            </w:pPr>
            <w:r>
              <w:t xml:space="preserve">Other </w:t>
            </w:r>
          </w:p>
        </w:tc>
        <w:tc>
          <w:tcPr>
            <w:tcW w:w="1276" w:type="dxa"/>
          </w:tcPr>
          <w:p w:rsidR="00196238" w:rsidRDefault="00E37F96" w:rsidP="00BF2B41">
            <w:pPr>
              <w:pStyle w:val="NoSpacing"/>
              <w:jc w:val="right"/>
            </w:pPr>
            <w:r>
              <w:t>139</w:t>
            </w:r>
          </w:p>
        </w:tc>
        <w:tc>
          <w:tcPr>
            <w:tcW w:w="1276" w:type="dxa"/>
          </w:tcPr>
          <w:p w:rsidR="00196238" w:rsidRDefault="00E37F96" w:rsidP="00BF2B41">
            <w:pPr>
              <w:pStyle w:val="NoSpacing"/>
              <w:jc w:val="right"/>
            </w:pPr>
            <w:r>
              <w:t>109</w:t>
            </w:r>
          </w:p>
        </w:tc>
        <w:tc>
          <w:tcPr>
            <w:tcW w:w="1275" w:type="dxa"/>
          </w:tcPr>
          <w:p w:rsidR="00196238" w:rsidRDefault="00E37F96" w:rsidP="00BF2B41">
            <w:pPr>
              <w:pStyle w:val="NoSpacing"/>
              <w:jc w:val="right"/>
            </w:pPr>
            <w:r>
              <w:t>139</w:t>
            </w:r>
          </w:p>
        </w:tc>
        <w:tc>
          <w:tcPr>
            <w:tcW w:w="1276" w:type="dxa"/>
          </w:tcPr>
          <w:p w:rsidR="00196238" w:rsidRDefault="00E37F96" w:rsidP="00BF2B41">
            <w:pPr>
              <w:pStyle w:val="NoSpacing"/>
              <w:jc w:val="right"/>
            </w:pPr>
            <w:r>
              <w:t>108</w:t>
            </w:r>
          </w:p>
        </w:tc>
      </w:tr>
      <w:tr w:rsidR="00196238" w:rsidTr="00196238">
        <w:tc>
          <w:tcPr>
            <w:tcW w:w="5529" w:type="dxa"/>
          </w:tcPr>
          <w:p w:rsidR="00196238" w:rsidRDefault="00196238" w:rsidP="00BF2B41">
            <w:pPr>
              <w:pStyle w:val="NoSpacing"/>
            </w:pPr>
            <w:r>
              <w:t xml:space="preserve">Total employee benefits </w:t>
            </w:r>
          </w:p>
        </w:tc>
        <w:tc>
          <w:tcPr>
            <w:tcW w:w="1276" w:type="dxa"/>
          </w:tcPr>
          <w:p w:rsidR="00196238" w:rsidRDefault="00E37F96" w:rsidP="00BF2B41">
            <w:pPr>
              <w:pStyle w:val="NoSpacing"/>
              <w:jc w:val="right"/>
            </w:pPr>
            <w:r>
              <w:t>107,411</w:t>
            </w:r>
          </w:p>
        </w:tc>
        <w:tc>
          <w:tcPr>
            <w:tcW w:w="1276" w:type="dxa"/>
          </w:tcPr>
          <w:p w:rsidR="00196238" w:rsidRDefault="00E37F96" w:rsidP="00BF2B41">
            <w:pPr>
              <w:pStyle w:val="NoSpacing"/>
              <w:jc w:val="right"/>
            </w:pPr>
            <w:r>
              <w:t>91,045</w:t>
            </w:r>
          </w:p>
        </w:tc>
        <w:tc>
          <w:tcPr>
            <w:tcW w:w="1275" w:type="dxa"/>
          </w:tcPr>
          <w:p w:rsidR="00196238" w:rsidRDefault="00E37F96" w:rsidP="00BF2B41">
            <w:pPr>
              <w:pStyle w:val="NoSpacing"/>
              <w:jc w:val="right"/>
            </w:pPr>
            <w:r>
              <w:t>103,097</w:t>
            </w:r>
          </w:p>
        </w:tc>
        <w:tc>
          <w:tcPr>
            <w:tcW w:w="1276" w:type="dxa"/>
          </w:tcPr>
          <w:p w:rsidR="00196238" w:rsidRDefault="00E37F96" w:rsidP="00BF2B41">
            <w:pPr>
              <w:pStyle w:val="NoSpacing"/>
              <w:jc w:val="right"/>
            </w:pPr>
            <w:r>
              <w:t>88,570</w:t>
            </w:r>
          </w:p>
        </w:tc>
      </w:tr>
    </w:tbl>
    <w:p w:rsidR="00E37F96" w:rsidRDefault="00E37F96" w:rsidP="005942B8">
      <w:pPr>
        <w:pStyle w:val="NoSpacing"/>
      </w:pPr>
    </w:p>
    <w:p w:rsidR="00E37F96" w:rsidRDefault="00E37F96" w:rsidP="005942B8">
      <w:pPr>
        <w:pStyle w:val="NoSpacing"/>
      </w:pPr>
      <w:r>
        <w:t>Employee expenses include all costs related to employment, including wages and salaries, fringe benefits tax, leave entitlements, termination payments and WorkCover premiums. Superannuation expenses / benefits disclosed above are employer contributions that are paid or payable during the reporting period.</w:t>
      </w:r>
    </w:p>
    <w:p w:rsidR="00E37F96" w:rsidRDefault="00E37F96" w:rsidP="005942B8">
      <w:pPr>
        <w:pStyle w:val="NoSpacing"/>
      </w:pPr>
    </w:p>
    <w:p w:rsidR="00E37F96" w:rsidRDefault="00E37F96" w:rsidP="005942B8">
      <w:pPr>
        <w:pStyle w:val="NoSpacing"/>
      </w:pPr>
      <w:r>
        <w:t>Termination benefits are payable when employment is terminated before the normal retirement date, or when an employee accepts voluntary redundancy in exchange for these benefits. Chisholm Group recognises termination benefits when it is demonstrably</w:t>
      </w:r>
      <w:r w:rsidR="0023631C">
        <w:t xml:space="preserve"> committed to wither terminating the employment of current employees according to a detailed formal plan without possibility of withdrawal or providing termination benefits as a result of an offer made to encourage voluntary redundancy.  Benefits falling due more than 12 months after balance sheet date are discounted to present value.</w:t>
      </w:r>
      <w:r>
        <w:t xml:space="preserve"> </w:t>
      </w:r>
    </w:p>
    <w:p w:rsidR="00E37F96" w:rsidRDefault="00E37F96" w:rsidP="005942B8">
      <w:pPr>
        <w:pStyle w:val="NoSpacing"/>
      </w:pPr>
    </w:p>
    <w:p w:rsidR="0023631C" w:rsidRDefault="00A84F19" w:rsidP="00681D4D">
      <w:pPr>
        <w:pStyle w:val="Heading4"/>
      </w:pPr>
      <w:r>
        <w:t>3.1.2 Employee benefits in the balance sheet</w:t>
      </w: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A84F19" w:rsidTr="00BF2B41">
        <w:trPr>
          <w:gridBefore w:val="1"/>
          <w:wBefore w:w="5529" w:type="dxa"/>
        </w:trPr>
        <w:tc>
          <w:tcPr>
            <w:tcW w:w="2552" w:type="dxa"/>
            <w:gridSpan w:val="2"/>
          </w:tcPr>
          <w:p w:rsidR="00A84F19" w:rsidRDefault="00A84F19" w:rsidP="00BF2B41">
            <w:pPr>
              <w:pStyle w:val="NoSpacing"/>
              <w:jc w:val="right"/>
            </w:pPr>
            <w:r>
              <w:t>Consolidated</w:t>
            </w:r>
          </w:p>
        </w:tc>
        <w:tc>
          <w:tcPr>
            <w:tcW w:w="2551" w:type="dxa"/>
            <w:gridSpan w:val="2"/>
          </w:tcPr>
          <w:p w:rsidR="00A84F19" w:rsidRDefault="00A84F19" w:rsidP="00BF2B41">
            <w:pPr>
              <w:pStyle w:val="NoSpacing"/>
              <w:jc w:val="right"/>
            </w:pPr>
            <w:r>
              <w:t>Chisholm</w:t>
            </w:r>
          </w:p>
        </w:tc>
      </w:tr>
      <w:tr w:rsidR="00A84F19" w:rsidTr="00BF2B41">
        <w:trPr>
          <w:gridBefore w:val="1"/>
          <w:wBefore w:w="5529" w:type="dxa"/>
        </w:trPr>
        <w:tc>
          <w:tcPr>
            <w:tcW w:w="1276" w:type="dxa"/>
          </w:tcPr>
          <w:p w:rsidR="00A84F19" w:rsidRDefault="00A84F19" w:rsidP="00BF2B41">
            <w:pPr>
              <w:pStyle w:val="NoSpacing"/>
              <w:jc w:val="right"/>
            </w:pPr>
            <w:r>
              <w:t>2019</w:t>
            </w:r>
          </w:p>
        </w:tc>
        <w:tc>
          <w:tcPr>
            <w:tcW w:w="1276" w:type="dxa"/>
          </w:tcPr>
          <w:p w:rsidR="00A84F19" w:rsidRDefault="00A84F19" w:rsidP="00BF2B41">
            <w:pPr>
              <w:pStyle w:val="NoSpacing"/>
              <w:jc w:val="right"/>
            </w:pPr>
            <w:r>
              <w:t>2018</w:t>
            </w:r>
          </w:p>
        </w:tc>
        <w:tc>
          <w:tcPr>
            <w:tcW w:w="1275" w:type="dxa"/>
          </w:tcPr>
          <w:p w:rsidR="00A84F19" w:rsidRDefault="00A84F19" w:rsidP="00BF2B41">
            <w:pPr>
              <w:pStyle w:val="NoSpacing"/>
              <w:jc w:val="right"/>
            </w:pPr>
            <w:r>
              <w:t>2019</w:t>
            </w:r>
          </w:p>
        </w:tc>
        <w:tc>
          <w:tcPr>
            <w:tcW w:w="1276" w:type="dxa"/>
          </w:tcPr>
          <w:p w:rsidR="00A84F19" w:rsidRDefault="00A84F19" w:rsidP="00BF2B41">
            <w:pPr>
              <w:pStyle w:val="NoSpacing"/>
              <w:jc w:val="right"/>
            </w:pPr>
            <w:r>
              <w:t>2018</w:t>
            </w:r>
          </w:p>
        </w:tc>
      </w:tr>
      <w:tr w:rsidR="00A84F19" w:rsidTr="00BF2B41">
        <w:trPr>
          <w:gridBefore w:val="1"/>
          <w:wBefore w:w="5529" w:type="dxa"/>
        </w:trPr>
        <w:tc>
          <w:tcPr>
            <w:tcW w:w="1276" w:type="dxa"/>
          </w:tcPr>
          <w:p w:rsidR="00A84F19" w:rsidRDefault="00A84F19" w:rsidP="00BF2B41">
            <w:pPr>
              <w:pStyle w:val="NoSpacing"/>
              <w:jc w:val="right"/>
            </w:pPr>
            <w:r>
              <w:t>$’000</w:t>
            </w:r>
          </w:p>
        </w:tc>
        <w:tc>
          <w:tcPr>
            <w:tcW w:w="1276" w:type="dxa"/>
          </w:tcPr>
          <w:p w:rsidR="00A84F19" w:rsidRDefault="00A84F19" w:rsidP="00BF2B41">
            <w:pPr>
              <w:jc w:val="right"/>
            </w:pPr>
            <w:r w:rsidRPr="00105D59">
              <w:t>$’000</w:t>
            </w:r>
          </w:p>
        </w:tc>
        <w:tc>
          <w:tcPr>
            <w:tcW w:w="1275" w:type="dxa"/>
          </w:tcPr>
          <w:p w:rsidR="00A84F19" w:rsidRDefault="00A84F19" w:rsidP="00BF2B41">
            <w:pPr>
              <w:jc w:val="right"/>
            </w:pPr>
            <w:r w:rsidRPr="00105D59">
              <w:t>$’000</w:t>
            </w:r>
          </w:p>
        </w:tc>
        <w:tc>
          <w:tcPr>
            <w:tcW w:w="1276" w:type="dxa"/>
          </w:tcPr>
          <w:p w:rsidR="00A84F19" w:rsidRDefault="00A84F19" w:rsidP="00BF2B41">
            <w:pPr>
              <w:jc w:val="right"/>
            </w:pPr>
            <w:r w:rsidRPr="00105D59">
              <w:t>$’000</w:t>
            </w:r>
          </w:p>
        </w:tc>
      </w:tr>
      <w:tr w:rsidR="0023631C" w:rsidTr="0023631C">
        <w:tc>
          <w:tcPr>
            <w:tcW w:w="5529" w:type="dxa"/>
          </w:tcPr>
          <w:p w:rsidR="0023631C" w:rsidRDefault="0023631C" w:rsidP="00A84F19">
            <w:pPr>
              <w:pStyle w:val="NoSpacing"/>
            </w:pPr>
            <w:r>
              <w:t xml:space="preserve">Employee benefits – current </w:t>
            </w:r>
          </w:p>
        </w:tc>
        <w:tc>
          <w:tcPr>
            <w:tcW w:w="1276" w:type="dxa"/>
          </w:tcPr>
          <w:p w:rsidR="0023631C" w:rsidRDefault="0023631C" w:rsidP="0023631C">
            <w:pPr>
              <w:pStyle w:val="NoSpacing"/>
              <w:jc w:val="right"/>
            </w:pPr>
            <w:r>
              <w:t>11,200</w:t>
            </w:r>
          </w:p>
        </w:tc>
        <w:tc>
          <w:tcPr>
            <w:tcW w:w="1276" w:type="dxa"/>
          </w:tcPr>
          <w:p w:rsidR="0023631C" w:rsidRDefault="0023631C" w:rsidP="0023631C">
            <w:pPr>
              <w:pStyle w:val="NoSpacing"/>
              <w:jc w:val="right"/>
            </w:pPr>
            <w:r>
              <w:t>9,780</w:t>
            </w:r>
          </w:p>
        </w:tc>
        <w:tc>
          <w:tcPr>
            <w:tcW w:w="1275" w:type="dxa"/>
          </w:tcPr>
          <w:p w:rsidR="0023631C" w:rsidRDefault="0023631C" w:rsidP="0023631C">
            <w:pPr>
              <w:pStyle w:val="NoSpacing"/>
              <w:jc w:val="right"/>
            </w:pPr>
            <w:r>
              <w:t>11,126</w:t>
            </w:r>
          </w:p>
        </w:tc>
        <w:tc>
          <w:tcPr>
            <w:tcW w:w="1276" w:type="dxa"/>
          </w:tcPr>
          <w:p w:rsidR="0023631C" w:rsidRDefault="0023631C" w:rsidP="0023631C">
            <w:pPr>
              <w:pStyle w:val="NoSpacing"/>
              <w:jc w:val="right"/>
            </w:pPr>
            <w:r>
              <w:t>9,711</w:t>
            </w:r>
          </w:p>
        </w:tc>
      </w:tr>
      <w:tr w:rsidR="00A84F19" w:rsidTr="00BF2B41">
        <w:tc>
          <w:tcPr>
            <w:tcW w:w="5529" w:type="dxa"/>
          </w:tcPr>
          <w:p w:rsidR="00A84F19" w:rsidRDefault="0023631C" w:rsidP="00BF2B41">
            <w:pPr>
              <w:pStyle w:val="NoSpacing"/>
            </w:pPr>
            <w:r>
              <w:t>Employee benefits – non-current</w:t>
            </w:r>
          </w:p>
        </w:tc>
        <w:tc>
          <w:tcPr>
            <w:tcW w:w="1276" w:type="dxa"/>
          </w:tcPr>
          <w:p w:rsidR="00A84F19" w:rsidRDefault="0023631C" w:rsidP="0023631C">
            <w:pPr>
              <w:pStyle w:val="NoSpacing"/>
              <w:jc w:val="right"/>
            </w:pPr>
            <w:r>
              <w:t>1,188</w:t>
            </w:r>
          </w:p>
        </w:tc>
        <w:tc>
          <w:tcPr>
            <w:tcW w:w="1276" w:type="dxa"/>
          </w:tcPr>
          <w:p w:rsidR="00A84F19" w:rsidRDefault="0023631C" w:rsidP="0023631C">
            <w:pPr>
              <w:pStyle w:val="NoSpacing"/>
              <w:jc w:val="right"/>
            </w:pPr>
            <w:r>
              <w:t>1,184</w:t>
            </w:r>
          </w:p>
        </w:tc>
        <w:tc>
          <w:tcPr>
            <w:tcW w:w="1275" w:type="dxa"/>
          </w:tcPr>
          <w:p w:rsidR="00A84F19" w:rsidRDefault="0023631C" w:rsidP="0023631C">
            <w:pPr>
              <w:pStyle w:val="NoSpacing"/>
              <w:jc w:val="right"/>
            </w:pPr>
            <w:r>
              <w:t>1,150</w:t>
            </w:r>
          </w:p>
        </w:tc>
        <w:tc>
          <w:tcPr>
            <w:tcW w:w="1276" w:type="dxa"/>
          </w:tcPr>
          <w:p w:rsidR="00A84F19" w:rsidRDefault="0023631C" w:rsidP="0023631C">
            <w:pPr>
              <w:pStyle w:val="NoSpacing"/>
              <w:jc w:val="right"/>
            </w:pPr>
            <w:r>
              <w:t>1,116</w:t>
            </w:r>
          </w:p>
        </w:tc>
      </w:tr>
      <w:tr w:rsidR="00A84F19" w:rsidTr="00BF2B41">
        <w:tc>
          <w:tcPr>
            <w:tcW w:w="5529" w:type="dxa"/>
          </w:tcPr>
          <w:p w:rsidR="00A84F19" w:rsidRDefault="0023631C" w:rsidP="00BF2B41">
            <w:pPr>
              <w:pStyle w:val="NoSpacing"/>
            </w:pPr>
            <w:r>
              <w:lastRenderedPageBreak/>
              <w:t>Total employee provisions</w:t>
            </w:r>
          </w:p>
        </w:tc>
        <w:tc>
          <w:tcPr>
            <w:tcW w:w="1276" w:type="dxa"/>
          </w:tcPr>
          <w:p w:rsidR="00A84F19" w:rsidRDefault="0023631C" w:rsidP="0023631C">
            <w:pPr>
              <w:pStyle w:val="NoSpacing"/>
              <w:jc w:val="right"/>
            </w:pPr>
            <w:r>
              <w:t>12,388</w:t>
            </w:r>
          </w:p>
        </w:tc>
        <w:tc>
          <w:tcPr>
            <w:tcW w:w="1276" w:type="dxa"/>
          </w:tcPr>
          <w:p w:rsidR="00A84F19" w:rsidRDefault="0023631C" w:rsidP="0023631C">
            <w:pPr>
              <w:pStyle w:val="NoSpacing"/>
              <w:jc w:val="right"/>
            </w:pPr>
            <w:r>
              <w:t>10,964</w:t>
            </w:r>
          </w:p>
        </w:tc>
        <w:tc>
          <w:tcPr>
            <w:tcW w:w="1275" w:type="dxa"/>
          </w:tcPr>
          <w:p w:rsidR="00A84F19" w:rsidRDefault="0023631C" w:rsidP="0023631C">
            <w:pPr>
              <w:pStyle w:val="NoSpacing"/>
              <w:jc w:val="right"/>
            </w:pPr>
            <w:r>
              <w:t>12,276</w:t>
            </w:r>
          </w:p>
        </w:tc>
        <w:tc>
          <w:tcPr>
            <w:tcW w:w="1276" w:type="dxa"/>
          </w:tcPr>
          <w:p w:rsidR="00A84F19" w:rsidRDefault="0023631C" w:rsidP="0023631C">
            <w:pPr>
              <w:pStyle w:val="NoSpacing"/>
              <w:jc w:val="right"/>
            </w:pPr>
            <w:r>
              <w:t>10,827</w:t>
            </w:r>
          </w:p>
        </w:tc>
      </w:tr>
    </w:tbl>
    <w:p w:rsidR="00A84F19" w:rsidRDefault="00A84F19" w:rsidP="005942B8">
      <w:pPr>
        <w:pStyle w:val="NoSpacing"/>
      </w:pPr>
    </w:p>
    <w:p w:rsidR="0023631C" w:rsidRPr="0023631C" w:rsidRDefault="0023631C" w:rsidP="0023631C">
      <w:pPr>
        <w:pStyle w:val="NoSpacing"/>
      </w:pPr>
      <w:r w:rsidRPr="0023631C">
        <w:t>The leave obligations cover Chisholm Group’s liabilities for long service leave and annual leave, which are classified as either other long-term benefits or short-term benefits.</w:t>
      </w:r>
    </w:p>
    <w:p w:rsidR="0023631C" w:rsidRDefault="0023631C" w:rsidP="005942B8">
      <w:pPr>
        <w:pStyle w:val="NoSpacing"/>
      </w:pPr>
    </w:p>
    <w:p w:rsidR="0023631C" w:rsidRDefault="0023631C" w:rsidP="005942B8">
      <w:pPr>
        <w:pStyle w:val="NoSpacing"/>
      </w:pPr>
      <w:r>
        <w:t xml:space="preserve">The current portion of this liability includes all of the accrued annual leave, the unconditional entitlements to long service leave where employees have completed the required period of service and also for those employees that are entitled to pro rata payments in certain circumstances. The entire </w:t>
      </w:r>
      <w:r w:rsidR="00CB6D14">
        <w:t>amount of the provision of $11.2 million (2018: $9.8 million) is presented as current, since Chisholm Group does not have an unconditional right to defer settlement for any of these obligations. However, based on past experience, Chisholm Group does not expect all employees to tale the full amount of accrued leave or require payment within the next 12 months.</w:t>
      </w:r>
    </w:p>
    <w:p w:rsidR="00CB6D14" w:rsidRDefault="00CB6D14" w:rsidP="005942B8">
      <w:pPr>
        <w:pStyle w:val="NoSpacing"/>
      </w:pPr>
    </w:p>
    <w:p w:rsidR="00CB6D14" w:rsidRDefault="00CB6D14" w:rsidP="005942B8">
      <w:pPr>
        <w:pStyle w:val="NoSpacing"/>
      </w:pPr>
      <w:r>
        <w:t>The following amounts reflect leave that is not expected to be taken or paid within the next 12 months:</w:t>
      </w:r>
    </w:p>
    <w:p w:rsidR="00CB6D14" w:rsidRDefault="00CB6D14" w:rsidP="005942B8">
      <w:pPr>
        <w:pStyle w:val="NoSpacing"/>
      </w:pPr>
    </w:p>
    <w:p w:rsidR="00CB6D14" w:rsidRDefault="00CB6D14" w:rsidP="005942B8">
      <w:pPr>
        <w:pStyle w:val="NoSpacing"/>
      </w:pPr>
      <w:r>
        <w:t>&lt;page 60&gt;</w:t>
      </w:r>
    </w:p>
    <w:p w:rsidR="00CB6D14" w:rsidRDefault="00CB6D14" w:rsidP="005942B8">
      <w:pPr>
        <w:pStyle w:val="NoSpacing"/>
      </w:pPr>
    </w:p>
    <w:p w:rsidR="00CB6D14" w:rsidRDefault="00CB6D14" w:rsidP="00681D4D">
      <w:pPr>
        <w:pStyle w:val="Heading2"/>
      </w:pPr>
      <w:r>
        <w:t>3. How we expended our funds</w:t>
      </w:r>
    </w:p>
    <w:p w:rsidR="00681D4D" w:rsidRDefault="00681D4D" w:rsidP="00681D4D">
      <w:pPr>
        <w:pStyle w:val="NoSpacing"/>
      </w:pPr>
    </w:p>
    <w:p w:rsidR="00CB6D14" w:rsidRDefault="00CB6D14" w:rsidP="00681D4D">
      <w:pPr>
        <w:pStyle w:val="Heading3"/>
      </w:pPr>
      <w:r>
        <w:t>3.1 Employee benefits (continued)</w:t>
      </w:r>
    </w:p>
    <w:p w:rsidR="00681D4D" w:rsidRDefault="00681D4D" w:rsidP="00681D4D">
      <w:pPr>
        <w:pStyle w:val="NoSpacing"/>
      </w:pPr>
    </w:p>
    <w:p w:rsidR="00CB6D14" w:rsidRDefault="00CB6D14" w:rsidP="00CB6D14">
      <w:pPr>
        <w:pStyle w:val="Heading4"/>
      </w:pPr>
      <w:r>
        <w:t>3.1.2 Employee benefits in the balance sheet (continued)</w:t>
      </w:r>
    </w:p>
    <w:p w:rsidR="00CB6D14" w:rsidRDefault="00CB6D14" w:rsidP="005942B8">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CB6D14" w:rsidTr="003D73DB">
        <w:trPr>
          <w:gridBefore w:val="1"/>
          <w:wBefore w:w="5529" w:type="dxa"/>
        </w:trPr>
        <w:tc>
          <w:tcPr>
            <w:tcW w:w="2552" w:type="dxa"/>
            <w:gridSpan w:val="2"/>
          </w:tcPr>
          <w:p w:rsidR="00CB6D14" w:rsidRDefault="00CB6D14" w:rsidP="003D73DB">
            <w:pPr>
              <w:pStyle w:val="NoSpacing"/>
              <w:jc w:val="right"/>
            </w:pPr>
            <w:r>
              <w:t>Consolidated</w:t>
            </w:r>
          </w:p>
        </w:tc>
        <w:tc>
          <w:tcPr>
            <w:tcW w:w="2551" w:type="dxa"/>
            <w:gridSpan w:val="2"/>
          </w:tcPr>
          <w:p w:rsidR="00CB6D14" w:rsidRDefault="00CB6D14" w:rsidP="003D73DB">
            <w:pPr>
              <w:pStyle w:val="NoSpacing"/>
              <w:jc w:val="right"/>
            </w:pPr>
            <w:r>
              <w:t>Chisholm</w:t>
            </w:r>
          </w:p>
        </w:tc>
      </w:tr>
      <w:tr w:rsidR="00CB6D14" w:rsidTr="003D73DB">
        <w:trPr>
          <w:gridBefore w:val="1"/>
          <w:wBefore w:w="5529" w:type="dxa"/>
        </w:trPr>
        <w:tc>
          <w:tcPr>
            <w:tcW w:w="1276" w:type="dxa"/>
          </w:tcPr>
          <w:p w:rsidR="00CB6D14" w:rsidRDefault="00CB6D14" w:rsidP="003D73DB">
            <w:pPr>
              <w:pStyle w:val="NoSpacing"/>
              <w:jc w:val="right"/>
            </w:pPr>
            <w:r>
              <w:t>2019</w:t>
            </w:r>
          </w:p>
        </w:tc>
        <w:tc>
          <w:tcPr>
            <w:tcW w:w="1276" w:type="dxa"/>
          </w:tcPr>
          <w:p w:rsidR="00CB6D14" w:rsidRDefault="00CB6D14" w:rsidP="003D73DB">
            <w:pPr>
              <w:pStyle w:val="NoSpacing"/>
              <w:jc w:val="right"/>
            </w:pPr>
            <w:r>
              <w:t>2018</w:t>
            </w:r>
          </w:p>
        </w:tc>
        <w:tc>
          <w:tcPr>
            <w:tcW w:w="1275" w:type="dxa"/>
          </w:tcPr>
          <w:p w:rsidR="00CB6D14" w:rsidRDefault="00CB6D14" w:rsidP="003D73DB">
            <w:pPr>
              <w:pStyle w:val="NoSpacing"/>
              <w:jc w:val="right"/>
            </w:pPr>
            <w:r>
              <w:t>2019</w:t>
            </w:r>
          </w:p>
        </w:tc>
        <w:tc>
          <w:tcPr>
            <w:tcW w:w="1276" w:type="dxa"/>
          </w:tcPr>
          <w:p w:rsidR="00CB6D14" w:rsidRDefault="00CB6D14" w:rsidP="003D73DB">
            <w:pPr>
              <w:pStyle w:val="NoSpacing"/>
              <w:jc w:val="right"/>
            </w:pPr>
            <w:r>
              <w:t>2018</w:t>
            </w:r>
          </w:p>
        </w:tc>
      </w:tr>
      <w:tr w:rsidR="00CB6D14" w:rsidTr="003D73DB">
        <w:trPr>
          <w:gridBefore w:val="1"/>
          <w:wBefore w:w="5529" w:type="dxa"/>
        </w:trPr>
        <w:tc>
          <w:tcPr>
            <w:tcW w:w="1276" w:type="dxa"/>
          </w:tcPr>
          <w:p w:rsidR="00CB6D14" w:rsidRDefault="00CB6D14" w:rsidP="003D73DB">
            <w:pPr>
              <w:pStyle w:val="NoSpacing"/>
              <w:jc w:val="right"/>
            </w:pPr>
            <w:r>
              <w:t>$’000</w:t>
            </w:r>
          </w:p>
        </w:tc>
        <w:tc>
          <w:tcPr>
            <w:tcW w:w="1276" w:type="dxa"/>
          </w:tcPr>
          <w:p w:rsidR="00CB6D14" w:rsidRDefault="00CB6D14" w:rsidP="003D73DB">
            <w:pPr>
              <w:jc w:val="right"/>
            </w:pPr>
            <w:r w:rsidRPr="00105D59">
              <w:t>$’000</w:t>
            </w:r>
          </w:p>
        </w:tc>
        <w:tc>
          <w:tcPr>
            <w:tcW w:w="1275" w:type="dxa"/>
          </w:tcPr>
          <w:p w:rsidR="00CB6D14" w:rsidRDefault="00CB6D14" w:rsidP="003D73DB">
            <w:pPr>
              <w:jc w:val="right"/>
            </w:pPr>
            <w:r w:rsidRPr="00105D59">
              <w:t>$’000</w:t>
            </w:r>
          </w:p>
        </w:tc>
        <w:tc>
          <w:tcPr>
            <w:tcW w:w="1276" w:type="dxa"/>
          </w:tcPr>
          <w:p w:rsidR="00CB6D14" w:rsidRDefault="00CB6D14" w:rsidP="003D73DB">
            <w:pPr>
              <w:jc w:val="right"/>
            </w:pPr>
            <w:r w:rsidRPr="00105D59">
              <w:t>$’000</w:t>
            </w:r>
          </w:p>
        </w:tc>
      </w:tr>
      <w:tr w:rsidR="00CB6D14" w:rsidTr="003D73DB">
        <w:tc>
          <w:tcPr>
            <w:tcW w:w="5529" w:type="dxa"/>
          </w:tcPr>
          <w:p w:rsidR="00CB6D14" w:rsidRDefault="00CB6D14" w:rsidP="003D73DB">
            <w:pPr>
              <w:pStyle w:val="NoSpacing"/>
            </w:pPr>
            <w:r>
              <w:t>Current leave obligations expected to be settled after 12 months</w:t>
            </w:r>
          </w:p>
        </w:tc>
        <w:tc>
          <w:tcPr>
            <w:tcW w:w="1276" w:type="dxa"/>
          </w:tcPr>
          <w:p w:rsidR="00CB6D14" w:rsidRDefault="00CB6D14" w:rsidP="003D73DB">
            <w:pPr>
              <w:pStyle w:val="NoSpacing"/>
              <w:jc w:val="right"/>
            </w:pPr>
            <w:r>
              <w:t>7,217</w:t>
            </w:r>
          </w:p>
        </w:tc>
        <w:tc>
          <w:tcPr>
            <w:tcW w:w="1276" w:type="dxa"/>
          </w:tcPr>
          <w:p w:rsidR="00CB6D14" w:rsidRDefault="00CB6D14" w:rsidP="003D73DB">
            <w:pPr>
              <w:pStyle w:val="NoSpacing"/>
              <w:jc w:val="right"/>
            </w:pPr>
            <w:r>
              <w:t>6,287</w:t>
            </w:r>
          </w:p>
        </w:tc>
        <w:tc>
          <w:tcPr>
            <w:tcW w:w="1275" w:type="dxa"/>
          </w:tcPr>
          <w:p w:rsidR="00CB6D14" w:rsidRDefault="00CB6D14" w:rsidP="003D73DB">
            <w:pPr>
              <w:pStyle w:val="NoSpacing"/>
              <w:jc w:val="right"/>
            </w:pPr>
            <w:r>
              <w:t>7,212</w:t>
            </w:r>
          </w:p>
        </w:tc>
        <w:tc>
          <w:tcPr>
            <w:tcW w:w="1276" w:type="dxa"/>
          </w:tcPr>
          <w:p w:rsidR="00CB6D14" w:rsidRDefault="00CB6D14" w:rsidP="003D73DB">
            <w:pPr>
              <w:pStyle w:val="NoSpacing"/>
              <w:jc w:val="right"/>
            </w:pPr>
            <w:r>
              <w:t>6,280</w:t>
            </w:r>
          </w:p>
        </w:tc>
      </w:tr>
    </w:tbl>
    <w:p w:rsidR="0023631C" w:rsidRDefault="0023631C" w:rsidP="005942B8">
      <w:pPr>
        <w:pStyle w:val="NoSpacing"/>
      </w:pPr>
    </w:p>
    <w:p w:rsidR="00CB6D14" w:rsidRDefault="00CB6D14" w:rsidP="00681D4D">
      <w:pPr>
        <w:pStyle w:val="Heading4"/>
      </w:pPr>
      <w:r>
        <w:t>3.2 Superannuation</w:t>
      </w:r>
    </w:p>
    <w:p w:rsidR="00CB6D14" w:rsidRDefault="00CB6D14" w:rsidP="00CB6D14">
      <w:pPr>
        <w:pStyle w:val="NoSpacing"/>
      </w:pPr>
    </w:p>
    <w:p w:rsidR="00CB6D14" w:rsidRDefault="00CB6D14" w:rsidP="00CB6D14">
      <w:pPr>
        <w:pStyle w:val="NoSpacing"/>
      </w:pPr>
      <w:r>
        <w:t xml:space="preserve">Chisholm Group employees are entitled to receive superannuation benefits and Chisholm Group contributes to both defined benefit and defined contribution plans. </w:t>
      </w:r>
      <w:r w:rsidR="00052F70">
        <w:t xml:space="preserve">The defined benefit plan(s) provide benefits based in years of service and final average salary. </w:t>
      </w:r>
    </w:p>
    <w:p w:rsidR="003061E1" w:rsidRDefault="003061E1" w:rsidP="00CB6D14">
      <w:pPr>
        <w:pStyle w:val="NoSpacing"/>
      </w:pPr>
    </w:p>
    <w:p w:rsidR="003061E1" w:rsidRDefault="003061E1" w:rsidP="00CB6D14">
      <w:pPr>
        <w:pStyle w:val="NoSpacing"/>
      </w:pPr>
      <w:r>
        <w:t xml:space="preserve">Chisholm Group does not recognise any defined benefit liability in respect of the plan(s) because the entity has no legal or constructive obligation to pay future benefits relating to its employees; </w:t>
      </w:r>
      <w:r w:rsidR="00C157B6">
        <w:t>its only obligation is to pay superannuation contributions as they fall due. The Department of Treasury and Finance recognises and discloses the state’s defined benefit liabilities in its financial statements.</w:t>
      </w:r>
    </w:p>
    <w:p w:rsidR="00C157B6" w:rsidRDefault="00C157B6" w:rsidP="00CB6D14">
      <w:pPr>
        <w:pStyle w:val="NoSpacing"/>
      </w:pPr>
    </w:p>
    <w:p w:rsidR="00C157B6" w:rsidRDefault="00C157B6" w:rsidP="00CB6D14">
      <w:pPr>
        <w:pStyle w:val="NoSpacing"/>
      </w:pPr>
      <w:r>
        <w:t>However, superannuation contributions paid or payable for the reporting period are included as part of employee benefits in the comprehensive income statement.</w:t>
      </w:r>
    </w:p>
    <w:p w:rsidR="00C157B6" w:rsidRDefault="00C157B6" w:rsidP="00CB6D14">
      <w:pPr>
        <w:pStyle w:val="NoSpacing"/>
      </w:pPr>
    </w:p>
    <w:p w:rsidR="00C157B6" w:rsidRDefault="00C157B6" w:rsidP="00CB6D14">
      <w:pPr>
        <w:pStyle w:val="NoSpacing"/>
      </w:pPr>
      <w:r>
        <w:t>The name and details of the major employee superannuation finds and contributions made by Chisholm Group are as follows:</w:t>
      </w:r>
    </w:p>
    <w:p w:rsidR="00052F70" w:rsidRDefault="00052F70" w:rsidP="00CB6D14">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C157B6" w:rsidTr="003D73DB">
        <w:trPr>
          <w:gridBefore w:val="1"/>
          <w:wBefore w:w="5529" w:type="dxa"/>
        </w:trPr>
        <w:tc>
          <w:tcPr>
            <w:tcW w:w="2552" w:type="dxa"/>
            <w:gridSpan w:val="2"/>
          </w:tcPr>
          <w:p w:rsidR="00C157B6" w:rsidRDefault="00C157B6" w:rsidP="003D73DB">
            <w:pPr>
              <w:pStyle w:val="NoSpacing"/>
              <w:jc w:val="right"/>
            </w:pPr>
            <w:r>
              <w:t>Consolidated</w:t>
            </w:r>
          </w:p>
        </w:tc>
        <w:tc>
          <w:tcPr>
            <w:tcW w:w="2551" w:type="dxa"/>
            <w:gridSpan w:val="2"/>
          </w:tcPr>
          <w:p w:rsidR="00C157B6" w:rsidRDefault="00C157B6" w:rsidP="003D73DB">
            <w:pPr>
              <w:pStyle w:val="NoSpacing"/>
              <w:jc w:val="right"/>
            </w:pPr>
            <w:r>
              <w:t>Chisholm</w:t>
            </w:r>
          </w:p>
        </w:tc>
      </w:tr>
      <w:tr w:rsidR="00C157B6" w:rsidTr="003D73DB">
        <w:trPr>
          <w:gridBefore w:val="1"/>
          <w:wBefore w:w="5529" w:type="dxa"/>
        </w:trPr>
        <w:tc>
          <w:tcPr>
            <w:tcW w:w="1276" w:type="dxa"/>
          </w:tcPr>
          <w:p w:rsidR="00C157B6" w:rsidRDefault="00C157B6" w:rsidP="003D73DB">
            <w:pPr>
              <w:pStyle w:val="NoSpacing"/>
              <w:jc w:val="right"/>
            </w:pPr>
            <w:r>
              <w:t>2019</w:t>
            </w:r>
          </w:p>
        </w:tc>
        <w:tc>
          <w:tcPr>
            <w:tcW w:w="1276" w:type="dxa"/>
          </w:tcPr>
          <w:p w:rsidR="00C157B6" w:rsidRDefault="00C157B6" w:rsidP="003D73DB">
            <w:pPr>
              <w:pStyle w:val="NoSpacing"/>
              <w:jc w:val="right"/>
            </w:pPr>
            <w:r>
              <w:t>2018</w:t>
            </w:r>
          </w:p>
        </w:tc>
        <w:tc>
          <w:tcPr>
            <w:tcW w:w="1275" w:type="dxa"/>
          </w:tcPr>
          <w:p w:rsidR="00C157B6" w:rsidRDefault="00C157B6" w:rsidP="003D73DB">
            <w:pPr>
              <w:pStyle w:val="NoSpacing"/>
              <w:jc w:val="right"/>
            </w:pPr>
            <w:r>
              <w:t>2019</w:t>
            </w:r>
          </w:p>
        </w:tc>
        <w:tc>
          <w:tcPr>
            <w:tcW w:w="1276" w:type="dxa"/>
          </w:tcPr>
          <w:p w:rsidR="00C157B6" w:rsidRDefault="00C157B6" w:rsidP="003D73DB">
            <w:pPr>
              <w:pStyle w:val="NoSpacing"/>
              <w:jc w:val="right"/>
            </w:pPr>
            <w:r>
              <w:t>2018</w:t>
            </w:r>
          </w:p>
        </w:tc>
      </w:tr>
      <w:tr w:rsidR="00C157B6" w:rsidTr="003D73DB">
        <w:trPr>
          <w:gridBefore w:val="1"/>
          <w:wBefore w:w="5529" w:type="dxa"/>
        </w:trPr>
        <w:tc>
          <w:tcPr>
            <w:tcW w:w="1276" w:type="dxa"/>
          </w:tcPr>
          <w:p w:rsidR="00C157B6" w:rsidRDefault="00C157B6" w:rsidP="003D73DB">
            <w:pPr>
              <w:pStyle w:val="NoSpacing"/>
              <w:jc w:val="right"/>
            </w:pPr>
            <w:r>
              <w:t>$’000</w:t>
            </w:r>
          </w:p>
        </w:tc>
        <w:tc>
          <w:tcPr>
            <w:tcW w:w="1276" w:type="dxa"/>
          </w:tcPr>
          <w:p w:rsidR="00C157B6" w:rsidRDefault="00C157B6" w:rsidP="003D73DB">
            <w:pPr>
              <w:jc w:val="right"/>
            </w:pPr>
            <w:r w:rsidRPr="00105D59">
              <w:t>$’000</w:t>
            </w:r>
          </w:p>
        </w:tc>
        <w:tc>
          <w:tcPr>
            <w:tcW w:w="1275" w:type="dxa"/>
          </w:tcPr>
          <w:p w:rsidR="00C157B6" w:rsidRDefault="00C157B6" w:rsidP="003D73DB">
            <w:pPr>
              <w:jc w:val="right"/>
            </w:pPr>
            <w:r w:rsidRPr="00105D59">
              <w:t>$’000</w:t>
            </w:r>
          </w:p>
        </w:tc>
        <w:tc>
          <w:tcPr>
            <w:tcW w:w="1276" w:type="dxa"/>
          </w:tcPr>
          <w:p w:rsidR="00C157B6" w:rsidRDefault="00C157B6" w:rsidP="003D73DB">
            <w:pPr>
              <w:jc w:val="right"/>
            </w:pPr>
            <w:r w:rsidRPr="00105D59">
              <w:t>$’000</w:t>
            </w:r>
          </w:p>
        </w:tc>
      </w:tr>
      <w:tr w:rsidR="00C157B6" w:rsidTr="003D73DB">
        <w:tc>
          <w:tcPr>
            <w:tcW w:w="10632" w:type="dxa"/>
            <w:gridSpan w:val="5"/>
          </w:tcPr>
          <w:p w:rsidR="00C157B6" w:rsidRDefault="00C157B6" w:rsidP="003D73DB">
            <w:pPr>
              <w:pStyle w:val="NoSpacing"/>
            </w:pPr>
            <w:r>
              <w:lastRenderedPageBreak/>
              <w:t>Paid contribution for the year</w:t>
            </w:r>
          </w:p>
        </w:tc>
      </w:tr>
      <w:tr w:rsidR="00C157B6" w:rsidTr="003D73DB">
        <w:tc>
          <w:tcPr>
            <w:tcW w:w="10632" w:type="dxa"/>
            <w:gridSpan w:val="5"/>
          </w:tcPr>
          <w:p w:rsidR="00C157B6" w:rsidRDefault="00C157B6" w:rsidP="00C157B6">
            <w:pPr>
              <w:pStyle w:val="NoSpacing"/>
            </w:pPr>
            <w:r>
              <w:t>Defined benefit plans:</w:t>
            </w:r>
          </w:p>
        </w:tc>
      </w:tr>
      <w:tr w:rsidR="00C157B6" w:rsidTr="003D73DB">
        <w:tc>
          <w:tcPr>
            <w:tcW w:w="5529" w:type="dxa"/>
          </w:tcPr>
          <w:p w:rsidR="00C157B6" w:rsidRDefault="00C157B6" w:rsidP="003D73DB">
            <w:pPr>
              <w:pStyle w:val="NoSpacing"/>
            </w:pPr>
            <w:r>
              <w:t>State Superannuation Fund – revised and new</w:t>
            </w:r>
          </w:p>
        </w:tc>
        <w:tc>
          <w:tcPr>
            <w:tcW w:w="1276" w:type="dxa"/>
          </w:tcPr>
          <w:p w:rsidR="00C157B6" w:rsidRDefault="00C157B6" w:rsidP="003D73DB">
            <w:pPr>
              <w:pStyle w:val="NoSpacing"/>
              <w:jc w:val="right"/>
            </w:pPr>
            <w:r>
              <w:t>258</w:t>
            </w:r>
          </w:p>
        </w:tc>
        <w:tc>
          <w:tcPr>
            <w:tcW w:w="1276" w:type="dxa"/>
          </w:tcPr>
          <w:p w:rsidR="00C157B6" w:rsidRDefault="00C157B6" w:rsidP="003D73DB">
            <w:pPr>
              <w:pStyle w:val="NoSpacing"/>
              <w:jc w:val="right"/>
            </w:pPr>
            <w:r>
              <w:t>264</w:t>
            </w:r>
          </w:p>
        </w:tc>
        <w:tc>
          <w:tcPr>
            <w:tcW w:w="1275" w:type="dxa"/>
          </w:tcPr>
          <w:p w:rsidR="00C157B6" w:rsidRDefault="00C157B6" w:rsidP="003D73DB">
            <w:pPr>
              <w:pStyle w:val="NoSpacing"/>
              <w:jc w:val="right"/>
            </w:pPr>
            <w:r>
              <w:t>258</w:t>
            </w:r>
          </w:p>
        </w:tc>
        <w:tc>
          <w:tcPr>
            <w:tcW w:w="1276" w:type="dxa"/>
          </w:tcPr>
          <w:p w:rsidR="00C157B6" w:rsidRDefault="00C157B6" w:rsidP="003D73DB">
            <w:pPr>
              <w:pStyle w:val="NoSpacing"/>
              <w:jc w:val="right"/>
            </w:pPr>
            <w:r>
              <w:t>264</w:t>
            </w:r>
          </w:p>
        </w:tc>
      </w:tr>
      <w:tr w:rsidR="00C157B6" w:rsidTr="003D73DB">
        <w:tc>
          <w:tcPr>
            <w:tcW w:w="5529" w:type="dxa"/>
          </w:tcPr>
          <w:p w:rsidR="00C157B6" w:rsidRDefault="00C157B6" w:rsidP="003D73DB">
            <w:pPr>
              <w:pStyle w:val="NoSpacing"/>
            </w:pPr>
            <w:r>
              <w:t>Total defined benefit plans</w:t>
            </w:r>
          </w:p>
        </w:tc>
        <w:tc>
          <w:tcPr>
            <w:tcW w:w="1276" w:type="dxa"/>
          </w:tcPr>
          <w:p w:rsidR="00C157B6" w:rsidRDefault="00C157B6" w:rsidP="003D73DB">
            <w:pPr>
              <w:pStyle w:val="NoSpacing"/>
              <w:jc w:val="right"/>
            </w:pPr>
            <w:r>
              <w:t>258</w:t>
            </w:r>
          </w:p>
        </w:tc>
        <w:tc>
          <w:tcPr>
            <w:tcW w:w="1276" w:type="dxa"/>
          </w:tcPr>
          <w:p w:rsidR="00C157B6" w:rsidRDefault="00C157B6" w:rsidP="003D73DB">
            <w:pPr>
              <w:pStyle w:val="NoSpacing"/>
              <w:jc w:val="right"/>
            </w:pPr>
            <w:r>
              <w:t>264</w:t>
            </w:r>
          </w:p>
        </w:tc>
        <w:tc>
          <w:tcPr>
            <w:tcW w:w="1275" w:type="dxa"/>
          </w:tcPr>
          <w:p w:rsidR="00C157B6" w:rsidRDefault="00C157B6" w:rsidP="003D73DB">
            <w:pPr>
              <w:pStyle w:val="NoSpacing"/>
              <w:jc w:val="right"/>
            </w:pPr>
            <w:r>
              <w:t>258</w:t>
            </w:r>
          </w:p>
        </w:tc>
        <w:tc>
          <w:tcPr>
            <w:tcW w:w="1276" w:type="dxa"/>
          </w:tcPr>
          <w:p w:rsidR="00C157B6" w:rsidRDefault="00C157B6" w:rsidP="003D73DB">
            <w:pPr>
              <w:pStyle w:val="NoSpacing"/>
              <w:jc w:val="right"/>
            </w:pPr>
            <w:r>
              <w:t>264</w:t>
            </w:r>
          </w:p>
        </w:tc>
      </w:tr>
    </w:tbl>
    <w:p w:rsidR="00052F70" w:rsidRPr="00CB6D14" w:rsidRDefault="00052F70" w:rsidP="00CB6D14">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C157B6" w:rsidTr="003D73DB">
        <w:tc>
          <w:tcPr>
            <w:tcW w:w="10632" w:type="dxa"/>
            <w:gridSpan w:val="5"/>
          </w:tcPr>
          <w:p w:rsidR="00C157B6" w:rsidRDefault="00C157B6" w:rsidP="003D73DB">
            <w:pPr>
              <w:pStyle w:val="NoSpacing"/>
            </w:pPr>
            <w:r>
              <w:t>Accumulation contribution plans:</w:t>
            </w:r>
          </w:p>
        </w:tc>
      </w:tr>
      <w:tr w:rsidR="00C157B6" w:rsidTr="003D73DB">
        <w:tc>
          <w:tcPr>
            <w:tcW w:w="5529" w:type="dxa"/>
          </w:tcPr>
          <w:p w:rsidR="00C157B6" w:rsidRDefault="00C157B6" w:rsidP="003D73DB">
            <w:pPr>
              <w:pStyle w:val="NoSpacing"/>
            </w:pPr>
            <w:r>
              <w:t>VicSuper</w:t>
            </w:r>
          </w:p>
        </w:tc>
        <w:tc>
          <w:tcPr>
            <w:tcW w:w="1276" w:type="dxa"/>
          </w:tcPr>
          <w:p w:rsidR="00C157B6" w:rsidRDefault="00C157B6" w:rsidP="003D73DB">
            <w:pPr>
              <w:pStyle w:val="NoSpacing"/>
              <w:jc w:val="right"/>
            </w:pPr>
            <w:r>
              <w:t>4,018</w:t>
            </w:r>
          </w:p>
        </w:tc>
        <w:tc>
          <w:tcPr>
            <w:tcW w:w="1276" w:type="dxa"/>
          </w:tcPr>
          <w:p w:rsidR="00C157B6" w:rsidRDefault="00C157B6" w:rsidP="003D73DB">
            <w:pPr>
              <w:pStyle w:val="NoSpacing"/>
              <w:jc w:val="right"/>
            </w:pPr>
            <w:r>
              <w:t>3,444</w:t>
            </w:r>
          </w:p>
        </w:tc>
        <w:tc>
          <w:tcPr>
            <w:tcW w:w="1275" w:type="dxa"/>
          </w:tcPr>
          <w:p w:rsidR="00C157B6" w:rsidRDefault="00C157B6" w:rsidP="003D73DB">
            <w:pPr>
              <w:pStyle w:val="NoSpacing"/>
              <w:jc w:val="right"/>
            </w:pPr>
            <w:r>
              <w:t>3,888</w:t>
            </w:r>
          </w:p>
        </w:tc>
        <w:tc>
          <w:tcPr>
            <w:tcW w:w="1276" w:type="dxa"/>
          </w:tcPr>
          <w:p w:rsidR="00C157B6" w:rsidRDefault="00C157B6" w:rsidP="003D73DB">
            <w:pPr>
              <w:pStyle w:val="NoSpacing"/>
              <w:jc w:val="right"/>
            </w:pPr>
            <w:r>
              <w:t>3,380</w:t>
            </w:r>
          </w:p>
        </w:tc>
      </w:tr>
      <w:tr w:rsidR="00C157B6" w:rsidTr="003D73DB">
        <w:tc>
          <w:tcPr>
            <w:tcW w:w="5529" w:type="dxa"/>
          </w:tcPr>
          <w:p w:rsidR="00C157B6" w:rsidRDefault="00C157B6" w:rsidP="003D73DB">
            <w:pPr>
              <w:pStyle w:val="NoSpacing"/>
            </w:pPr>
            <w:r>
              <w:t>Other</w:t>
            </w:r>
          </w:p>
        </w:tc>
        <w:tc>
          <w:tcPr>
            <w:tcW w:w="1276" w:type="dxa"/>
          </w:tcPr>
          <w:p w:rsidR="00C157B6" w:rsidRDefault="00C157B6" w:rsidP="003D73DB">
            <w:pPr>
              <w:pStyle w:val="NoSpacing"/>
              <w:jc w:val="right"/>
            </w:pPr>
            <w:r>
              <w:t>3,812</w:t>
            </w:r>
          </w:p>
        </w:tc>
        <w:tc>
          <w:tcPr>
            <w:tcW w:w="1276" w:type="dxa"/>
          </w:tcPr>
          <w:p w:rsidR="00C157B6" w:rsidRDefault="00C157B6" w:rsidP="003D73DB">
            <w:pPr>
              <w:pStyle w:val="NoSpacing"/>
              <w:jc w:val="right"/>
            </w:pPr>
            <w:r>
              <w:t>3,003</w:t>
            </w:r>
          </w:p>
        </w:tc>
        <w:tc>
          <w:tcPr>
            <w:tcW w:w="1275" w:type="dxa"/>
          </w:tcPr>
          <w:p w:rsidR="00C157B6" w:rsidRDefault="00C157B6" w:rsidP="003D73DB">
            <w:pPr>
              <w:pStyle w:val="NoSpacing"/>
              <w:jc w:val="right"/>
            </w:pPr>
            <w:r>
              <w:t>3,569</w:t>
            </w:r>
          </w:p>
        </w:tc>
        <w:tc>
          <w:tcPr>
            <w:tcW w:w="1276" w:type="dxa"/>
          </w:tcPr>
          <w:p w:rsidR="00C157B6" w:rsidRDefault="00C157B6" w:rsidP="003D73DB">
            <w:pPr>
              <w:pStyle w:val="NoSpacing"/>
              <w:jc w:val="right"/>
            </w:pPr>
            <w:r>
              <w:t>2,862</w:t>
            </w:r>
          </w:p>
        </w:tc>
      </w:tr>
      <w:tr w:rsidR="00C157B6" w:rsidTr="003D73DB">
        <w:tc>
          <w:tcPr>
            <w:tcW w:w="5529" w:type="dxa"/>
          </w:tcPr>
          <w:p w:rsidR="00C157B6" w:rsidRDefault="00C157B6" w:rsidP="003D73DB">
            <w:pPr>
              <w:pStyle w:val="NoSpacing"/>
            </w:pPr>
            <w:r>
              <w:t xml:space="preserve">Total accumulation contribution plans </w:t>
            </w:r>
          </w:p>
        </w:tc>
        <w:tc>
          <w:tcPr>
            <w:tcW w:w="1276" w:type="dxa"/>
          </w:tcPr>
          <w:p w:rsidR="00C157B6" w:rsidRDefault="00C157B6" w:rsidP="003D73DB">
            <w:pPr>
              <w:pStyle w:val="NoSpacing"/>
              <w:jc w:val="right"/>
            </w:pPr>
            <w:r>
              <w:t>7,830</w:t>
            </w:r>
          </w:p>
        </w:tc>
        <w:tc>
          <w:tcPr>
            <w:tcW w:w="1276" w:type="dxa"/>
          </w:tcPr>
          <w:p w:rsidR="00C157B6" w:rsidRDefault="00C157B6" w:rsidP="003D73DB">
            <w:pPr>
              <w:pStyle w:val="NoSpacing"/>
              <w:jc w:val="right"/>
            </w:pPr>
            <w:r>
              <w:t>6,447</w:t>
            </w:r>
          </w:p>
        </w:tc>
        <w:tc>
          <w:tcPr>
            <w:tcW w:w="1275" w:type="dxa"/>
          </w:tcPr>
          <w:p w:rsidR="00C157B6" w:rsidRDefault="00C157B6" w:rsidP="003D73DB">
            <w:pPr>
              <w:pStyle w:val="NoSpacing"/>
              <w:jc w:val="right"/>
            </w:pPr>
            <w:r>
              <w:t>7,457</w:t>
            </w:r>
          </w:p>
        </w:tc>
        <w:tc>
          <w:tcPr>
            <w:tcW w:w="1276" w:type="dxa"/>
          </w:tcPr>
          <w:p w:rsidR="00C157B6" w:rsidRDefault="00C157B6" w:rsidP="003D73DB">
            <w:pPr>
              <w:pStyle w:val="NoSpacing"/>
              <w:jc w:val="right"/>
            </w:pPr>
            <w:r>
              <w:t>6,242</w:t>
            </w:r>
          </w:p>
        </w:tc>
      </w:tr>
    </w:tbl>
    <w:p w:rsidR="00CB6D14" w:rsidRDefault="00CB6D14" w:rsidP="005942B8">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C157B6" w:rsidTr="003D73DB">
        <w:tc>
          <w:tcPr>
            <w:tcW w:w="5529" w:type="dxa"/>
          </w:tcPr>
          <w:p w:rsidR="00C157B6" w:rsidRDefault="00C157B6" w:rsidP="003D73DB">
            <w:pPr>
              <w:pStyle w:val="NoSpacing"/>
            </w:pPr>
            <w:r>
              <w:t xml:space="preserve">Total paid contribution for the year </w:t>
            </w:r>
          </w:p>
        </w:tc>
        <w:tc>
          <w:tcPr>
            <w:tcW w:w="1276" w:type="dxa"/>
          </w:tcPr>
          <w:p w:rsidR="00C157B6" w:rsidRDefault="00C157B6" w:rsidP="003D73DB">
            <w:pPr>
              <w:pStyle w:val="NoSpacing"/>
              <w:jc w:val="right"/>
            </w:pPr>
            <w:r>
              <w:t>8,088</w:t>
            </w:r>
          </w:p>
        </w:tc>
        <w:tc>
          <w:tcPr>
            <w:tcW w:w="1276" w:type="dxa"/>
          </w:tcPr>
          <w:p w:rsidR="00C157B6" w:rsidRDefault="00C157B6" w:rsidP="003D73DB">
            <w:pPr>
              <w:pStyle w:val="NoSpacing"/>
              <w:jc w:val="right"/>
            </w:pPr>
            <w:r>
              <w:t>6,711</w:t>
            </w:r>
          </w:p>
        </w:tc>
        <w:tc>
          <w:tcPr>
            <w:tcW w:w="1275" w:type="dxa"/>
          </w:tcPr>
          <w:p w:rsidR="00C157B6" w:rsidRDefault="00C157B6" w:rsidP="003D73DB">
            <w:pPr>
              <w:pStyle w:val="NoSpacing"/>
              <w:jc w:val="right"/>
            </w:pPr>
            <w:r>
              <w:t>7,715</w:t>
            </w:r>
          </w:p>
        </w:tc>
        <w:tc>
          <w:tcPr>
            <w:tcW w:w="1276" w:type="dxa"/>
          </w:tcPr>
          <w:p w:rsidR="00C157B6" w:rsidRDefault="00C157B6" w:rsidP="003D73DB">
            <w:pPr>
              <w:pStyle w:val="NoSpacing"/>
              <w:jc w:val="right"/>
            </w:pPr>
            <w:r>
              <w:t>6,506</w:t>
            </w:r>
          </w:p>
        </w:tc>
      </w:tr>
      <w:tr w:rsidR="00480A74" w:rsidTr="003D73DB">
        <w:tc>
          <w:tcPr>
            <w:tcW w:w="10632" w:type="dxa"/>
            <w:gridSpan w:val="5"/>
          </w:tcPr>
          <w:p w:rsidR="00480A74" w:rsidRDefault="00480A74" w:rsidP="003D73DB">
            <w:pPr>
              <w:pStyle w:val="NoSpacing"/>
            </w:pPr>
            <w:r>
              <w:t>Contribution outstanding at year end</w:t>
            </w:r>
          </w:p>
        </w:tc>
      </w:tr>
      <w:tr w:rsidR="00480A74" w:rsidTr="003D73DB">
        <w:tc>
          <w:tcPr>
            <w:tcW w:w="10632" w:type="dxa"/>
            <w:gridSpan w:val="5"/>
          </w:tcPr>
          <w:p w:rsidR="00480A74" w:rsidRDefault="00480A74" w:rsidP="003D73DB">
            <w:pPr>
              <w:pStyle w:val="NoSpacing"/>
            </w:pPr>
            <w:r>
              <w:t>Accumulation contribution plans:</w:t>
            </w:r>
          </w:p>
        </w:tc>
      </w:tr>
      <w:tr w:rsidR="00480A74" w:rsidTr="003D73DB">
        <w:tc>
          <w:tcPr>
            <w:tcW w:w="5529" w:type="dxa"/>
          </w:tcPr>
          <w:p w:rsidR="00480A74" w:rsidRDefault="00480A74" w:rsidP="003D73DB">
            <w:pPr>
              <w:pStyle w:val="NoSpacing"/>
            </w:pPr>
            <w:r>
              <w:t>VicSuper</w:t>
            </w:r>
          </w:p>
        </w:tc>
        <w:tc>
          <w:tcPr>
            <w:tcW w:w="1276" w:type="dxa"/>
          </w:tcPr>
          <w:p w:rsidR="00480A74" w:rsidRDefault="00480A74" w:rsidP="003D73DB">
            <w:pPr>
              <w:pStyle w:val="NoSpacing"/>
              <w:jc w:val="right"/>
            </w:pPr>
            <w:r>
              <w:t>-</w:t>
            </w:r>
          </w:p>
        </w:tc>
        <w:tc>
          <w:tcPr>
            <w:tcW w:w="1276" w:type="dxa"/>
          </w:tcPr>
          <w:p w:rsidR="00480A74" w:rsidRDefault="00480A74" w:rsidP="003D73DB">
            <w:pPr>
              <w:pStyle w:val="NoSpacing"/>
              <w:jc w:val="right"/>
            </w:pPr>
            <w:r>
              <w:t>684</w:t>
            </w:r>
          </w:p>
        </w:tc>
        <w:tc>
          <w:tcPr>
            <w:tcW w:w="1275" w:type="dxa"/>
          </w:tcPr>
          <w:p w:rsidR="00480A74" w:rsidRDefault="00480A74" w:rsidP="003D73DB">
            <w:pPr>
              <w:pStyle w:val="NoSpacing"/>
              <w:jc w:val="right"/>
            </w:pPr>
            <w:r>
              <w:t>-</w:t>
            </w:r>
          </w:p>
        </w:tc>
        <w:tc>
          <w:tcPr>
            <w:tcW w:w="1276" w:type="dxa"/>
          </w:tcPr>
          <w:p w:rsidR="00480A74" w:rsidRDefault="00480A74" w:rsidP="003D73DB">
            <w:pPr>
              <w:pStyle w:val="NoSpacing"/>
              <w:jc w:val="right"/>
            </w:pPr>
            <w:r>
              <w:t>660</w:t>
            </w:r>
          </w:p>
        </w:tc>
      </w:tr>
      <w:tr w:rsidR="00480A74" w:rsidTr="003D73DB">
        <w:tc>
          <w:tcPr>
            <w:tcW w:w="5529" w:type="dxa"/>
          </w:tcPr>
          <w:p w:rsidR="00480A74" w:rsidRDefault="00480A74" w:rsidP="003D73DB">
            <w:pPr>
              <w:pStyle w:val="NoSpacing"/>
            </w:pPr>
            <w:r>
              <w:t xml:space="preserve">Total accumulation contribution plans </w:t>
            </w:r>
          </w:p>
        </w:tc>
        <w:tc>
          <w:tcPr>
            <w:tcW w:w="1276" w:type="dxa"/>
          </w:tcPr>
          <w:p w:rsidR="00480A74" w:rsidRDefault="00480A74" w:rsidP="003D73DB">
            <w:pPr>
              <w:pStyle w:val="NoSpacing"/>
              <w:jc w:val="right"/>
            </w:pPr>
            <w:r>
              <w:t>-</w:t>
            </w:r>
          </w:p>
        </w:tc>
        <w:tc>
          <w:tcPr>
            <w:tcW w:w="1276" w:type="dxa"/>
          </w:tcPr>
          <w:p w:rsidR="00480A74" w:rsidRDefault="00480A74" w:rsidP="003D73DB">
            <w:pPr>
              <w:pStyle w:val="NoSpacing"/>
              <w:jc w:val="right"/>
            </w:pPr>
            <w:r>
              <w:t>384</w:t>
            </w:r>
          </w:p>
        </w:tc>
        <w:tc>
          <w:tcPr>
            <w:tcW w:w="1275" w:type="dxa"/>
          </w:tcPr>
          <w:p w:rsidR="00480A74" w:rsidRDefault="00480A74" w:rsidP="003D73DB">
            <w:pPr>
              <w:pStyle w:val="NoSpacing"/>
              <w:jc w:val="right"/>
            </w:pPr>
            <w:r>
              <w:t>-</w:t>
            </w:r>
          </w:p>
        </w:tc>
        <w:tc>
          <w:tcPr>
            <w:tcW w:w="1276" w:type="dxa"/>
          </w:tcPr>
          <w:p w:rsidR="00480A74" w:rsidRDefault="00480A74" w:rsidP="003D73DB">
            <w:pPr>
              <w:pStyle w:val="NoSpacing"/>
              <w:jc w:val="right"/>
            </w:pPr>
            <w:r>
              <w:t>660</w:t>
            </w:r>
          </w:p>
        </w:tc>
      </w:tr>
    </w:tbl>
    <w:p w:rsidR="00CB6D14" w:rsidRDefault="00CB6D14" w:rsidP="005942B8">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480A74" w:rsidTr="003D73DB">
        <w:tc>
          <w:tcPr>
            <w:tcW w:w="5529" w:type="dxa"/>
          </w:tcPr>
          <w:p w:rsidR="00480A74" w:rsidRDefault="00480A74" w:rsidP="00480A74">
            <w:pPr>
              <w:pStyle w:val="NoSpacing"/>
            </w:pPr>
            <w:r>
              <w:t xml:space="preserve">Total contribution outstanding at year end </w:t>
            </w:r>
          </w:p>
        </w:tc>
        <w:tc>
          <w:tcPr>
            <w:tcW w:w="1276" w:type="dxa"/>
          </w:tcPr>
          <w:p w:rsidR="00480A74" w:rsidRDefault="00480A74" w:rsidP="003D73DB">
            <w:pPr>
              <w:pStyle w:val="NoSpacing"/>
              <w:jc w:val="right"/>
            </w:pPr>
            <w:r>
              <w:t>-</w:t>
            </w:r>
          </w:p>
        </w:tc>
        <w:tc>
          <w:tcPr>
            <w:tcW w:w="1276" w:type="dxa"/>
          </w:tcPr>
          <w:p w:rsidR="00480A74" w:rsidRDefault="00480A74" w:rsidP="003D73DB">
            <w:pPr>
              <w:pStyle w:val="NoSpacing"/>
              <w:jc w:val="right"/>
            </w:pPr>
            <w:r>
              <w:t>684</w:t>
            </w:r>
          </w:p>
        </w:tc>
        <w:tc>
          <w:tcPr>
            <w:tcW w:w="1275" w:type="dxa"/>
          </w:tcPr>
          <w:p w:rsidR="00480A74" w:rsidRDefault="00480A74" w:rsidP="003D73DB">
            <w:pPr>
              <w:pStyle w:val="NoSpacing"/>
              <w:jc w:val="right"/>
            </w:pPr>
            <w:r>
              <w:t>-</w:t>
            </w:r>
          </w:p>
        </w:tc>
        <w:tc>
          <w:tcPr>
            <w:tcW w:w="1276" w:type="dxa"/>
          </w:tcPr>
          <w:p w:rsidR="00480A74" w:rsidRDefault="00480A74" w:rsidP="003D73DB">
            <w:pPr>
              <w:pStyle w:val="NoSpacing"/>
              <w:jc w:val="right"/>
            </w:pPr>
            <w:r>
              <w:t>660</w:t>
            </w:r>
          </w:p>
        </w:tc>
      </w:tr>
    </w:tbl>
    <w:p w:rsidR="00CB6D14" w:rsidRDefault="00CB6D14" w:rsidP="005942B8">
      <w:pPr>
        <w:pStyle w:val="NoSpacing"/>
      </w:pPr>
    </w:p>
    <w:p w:rsidR="00CB6D14" w:rsidRDefault="00480A74" w:rsidP="005942B8">
      <w:pPr>
        <w:pStyle w:val="NoSpacing"/>
      </w:pPr>
      <w:r>
        <w:t>Note: All amounts relating to accumulation contribution plans for 2019 were paid prior to 31 December, resulting in nil outstanding at year end.</w:t>
      </w:r>
    </w:p>
    <w:p w:rsidR="0023631C" w:rsidRDefault="0023631C" w:rsidP="005942B8">
      <w:pPr>
        <w:pStyle w:val="NoSpacing"/>
      </w:pPr>
    </w:p>
    <w:p w:rsidR="00480A74" w:rsidRDefault="00480A74" w:rsidP="005942B8">
      <w:pPr>
        <w:pStyle w:val="NoSpacing"/>
      </w:pPr>
      <w:r>
        <w:t>&lt;page 61&gt;</w:t>
      </w:r>
    </w:p>
    <w:p w:rsidR="00480A74" w:rsidRDefault="00480A74" w:rsidP="005942B8">
      <w:pPr>
        <w:pStyle w:val="NoSpacing"/>
      </w:pPr>
    </w:p>
    <w:p w:rsidR="00480A74" w:rsidRDefault="00480A74" w:rsidP="00681D4D">
      <w:pPr>
        <w:pStyle w:val="Heading2"/>
      </w:pPr>
      <w:r>
        <w:t>3. How we expended our funds</w:t>
      </w:r>
    </w:p>
    <w:p w:rsidR="00681D4D" w:rsidRDefault="00681D4D" w:rsidP="00681D4D">
      <w:pPr>
        <w:pStyle w:val="NoSpacing"/>
      </w:pPr>
    </w:p>
    <w:p w:rsidR="00480A74" w:rsidRDefault="00480A74" w:rsidP="00681D4D">
      <w:pPr>
        <w:pStyle w:val="Heading3"/>
      </w:pPr>
      <w:r>
        <w:t>3.2 Superannuation (continued)</w:t>
      </w:r>
    </w:p>
    <w:p w:rsidR="00480A74" w:rsidRDefault="00480A74" w:rsidP="005942B8">
      <w:pPr>
        <w:pStyle w:val="NoSpacing"/>
      </w:pPr>
    </w:p>
    <w:p w:rsidR="00480A74" w:rsidRDefault="00480A74" w:rsidP="00480A74">
      <w:pPr>
        <w:pStyle w:val="Heading4"/>
      </w:pPr>
      <w:r>
        <w:t>Accumulation contribution plans</w:t>
      </w:r>
    </w:p>
    <w:p w:rsidR="00480A74" w:rsidRDefault="00480A74" w:rsidP="005942B8">
      <w:pPr>
        <w:pStyle w:val="NoSpacing"/>
      </w:pPr>
      <w:r>
        <w:t>Contributions are expensed when they become payable.</w:t>
      </w:r>
    </w:p>
    <w:p w:rsidR="00480A74" w:rsidRDefault="00480A74" w:rsidP="005942B8">
      <w:pPr>
        <w:pStyle w:val="NoSpacing"/>
      </w:pPr>
      <w:r>
        <w:t>The bases for contributions are determined by the various schemes.</w:t>
      </w:r>
    </w:p>
    <w:p w:rsidR="00480A74" w:rsidRDefault="00480A74" w:rsidP="005942B8">
      <w:pPr>
        <w:pStyle w:val="NoSpacing"/>
      </w:pPr>
      <w:r>
        <w:t>The above amounts were measures as at 31 December of each year; or in the case of employer contributions, they relate to the years ended 31 December.</w:t>
      </w:r>
    </w:p>
    <w:p w:rsidR="00CB6D14" w:rsidRDefault="00CB6D14" w:rsidP="005942B8">
      <w:pPr>
        <w:pStyle w:val="NoSpacing"/>
      </w:pPr>
    </w:p>
    <w:p w:rsidR="003A164D" w:rsidRDefault="003A164D" w:rsidP="00681D4D">
      <w:pPr>
        <w:pStyle w:val="Heading3"/>
      </w:pPr>
      <w:r>
        <w:t xml:space="preserve">3.3 Supplies and services </w:t>
      </w:r>
    </w:p>
    <w:p w:rsidR="00BF2B41" w:rsidRDefault="00BF2B41" w:rsidP="005942B8">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BF2B41" w:rsidTr="00BF2B41">
        <w:trPr>
          <w:gridBefore w:val="1"/>
          <w:wBefore w:w="5529" w:type="dxa"/>
        </w:trPr>
        <w:tc>
          <w:tcPr>
            <w:tcW w:w="2552" w:type="dxa"/>
            <w:gridSpan w:val="2"/>
          </w:tcPr>
          <w:p w:rsidR="00BF2B41" w:rsidRDefault="00BF2B41" w:rsidP="00BF2B41">
            <w:pPr>
              <w:pStyle w:val="NoSpacing"/>
              <w:jc w:val="right"/>
            </w:pPr>
            <w:r>
              <w:t>Consolidated</w:t>
            </w:r>
          </w:p>
        </w:tc>
        <w:tc>
          <w:tcPr>
            <w:tcW w:w="2551" w:type="dxa"/>
            <w:gridSpan w:val="2"/>
          </w:tcPr>
          <w:p w:rsidR="00BF2B41" w:rsidRDefault="00BF2B41" w:rsidP="00BF2B41">
            <w:pPr>
              <w:pStyle w:val="NoSpacing"/>
              <w:jc w:val="right"/>
            </w:pPr>
            <w:r>
              <w:t>Chisholm</w:t>
            </w:r>
          </w:p>
        </w:tc>
      </w:tr>
      <w:tr w:rsidR="00BF2B41" w:rsidTr="00BF2B41">
        <w:trPr>
          <w:gridBefore w:val="1"/>
          <w:wBefore w:w="5529" w:type="dxa"/>
        </w:trPr>
        <w:tc>
          <w:tcPr>
            <w:tcW w:w="1276" w:type="dxa"/>
          </w:tcPr>
          <w:p w:rsidR="00BF2B41" w:rsidRDefault="00BF2B41" w:rsidP="00BF2B41">
            <w:pPr>
              <w:pStyle w:val="NoSpacing"/>
              <w:jc w:val="right"/>
            </w:pPr>
            <w:r>
              <w:t>2019</w:t>
            </w:r>
          </w:p>
        </w:tc>
        <w:tc>
          <w:tcPr>
            <w:tcW w:w="1276" w:type="dxa"/>
          </w:tcPr>
          <w:p w:rsidR="00BF2B41" w:rsidRDefault="00BF2B41" w:rsidP="00BF2B41">
            <w:pPr>
              <w:pStyle w:val="NoSpacing"/>
              <w:jc w:val="right"/>
            </w:pPr>
            <w:r>
              <w:t>2018</w:t>
            </w:r>
          </w:p>
        </w:tc>
        <w:tc>
          <w:tcPr>
            <w:tcW w:w="1275" w:type="dxa"/>
          </w:tcPr>
          <w:p w:rsidR="00BF2B41" w:rsidRDefault="00BF2B41" w:rsidP="00BF2B41">
            <w:pPr>
              <w:pStyle w:val="NoSpacing"/>
              <w:jc w:val="right"/>
            </w:pPr>
            <w:r>
              <w:t>2019</w:t>
            </w:r>
          </w:p>
        </w:tc>
        <w:tc>
          <w:tcPr>
            <w:tcW w:w="1276" w:type="dxa"/>
          </w:tcPr>
          <w:p w:rsidR="00BF2B41" w:rsidRDefault="00BF2B41" w:rsidP="00BF2B41">
            <w:pPr>
              <w:pStyle w:val="NoSpacing"/>
              <w:jc w:val="right"/>
            </w:pPr>
            <w:r>
              <w:t>2018</w:t>
            </w:r>
          </w:p>
        </w:tc>
      </w:tr>
      <w:tr w:rsidR="00BF2B41" w:rsidTr="00BF2B41">
        <w:trPr>
          <w:gridBefore w:val="1"/>
          <w:wBefore w:w="5529" w:type="dxa"/>
        </w:trPr>
        <w:tc>
          <w:tcPr>
            <w:tcW w:w="1276" w:type="dxa"/>
          </w:tcPr>
          <w:p w:rsidR="00BF2B41" w:rsidRDefault="00BF2B41" w:rsidP="00BF2B41">
            <w:pPr>
              <w:pStyle w:val="NoSpacing"/>
              <w:jc w:val="right"/>
            </w:pPr>
            <w:r>
              <w:t>$’000</w:t>
            </w:r>
          </w:p>
        </w:tc>
        <w:tc>
          <w:tcPr>
            <w:tcW w:w="1276" w:type="dxa"/>
          </w:tcPr>
          <w:p w:rsidR="00BF2B41" w:rsidRDefault="00BF2B41" w:rsidP="00BF2B41">
            <w:pPr>
              <w:jc w:val="right"/>
            </w:pPr>
            <w:r w:rsidRPr="00105D59">
              <w:t>$’000</w:t>
            </w:r>
          </w:p>
        </w:tc>
        <w:tc>
          <w:tcPr>
            <w:tcW w:w="1275" w:type="dxa"/>
          </w:tcPr>
          <w:p w:rsidR="00BF2B41" w:rsidRDefault="00BF2B41" w:rsidP="00BF2B41">
            <w:pPr>
              <w:jc w:val="right"/>
            </w:pPr>
            <w:r w:rsidRPr="00105D59">
              <w:t>$’000</w:t>
            </w:r>
          </w:p>
        </w:tc>
        <w:tc>
          <w:tcPr>
            <w:tcW w:w="1276" w:type="dxa"/>
          </w:tcPr>
          <w:p w:rsidR="00BF2B41" w:rsidRDefault="00BF2B41" w:rsidP="00BF2B41">
            <w:pPr>
              <w:jc w:val="right"/>
            </w:pPr>
            <w:r w:rsidRPr="00105D59">
              <w:t>$’000</w:t>
            </w:r>
          </w:p>
        </w:tc>
      </w:tr>
      <w:tr w:rsidR="00BF2B41" w:rsidTr="00BF2B41">
        <w:tc>
          <w:tcPr>
            <w:tcW w:w="5529" w:type="dxa"/>
          </w:tcPr>
          <w:p w:rsidR="00BF2B41" w:rsidRDefault="00BF2B41" w:rsidP="00BF2B41">
            <w:pPr>
              <w:pStyle w:val="NoSpacing"/>
            </w:pPr>
            <w:r>
              <w:t>Building repairs and maintenance</w:t>
            </w:r>
          </w:p>
        </w:tc>
        <w:tc>
          <w:tcPr>
            <w:tcW w:w="1276" w:type="dxa"/>
          </w:tcPr>
          <w:p w:rsidR="00BF2B41" w:rsidRDefault="008B2C89" w:rsidP="00BF2B41">
            <w:pPr>
              <w:pStyle w:val="NoSpacing"/>
              <w:jc w:val="right"/>
            </w:pPr>
            <w:r>
              <w:t>5,014</w:t>
            </w:r>
          </w:p>
        </w:tc>
        <w:tc>
          <w:tcPr>
            <w:tcW w:w="1276" w:type="dxa"/>
          </w:tcPr>
          <w:p w:rsidR="00BF2B41" w:rsidRDefault="008B2C89" w:rsidP="00BF2B41">
            <w:pPr>
              <w:pStyle w:val="NoSpacing"/>
              <w:jc w:val="right"/>
            </w:pPr>
            <w:r>
              <w:t>3,672</w:t>
            </w:r>
          </w:p>
        </w:tc>
        <w:tc>
          <w:tcPr>
            <w:tcW w:w="1275" w:type="dxa"/>
          </w:tcPr>
          <w:p w:rsidR="00BF2B41" w:rsidRDefault="008B2C89" w:rsidP="00BF2B41">
            <w:pPr>
              <w:pStyle w:val="NoSpacing"/>
              <w:jc w:val="right"/>
            </w:pPr>
            <w:r>
              <w:t>5,014</w:t>
            </w:r>
          </w:p>
        </w:tc>
        <w:tc>
          <w:tcPr>
            <w:tcW w:w="1276" w:type="dxa"/>
          </w:tcPr>
          <w:p w:rsidR="00BF2B41" w:rsidRDefault="008B2C89" w:rsidP="00BF2B41">
            <w:pPr>
              <w:pStyle w:val="NoSpacing"/>
              <w:jc w:val="right"/>
            </w:pPr>
            <w:r>
              <w:t>3,672</w:t>
            </w:r>
          </w:p>
        </w:tc>
      </w:tr>
      <w:tr w:rsidR="00BF2B41" w:rsidTr="00BF2B41">
        <w:tc>
          <w:tcPr>
            <w:tcW w:w="5529" w:type="dxa"/>
          </w:tcPr>
          <w:p w:rsidR="00BF2B41" w:rsidRDefault="00BF2B41" w:rsidP="00BF2B41">
            <w:pPr>
              <w:pStyle w:val="NoSpacing"/>
            </w:pPr>
            <w:r>
              <w:t>Communication expenses</w:t>
            </w:r>
          </w:p>
        </w:tc>
        <w:tc>
          <w:tcPr>
            <w:tcW w:w="1276" w:type="dxa"/>
          </w:tcPr>
          <w:p w:rsidR="00BF2B41" w:rsidRDefault="008B2C89" w:rsidP="00BF2B41">
            <w:pPr>
              <w:pStyle w:val="NoSpacing"/>
              <w:jc w:val="right"/>
            </w:pPr>
            <w:r>
              <w:t>1,623</w:t>
            </w:r>
          </w:p>
        </w:tc>
        <w:tc>
          <w:tcPr>
            <w:tcW w:w="1276" w:type="dxa"/>
          </w:tcPr>
          <w:p w:rsidR="00BF2B41" w:rsidRDefault="008B2C89" w:rsidP="00BF2B41">
            <w:pPr>
              <w:pStyle w:val="NoSpacing"/>
              <w:jc w:val="right"/>
            </w:pPr>
            <w:r>
              <w:t>1,663</w:t>
            </w:r>
          </w:p>
        </w:tc>
        <w:tc>
          <w:tcPr>
            <w:tcW w:w="1275" w:type="dxa"/>
          </w:tcPr>
          <w:p w:rsidR="00BF2B41" w:rsidRDefault="008B2C89" w:rsidP="00BF2B41">
            <w:pPr>
              <w:pStyle w:val="NoSpacing"/>
              <w:jc w:val="right"/>
            </w:pPr>
            <w:r>
              <w:t>1,622</w:t>
            </w:r>
          </w:p>
        </w:tc>
        <w:tc>
          <w:tcPr>
            <w:tcW w:w="1276" w:type="dxa"/>
          </w:tcPr>
          <w:p w:rsidR="00BF2B41" w:rsidRDefault="008B2C89" w:rsidP="00BF2B41">
            <w:pPr>
              <w:pStyle w:val="NoSpacing"/>
              <w:jc w:val="right"/>
            </w:pPr>
            <w:r>
              <w:t>1,661</w:t>
            </w:r>
          </w:p>
        </w:tc>
      </w:tr>
      <w:tr w:rsidR="00BF2B41" w:rsidTr="00BF2B41">
        <w:tc>
          <w:tcPr>
            <w:tcW w:w="5529" w:type="dxa"/>
          </w:tcPr>
          <w:p w:rsidR="00BF2B41" w:rsidRDefault="00BF2B41" w:rsidP="00BF2B41">
            <w:pPr>
              <w:pStyle w:val="NoSpacing"/>
            </w:pPr>
            <w:r>
              <w:t>Contract and other services</w:t>
            </w:r>
          </w:p>
        </w:tc>
        <w:tc>
          <w:tcPr>
            <w:tcW w:w="1276" w:type="dxa"/>
          </w:tcPr>
          <w:p w:rsidR="00BF2B41" w:rsidRDefault="008B2C89" w:rsidP="00BF2B41">
            <w:pPr>
              <w:pStyle w:val="NoSpacing"/>
              <w:jc w:val="right"/>
            </w:pPr>
            <w:r>
              <w:t>13,830</w:t>
            </w:r>
          </w:p>
        </w:tc>
        <w:tc>
          <w:tcPr>
            <w:tcW w:w="1276" w:type="dxa"/>
          </w:tcPr>
          <w:p w:rsidR="00BF2B41" w:rsidRDefault="008B2C89" w:rsidP="00BF2B41">
            <w:pPr>
              <w:pStyle w:val="NoSpacing"/>
              <w:jc w:val="right"/>
            </w:pPr>
            <w:r>
              <w:t>10,615</w:t>
            </w:r>
          </w:p>
        </w:tc>
        <w:tc>
          <w:tcPr>
            <w:tcW w:w="1275" w:type="dxa"/>
          </w:tcPr>
          <w:p w:rsidR="00BF2B41" w:rsidRDefault="008B2C89" w:rsidP="00BF2B41">
            <w:pPr>
              <w:pStyle w:val="NoSpacing"/>
              <w:jc w:val="right"/>
            </w:pPr>
            <w:r>
              <w:t>13,807</w:t>
            </w:r>
          </w:p>
        </w:tc>
        <w:tc>
          <w:tcPr>
            <w:tcW w:w="1276" w:type="dxa"/>
          </w:tcPr>
          <w:p w:rsidR="00BF2B41" w:rsidRDefault="008B2C89" w:rsidP="00BF2B41">
            <w:pPr>
              <w:pStyle w:val="NoSpacing"/>
              <w:jc w:val="right"/>
            </w:pPr>
            <w:r>
              <w:t>10,599</w:t>
            </w:r>
          </w:p>
        </w:tc>
      </w:tr>
      <w:tr w:rsidR="00BF2B41" w:rsidTr="00BF2B41">
        <w:tc>
          <w:tcPr>
            <w:tcW w:w="5529" w:type="dxa"/>
          </w:tcPr>
          <w:p w:rsidR="00BF2B41" w:rsidRDefault="00BF2B41" w:rsidP="00BF2B41">
            <w:pPr>
              <w:pStyle w:val="NoSpacing"/>
            </w:pPr>
            <w:r>
              <w:t>Cost of goods sold/distributed (ancillary trading)</w:t>
            </w:r>
          </w:p>
        </w:tc>
        <w:tc>
          <w:tcPr>
            <w:tcW w:w="1276" w:type="dxa"/>
          </w:tcPr>
          <w:p w:rsidR="00BF2B41" w:rsidRDefault="008B2C89" w:rsidP="00BF2B41">
            <w:pPr>
              <w:pStyle w:val="NoSpacing"/>
              <w:jc w:val="right"/>
            </w:pPr>
            <w:r>
              <w:t>30</w:t>
            </w:r>
          </w:p>
        </w:tc>
        <w:tc>
          <w:tcPr>
            <w:tcW w:w="1276" w:type="dxa"/>
          </w:tcPr>
          <w:p w:rsidR="00BF2B41" w:rsidRDefault="008B2C89" w:rsidP="00BF2B41">
            <w:pPr>
              <w:pStyle w:val="NoSpacing"/>
              <w:jc w:val="right"/>
            </w:pPr>
            <w:r>
              <w:t>32</w:t>
            </w:r>
          </w:p>
        </w:tc>
        <w:tc>
          <w:tcPr>
            <w:tcW w:w="1275" w:type="dxa"/>
          </w:tcPr>
          <w:p w:rsidR="00BF2B41" w:rsidRDefault="008B2C89" w:rsidP="00BF2B41">
            <w:pPr>
              <w:pStyle w:val="NoSpacing"/>
              <w:jc w:val="right"/>
            </w:pPr>
            <w:r>
              <w:t>30</w:t>
            </w:r>
          </w:p>
        </w:tc>
        <w:tc>
          <w:tcPr>
            <w:tcW w:w="1276" w:type="dxa"/>
          </w:tcPr>
          <w:p w:rsidR="00BF2B41" w:rsidRDefault="008B2C89" w:rsidP="00BF2B41">
            <w:pPr>
              <w:pStyle w:val="NoSpacing"/>
              <w:jc w:val="right"/>
            </w:pPr>
            <w:r>
              <w:t>32</w:t>
            </w:r>
          </w:p>
        </w:tc>
      </w:tr>
      <w:tr w:rsidR="00BF2B41" w:rsidTr="00BF2B41">
        <w:tc>
          <w:tcPr>
            <w:tcW w:w="5529" w:type="dxa"/>
          </w:tcPr>
          <w:p w:rsidR="00BF2B41" w:rsidRDefault="00C32EB2" w:rsidP="00BF2B41">
            <w:pPr>
              <w:pStyle w:val="NoSpacing"/>
            </w:pPr>
            <w:r>
              <w:t>Fees and charges</w:t>
            </w:r>
          </w:p>
        </w:tc>
        <w:tc>
          <w:tcPr>
            <w:tcW w:w="1276" w:type="dxa"/>
          </w:tcPr>
          <w:p w:rsidR="00BF2B41" w:rsidRDefault="008B2C89" w:rsidP="00BF2B41">
            <w:pPr>
              <w:pStyle w:val="NoSpacing"/>
              <w:jc w:val="right"/>
            </w:pPr>
            <w:r>
              <w:t>9,824</w:t>
            </w:r>
          </w:p>
        </w:tc>
        <w:tc>
          <w:tcPr>
            <w:tcW w:w="1276" w:type="dxa"/>
          </w:tcPr>
          <w:p w:rsidR="00BF2B41" w:rsidRDefault="008B2C89" w:rsidP="00BF2B41">
            <w:pPr>
              <w:pStyle w:val="NoSpacing"/>
              <w:jc w:val="right"/>
            </w:pPr>
            <w:r>
              <w:t>11,138</w:t>
            </w:r>
          </w:p>
        </w:tc>
        <w:tc>
          <w:tcPr>
            <w:tcW w:w="1275" w:type="dxa"/>
          </w:tcPr>
          <w:p w:rsidR="00BF2B41" w:rsidRDefault="008B2C89" w:rsidP="00BF2B41">
            <w:pPr>
              <w:pStyle w:val="NoSpacing"/>
              <w:jc w:val="right"/>
            </w:pPr>
            <w:r>
              <w:t>9,802</w:t>
            </w:r>
          </w:p>
        </w:tc>
        <w:tc>
          <w:tcPr>
            <w:tcW w:w="1276" w:type="dxa"/>
          </w:tcPr>
          <w:p w:rsidR="00BF2B41" w:rsidRDefault="008B2C89" w:rsidP="00BF2B41">
            <w:pPr>
              <w:pStyle w:val="NoSpacing"/>
              <w:jc w:val="right"/>
            </w:pPr>
            <w:r>
              <w:t>11,091</w:t>
            </w:r>
          </w:p>
        </w:tc>
      </w:tr>
      <w:tr w:rsidR="00BF2B41" w:rsidTr="00BF2B41">
        <w:tc>
          <w:tcPr>
            <w:tcW w:w="5529" w:type="dxa"/>
          </w:tcPr>
          <w:p w:rsidR="00BF2B41" w:rsidRDefault="00C32EB2" w:rsidP="00BF2B41">
            <w:pPr>
              <w:pStyle w:val="NoSpacing"/>
            </w:pPr>
            <w:r>
              <w:t>Other borrowing costs (other than interest)</w:t>
            </w:r>
          </w:p>
        </w:tc>
        <w:tc>
          <w:tcPr>
            <w:tcW w:w="1276" w:type="dxa"/>
          </w:tcPr>
          <w:p w:rsidR="00BF2B41" w:rsidRDefault="008B2C89" w:rsidP="00BF2B41">
            <w:pPr>
              <w:pStyle w:val="NoSpacing"/>
              <w:jc w:val="right"/>
            </w:pPr>
            <w:r>
              <w:t>118</w:t>
            </w:r>
          </w:p>
        </w:tc>
        <w:tc>
          <w:tcPr>
            <w:tcW w:w="1276" w:type="dxa"/>
          </w:tcPr>
          <w:p w:rsidR="00BF2B41" w:rsidRDefault="008B2C89" w:rsidP="00BF2B41">
            <w:pPr>
              <w:pStyle w:val="NoSpacing"/>
              <w:jc w:val="right"/>
            </w:pPr>
            <w:r>
              <w:t>119</w:t>
            </w:r>
          </w:p>
        </w:tc>
        <w:tc>
          <w:tcPr>
            <w:tcW w:w="1275" w:type="dxa"/>
          </w:tcPr>
          <w:p w:rsidR="00BF2B41" w:rsidRDefault="008B2C89" w:rsidP="00BF2B41">
            <w:pPr>
              <w:pStyle w:val="NoSpacing"/>
              <w:jc w:val="right"/>
            </w:pPr>
            <w:r>
              <w:t>117</w:t>
            </w:r>
          </w:p>
        </w:tc>
        <w:tc>
          <w:tcPr>
            <w:tcW w:w="1276" w:type="dxa"/>
          </w:tcPr>
          <w:p w:rsidR="00BF2B41" w:rsidRDefault="008B2C89" w:rsidP="00BF2B41">
            <w:pPr>
              <w:pStyle w:val="NoSpacing"/>
              <w:jc w:val="right"/>
            </w:pPr>
            <w:r>
              <w:t>117</w:t>
            </w:r>
          </w:p>
        </w:tc>
      </w:tr>
      <w:tr w:rsidR="00BF2B41" w:rsidTr="00BF2B41">
        <w:tc>
          <w:tcPr>
            <w:tcW w:w="5529" w:type="dxa"/>
          </w:tcPr>
          <w:p w:rsidR="00BF2B41" w:rsidRDefault="00C32EB2" w:rsidP="00BF2B41">
            <w:pPr>
              <w:pStyle w:val="NoSpacing"/>
            </w:pPr>
            <w:r>
              <w:t>Purchase of supplies and consumables</w:t>
            </w:r>
          </w:p>
        </w:tc>
        <w:tc>
          <w:tcPr>
            <w:tcW w:w="1276" w:type="dxa"/>
          </w:tcPr>
          <w:p w:rsidR="00BF2B41" w:rsidRDefault="008B2C89" w:rsidP="00BF2B41">
            <w:pPr>
              <w:pStyle w:val="NoSpacing"/>
              <w:jc w:val="right"/>
            </w:pPr>
            <w:r>
              <w:t>7,556</w:t>
            </w:r>
          </w:p>
        </w:tc>
        <w:tc>
          <w:tcPr>
            <w:tcW w:w="1276" w:type="dxa"/>
          </w:tcPr>
          <w:p w:rsidR="00BF2B41" w:rsidRDefault="008B2C89" w:rsidP="00BF2B41">
            <w:pPr>
              <w:pStyle w:val="NoSpacing"/>
              <w:jc w:val="right"/>
            </w:pPr>
            <w:r>
              <w:t>6,456</w:t>
            </w:r>
          </w:p>
        </w:tc>
        <w:tc>
          <w:tcPr>
            <w:tcW w:w="1275" w:type="dxa"/>
          </w:tcPr>
          <w:p w:rsidR="00BF2B41" w:rsidRDefault="008B2C89" w:rsidP="00BF2B41">
            <w:pPr>
              <w:pStyle w:val="NoSpacing"/>
              <w:jc w:val="right"/>
            </w:pPr>
            <w:r>
              <w:t>7,502</w:t>
            </w:r>
          </w:p>
        </w:tc>
        <w:tc>
          <w:tcPr>
            <w:tcW w:w="1276" w:type="dxa"/>
          </w:tcPr>
          <w:p w:rsidR="00BF2B41" w:rsidRDefault="008B2C89" w:rsidP="00BF2B41">
            <w:pPr>
              <w:pStyle w:val="NoSpacing"/>
              <w:jc w:val="right"/>
            </w:pPr>
            <w:r>
              <w:t>6,404</w:t>
            </w:r>
          </w:p>
        </w:tc>
      </w:tr>
      <w:tr w:rsidR="00BF2B41" w:rsidTr="00BF2B41">
        <w:tc>
          <w:tcPr>
            <w:tcW w:w="5529" w:type="dxa"/>
          </w:tcPr>
          <w:p w:rsidR="00BF2B41" w:rsidRDefault="00C32EB2" w:rsidP="00BF2B41">
            <w:pPr>
              <w:pStyle w:val="NoSpacing"/>
            </w:pPr>
            <w:r>
              <w:t>Total supplies and services</w:t>
            </w:r>
          </w:p>
        </w:tc>
        <w:tc>
          <w:tcPr>
            <w:tcW w:w="1276" w:type="dxa"/>
          </w:tcPr>
          <w:p w:rsidR="00BF2B41" w:rsidRDefault="008B2C89" w:rsidP="00BF2B41">
            <w:pPr>
              <w:pStyle w:val="NoSpacing"/>
              <w:jc w:val="right"/>
            </w:pPr>
            <w:r>
              <w:t>37,995</w:t>
            </w:r>
          </w:p>
        </w:tc>
        <w:tc>
          <w:tcPr>
            <w:tcW w:w="1276" w:type="dxa"/>
          </w:tcPr>
          <w:p w:rsidR="00BF2B41" w:rsidRDefault="008B2C89" w:rsidP="00BF2B41">
            <w:pPr>
              <w:pStyle w:val="NoSpacing"/>
              <w:jc w:val="right"/>
            </w:pPr>
            <w:r>
              <w:t>33,695</w:t>
            </w:r>
          </w:p>
        </w:tc>
        <w:tc>
          <w:tcPr>
            <w:tcW w:w="1275" w:type="dxa"/>
          </w:tcPr>
          <w:p w:rsidR="00BF2B41" w:rsidRDefault="008B2C89" w:rsidP="00BF2B41">
            <w:pPr>
              <w:pStyle w:val="NoSpacing"/>
              <w:jc w:val="right"/>
            </w:pPr>
            <w:r>
              <w:t>37,894</w:t>
            </w:r>
          </w:p>
        </w:tc>
        <w:tc>
          <w:tcPr>
            <w:tcW w:w="1276" w:type="dxa"/>
          </w:tcPr>
          <w:p w:rsidR="00BF2B41" w:rsidRDefault="008B2C89" w:rsidP="00BF2B41">
            <w:pPr>
              <w:pStyle w:val="NoSpacing"/>
              <w:jc w:val="right"/>
            </w:pPr>
            <w:r>
              <w:t>33,576</w:t>
            </w:r>
          </w:p>
        </w:tc>
      </w:tr>
    </w:tbl>
    <w:p w:rsidR="00BF2B41" w:rsidRDefault="00BF2B41" w:rsidP="005942B8">
      <w:pPr>
        <w:pStyle w:val="NoSpacing"/>
      </w:pPr>
    </w:p>
    <w:p w:rsidR="003A164D" w:rsidRDefault="008B2C89" w:rsidP="005942B8">
      <w:pPr>
        <w:pStyle w:val="NoSpacing"/>
      </w:pPr>
      <w:r>
        <w:lastRenderedPageBreak/>
        <w:t>Supplies and services are recognised as an expense in the reporting period in which they are incurred. The carrying amounts of any inventories held for distribution are expensed when the inventories are distributed.</w:t>
      </w:r>
    </w:p>
    <w:p w:rsidR="008B2C89" w:rsidRDefault="008B2C89" w:rsidP="005942B8">
      <w:pPr>
        <w:pStyle w:val="NoSpacing"/>
      </w:pPr>
    </w:p>
    <w:p w:rsidR="008B2C89" w:rsidRDefault="008B2C89" w:rsidP="00681D4D">
      <w:pPr>
        <w:pStyle w:val="Heading4"/>
      </w:pPr>
      <w:r>
        <w:t>3.3.1 Non-cancellable operating lease commitments – short-term and low value leases</w:t>
      </w:r>
    </w:p>
    <w:p w:rsidR="00BF2B41" w:rsidRDefault="00BF2B41" w:rsidP="005942B8">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0F302B" w:rsidTr="00E007BC">
        <w:trPr>
          <w:gridBefore w:val="1"/>
          <w:wBefore w:w="5529" w:type="dxa"/>
        </w:trPr>
        <w:tc>
          <w:tcPr>
            <w:tcW w:w="2552" w:type="dxa"/>
            <w:gridSpan w:val="2"/>
          </w:tcPr>
          <w:p w:rsidR="000F302B" w:rsidRDefault="000F302B" w:rsidP="00E007BC">
            <w:pPr>
              <w:pStyle w:val="NoSpacing"/>
              <w:jc w:val="right"/>
            </w:pPr>
            <w:r>
              <w:t>Consolidated</w:t>
            </w:r>
          </w:p>
        </w:tc>
        <w:tc>
          <w:tcPr>
            <w:tcW w:w="2551" w:type="dxa"/>
            <w:gridSpan w:val="2"/>
          </w:tcPr>
          <w:p w:rsidR="000F302B" w:rsidRDefault="000F302B" w:rsidP="00E007BC">
            <w:pPr>
              <w:pStyle w:val="NoSpacing"/>
              <w:jc w:val="right"/>
            </w:pPr>
            <w:r>
              <w:t>Chisholm</w:t>
            </w:r>
          </w:p>
        </w:tc>
      </w:tr>
      <w:tr w:rsidR="000F302B" w:rsidTr="00E007BC">
        <w:trPr>
          <w:gridBefore w:val="1"/>
          <w:wBefore w:w="5529" w:type="dxa"/>
        </w:trPr>
        <w:tc>
          <w:tcPr>
            <w:tcW w:w="1276" w:type="dxa"/>
          </w:tcPr>
          <w:p w:rsidR="000F302B" w:rsidRDefault="000F302B" w:rsidP="00E007BC">
            <w:pPr>
              <w:pStyle w:val="NoSpacing"/>
              <w:jc w:val="right"/>
            </w:pPr>
            <w:r>
              <w:t>2019</w:t>
            </w:r>
          </w:p>
        </w:tc>
        <w:tc>
          <w:tcPr>
            <w:tcW w:w="1276" w:type="dxa"/>
          </w:tcPr>
          <w:p w:rsidR="000F302B" w:rsidRDefault="000F302B" w:rsidP="00E007BC">
            <w:pPr>
              <w:pStyle w:val="NoSpacing"/>
              <w:jc w:val="right"/>
            </w:pPr>
            <w:r>
              <w:t>2018</w:t>
            </w:r>
          </w:p>
        </w:tc>
        <w:tc>
          <w:tcPr>
            <w:tcW w:w="1275" w:type="dxa"/>
          </w:tcPr>
          <w:p w:rsidR="000F302B" w:rsidRDefault="000F302B" w:rsidP="00E007BC">
            <w:pPr>
              <w:pStyle w:val="NoSpacing"/>
              <w:jc w:val="right"/>
            </w:pPr>
            <w:r>
              <w:t>2019</w:t>
            </w:r>
          </w:p>
        </w:tc>
        <w:tc>
          <w:tcPr>
            <w:tcW w:w="1276" w:type="dxa"/>
          </w:tcPr>
          <w:p w:rsidR="000F302B" w:rsidRDefault="000F302B" w:rsidP="00E007BC">
            <w:pPr>
              <w:pStyle w:val="NoSpacing"/>
              <w:jc w:val="right"/>
            </w:pPr>
            <w:r>
              <w:t>2018</w:t>
            </w:r>
          </w:p>
        </w:tc>
      </w:tr>
      <w:tr w:rsidR="000F302B" w:rsidTr="00E007BC">
        <w:trPr>
          <w:gridBefore w:val="1"/>
          <w:wBefore w:w="5529" w:type="dxa"/>
        </w:trPr>
        <w:tc>
          <w:tcPr>
            <w:tcW w:w="1276" w:type="dxa"/>
          </w:tcPr>
          <w:p w:rsidR="000F302B" w:rsidRDefault="000F302B" w:rsidP="00E007BC">
            <w:pPr>
              <w:pStyle w:val="NoSpacing"/>
              <w:jc w:val="right"/>
            </w:pPr>
            <w:r>
              <w:t>$’000</w:t>
            </w:r>
          </w:p>
        </w:tc>
        <w:tc>
          <w:tcPr>
            <w:tcW w:w="1276" w:type="dxa"/>
          </w:tcPr>
          <w:p w:rsidR="000F302B" w:rsidRDefault="000F302B" w:rsidP="00E007BC">
            <w:pPr>
              <w:jc w:val="right"/>
            </w:pPr>
            <w:r w:rsidRPr="00105D59">
              <w:t>$’000</w:t>
            </w:r>
          </w:p>
        </w:tc>
        <w:tc>
          <w:tcPr>
            <w:tcW w:w="1275" w:type="dxa"/>
          </w:tcPr>
          <w:p w:rsidR="000F302B" w:rsidRDefault="000F302B" w:rsidP="00E007BC">
            <w:pPr>
              <w:jc w:val="right"/>
            </w:pPr>
            <w:r w:rsidRPr="00105D59">
              <w:t>$’000</w:t>
            </w:r>
          </w:p>
        </w:tc>
        <w:tc>
          <w:tcPr>
            <w:tcW w:w="1276" w:type="dxa"/>
          </w:tcPr>
          <w:p w:rsidR="000F302B" w:rsidRDefault="000F302B" w:rsidP="00E007BC">
            <w:pPr>
              <w:jc w:val="right"/>
            </w:pPr>
            <w:r w:rsidRPr="00105D59">
              <w:t>$’000</w:t>
            </w:r>
          </w:p>
        </w:tc>
      </w:tr>
      <w:tr w:rsidR="000F302B" w:rsidTr="00E007BC">
        <w:tc>
          <w:tcPr>
            <w:tcW w:w="10632" w:type="dxa"/>
            <w:gridSpan w:val="5"/>
          </w:tcPr>
          <w:p w:rsidR="000F302B" w:rsidRDefault="000F302B" w:rsidP="00E007BC">
            <w:pPr>
              <w:pStyle w:val="NoSpacing"/>
            </w:pPr>
            <w:r>
              <w:t>Payable:</w:t>
            </w:r>
          </w:p>
        </w:tc>
      </w:tr>
      <w:tr w:rsidR="008B2C89" w:rsidTr="00E007BC">
        <w:tc>
          <w:tcPr>
            <w:tcW w:w="5529" w:type="dxa"/>
          </w:tcPr>
          <w:p w:rsidR="008B2C89" w:rsidRDefault="008B2C89" w:rsidP="00E007BC">
            <w:pPr>
              <w:pStyle w:val="NoSpacing"/>
            </w:pPr>
            <w:r>
              <w:t>Within one year</w:t>
            </w:r>
          </w:p>
        </w:tc>
        <w:tc>
          <w:tcPr>
            <w:tcW w:w="1276" w:type="dxa"/>
          </w:tcPr>
          <w:p w:rsidR="008B2C89" w:rsidRDefault="008B2C89" w:rsidP="00E007BC">
            <w:pPr>
              <w:pStyle w:val="NoSpacing"/>
              <w:jc w:val="right"/>
            </w:pPr>
            <w:r>
              <w:t>294</w:t>
            </w:r>
          </w:p>
        </w:tc>
        <w:tc>
          <w:tcPr>
            <w:tcW w:w="1276" w:type="dxa"/>
          </w:tcPr>
          <w:p w:rsidR="008B2C89" w:rsidRDefault="008B2C89" w:rsidP="00E007BC">
            <w:pPr>
              <w:pStyle w:val="NoSpacing"/>
              <w:jc w:val="right"/>
            </w:pPr>
            <w:r>
              <w:t>2,770</w:t>
            </w:r>
          </w:p>
        </w:tc>
        <w:tc>
          <w:tcPr>
            <w:tcW w:w="1275" w:type="dxa"/>
          </w:tcPr>
          <w:p w:rsidR="008B2C89" w:rsidRDefault="008B2C89" w:rsidP="00E007BC">
            <w:pPr>
              <w:pStyle w:val="NoSpacing"/>
              <w:jc w:val="right"/>
            </w:pPr>
            <w:r>
              <w:t>294</w:t>
            </w:r>
          </w:p>
        </w:tc>
        <w:tc>
          <w:tcPr>
            <w:tcW w:w="1276" w:type="dxa"/>
          </w:tcPr>
          <w:p w:rsidR="008B2C89" w:rsidRDefault="008B2C89" w:rsidP="00E007BC">
            <w:pPr>
              <w:pStyle w:val="NoSpacing"/>
              <w:jc w:val="right"/>
            </w:pPr>
            <w:r>
              <w:t>2,770</w:t>
            </w:r>
          </w:p>
        </w:tc>
      </w:tr>
      <w:tr w:rsidR="000F302B" w:rsidTr="00E007BC">
        <w:tc>
          <w:tcPr>
            <w:tcW w:w="5529" w:type="dxa"/>
          </w:tcPr>
          <w:p w:rsidR="000F302B" w:rsidRDefault="000F302B" w:rsidP="00E007BC">
            <w:pPr>
              <w:pStyle w:val="NoSpacing"/>
            </w:pPr>
            <w:r>
              <w:t>Later than one year but no later than five years</w:t>
            </w:r>
          </w:p>
        </w:tc>
        <w:tc>
          <w:tcPr>
            <w:tcW w:w="1276" w:type="dxa"/>
          </w:tcPr>
          <w:p w:rsidR="000F302B" w:rsidRDefault="008B2C89" w:rsidP="00E007BC">
            <w:pPr>
              <w:pStyle w:val="NoSpacing"/>
              <w:jc w:val="right"/>
            </w:pPr>
            <w:r>
              <w:t>542</w:t>
            </w:r>
          </w:p>
        </w:tc>
        <w:tc>
          <w:tcPr>
            <w:tcW w:w="1276" w:type="dxa"/>
          </w:tcPr>
          <w:p w:rsidR="000F302B" w:rsidRDefault="008B2C89" w:rsidP="00E007BC">
            <w:pPr>
              <w:pStyle w:val="NoSpacing"/>
              <w:jc w:val="right"/>
            </w:pPr>
            <w:r>
              <w:t>4,181</w:t>
            </w:r>
          </w:p>
        </w:tc>
        <w:tc>
          <w:tcPr>
            <w:tcW w:w="1275" w:type="dxa"/>
          </w:tcPr>
          <w:p w:rsidR="000F302B" w:rsidRDefault="008B2C89" w:rsidP="00E007BC">
            <w:pPr>
              <w:pStyle w:val="NoSpacing"/>
              <w:jc w:val="right"/>
            </w:pPr>
            <w:r>
              <w:t>542</w:t>
            </w:r>
          </w:p>
        </w:tc>
        <w:tc>
          <w:tcPr>
            <w:tcW w:w="1276" w:type="dxa"/>
          </w:tcPr>
          <w:p w:rsidR="000F302B" w:rsidRDefault="008B2C89" w:rsidP="00E007BC">
            <w:pPr>
              <w:pStyle w:val="NoSpacing"/>
              <w:jc w:val="right"/>
            </w:pPr>
            <w:r>
              <w:t>4,181</w:t>
            </w:r>
          </w:p>
        </w:tc>
      </w:tr>
      <w:tr w:rsidR="000F302B" w:rsidTr="00E007BC">
        <w:tc>
          <w:tcPr>
            <w:tcW w:w="5529" w:type="dxa"/>
          </w:tcPr>
          <w:p w:rsidR="000F302B" w:rsidRDefault="000F302B" w:rsidP="008B2C89">
            <w:pPr>
              <w:pStyle w:val="NoSpacing"/>
            </w:pPr>
            <w:r>
              <w:t xml:space="preserve">Total </w:t>
            </w:r>
            <w:r w:rsidR="008B2C89">
              <w:t xml:space="preserve">operating lease commitments </w:t>
            </w:r>
            <w:r>
              <w:t xml:space="preserve"> </w:t>
            </w:r>
          </w:p>
        </w:tc>
        <w:tc>
          <w:tcPr>
            <w:tcW w:w="1276" w:type="dxa"/>
          </w:tcPr>
          <w:p w:rsidR="000F302B" w:rsidRDefault="008B2C89" w:rsidP="00E007BC">
            <w:pPr>
              <w:pStyle w:val="NoSpacing"/>
              <w:jc w:val="right"/>
            </w:pPr>
            <w:r>
              <w:t>836</w:t>
            </w:r>
          </w:p>
        </w:tc>
        <w:tc>
          <w:tcPr>
            <w:tcW w:w="1276" w:type="dxa"/>
          </w:tcPr>
          <w:p w:rsidR="000F302B" w:rsidRDefault="008B2C89" w:rsidP="00E007BC">
            <w:pPr>
              <w:pStyle w:val="NoSpacing"/>
              <w:jc w:val="right"/>
            </w:pPr>
            <w:r>
              <w:t>6,951</w:t>
            </w:r>
          </w:p>
        </w:tc>
        <w:tc>
          <w:tcPr>
            <w:tcW w:w="1275" w:type="dxa"/>
          </w:tcPr>
          <w:p w:rsidR="000F302B" w:rsidRDefault="008B2C89" w:rsidP="00E007BC">
            <w:pPr>
              <w:pStyle w:val="NoSpacing"/>
              <w:jc w:val="right"/>
            </w:pPr>
            <w:r>
              <w:t>836</w:t>
            </w:r>
          </w:p>
        </w:tc>
        <w:tc>
          <w:tcPr>
            <w:tcW w:w="1276" w:type="dxa"/>
          </w:tcPr>
          <w:p w:rsidR="000F302B" w:rsidRDefault="008B2C89" w:rsidP="00E007BC">
            <w:pPr>
              <w:pStyle w:val="NoSpacing"/>
              <w:jc w:val="right"/>
            </w:pPr>
            <w:r>
              <w:t>6,951</w:t>
            </w:r>
          </w:p>
        </w:tc>
      </w:tr>
    </w:tbl>
    <w:p w:rsidR="000F302B" w:rsidRDefault="000F302B" w:rsidP="005942B8">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8B2C89" w:rsidTr="003D73DB">
        <w:tc>
          <w:tcPr>
            <w:tcW w:w="5529" w:type="dxa"/>
          </w:tcPr>
          <w:p w:rsidR="008B2C89" w:rsidRDefault="008B2C89" w:rsidP="003D73DB">
            <w:pPr>
              <w:pStyle w:val="NoSpacing"/>
            </w:pPr>
            <w:r>
              <w:t>GST reclaimable on the above</w:t>
            </w:r>
          </w:p>
        </w:tc>
        <w:tc>
          <w:tcPr>
            <w:tcW w:w="1276" w:type="dxa"/>
          </w:tcPr>
          <w:p w:rsidR="008B2C89" w:rsidRDefault="008B2C89" w:rsidP="003D73DB">
            <w:pPr>
              <w:pStyle w:val="NoSpacing"/>
              <w:jc w:val="right"/>
            </w:pPr>
            <w:r>
              <w:t>76</w:t>
            </w:r>
          </w:p>
        </w:tc>
        <w:tc>
          <w:tcPr>
            <w:tcW w:w="1276" w:type="dxa"/>
          </w:tcPr>
          <w:p w:rsidR="008B2C89" w:rsidRDefault="008B2C89" w:rsidP="003D73DB">
            <w:pPr>
              <w:pStyle w:val="NoSpacing"/>
              <w:jc w:val="right"/>
            </w:pPr>
            <w:r>
              <w:t>632</w:t>
            </w:r>
          </w:p>
        </w:tc>
        <w:tc>
          <w:tcPr>
            <w:tcW w:w="1275" w:type="dxa"/>
          </w:tcPr>
          <w:p w:rsidR="008B2C89" w:rsidRDefault="008B2C89" w:rsidP="003D73DB">
            <w:pPr>
              <w:pStyle w:val="NoSpacing"/>
              <w:jc w:val="right"/>
            </w:pPr>
            <w:r>
              <w:t>76</w:t>
            </w:r>
          </w:p>
        </w:tc>
        <w:tc>
          <w:tcPr>
            <w:tcW w:w="1276" w:type="dxa"/>
          </w:tcPr>
          <w:p w:rsidR="008B2C89" w:rsidRDefault="008B2C89" w:rsidP="003D73DB">
            <w:pPr>
              <w:pStyle w:val="NoSpacing"/>
              <w:jc w:val="right"/>
            </w:pPr>
            <w:r>
              <w:t>632</w:t>
            </w:r>
          </w:p>
        </w:tc>
      </w:tr>
      <w:tr w:rsidR="008B2C89" w:rsidTr="003D73DB">
        <w:tc>
          <w:tcPr>
            <w:tcW w:w="5529" w:type="dxa"/>
          </w:tcPr>
          <w:p w:rsidR="008B2C89" w:rsidRDefault="008B2C89" w:rsidP="003D73DB">
            <w:pPr>
              <w:pStyle w:val="NoSpacing"/>
            </w:pPr>
            <w:r>
              <w:t xml:space="preserve">Net operating lease commitments </w:t>
            </w:r>
          </w:p>
        </w:tc>
        <w:tc>
          <w:tcPr>
            <w:tcW w:w="1276" w:type="dxa"/>
          </w:tcPr>
          <w:p w:rsidR="008B2C89" w:rsidRDefault="008B2C89" w:rsidP="003D73DB">
            <w:pPr>
              <w:pStyle w:val="NoSpacing"/>
              <w:jc w:val="right"/>
            </w:pPr>
            <w:r>
              <w:t>760</w:t>
            </w:r>
          </w:p>
        </w:tc>
        <w:tc>
          <w:tcPr>
            <w:tcW w:w="1276" w:type="dxa"/>
          </w:tcPr>
          <w:p w:rsidR="008B2C89" w:rsidRDefault="008B2C89" w:rsidP="003D73DB">
            <w:pPr>
              <w:pStyle w:val="NoSpacing"/>
              <w:jc w:val="right"/>
            </w:pPr>
            <w:r>
              <w:t>6,319</w:t>
            </w:r>
          </w:p>
        </w:tc>
        <w:tc>
          <w:tcPr>
            <w:tcW w:w="1275" w:type="dxa"/>
          </w:tcPr>
          <w:p w:rsidR="008B2C89" w:rsidRDefault="008B2C89" w:rsidP="003D73DB">
            <w:pPr>
              <w:pStyle w:val="NoSpacing"/>
              <w:jc w:val="right"/>
            </w:pPr>
            <w:r>
              <w:t>760</w:t>
            </w:r>
          </w:p>
        </w:tc>
        <w:tc>
          <w:tcPr>
            <w:tcW w:w="1276" w:type="dxa"/>
          </w:tcPr>
          <w:p w:rsidR="008B2C89" w:rsidRDefault="008B2C89" w:rsidP="003D73DB">
            <w:pPr>
              <w:pStyle w:val="NoSpacing"/>
              <w:jc w:val="right"/>
            </w:pPr>
            <w:r>
              <w:t>6,319</w:t>
            </w:r>
          </w:p>
        </w:tc>
      </w:tr>
    </w:tbl>
    <w:p w:rsidR="008B2C89" w:rsidRDefault="008B2C89" w:rsidP="005942B8">
      <w:pPr>
        <w:pStyle w:val="NoSpacing"/>
      </w:pPr>
    </w:p>
    <w:p w:rsidR="008B2C89" w:rsidRDefault="008B2C89" w:rsidP="005942B8">
      <w:pPr>
        <w:pStyle w:val="NoSpacing"/>
      </w:pPr>
      <w:r>
        <w:t>&lt;page 62&gt;</w:t>
      </w:r>
    </w:p>
    <w:p w:rsidR="008B2C89" w:rsidRDefault="008B2C89" w:rsidP="005942B8">
      <w:pPr>
        <w:pStyle w:val="NoSpacing"/>
      </w:pPr>
    </w:p>
    <w:p w:rsidR="00944E2C" w:rsidRDefault="00944E2C" w:rsidP="00406A46">
      <w:pPr>
        <w:pStyle w:val="Heading2"/>
      </w:pPr>
      <w:r>
        <w:t>3. How we expended our funds</w:t>
      </w:r>
    </w:p>
    <w:p w:rsidR="00406A46" w:rsidRDefault="00406A46" w:rsidP="00406A46">
      <w:pPr>
        <w:pStyle w:val="NoSpacing"/>
      </w:pPr>
    </w:p>
    <w:p w:rsidR="00944E2C" w:rsidRDefault="00944E2C" w:rsidP="00406A46">
      <w:pPr>
        <w:pStyle w:val="Heading3"/>
      </w:pPr>
      <w:r>
        <w:t>3.3 Supplies and services (continued)</w:t>
      </w:r>
    </w:p>
    <w:p w:rsidR="00406A46" w:rsidRDefault="00406A46" w:rsidP="00406A46">
      <w:pPr>
        <w:pStyle w:val="NoSpacing"/>
      </w:pPr>
    </w:p>
    <w:p w:rsidR="00944E2C" w:rsidRDefault="00944E2C" w:rsidP="00406A46">
      <w:pPr>
        <w:pStyle w:val="Heading4"/>
      </w:pPr>
      <w:r>
        <w:t>3.3.2 Other expenditure commitments</w:t>
      </w:r>
    </w:p>
    <w:p w:rsidR="00944E2C" w:rsidRDefault="00944E2C" w:rsidP="00944E2C"/>
    <w:p w:rsidR="00944E2C" w:rsidRPr="00944E2C" w:rsidRDefault="00944E2C" w:rsidP="00944E2C">
      <w:r>
        <w:t>Commitments for future maintenance services in existence at reporting date but not recognised as liabilities are as follows:</w:t>
      </w: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3D73DB" w:rsidTr="003D73DB">
        <w:trPr>
          <w:gridBefore w:val="1"/>
          <w:wBefore w:w="5529" w:type="dxa"/>
        </w:trPr>
        <w:tc>
          <w:tcPr>
            <w:tcW w:w="2552" w:type="dxa"/>
            <w:gridSpan w:val="2"/>
          </w:tcPr>
          <w:p w:rsidR="003D73DB" w:rsidRDefault="003D73DB" w:rsidP="003D73DB">
            <w:pPr>
              <w:pStyle w:val="NoSpacing"/>
              <w:jc w:val="right"/>
            </w:pPr>
            <w:r>
              <w:t>Consolidated</w:t>
            </w:r>
          </w:p>
        </w:tc>
        <w:tc>
          <w:tcPr>
            <w:tcW w:w="2551" w:type="dxa"/>
            <w:gridSpan w:val="2"/>
          </w:tcPr>
          <w:p w:rsidR="003D73DB" w:rsidRDefault="003D73DB" w:rsidP="003D73DB">
            <w:pPr>
              <w:pStyle w:val="NoSpacing"/>
              <w:jc w:val="right"/>
            </w:pPr>
            <w:r>
              <w:t>Chisholm</w:t>
            </w:r>
          </w:p>
        </w:tc>
      </w:tr>
      <w:tr w:rsidR="003D73DB" w:rsidTr="003D73DB">
        <w:trPr>
          <w:gridBefore w:val="1"/>
          <w:wBefore w:w="5529" w:type="dxa"/>
        </w:trPr>
        <w:tc>
          <w:tcPr>
            <w:tcW w:w="1276" w:type="dxa"/>
          </w:tcPr>
          <w:p w:rsidR="003D73DB" w:rsidRDefault="003D73DB" w:rsidP="003D73DB">
            <w:pPr>
              <w:pStyle w:val="NoSpacing"/>
              <w:jc w:val="right"/>
            </w:pPr>
            <w:r>
              <w:t>2019</w:t>
            </w:r>
          </w:p>
        </w:tc>
        <w:tc>
          <w:tcPr>
            <w:tcW w:w="1276" w:type="dxa"/>
          </w:tcPr>
          <w:p w:rsidR="003D73DB" w:rsidRDefault="003D73DB" w:rsidP="003D73DB">
            <w:pPr>
              <w:pStyle w:val="NoSpacing"/>
              <w:jc w:val="right"/>
            </w:pPr>
            <w:r>
              <w:t>2018</w:t>
            </w:r>
          </w:p>
        </w:tc>
        <w:tc>
          <w:tcPr>
            <w:tcW w:w="1275" w:type="dxa"/>
          </w:tcPr>
          <w:p w:rsidR="003D73DB" w:rsidRDefault="003D73DB" w:rsidP="003D73DB">
            <w:pPr>
              <w:pStyle w:val="NoSpacing"/>
              <w:jc w:val="right"/>
            </w:pPr>
            <w:r>
              <w:t>2019</w:t>
            </w:r>
          </w:p>
        </w:tc>
        <w:tc>
          <w:tcPr>
            <w:tcW w:w="1276" w:type="dxa"/>
          </w:tcPr>
          <w:p w:rsidR="003D73DB" w:rsidRDefault="003D73DB" w:rsidP="003D73DB">
            <w:pPr>
              <w:pStyle w:val="NoSpacing"/>
              <w:jc w:val="right"/>
            </w:pPr>
            <w:r>
              <w:t>2018</w:t>
            </w:r>
          </w:p>
        </w:tc>
      </w:tr>
      <w:tr w:rsidR="003D73DB" w:rsidTr="003D73DB">
        <w:trPr>
          <w:gridBefore w:val="1"/>
          <w:wBefore w:w="5529" w:type="dxa"/>
        </w:trPr>
        <w:tc>
          <w:tcPr>
            <w:tcW w:w="1276" w:type="dxa"/>
          </w:tcPr>
          <w:p w:rsidR="003D73DB" w:rsidRDefault="003D73DB" w:rsidP="003D73DB">
            <w:pPr>
              <w:pStyle w:val="NoSpacing"/>
              <w:jc w:val="right"/>
            </w:pPr>
            <w:r>
              <w:t>$’000</w:t>
            </w:r>
          </w:p>
        </w:tc>
        <w:tc>
          <w:tcPr>
            <w:tcW w:w="1276" w:type="dxa"/>
          </w:tcPr>
          <w:p w:rsidR="003D73DB" w:rsidRDefault="003D73DB" w:rsidP="003D73DB">
            <w:pPr>
              <w:jc w:val="right"/>
            </w:pPr>
            <w:r w:rsidRPr="00105D59">
              <w:t>$’000</w:t>
            </w:r>
          </w:p>
        </w:tc>
        <w:tc>
          <w:tcPr>
            <w:tcW w:w="1275" w:type="dxa"/>
          </w:tcPr>
          <w:p w:rsidR="003D73DB" w:rsidRDefault="003D73DB" w:rsidP="003D73DB">
            <w:pPr>
              <w:jc w:val="right"/>
            </w:pPr>
            <w:r w:rsidRPr="00105D59">
              <w:t>$’000</w:t>
            </w:r>
          </w:p>
        </w:tc>
        <w:tc>
          <w:tcPr>
            <w:tcW w:w="1276" w:type="dxa"/>
          </w:tcPr>
          <w:p w:rsidR="003D73DB" w:rsidRDefault="003D73DB" w:rsidP="003D73DB">
            <w:pPr>
              <w:jc w:val="right"/>
            </w:pPr>
            <w:r w:rsidRPr="00105D59">
              <w:t>$’000</w:t>
            </w:r>
          </w:p>
        </w:tc>
      </w:tr>
      <w:tr w:rsidR="003D73DB" w:rsidTr="003D73DB">
        <w:tc>
          <w:tcPr>
            <w:tcW w:w="10632" w:type="dxa"/>
            <w:gridSpan w:val="5"/>
          </w:tcPr>
          <w:p w:rsidR="003D73DB" w:rsidRDefault="003D73DB" w:rsidP="003D73DB">
            <w:pPr>
              <w:pStyle w:val="NoSpacing"/>
            </w:pPr>
            <w:r>
              <w:t>Payable:</w:t>
            </w:r>
          </w:p>
        </w:tc>
      </w:tr>
      <w:tr w:rsidR="003D73DB" w:rsidTr="003D73DB">
        <w:tc>
          <w:tcPr>
            <w:tcW w:w="5529" w:type="dxa"/>
          </w:tcPr>
          <w:p w:rsidR="003D73DB" w:rsidRDefault="003D73DB" w:rsidP="003D73DB">
            <w:pPr>
              <w:pStyle w:val="NoSpacing"/>
            </w:pPr>
            <w:r>
              <w:t>Within one year</w:t>
            </w:r>
          </w:p>
        </w:tc>
        <w:tc>
          <w:tcPr>
            <w:tcW w:w="1276" w:type="dxa"/>
          </w:tcPr>
          <w:p w:rsidR="003D73DB" w:rsidRDefault="003D73DB" w:rsidP="003D73DB">
            <w:pPr>
              <w:pStyle w:val="NoSpacing"/>
              <w:jc w:val="right"/>
            </w:pPr>
            <w:r>
              <w:t>4,818</w:t>
            </w:r>
          </w:p>
        </w:tc>
        <w:tc>
          <w:tcPr>
            <w:tcW w:w="1276" w:type="dxa"/>
          </w:tcPr>
          <w:p w:rsidR="003D73DB" w:rsidRDefault="003D73DB" w:rsidP="003D73DB">
            <w:pPr>
              <w:pStyle w:val="NoSpacing"/>
              <w:jc w:val="right"/>
            </w:pPr>
            <w:r>
              <w:t>6,764</w:t>
            </w:r>
          </w:p>
        </w:tc>
        <w:tc>
          <w:tcPr>
            <w:tcW w:w="1275" w:type="dxa"/>
          </w:tcPr>
          <w:p w:rsidR="003D73DB" w:rsidRDefault="003D73DB" w:rsidP="003D73DB">
            <w:pPr>
              <w:pStyle w:val="NoSpacing"/>
              <w:jc w:val="right"/>
            </w:pPr>
            <w:r>
              <w:t>4,818</w:t>
            </w:r>
          </w:p>
        </w:tc>
        <w:tc>
          <w:tcPr>
            <w:tcW w:w="1276" w:type="dxa"/>
          </w:tcPr>
          <w:p w:rsidR="003D73DB" w:rsidRDefault="003D73DB" w:rsidP="003D73DB">
            <w:pPr>
              <w:pStyle w:val="NoSpacing"/>
              <w:jc w:val="right"/>
            </w:pPr>
            <w:r>
              <w:t>6,764</w:t>
            </w:r>
          </w:p>
        </w:tc>
      </w:tr>
      <w:tr w:rsidR="003D73DB" w:rsidTr="003D73DB">
        <w:tc>
          <w:tcPr>
            <w:tcW w:w="5529" w:type="dxa"/>
          </w:tcPr>
          <w:p w:rsidR="003D73DB" w:rsidRDefault="003D73DB" w:rsidP="003D73DB">
            <w:pPr>
              <w:pStyle w:val="NoSpacing"/>
            </w:pPr>
            <w:r>
              <w:t>Later than one year but not later than five years</w:t>
            </w:r>
          </w:p>
        </w:tc>
        <w:tc>
          <w:tcPr>
            <w:tcW w:w="1276" w:type="dxa"/>
          </w:tcPr>
          <w:p w:rsidR="003D73DB" w:rsidRDefault="003D73DB" w:rsidP="003D73DB">
            <w:pPr>
              <w:pStyle w:val="NoSpacing"/>
              <w:jc w:val="right"/>
            </w:pPr>
            <w:r>
              <w:t>303</w:t>
            </w:r>
          </w:p>
        </w:tc>
        <w:tc>
          <w:tcPr>
            <w:tcW w:w="1276" w:type="dxa"/>
          </w:tcPr>
          <w:p w:rsidR="003D73DB" w:rsidRDefault="003D73DB" w:rsidP="003D73DB">
            <w:pPr>
              <w:pStyle w:val="NoSpacing"/>
              <w:jc w:val="right"/>
            </w:pPr>
            <w:r>
              <w:t>8,967</w:t>
            </w:r>
          </w:p>
        </w:tc>
        <w:tc>
          <w:tcPr>
            <w:tcW w:w="1275" w:type="dxa"/>
          </w:tcPr>
          <w:p w:rsidR="003D73DB" w:rsidRDefault="003D73DB" w:rsidP="003D73DB">
            <w:pPr>
              <w:pStyle w:val="NoSpacing"/>
              <w:jc w:val="right"/>
            </w:pPr>
            <w:r>
              <w:t>303</w:t>
            </w:r>
          </w:p>
        </w:tc>
        <w:tc>
          <w:tcPr>
            <w:tcW w:w="1276" w:type="dxa"/>
          </w:tcPr>
          <w:p w:rsidR="003D73DB" w:rsidRDefault="003D73DB" w:rsidP="003D73DB">
            <w:pPr>
              <w:pStyle w:val="NoSpacing"/>
              <w:jc w:val="right"/>
            </w:pPr>
            <w:r>
              <w:t>8,967</w:t>
            </w:r>
          </w:p>
        </w:tc>
      </w:tr>
      <w:tr w:rsidR="003D73DB" w:rsidTr="003D73DB">
        <w:tc>
          <w:tcPr>
            <w:tcW w:w="5529" w:type="dxa"/>
          </w:tcPr>
          <w:p w:rsidR="003D73DB" w:rsidRDefault="003D73DB" w:rsidP="003D73DB">
            <w:pPr>
              <w:pStyle w:val="NoSpacing"/>
            </w:pPr>
            <w:r>
              <w:t xml:space="preserve">Total other expenditure commitments </w:t>
            </w:r>
          </w:p>
        </w:tc>
        <w:tc>
          <w:tcPr>
            <w:tcW w:w="1276" w:type="dxa"/>
          </w:tcPr>
          <w:p w:rsidR="003D73DB" w:rsidRDefault="003D73DB" w:rsidP="003D73DB">
            <w:pPr>
              <w:pStyle w:val="NoSpacing"/>
              <w:jc w:val="right"/>
            </w:pPr>
            <w:r>
              <w:t>5,121</w:t>
            </w:r>
          </w:p>
        </w:tc>
        <w:tc>
          <w:tcPr>
            <w:tcW w:w="1276" w:type="dxa"/>
          </w:tcPr>
          <w:p w:rsidR="003D73DB" w:rsidRDefault="003D73DB" w:rsidP="003D73DB">
            <w:pPr>
              <w:pStyle w:val="NoSpacing"/>
              <w:jc w:val="right"/>
            </w:pPr>
            <w:r>
              <w:t>15,731</w:t>
            </w:r>
          </w:p>
        </w:tc>
        <w:tc>
          <w:tcPr>
            <w:tcW w:w="1275" w:type="dxa"/>
          </w:tcPr>
          <w:p w:rsidR="003D73DB" w:rsidRDefault="003D73DB" w:rsidP="003D73DB">
            <w:pPr>
              <w:pStyle w:val="NoSpacing"/>
              <w:jc w:val="right"/>
            </w:pPr>
            <w:r>
              <w:t>5,121</w:t>
            </w:r>
          </w:p>
        </w:tc>
        <w:tc>
          <w:tcPr>
            <w:tcW w:w="1276" w:type="dxa"/>
          </w:tcPr>
          <w:p w:rsidR="003D73DB" w:rsidRDefault="003D73DB" w:rsidP="003D73DB">
            <w:pPr>
              <w:pStyle w:val="NoSpacing"/>
              <w:jc w:val="right"/>
            </w:pPr>
            <w:r>
              <w:t>15,731</w:t>
            </w:r>
          </w:p>
        </w:tc>
      </w:tr>
    </w:tbl>
    <w:p w:rsidR="008B2C89" w:rsidRDefault="008B2C89" w:rsidP="005942B8">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3D73DB" w:rsidTr="003D73DB">
        <w:tc>
          <w:tcPr>
            <w:tcW w:w="5529" w:type="dxa"/>
          </w:tcPr>
          <w:p w:rsidR="003D73DB" w:rsidRDefault="003D73DB" w:rsidP="003D73DB">
            <w:pPr>
              <w:pStyle w:val="NoSpacing"/>
            </w:pPr>
            <w:r>
              <w:t>GST reclaimable on the above</w:t>
            </w:r>
          </w:p>
        </w:tc>
        <w:tc>
          <w:tcPr>
            <w:tcW w:w="1276" w:type="dxa"/>
          </w:tcPr>
          <w:p w:rsidR="003D73DB" w:rsidRDefault="003D73DB" w:rsidP="003D73DB">
            <w:pPr>
              <w:pStyle w:val="NoSpacing"/>
              <w:jc w:val="right"/>
            </w:pPr>
            <w:r>
              <w:t>465</w:t>
            </w:r>
          </w:p>
        </w:tc>
        <w:tc>
          <w:tcPr>
            <w:tcW w:w="1276" w:type="dxa"/>
          </w:tcPr>
          <w:p w:rsidR="003D73DB" w:rsidRDefault="003D73DB" w:rsidP="003D73DB">
            <w:pPr>
              <w:pStyle w:val="NoSpacing"/>
              <w:jc w:val="right"/>
            </w:pPr>
            <w:r>
              <w:t>1,430</w:t>
            </w:r>
          </w:p>
        </w:tc>
        <w:tc>
          <w:tcPr>
            <w:tcW w:w="1275" w:type="dxa"/>
          </w:tcPr>
          <w:p w:rsidR="003D73DB" w:rsidRDefault="003D73DB" w:rsidP="003D73DB">
            <w:pPr>
              <w:pStyle w:val="NoSpacing"/>
              <w:jc w:val="right"/>
            </w:pPr>
            <w:r>
              <w:t>465</w:t>
            </w:r>
          </w:p>
        </w:tc>
        <w:tc>
          <w:tcPr>
            <w:tcW w:w="1276" w:type="dxa"/>
          </w:tcPr>
          <w:p w:rsidR="003D73DB" w:rsidRDefault="003D73DB" w:rsidP="003D73DB">
            <w:pPr>
              <w:pStyle w:val="NoSpacing"/>
              <w:jc w:val="right"/>
            </w:pPr>
            <w:r>
              <w:t>1,430</w:t>
            </w:r>
          </w:p>
        </w:tc>
      </w:tr>
      <w:tr w:rsidR="003D73DB" w:rsidTr="003D73DB">
        <w:tc>
          <w:tcPr>
            <w:tcW w:w="5529" w:type="dxa"/>
          </w:tcPr>
          <w:p w:rsidR="003D73DB" w:rsidRDefault="003D73DB" w:rsidP="003D73DB">
            <w:pPr>
              <w:pStyle w:val="NoSpacing"/>
            </w:pPr>
            <w:r>
              <w:t xml:space="preserve">Net other expenditure commitments </w:t>
            </w:r>
          </w:p>
        </w:tc>
        <w:tc>
          <w:tcPr>
            <w:tcW w:w="1276" w:type="dxa"/>
          </w:tcPr>
          <w:p w:rsidR="003D73DB" w:rsidRDefault="003D73DB" w:rsidP="003D73DB">
            <w:pPr>
              <w:pStyle w:val="NoSpacing"/>
              <w:jc w:val="right"/>
            </w:pPr>
            <w:r>
              <w:t>4,656</w:t>
            </w:r>
          </w:p>
        </w:tc>
        <w:tc>
          <w:tcPr>
            <w:tcW w:w="1276" w:type="dxa"/>
          </w:tcPr>
          <w:p w:rsidR="003D73DB" w:rsidRDefault="003D73DB" w:rsidP="003D73DB">
            <w:pPr>
              <w:pStyle w:val="NoSpacing"/>
              <w:jc w:val="right"/>
            </w:pPr>
            <w:r>
              <w:t>14,301</w:t>
            </w:r>
          </w:p>
        </w:tc>
        <w:tc>
          <w:tcPr>
            <w:tcW w:w="1275" w:type="dxa"/>
          </w:tcPr>
          <w:p w:rsidR="003D73DB" w:rsidRDefault="003D73DB" w:rsidP="003D73DB">
            <w:pPr>
              <w:pStyle w:val="NoSpacing"/>
              <w:jc w:val="right"/>
            </w:pPr>
            <w:r>
              <w:t>4,656</w:t>
            </w:r>
          </w:p>
        </w:tc>
        <w:tc>
          <w:tcPr>
            <w:tcW w:w="1276" w:type="dxa"/>
          </w:tcPr>
          <w:p w:rsidR="003D73DB" w:rsidRDefault="003D73DB" w:rsidP="003D73DB">
            <w:pPr>
              <w:pStyle w:val="NoSpacing"/>
              <w:jc w:val="right"/>
            </w:pPr>
            <w:r>
              <w:t>14,301</w:t>
            </w:r>
          </w:p>
        </w:tc>
      </w:tr>
    </w:tbl>
    <w:p w:rsidR="008B2C89" w:rsidRDefault="008B2C89" w:rsidP="005942B8">
      <w:pPr>
        <w:pStyle w:val="NoSpacing"/>
      </w:pPr>
    </w:p>
    <w:p w:rsidR="003D73DB" w:rsidRDefault="003D73DB" w:rsidP="00406A46">
      <w:pPr>
        <w:pStyle w:val="Heading4"/>
      </w:pPr>
      <w:r>
        <w:t>3.3.3 Other operating expenses</w:t>
      </w:r>
    </w:p>
    <w:p w:rsidR="003D73DB" w:rsidRDefault="003D73DB" w:rsidP="003D73DB">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3D73DB" w:rsidTr="003D73DB">
        <w:trPr>
          <w:gridBefore w:val="1"/>
          <w:wBefore w:w="5529" w:type="dxa"/>
        </w:trPr>
        <w:tc>
          <w:tcPr>
            <w:tcW w:w="2552" w:type="dxa"/>
            <w:gridSpan w:val="2"/>
          </w:tcPr>
          <w:p w:rsidR="003D73DB" w:rsidRDefault="003D73DB" w:rsidP="003D73DB">
            <w:pPr>
              <w:pStyle w:val="NoSpacing"/>
              <w:jc w:val="right"/>
            </w:pPr>
            <w:r>
              <w:t>Consolidated</w:t>
            </w:r>
          </w:p>
        </w:tc>
        <w:tc>
          <w:tcPr>
            <w:tcW w:w="2551" w:type="dxa"/>
            <w:gridSpan w:val="2"/>
          </w:tcPr>
          <w:p w:rsidR="003D73DB" w:rsidRDefault="003D73DB" w:rsidP="003D73DB">
            <w:pPr>
              <w:pStyle w:val="NoSpacing"/>
              <w:jc w:val="right"/>
            </w:pPr>
            <w:r>
              <w:t>Chisholm</w:t>
            </w:r>
          </w:p>
        </w:tc>
      </w:tr>
      <w:tr w:rsidR="003D73DB" w:rsidTr="003D73DB">
        <w:trPr>
          <w:gridBefore w:val="1"/>
          <w:wBefore w:w="5529" w:type="dxa"/>
        </w:trPr>
        <w:tc>
          <w:tcPr>
            <w:tcW w:w="1276" w:type="dxa"/>
          </w:tcPr>
          <w:p w:rsidR="003D73DB" w:rsidRDefault="003D73DB" w:rsidP="003D73DB">
            <w:pPr>
              <w:pStyle w:val="NoSpacing"/>
              <w:jc w:val="right"/>
            </w:pPr>
            <w:r>
              <w:t>2019</w:t>
            </w:r>
          </w:p>
        </w:tc>
        <w:tc>
          <w:tcPr>
            <w:tcW w:w="1276" w:type="dxa"/>
          </w:tcPr>
          <w:p w:rsidR="003D73DB" w:rsidRDefault="003D73DB" w:rsidP="003D73DB">
            <w:pPr>
              <w:pStyle w:val="NoSpacing"/>
              <w:jc w:val="right"/>
            </w:pPr>
            <w:r>
              <w:t>2018</w:t>
            </w:r>
          </w:p>
        </w:tc>
        <w:tc>
          <w:tcPr>
            <w:tcW w:w="1275" w:type="dxa"/>
          </w:tcPr>
          <w:p w:rsidR="003D73DB" w:rsidRDefault="003D73DB" w:rsidP="003D73DB">
            <w:pPr>
              <w:pStyle w:val="NoSpacing"/>
              <w:jc w:val="right"/>
            </w:pPr>
            <w:r>
              <w:t>2019</w:t>
            </w:r>
          </w:p>
        </w:tc>
        <w:tc>
          <w:tcPr>
            <w:tcW w:w="1276" w:type="dxa"/>
          </w:tcPr>
          <w:p w:rsidR="003D73DB" w:rsidRDefault="003D73DB" w:rsidP="003D73DB">
            <w:pPr>
              <w:pStyle w:val="NoSpacing"/>
              <w:jc w:val="right"/>
            </w:pPr>
            <w:r>
              <w:t>2018</w:t>
            </w:r>
          </w:p>
        </w:tc>
      </w:tr>
      <w:tr w:rsidR="003D73DB" w:rsidTr="003D73DB">
        <w:trPr>
          <w:gridBefore w:val="1"/>
          <w:wBefore w:w="5529" w:type="dxa"/>
        </w:trPr>
        <w:tc>
          <w:tcPr>
            <w:tcW w:w="1276" w:type="dxa"/>
          </w:tcPr>
          <w:p w:rsidR="003D73DB" w:rsidRDefault="003D73DB" w:rsidP="003D73DB">
            <w:pPr>
              <w:pStyle w:val="NoSpacing"/>
              <w:jc w:val="right"/>
            </w:pPr>
            <w:r>
              <w:t>$’000</w:t>
            </w:r>
          </w:p>
        </w:tc>
        <w:tc>
          <w:tcPr>
            <w:tcW w:w="1276" w:type="dxa"/>
          </w:tcPr>
          <w:p w:rsidR="003D73DB" w:rsidRDefault="003D73DB" w:rsidP="003D73DB">
            <w:pPr>
              <w:jc w:val="right"/>
            </w:pPr>
            <w:r w:rsidRPr="00105D59">
              <w:t>$’000</w:t>
            </w:r>
          </w:p>
        </w:tc>
        <w:tc>
          <w:tcPr>
            <w:tcW w:w="1275" w:type="dxa"/>
          </w:tcPr>
          <w:p w:rsidR="003D73DB" w:rsidRDefault="003D73DB" w:rsidP="003D73DB">
            <w:pPr>
              <w:jc w:val="right"/>
            </w:pPr>
            <w:r w:rsidRPr="00105D59">
              <w:t>$’000</w:t>
            </w:r>
          </w:p>
        </w:tc>
        <w:tc>
          <w:tcPr>
            <w:tcW w:w="1276" w:type="dxa"/>
          </w:tcPr>
          <w:p w:rsidR="003D73DB" w:rsidRDefault="003D73DB" w:rsidP="003D73DB">
            <w:pPr>
              <w:jc w:val="right"/>
            </w:pPr>
            <w:r w:rsidRPr="00105D59">
              <w:t>$’000</w:t>
            </w:r>
          </w:p>
        </w:tc>
      </w:tr>
      <w:tr w:rsidR="003D73DB" w:rsidTr="003D73DB">
        <w:tc>
          <w:tcPr>
            <w:tcW w:w="5529" w:type="dxa"/>
          </w:tcPr>
          <w:p w:rsidR="003D73DB" w:rsidRDefault="003D73DB" w:rsidP="003D73DB">
            <w:pPr>
              <w:pStyle w:val="NoSpacing"/>
            </w:pPr>
            <w:r>
              <w:t>Audit fees and services</w:t>
            </w:r>
          </w:p>
        </w:tc>
        <w:tc>
          <w:tcPr>
            <w:tcW w:w="1276" w:type="dxa"/>
          </w:tcPr>
          <w:p w:rsidR="003D73DB" w:rsidRDefault="009536FA" w:rsidP="003D73DB">
            <w:pPr>
              <w:pStyle w:val="NoSpacing"/>
              <w:jc w:val="right"/>
            </w:pPr>
            <w:r>
              <w:t>176</w:t>
            </w:r>
          </w:p>
        </w:tc>
        <w:tc>
          <w:tcPr>
            <w:tcW w:w="1276" w:type="dxa"/>
          </w:tcPr>
          <w:p w:rsidR="003D73DB" w:rsidRDefault="009536FA" w:rsidP="003D73DB">
            <w:pPr>
              <w:pStyle w:val="NoSpacing"/>
              <w:jc w:val="right"/>
            </w:pPr>
            <w:r>
              <w:t>255</w:t>
            </w:r>
          </w:p>
        </w:tc>
        <w:tc>
          <w:tcPr>
            <w:tcW w:w="1275" w:type="dxa"/>
          </w:tcPr>
          <w:p w:rsidR="003D73DB" w:rsidRDefault="009536FA" w:rsidP="003D73DB">
            <w:pPr>
              <w:pStyle w:val="NoSpacing"/>
              <w:jc w:val="right"/>
            </w:pPr>
            <w:r>
              <w:t>170</w:t>
            </w:r>
          </w:p>
        </w:tc>
        <w:tc>
          <w:tcPr>
            <w:tcW w:w="1276" w:type="dxa"/>
          </w:tcPr>
          <w:p w:rsidR="003D73DB" w:rsidRDefault="009536FA" w:rsidP="003D73DB">
            <w:pPr>
              <w:pStyle w:val="NoSpacing"/>
              <w:jc w:val="right"/>
            </w:pPr>
            <w:r>
              <w:t>244</w:t>
            </w:r>
          </w:p>
        </w:tc>
      </w:tr>
      <w:tr w:rsidR="003D73DB" w:rsidTr="003D73DB">
        <w:tc>
          <w:tcPr>
            <w:tcW w:w="5529" w:type="dxa"/>
          </w:tcPr>
          <w:p w:rsidR="003D73DB" w:rsidRDefault="003D73DB" w:rsidP="003D73DB">
            <w:pPr>
              <w:pStyle w:val="NoSpacing"/>
            </w:pPr>
            <w:r>
              <w:t>Bad debts from transactions</w:t>
            </w:r>
          </w:p>
        </w:tc>
        <w:tc>
          <w:tcPr>
            <w:tcW w:w="1276" w:type="dxa"/>
          </w:tcPr>
          <w:p w:rsidR="003D73DB" w:rsidRDefault="009536FA" w:rsidP="003D73DB">
            <w:pPr>
              <w:pStyle w:val="NoSpacing"/>
              <w:jc w:val="right"/>
            </w:pPr>
            <w:r>
              <w:t>171</w:t>
            </w:r>
          </w:p>
        </w:tc>
        <w:tc>
          <w:tcPr>
            <w:tcW w:w="1276" w:type="dxa"/>
          </w:tcPr>
          <w:p w:rsidR="003D73DB" w:rsidRDefault="009536FA" w:rsidP="003D73DB">
            <w:pPr>
              <w:pStyle w:val="NoSpacing"/>
              <w:jc w:val="right"/>
            </w:pPr>
            <w:r>
              <w:t>(272)</w:t>
            </w:r>
          </w:p>
        </w:tc>
        <w:tc>
          <w:tcPr>
            <w:tcW w:w="1275" w:type="dxa"/>
          </w:tcPr>
          <w:p w:rsidR="003D73DB" w:rsidRDefault="009536FA" w:rsidP="003D73DB">
            <w:pPr>
              <w:pStyle w:val="NoSpacing"/>
              <w:jc w:val="right"/>
            </w:pPr>
            <w:r>
              <w:t>171</w:t>
            </w:r>
          </w:p>
        </w:tc>
        <w:tc>
          <w:tcPr>
            <w:tcW w:w="1276" w:type="dxa"/>
          </w:tcPr>
          <w:p w:rsidR="003D73DB" w:rsidRDefault="009536FA" w:rsidP="003D73DB">
            <w:pPr>
              <w:pStyle w:val="NoSpacing"/>
              <w:jc w:val="right"/>
            </w:pPr>
            <w:r>
              <w:t>(272)</w:t>
            </w:r>
          </w:p>
        </w:tc>
      </w:tr>
      <w:tr w:rsidR="003D73DB" w:rsidTr="003D73DB">
        <w:tc>
          <w:tcPr>
            <w:tcW w:w="5529" w:type="dxa"/>
          </w:tcPr>
          <w:p w:rsidR="003D73DB" w:rsidRDefault="009536FA" w:rsidP="003D73DB">
            <w:pPr>
              <w:pStyle w:val="NoSpacing"/>
            </w:pPr>
            <w:r>
              <w:t>Doubtful debts</w:t>
            </w:r>
          </w:p>
        </w:tc>
        <w:tc>
          <w:tcPr>
            <w:tcW w:w="1276" w:type="dxa"/>
          </w:tcPr>
          <w:p w:rsidR="003D73DB" w:rsidRDefault="009536FA" w:rsidP="003D73DB">
            <w:pPr>
              <w:pStyle w:val="NoSpacing"/>
              <w:jc w:val="right"/>
            </w:pPr>
            <w:r>
              <w:t>299</w:t>
            </w:r>
          </w:p>
        </w:tc>
        <w:tc>
          <w:tcPr>
            <w:tcW w:w="1276" w:type="dxa"/>
          </w:tcPr>
          <w:p w:rsidR="003D73DB" w:rsidRDefault="009536FA" w:rsidP="003D73DB">
            <w:pPr>
              <w:pStyle w:val="NoSpacing"/>
              <w:jc w:val="right"/>
            </w:pPr>
            <w:r>
              <w:t>229</w:t>
            </w:r>
          </w:p>
        </w:tc>
        <w:tc>
          <w:tcPr>
            <w:tcW w:w="1275" w:type="dxa"/>
          </w:tcPr>
          <w:p w:rsidR="003D73DB" w:rsidRDefault="009536FA" w:rsidP="003D73DB">
            <w:pPr>
              <w:pStyle w:val="NoSpacing"/>
              <w:jc w:val="right"/>
            </w:pPr>
            <w:r>
              <w:t>299</w:t>
            </w:r>
          </w:p>
        </w:tc>
        <w:tc>
          <w:tcPr>
            <w:tcW w:w="1276" w:type="dxa"/>
          </w:tcPr>
          <w:p w:rsidR="003D73DB" w:rsidRDefault="009536FA" w:rsidP="003D73DB">
            <w:pPr>
              <w:pStyle w:val="NoSpacing"/>
              <w:jc w:val="right"/>
            </w:pPr>
            <w:r>
              <w:t>229</w:t>
            </w:r>
          </w:p>
        </w:tc>
      </w:tr>
      <w:tr w:rsidR="003D73DB" w:rsidTr="003D73DB">
        <w:tc>
          <w:tcPr>
            <w:tcW w:w="5529" w:type="dxa"/>
          </w:tcPr>
          <w:p w:rsidR="003D73DB" w:rsidRDefault="003D73DB" w:rsidP="003D73DB">
            <w:pPr>
              <w:pStyle w:val="NoSpacing"/>
            </w:pPr>
            <w:r>
              <w:t>Equipment below capitalisation threshold</w:t>
            </w:r>
          </w:p>
        </w:tc>
        <w:tc>
          <w:tcPr>
            <w:tcW w:w="1276" w:type="dxa"/>
          </w:tcPr>
          <w:p w:rsidR="003D73DB" w:rsidRDefault="009536FA" w:rsidP="003D73DB">
            <w:pPr>
              <w:pStyle w:val="NoSpacing"/>
              <w:jc w:val="right"/>
            </w:pPr>
            <w:r>
              <w:t>2,911</w:t>
            </w:r>
          </w:p>
        </w:tc>
        <w:tc>
          <w:tcPr>
            <w:tcW w:w="1276" w:type="dxa"/>
          </w:tcPr>
          <w:p w:rsidR="003D73DB" w:rsidRDefault="009536FA" w:rsidP="003D73DB">
            <w:pPr>
              <w:pStyle w:val="NoSpacing"/>
              <w:jc w:val="right"/>
            </w:pPr>
            <w:r>
              <w:t>1,882</w:t>
            </w:r>
          </w:p>
        </w:tc>
        <w:tc>
          <w:tcPr>
            <w:tcW w:w="1275" w:type="dxa"/>
          </w:tcPr>
          <w:p w:rsidR="003D73DB" w:rsidRDefault="009536FA" w:rsidP="003D73DB">
            <w:pPr>
              <w:pStyle w:val="NoSpacing"/>
              <w:jc w:val="right"/>
            </w:pPr>
            <w:r>
              <w:t>2,910</w:t>
            </w:r>
          </w:p>
        </w:tc>
        <w:tc>
          <w:tcPr>
            <w:tcW w:w="1276" w:type="dxa"/>
          </w:tcPr>
          <w:p w:rsidR="003D73DB" w:rsidRDefault="009536FA" w:rsidP="003D73DB">
            <w:pPr>
              <w:pStyle w:val="NoSpacing"/>
              <w:jc w:val="right"/>
            </w:pPr>
            <w:r>
              <w:t>1,880</w:t>
            </w:r>
          </w:p>
        </w:tc>
      </w:tr>
      <w:tr w:rsidR="003D73DB" w:rsidTr="003D73DB">
        <w:tc>
          <w:tcPr>
            <w:tcW w:w="5529" w:type="dxa"/>
          </w:tcPr>
          <w:p w:rsidR="003D73DB" w:rsidRDefault="003D73DB" w:rsidP="003D73DB">
            <w:pPr>
              <w:pStyle w:val="NoSpacing"/>
            </w:pPr>
            <w:r>
              <w:lastRenderedPageBreak/>
              <w:t>Marketing and promotional expenses</w:t>
            </w:r>
          </w:p>
        </w:tc>
        <w:tc>
          <w:tcPr>
            <w:tcW w:w="1276" w:type="dxa"/>
          </w:tcPr>
          <w:p w:rsidR="003D73DB" w:rsidRDefault="009536FA" w:rsidP="003D73DB">
            <w:pPr>
              <w:pStyle w:val="NoSpacing"/>
              <w:jc w:val="right"/>
            </w:pPr>
            <w:r>
              <w:t>3,970</w:t>
            </w:r>
          </w:p>
        </w:tc>
        <w:tc>
          <w:tcPr>
            <w:tcW w:w="1276" w:type="dxa"/>
          </w:tcPr>
          <w:p w:rsidR="003D73DB" w:rsidRDefault="009536FA" w:rsidP="003D73DB">
            <w:pPr>
              <w:pStyle w:val="NoSpacing"/>
              <w:jc w:val="right"/>
            </w:pPr>
            <w:r>
              <w:t>4,623</w:t>
            </w:r>
          </w:p>
        </w:tc>
        <w:tc>
          <w:tcPr>
            <w:tcW w:w="1275" w:type="dxa"/>
          </w:tcPr>
          <w:p w:rsidR="003D73DB" w:rsidRDefault="009536FA" w:rsidP="003D73DB">
            <w:pPr>
              <w:pStyle w:val="NoSpacing"/>
              <w:jc w:val="right"/>
            </w:pPr>
            <w:r>
              <w:t>3,727</w:t>
            </w:r>
          </w:p>
        </w:tc>
        <w:tc>
          <w:tcPr>
            <w:tcW w:w="1276" w:type="dxa"/>
          </w:tcPr>
          <w:p w:rsidR="003D73DB" w:rsidRDefault="009536FA" w:rsidP="003D73DB">
            <w:pPr>
              <w:pStyle w:val="NoSpacing"/>
              <w:jc w:val="right"/>
            </w:pPr>
            <w:r>
              <w:t>4,568</w:t>
            </w:r>
          </w:p>
        </w:tc>
      </w:tr>
      <w:tr w:rsidR="009536FA" w:rsidTr="003D73DB">
        <w:tc>
          <w:tcPr>
            <w:tcW w:w="5529" w:type="dxa"/>
          </w:tcPr>
          <w:p w:rsidR="009536FA" w:rsidRDefault="009536FA" w:rsidP="003D73DB">
            <w:pPr>
              <w:pStyle w:val="NoSpacing"/>
            </w:pPr>
            <w:r>
              <w:t>Operating lease rental expenses</w:t>
            </w:r>
          </w:p>
        </w:tc>
        <w:tc>
          <w:tcPr>
            <w:tcW w:w="1276" w:type="dxa"/>
          </w:tcPr>
          <w:p w:rsidR="009536FA" w:rsidRDefault="009536FA" w:rsidP="003D73DB">
            <w:pPr>
              <w:pStyle w:val="NoSpacing"/>
              <w:jc w:val="right"/>
            </w:pPr>
            <w:r>
              <w:t>2,214</w:t>
            </w:r>
          </w:p>
        </w:tc>
        <w:tc>
          <w:tcPr>
            <w:tcW w:w="1276" w:type="dxa"/>
          </w:tcPr>
          <w:p w:rsidR="009536FA" w:rsidRDefault="009536FA" w:rsidP="003D73DB">
            <w:pPr>
              <w:pStyle w:val="NoSpacing"/>
              <w:jc w:val="right"/>
            </w:pPr>
            <w:r>
              <w:t>3,750</w:t>
            </w:r>
          </w:p>
        </w:tc>
        <w:tc>
          <w:tcPr>
            <w:tcW w:w="1275" w:type="dxa"/>
          </w:tcPr>
          <w:p w:rsidR="009536FA" w:rsidRDefault="009536FA" w:rsidP="003D73DB">
            <w:pPr>
              <w:pStyle w:val="NoSpacing"/>
              <w:jc w:val="right"/>
            </w:pPr>
            <w:r>
              <w:t>2,206</w:t>
            </w:r>
          </w:p>
        </w:tc>
        <w:tc>
          <w:tcPr>
            <w:tcW w:w="1276" w:type="dxa"/>
          </w:tcPr>
          <w:p w:rsidR="009536FA" w:rsidRDefault="009536FA" w:rsidP="003D73DB">
            <w:pPr>
              <w:pStyle w:val="NoSpacing"/>
              <w:jc w:val="right"/>
            </w:pPr>
            <w:r>
              <w:t>3,741</w:t>
            </w:r>
          </w:p>
        </w:tc>
      </w:tr>
      <w:tr w:rsidR="003D73DB" w:rsidTr="003D73DB">
        <w:tc>
          <w:tcPr>
            <w:tcW w:w="5529" w:type="dxa"/>
          </w:tcPr>
          <w:p w:rsidR="003D73DB" w:rsidRDefault="003D73DB" w:rsidP="003D73DB">
            <w:pPr>
              <w:pStyle w:val="NoSpacing"/>
            </w:pPr>
            <w:r>
              <w:t>Staff development</w:t>
            </w:r>
          </w:p>
        </w:tc>
        <w:tc>
          <w:tcPr>
            <w:tcW w:w="1276" w:type="dxa"/>
          </w:tcPr>
          <w:p w:rsidR="003D73DB" w:rsidRDefault="009536FA" w:rsidP="003D73DB">
            <w:pPr>
              <w:pStyle w:val="NoSpacing"/>
              <w:jc w:val="right"/>
            </w:pPr>
            <w:r>
              <w:t>935</w:t>
            </w:r>
          </w:p>
        </w:tc>
        <w:tc>
          <w:tcPr>
            <w:tcW w:w="1276" w:type="dxa"/>
          </w:tcPr>
          <w:p w:rsidR="003D73DB" w:rsidRDefault="009536FA" w:rsidP="003D73DB">
            <w:pPr>
              <w:pStyle w:val="NoSpacing"/>
              <w:jc w:val="right"/>
            </w:pPr>
            <w:r>
              <w:t>837</w:t>
            </w:r>
          </w:p>
        </w:tc>
        <w:tc>
          <w:tcPr>
            <w:tcW w:w="1275" w:type="dxa"/>
          </w:tcPr>
          <w:p w:rsidR="003D73DB" w:rsidRDefault="009536FA" w:rsidP="003D73DB">
            <w:pPr>
              <w:pStyle w:val="NoSpacing"/>
              <w:jc w:val="right"/>
            </w:pPr>
            <w:r>
              <w:t>925</w:t>
            </w:r>
          </w:p>
        </w:tc>
        <w:tc>
          <w:tcPr>
            <w:tcW w:w="1276" w:type="dxa"/>
          </w:tcPr>
          <w:p w:rsidR="003D73DB" w:rsidRDefault="009536FA" w:rsidP="003D73DB">
            <w:pPr>
              <w:pStyle w:val="NoSpacing"/>
              <w:jc w:val="right"/>
            </w:pPr>
            <w:r>
              <w:t>818</w:t>
            </w:r>
          </w:p>
        </w:tc>
      </w:tr>
      <w:tr w:rsidR="003D73DB" w:rsidTr="003D73DB">
        <w:tc>
          <w:tcPr>
            <w:tcW w:w="5529" w:type="dxa"/>
          </w:tcPr>
          <w:p w:rsidR="003D73DB" w:rsidRDefault="003D73DB" w:rsidP="003D73DB">
            <w:pPr>
              <w:pStyle w:val="NoSpacing"/>
            </w:pPr>
            <w:r>
              <w:t>Travel and motor vehicle expenses</w:t>
            </w:r>
          </w:p>
        </w:tc>
        <w:tc>
          <w:tcPr>
            <w:tcW w:w="1276" w:type="dxa"/>
          </w:tcPr>
          <w:p w:rsidR="003D73DB" w:rsidRDefault="009536FA" w:rsidP="003D73DB">
            <w:pPr>
              <w:pStyle w:val="NoSpacing"/>
              <w:jc w:val="right"/>
            </w:pPr>
            <w:r>
              <w:t>1,656</w:t>
            </w:r>
          </w:p>
        </w:tc>
        <w:tc>
          <w:tcPr>
            <w:tcW w:w="1276" w:type="dxa"/>
          </w:tcPr>
          <w:p w:rsidR="003D73DB" w:rsidRDefault="009536FA" w:rsidP="003D73DB">
            <w:pPr>
              <w:pStyle w:val="NoSpacing"/>
              <w:jc w:val="right"/>
            </w:pPr>
            <w:r>
              <w:t>1,966</w:t>
            </w:r>
          </w:p>
        </w:tc>
        <w:tc>
          <w:tcPr>
            <w:tcW w:w="1275" w:type="dxa"/>
          </w:tcPr>
          <w:p w:rsidR="003D73DB" w:rsidRDefault="009536FA" w:rsidP="003D73DB">
            <w:pPr>
              <w:pStyle w:val="NoSpacing"/>
              <w:jc w:val="right"/>
            </w:pPr>
            <w:r>
              <w:t>1,652</w:t>
            </w:r>
          </w:p>
        </w:tc>
        <w:tc>
          <w:tcPr>
            <w:tcW w:w="1276" w:type="dxa"/>
          </w:tcPr>
          <w:p w:rsidR="003D73DB" w:rsidRDefault="009536FA" w:rsidP="003D73DB">
            <w:pPr>
              <w:pStyle w:val="NoSpacing"/>
              <w:jc w:val="right"/>
            </w:pPr>
            <w:r>
              <w:t>1,959</w:t>
            </w:r>
          </w:p>
        </w:tc>
      </w:tr>
      <w:tr w:rsidR="003D73DB" w:rsidTr="003D73DB">
        <w:tc>
          <w:tcPr>
            <w:tcW w:w="5529" w:type="dxa"/>
          </w:tcPr>
          <w:p w:rsidR="003D73DB" w:rsidRDefault="003D73DB" w:rsidP="003D73DB">
            <w:pPr>
              <w:pStyle w:val="NoSpacing"/>
            </w:pPr>
            <w:r>
              <w:t>Utilities</w:t>
            </w:r>
          </w:p>
        </w:tc>
        <w:tc>
          <w:tcPr>
            <w:tcW w:w="1276" w:type="dxa"/>
          </w:tcPr>
          <w:p w:rsidR="003D73DB" w:rsidRDefault="009536FA" w:rsidP="003D73DB">
            <w:pPr>
              <w:pStyle w:val="NoSpacing"/>
              <w:jc w:val="right"/>
            </w:pPr>
            <w:r>
              <w:t>2,530</w:t>
            </w:r>
          </w:p>
        </w:tc>
        <w:tc>
          <w:tcPr>
            <w:tcW w:w="1276" w:type="dxa"/>
          </w:tcPr>
          <w:p w:rsidR="003D73DB" w:rsidRDefault="009536FA" w:rsidP="003D73DB">
            <w:pPr>
              <w:pStyle w:val="NoSpacing"/>
              <w:jc w:val="right"/>
            </w:pPr>
            <w:r>
              <w:t>2,150</w:t>
            </w:r>
          </w:p>
        </w:tc>
        <w:tc>
          <w:tcPr>
            <w:tcW w:w="1275" w:type="dxa"/>
          </w:tcPr>
          <w:p w:rsidR="003D73DB" w:rsidRDefault="009536FA" w:rsidP="003D73DB">
            <w:pPr>
              <w:pStyle w:val="NoSpacing"/>
              <w:jc w:val="right"/>
            </w:pPr>
            <w:r>
              <w:t>2,530</w:t>
            </w:r>
          </w:p>
        </w:tc>
        <w:tc>
          <w:tcPr>
            <w:tcW w:w="1276" w:type="dxa"/>
          </w:tcPr>
          <w:p w:rsidR="003D73DB" w:rsidRDefault="009536FA" w:rsidP="003D73DB">
            <w:pPr>
              <w:pStyle w:val="NoSpacing"/>
              <w:jc w:val="right"/>
            </w:pPr>
            <w:r>
              <w:t>2,150</w:t>
            </w:r>
          </w:p>
        </w:tc>
      </w:tr>
      <w:tr w:rsidR="003D73DB" w:rsidTr="003D73DB">
        <w:tc>
          <w:tcPr>
            <w:tcW w:w="5529" w:type="dxa"/>
          </w:tcPr>
          <w:p w:rsidR="003D73DB" w:rsidRDefault="003D73DB" w:rsidP="003D73DB">
            <w:pPr>
              <w:pStyle w:val="NoSpacing"/>
            </w:pPr>
            <w:r>
              <w:t xml:space="preserve">Other </w:t>
            </w:r>
          </w:p>
        </w:tc>
        <w:tc>
          <w:tcPr>
            <w:tcW w:w="1276" w:type="dxa"/>
          </w:tcPr>
          <w:p w:rsidR="003D73DB" w:rsidRDefault="009536FA" w:rsidP="003D73DB">
            <w:pPr>
              <w:pStyle w:val="NoSpacing"/>
              <w:jc w:val="right"/>
            </w:pPr>
            <w:r>
              <w:t>1,525</w:t>
            </w:r>
          </w:p>
        </w:tc>
        <w:tc>
          <w:tcPr>
            <w:tcW w:w="1276" w:type="dxa"/>
          </w:tcPr>
          <w:p w:rsidR="003D73DB" w:rsidRDefault="009536FA" w:rsidP="003D73DB">
            <w:pPr>
              <w:pStyle w:val="NoSpacing"/>
              <w:jc w:val="right"/>
            </w:pPr>
            <w:r>
              <w:t>1,813</w:t>
            </w:r>
          </w:p>
        </w:tc>
        <w:tc>
          <w:tcPr>
            <w:tcW w:w="1275" w:type="dxa"/>
          </w:tcPr>
          <w:p w:rsidR="003D73DB" w:rsidRDefault="009536FA" w:rsidP="003D73DB">
            <w:pPr>
              <w:pStyle w:val="NoSpacing"/>
              <w:jc w:val="right"/>
            </w:pPr>
            <w:r>
              <w:t>16,239</w:t>
            </w:r>
          </w:p>
        </w:tc>
        <w:tc>
          <w:tcPr>
            <w:tcW w:w="1276" w:type="dxa"/>
          </w:tcPr>
          <w:p w:rsidR="003D73DB" w:rsidRDefault="009536FA" w:rsidP="003D73DB">
            <w:pPr>
              <w:pStyle w:val="NoSpacing"/>
              <w:jc w:val="right"/>
            </w:pPr>
            <w:r>
              <w:t>1,751</w:t>
            </w:r>
          </w:p>
        </w:tc>
      </w:tr>
      <w:tr w:rsidR="003D73DB" w:rsidTr="003D73DB">
        <w:tc>
          <w:tcPr>
            <w:tcW w:w="5529" w:type="dxa"/>
          </w:tcPr>
          <w:p w:rsidR="003D73DB" w:rsidRDefault="003D73DB" w:rsidP="003D73DB">
            <w:pPr>
              <w:pStyle w:val="NoSpacing"/>
            </w:pPr>
            <w:r>
              <w:t>Total other operating expenses</w:t>
            </w:r>
          </w:p>
        </w:tc>
        <w:tc>
          <w:tcPr>
            <w:tcW w:w="1276" w:type="dxa"/>
          </w:tcPr>
          <w:p w:rsidR="003D73DB" w:rsidRDefault="009536FA" w:rsidP="003D73DB">
            <w:pPr>
              <w:pStyle w:val="NoSpacing"/>
              <w:jc w:val="right"/>
            </w:pPr>
            <w:r>
              <w:t>16,387</w:t>
            </w:r>
          </w:p>
        </w:tc>
        <w:tc>
          <w:tcPr>
            <w:tcW w:w="1276" w:type="dxa"/>
          </w:tcPr>
          <w:p w:rsidR="003D73DB" w:rsidRDefault="009536FA" w:rsidP="003D73DB">
            <w:pPr>
              <w:pStyle w:val="NoSpacing"/>
              <w:jc w:val="right"/>
            </w:pPr>
            <w:r>
              <w:t>17,233</w:t>
            </w:r>
          </w:p>
        </w:tc>
        <w:tc>
          <w:tcPr>
            <w:tcW w:w="1275" w:type="dxa"/>
          </w:tcPr>
          <w:p w:rsidR="003D73DB" w:rsidRDefault="009536FA" w:rsidP="003D73DB">
            <w:pPr>
              <w:pStyle w:val="NoSpacing"/>
              <w:jc w:val="right"/>
            </w:pPr>
            <w:r>
              <w:t>16,239</w:t>
            </w:r>
          </w:p>
        </w:tc>
        <w:tc>
          <w:tcPr>
            <w:tcW w:w="1276" w:type="dxa"/>
          </w:tcPr>
          <w:p w:rsidR="003D73DB" w:rsidRDefault="009536FA" w:rsidP="003D73DB">
            <w:pPr>
              <w:pStyle w:val="NoSpacing"/>
              <w:jc w:val="right"/>
            </w:pPr>
            <w:r>
              <w:t>17,068</w:t>
            </w:r>
          </w:p>
        </w:tc>
      </w:tr>
    </w:tbl>
    <w:p w:rsidR="003D73DB" w:rsidRDefault="003D73DB" w:rsidP="005942B8">
      <w:pPr>
        <w:pStyle w:val="NoSpacing"/>
      </w:pPr>
    </w:p>
    <w:p w:rsidR="003D73DB" w:rsidRDefault="009536FA" w:rsidP="005942B8">
      <w:pPr>
        <w:pStyle w:val="NoSpacing"/>
      </w:pPr>
      <w:r>
        <w:t>Other operating expenses generally represent the day-to-day running costs incurred in normal operations and are recognised when they are incurred and report in the financial year to which they relate.</w:t>
      </w:r>
    </w:p>
    <w:p w:rsidR="009536FA" w:rsidRDefault="009536FA" w:rsidP="005942B8">
      <w:pPr>
        <w:pStyle w:val="NoSpacing"/>
      </w:pPr>
      <w:r>
        <w:t>Audit fees and services relate to costs associated with internal audit services, as well as remuneration to the Victorian Auditor-General’s office for the audit of the financial statements.</w:t>
      </w:r>
    </w:p>
    <w:p w:rsidR="009536FA" w:rsidRDefault="009536FA" w:rsidP="005942B8">
      <w:pPr>
        <w:pStyle w:val="NoSpacing"/>
      </w:pPr>
    </w:p>
    <w:p w:rsidR="009536FA" w:rsidRDefault="00122306" w:rsidP="005942B8">
      <w:pPr>
        <w:pStyle w:val="NoSpacing"/>
      </w:pPr>
      <w:r>
        <w:t>&lt;page 63&gt;</w:t>
      </w:r>
    </w:p>
    <w:p w:rsidR="003D73DB" w:rsidRDefault="003D73DB" w:rsidP="005942B8">
      <w:pPr>
        <w:pStyle w:val="NoSpacing"/>
      </w:pPr>
    </w:p>
    <w:p w:rsidR="00122306" w:rsidRDefault="00122306" w:rsidP="00406A46">
      <w:pPr>
        <w:pStyle w:val="Heading2"/>
      </w:pPr>
      <w:r>
        <w:t>3. How we expended our funds (continued)</w:t>
      </w:r>
    </w:p>
    <w:p w:rsidR="00406A46" w:rsidRDefault="00406A46" w:rsidP="00406A46">
      <w:pPr>
        <w:pStyle w:val="NoSpacing"/>
      </w:pPr>
    </w:p>
    <w:p w:rsidR="00122306" w:rsidRDefault="00122306" w:rsidP="00406A46">
      <w:pPr>
        <w:pStyle w:val="Heading3"/>
      </w:pPr>
      <w:r>
        <w:t>3.4 Leases</w:t>
      </w:r>
    </w:p>
    <w:p w:rsidR="00122306" w:rsidRDefault="00122306" w:rsidP="005942B8">
      <w:pPr>
        <w:pStyle w:val="NoSpacing"/>
      </w:pPr>
    </w:p>
    <w:p w:rsidR="00122306" w:rsidRDefault="00122306" w:rsidP="005942B8">
      <w:pPr>
        <w:pStyle w:val="NoSpacing"/>
      </w:pPr>
      <w:r>
        <w:t>Chisholm Group has applied AASB 16 using a modified retrospective approach with the cumulative effect of initial application recognised as an adjustment to the opening balance of accumulated surplus at 1 January 2019, with no restatement of comparative information.</w:t>
      </w:r>
    </w:p>
    <w:p w:rsidR="00122306" w:rsidRDefault="00122306" w:rsidP="005942B8">
      <w:pPr>
        <w:pStyle w:val="NoSpacing"/>
      </w:pPr>
    </w:p>
    <w:p w:rsidR="00122306" w:rsidRDefault="00122306" w:rsidP="00406A46">
      <w:pPr>
        <w:pStyle w:val="Heading4"/>
      </w:pPr>
      <w:r>
        <w:t>Policy applicable before 1 January 2019</w:t>
      </w:r>
    </w:p>
    <w:p w:rsidR="00122306" w:rsidRPr="00122306" w:rsidRDefault="00122306" w:rsidP="00122306">
      <w:pPr>
        <w:pStyle w:val="NoSpacing"/>
      </w:pPr>
      <w:r w:rsidRPr="00122306">
        <w:t>As a lessee, Chisholm Group classified leases as operating or finance leases based on its assessment of whether the lease transferred significantly all of the risks and rewards incidental to ownership of the underlying asset to Chisholm Group.</w:t>
      </w:r>
    </w:p>
    <w:p w:rsidR="00122306" w:rsidRPr="00122306" w:rsidRDefault="00122306" w:rsidP="00122306">
      <w:pPr>
        <w:pStyle w:val="NoSpacing"/>
      </w:pPr>
    </w:p>
    <w:p w:rsidR="00122306" w:rsidRPr="00122306" w:rsidRDefault="00122306" w:rsidP="00122306">
      <w:pPr>
        <w:pStyle w:val="NoSpacing"/>
      </w:pPr>
      <w:r w:rsidRPr="00122306">
        <w:t>Operating lease payments, including any contingent rentals, were recognised as an expense in the comprehensive operating statement on a straight-line basis over the lease term, except where another systematic basis was more representative of the time pattern of the benefits derived from the use of the leased asset. Operating lease assets were not recognised in the balance sheet.</w:t>
      </w:r>
    </w:p>
    <w:p w:rsidR="00122306" w:rsidRPr="00122306" w:rsidRDefault="00122306" w:rsidP="00122306">
      <w:pPr>
        <w:pStyle w:val="NoSpacing"/>
      </w:pPr>
    </w:p>
    <w:p w:rsidR="00122306" w:rsidRPr="00122306" w:rsidRDefault="00122306" w:rsidP="00122306">
      <w:pPr>
        <w:pStyle w:val="NoSpacing"/>
      </w:pPr>
      <w:r w:rsidRPr="00122306">
        <w:t>All incentives for the agreement of a new or renewed operating lease were recognised as an integral part of the net consideration agreed for the use of the leased asset, irrespective of the incentive’s nature or form or the timing of payments.</w:t>
      </w:r>
    </w:p>
    <w:p w:rsidR="00122306" w:rsidRPr="00122306" w:rsidRDefault="00122306" w:rsidP="00122306">
      <w:pPr>
        <w:pStyle w:val="NoSpacing"/>
      </w:pPr>
    </w:p>
    <w:p w:rsidR="00122306" w:rsidRDefault="00122306" w:rsidP="00122306">
      <w:pPr>
        <w:pStyle w:val="NoSpacing"/>
      </w:pPr>
      <w:r w:rsidRPr="00122306">
        <w:t>In the event that lease incentives were received to enter into operating leases, the aggregate cost of incentives was recognised as a reduction of rental expense over the lease term on a straight-line basis, unless another systematic basis was more representative of the time pattern in which economic benefits from the leased asset were consumed.</w:t>
      </w:r>
    </w:p>
    <w:p w:rsidR="00122306" w:rsidRDefault="00122306" w:rsidP="00122306">
      <w:pPr>
        <w:pStyle w:val="NoSpacing"/>
      </w:pPr>
    </w:p>
    <w:p w:rsidR="00122306" w:rsidRDefault="00E43D8B" w:rsidP="00406A46">
      <w:pPr>
        <w:pStyle w:val="Heading4"/>
      </w:pPr>
      <w:r>
        <w:t>Policy applicable after 1 January 2019</w:t>
      </w:r>
    </w:p>
    <w:p w:rsidR="00E43D8B" w:rsidRPr="00E43D8B" w:rsidRDefault="00E43D8B" w:rsidP="00E43D8B">
      <w:pPr>
        <w:autoSpaceDE w:val="0"/>
        <w:autoSpaceDN w:val="0"/>
        <w:adjustRightInd w:val="0"/>
        <w:spacing w:after="0" w:line="240" w:lineRule="auto"/>
        <w:rPr>
          <w:rFonts w:cstheme="minorHAnsi"/>
          <w:color w:val="231F20"/>
        </w:rPr>
      </w:pPr>
      <w:r w:rsidRPr="00E43D8B">
        <w:rPr>
          <w:rFonts w:cstheme="minorHAnsi"/>
          <w:color w:val="231F20"/>
        </w:rPr>
        <w:t>At inception of a contract, all entities</w:t>
      </w:r>
      <w:r>
        <w:rPr>
          <w:rFonts w:cstheme="minorHAnsi"/>
          <w:color w:val="231F20"/>
        </w:rPr>
        <w:t xml:space="preserve"> </w:t>
      </w:r>
      <w:r w:rsidRPr="00E43D8B">
        <w:rPr>
          <w:rFonts w:cstheme="minorHAnsi"/>
          <w:color w:val="231F20"/>
        </w:rPr>
        <w:t>will assess whether a contract is, or</w:t>
      </w:r>
      <w:r>
        <w:rPr>
          <w:rFonts w:cstheme="minorHAnsi"/>
          <w:color w:val="231F20"/>
        </w:rPr>
        <w:t xml:space="preserve"> </w:t>
      </w:r>
      <w:r w:rsidRPr="00E43D8B">
        <w:rPr>
          <w:rFonts w:cstheme="minorHAnsi"/>
          <w:color w:val="231F20"/>
        </w:rPr>
        <w:t>contains, a lease. A contract is, or</w:t>
      </w:r>
      <w:r>
        <w:rPr>
          <w:rFonts w:cstheme="minorHAnsi"/>
          <w:color w:val="231F20"/>
        </w:rPr>
        <w:t xml:space="preserve"> </w:t>
      </w:r>
      <w:r w:rsidRPr="00E43D8B">
        <w:rPr>
          <w:rFonts w:cstheme="minorHAnsi"/>
          <w:color w:val="231F20"/>
        </w:rPr>
        <w:t>contains, a lease if the contract conveys</w:t>
      </w:r>
      <w:r>
        <w:rPr>
          <w:rFonts w:cstheme="minorHAnsi"/>
          <w:color w:val="231F20"/>
        </w:rPr>
        <w:t xml:space="preserve"> </w:t>
      </w:r>
      <w:r w:rsidRPr="00E43D8B">
        <w:rPr>
          <w:rFonts w:cstheme="minorHAnsi"/>
          <w:color w:val="231F20"/>
        </w:rPr>
        <w:t>the right to control the use of an</w:t>
      </w:r>
      <w:r>
        <w:rPr>
          <w:rFonts w:cstheme="minorHAnsi"/>
          <w:color w:val="231F20"/>
        </w:rPr>
        <w:t xml:space="preserve"> </w:t>
      </w:r>
      <w:r w:rsidRPr="00E43D8B">
        <w:rPr>
          <w:rFonts w:cstheme="minorHAnsi"/>
          <w:color w:val="231F20"/>
        </w:rPr>
        <w:t>identified asset for a period of time in</w:t>
      </w:r>
      <w:r>
        <w:rPr>
          <w:rFonts w:cstheme="minorHAnsi"/>
          <w:color w:val="231F20"/>
        </w:rPr>
        <w:t xml:space="preserve"> </w:t>
      </w:r>
      <w:r w:rsidRPr="00E43D8B">
        <w:rPr>
          <w:rFonts w:cstheme="minorHAnsi"/>
          <w:color w:val="231F20"/>
        </w:rPr>
        <w:t>exchange for consideration. To identify</w:t>
      </w:r>
      <w:r>
        <w:rPr>
          <w:rFonts w:cstheme="minorHAnsi"/>
          <w:color w:val="231F20"/>
        </w:rPr>
        <w:t xml:space="preserve"> </w:t>
      </w:r>
      <w:r w:rsidRPr="00E43D8B">
        <w:rPr>
          <w:rFonts w:cstheme="minorHAnsi"/>
          <w:color w:val="231F20"/>
        </w:rPr>
        <w:t>whether a contract conveys the right to</w:t>
      </w:r>
      <w:r>
        <w:rPr>
          <w:rFonts w:cstheme="minorHAnsi"/>
          <w:color w:val="231F20"/>
        </w:rPr>
        <w:t xml:space="preserve"> </w:t>
      </w:r>
      <w:r w:rsidRPr="00E43D8B">
        <w:rPr>
          <w:rFonts w:cstheme="minorHAnsi"/>
          <w:color w:val="231F20"/>
        </w:rPr>
        <w:t>control the use of an identified asset, it is</w:t>
      </w:r>
      <w:r>
        <w:rPr>
          <w:rFonts w:cstheme="minorHAnsi"/>
          <w:color w:val="231F20"/>
        </w:rPr>
        <w:t xml:space="preserve"> necessary to assess whether:</w:t>
      </w:r>
    </w:p>
    <w:p w:rsidR="00E43D8B" w:rsidRPr="00E43D8B" w:rsidRDefault="00E43D8B" w:rsidP="00925530">
      <w:pPr>
        <w:pStyle w:val="ListParagraph"/>
        <w:numPr>
          <w:ilvl w:val="0"/>
          <w:numId w:val="44"/>
        </w:numPr>
        <w:autoSpaceDE w:val="0"/>
        <w:autoSpaceDN w:val="0"/>
        <w:adjustRightInd w:val="0"/>
        <w:spacing w:after="0" w:line="240" w:lineRule="auto"/>
        <w:rPr>
          <w:rFonts w:cstheme="minorHAnsi"/>
          <w:color w:val="231F20"/>
        </w:rPr>
      </w:pPr>
      <w:r w:rsidRPr="00E43D8B">
        <w:rPr>
          <w:rFonts w:cstheme="minorHAnsi"/>
          <w:color w:val="231F20"/>
        </w:rPr>
        <w:t>the contract involves the use of an</w:t>
      </w:r>
      <w:r>
        <w:rPr>
          <w:rFonts w:cstheme="minorHAnsi"/>
          <w:color w:val="231F20"/>
        </w:rPr>
        <w:t xml:space="preserve"> </w:t>
      </w:r>
      <w:r w:rsidRPr="00E43D8B">
        <w:rPr>
          <w:rFonts w:cstheme="minorHAnsi"/>
          <w:color w:val="231F20"/>
        </w:rPr>
        <w:t>identified asset;</w:t>
      </w:r>
    </w:p>
    <w:p w:rsidR="00E43D8B" w:rsidRPr="00E43D8B" w:rsidRDefault="00E43D8B" w:rsidP="00925530">
      <w:pPr>
        <w:pStyle w:val="ListParagraph"/>
        <w:numPr>
          <w:ilvl w:val="0"/>
          <w:numId w:val="44"/>
        </w:numPr>
        <w:autoSpaceDE w:val="0"/>
        <w:autoSpaceDN w:val="0"/>
        <w:adjustRightInd w:val="0"/>
        <w:spacing w:after="0" w:line="240" w:lineRule="auto"/>
        <w:rPr>
          <w:rFonts w:cstheme="minorHAnsi"/>
          <w:color w:val="231F20"/>
        </w:rPr>
      </w:pPr>
      <w:r w:rsidRPr="00E43D8B">
        <w:rPr>
          <w:rFonts w:cstheme="minorHAnsi"/>
          <w:color w:val="231F20"/>
        </w:rPr>
        <w:lastRenderedPageBreak/>
        <w:t>the customer has the right to obtain substantially all of the economic</w:t>
      </w:r>
      <w:r>
        <w:rPr>
          <w:rFonts w:cstheme="minorHAnsi"/>
          <w:color w:val="231F20"/>
        </w:rPr>
        <w:t xml:space="preserve"> </w:t>
      </w:r>
      <w:r w:rsidRPr="00E43D8B">
        <w:rPr>
          <w:rFonts w:cstheme="minorHAnsi"/>
          <w:color w:val="231F20"/>
        </w:rPr>
        <w:t>benefits from use of the asset throughout the period of use; and</w:t>
      </w:r>
    </w:p>
    <w:p w:rsidR="00E43D8B" w:rsidRPr="00E43D8B" w:rsidRDefault="00E43D8B" w:rsidP="00925530">
      <w:pPr>
        <w:pStyle w:val="ListParagraph"/>
        <w:numPr>
          <w:ilvl w:val="0"/>
          <w:numId w:val="44"/>
        </w:numPr>
        <w:autoSpaceDE w:val="0"/>
        <w:autoSpaceDN w:val="0"/>
        <w:adjustRightInd w:val="0"/>
        <w:spacing w:after="0" w:line="240" w:lineRule="auto"/>
        <w:rPr>
          <w:rFonts w:cstheme="minorHAnsi"/>
          <w:color w:val="231F20"/>
        </w:rPr>
      </w:pPr>
      <w:r w:rsidRPr="00E43D8B">
        <w:rPr>
          <w:rFonts w:cstheme="minorHAnsi"/>
          <w:color w:val="231F20"/>
        </w:rPr>
        <w:t>the customer has the right to direct</w:t>
      </w:r>
      <w:r>
        <w:rPr>
          <w:rFonts w:cstheme="minorHAnsi"/>
          <w:color w:val="231F20"/>
        </w:rPr>
        <w:t xml:space="preserve"> </w:t>
      </w:r>
      <w:r w:rsidRPr="00E43D8B">
        <w:rPr>
          <w:rFonts w:cstheme="minorHAnsi"/>
          <w:color w:val="231F20"/>
        </w:rPr>
        <w:t>the use of the asset.</w:t>
      </w:r>
    </w:p>
    <w:p w:rsidR="00E43D8B" w:rsidRDefault="00E43D8B" w:rsidP="00E43D8B">
      <w:pPr>
        <w:autoSpaceDE w:val="0"/>
        <w:autoSpaceDN w:val="0"/>
        <w:adjustRightInd w:val="0"/>
        <w:spacing w:after="0" w:line="240" w:lineRule="auto"/>
        <w:rPr>
          <w:rFonts w:cstheme="minorHAnsi"/>
          <w:color w:val="231F20"/>
        </w:rPr>
      </w:pPr>
    </w:p>
    <w:p w:rsidR="00E43D8B" w:rsidRPr="00E43D8B" w:rsidRDefault="00E43D8B" w:rsidP="00E43D8B">
      <w:pPr>
        <w:autoSpaceDE w:val="0"/>
        <w:autoSpaceDN w:val="0"/>
        <w:adjustRightInd w:val="0"/>
        <w:spacing w:after="0" w:line="240" w:lineRule="auto"/>
        <w:rPr>
          <w:rFonts w:cstheme="minorHAnsi"/>
          <w:color w:val="231F20"/>
        </w:rPr>
      </w:pPr>
      <w:r w:rsidRPr="00E43D8B">
        <w:rPr>
          <w:rFonts w:cstheme="minorHAnsi"/>
          <w:color w:val="231F20"/>
        </w:rPr>
        <w:t>This policy is applied to contracts</w:t>
      </w:r>
      <w:r>
        <w:rPr>
          <w:rFonts w:cstheme="minorHAnsi"/>
          <w:color w:val="231F20"/>
        </w:rPr>
        <w:t xml:space="preserve"> </w:t>
      </w:r>
      <w:r w:rsidRPr="00E43D8B">
        <w:rPr>
          <w:rFonts w:cstheme="minorHAnsi"/>
          <w:color w:val="231F20"/>
        </w:rPr>
        <w:t>entered into, or changed, on or after</w:t>
      </w:r>
      <w:r>
        <w:rPr>
          <w:rFonts w:cstheme="minorHAnsi"/>
          <w:color w:val="231F20"/>
        </w:rPr>
        <w:t xml:space="preserve"> </w:t>
      </w:r>
      <w:r w:rsidRPr="00E43D8B">
        <w:rPr>
          <w:rFonts w:cstheme="minorHAnsi"/>
          <w:color w:val="231F20"/>
        </w:rPr>
        <w:t>1 January 2019.</w:t>
      </w:r>
    </w:p>
    <w:p w:rsidR="00E43D8B" w:rsidRDefault="00E43D8B" w:rsidP="00E43D8B">
      <w:pPr>
        <w:autoSpaceDE w:val="0"/>
        <w:autoSpaceDN w:val="0"/>
        <w:adjustRightInd w:val="0"/>
        <w:spacing w:after="0" w:line="240" w:lineRule="auto"/>
        <w:rPr>
          <w:rFonts w:cstheme="minorHAnsi"/>
          <w:color w:val="231F20"/>
        </w:rPr>
      </w:pPr>
    </w:p>
    <w:p w:rsidR="00E43D8B" w:rsidRPr="00E43D8B" w:rsidRDefault="00E43D8B" w:rsidP="00E43D8B">
      <w:pPr>
        <w:autoSpaceDE w:val="0"/>
        <w:autoSpaceDN w:val="0"/>
        <w:adjustRightInd w:val="0"/>
        <w:spacing w:after="0" w:line="240" w:lineRule="auto"/>
        <w:rPr>
          <w:rFonts w:cstheme="minorHAnsi"/>
        </w:rPr>
      </w:pPr>
      <w:r w:rsidRPr="00E43D8B">
        <w:rPr>
          <w:rFonts w:cstheme="minorHAnsi"/>
          <w:color w:val="231F20"/>
        </w:rPr>
        <w:t>On transition to AASB 16, Chisholm</w:t>
      </w:r>
      <w:r>
        <w:rPr>
          <w:rFonts w:cstheme="minorHAnsi"/>
          <w:color w:val="231F20"/>
        </w:rPr>
        <w:t xml:space="preserve"> </w:t>
      </w:r>
      <w:r w:rsidRPr="00E43D8B">
        <w:rPr>
          <w:rFonts w:cstheme="minorHAnsi"/>
          <w:color w:val="231F20"/>
        </w:rPr>
        <w:t>Group elected to apply the practical</w:t>
      </w:r>
      <w:r>
        <w:rPr>
          <w:rFonts w:cstheme="minorHAnsi"/>
          <w:color w:val="231F20"/>
        </w:rPr>
        <w:t xml:space="preserve"> </w:t>
      </w:r>
      <w:r w:rsidRPr="00E43D8B">
        <w:rPr>
          <w:rFonts w:cstheme="minorHAnsi"/>
          <w:color w:val="231F20"/>
        </w:rPr>
        <w:t>expedient to ‘grandfather’ the</w:t>
      </w:r>
      <w:r>
        <w:rPr>
          <w:rFonts w:cstheme="minorHAnsi"/>
          <w:color w:val="231F20"/>
        </w:rPr>
        <w:t xml:space="preserve"> </w:t>
      </w:r>
      <w:r w:rsidRPr="00E43D8B">
        <w:rPr>
          <w:rFonts w:cstheme="minorHAnsi"/>
          <w:color w:val="231F20"/>
        </w:rPr>
        <w:t>assessment of which transactions</w:t>
      </w:r>
      <w:r>
        <w:rPr>
          <w:rFonts w:cstheme="minorHAnsi"/>
          <w:color w:val="231F20"/>
        </w:rPr>
        <w:t xml:space="preserve"> </w:t>
      </w:r>
      <w:r w:rsidRPr="00E43D8B">
        <w:rPr>
          <w:rFonts w:cstheme="minorHAnsi"/>
          <w:color w:val="231F20"/>
        </w:rPr>
        <w:t>are leases. It applied IFRS 16 only to</w:t>
      </w:r>
      <w:r>
        <w:rPr>
          <w:rFonts w:cstheme="minorHAnsi"/>
          <w:color w:val="231F20"/>
        </w:rPr>
        <w:t xml:space="preserve"> </w:t>
      </w:r>
      <w:r w:rsidRPr="00E43D8B">
        <w:rPr>
          <w:rFonts w:cstheme="minorHAnsi"/>
          <w:color w:val="231F20"/>
        </w:rPr>
        <w:t>contracts that were previously identified</w:t>
      </w:r>
      <w:r>
        <w:rPr>
          <w:rFonts w:cstheme="minorHAnsi"/>
          <w:color w:val="231F20"/>
        </w:rPr>
        <w:t xml:space="preserve"> </w:t>
      </w:r>
      <w:r w:rsidRPr="00E43D8B">
        <w:rPr>
          <w:rFonts w:cstheme="minorHAnsi"/>
          <w:color w:val="231F20"/>
        </w:rPr>
        <w:t>as leases.</w:t>
      </w:r>
    </w:p>
    <w:p w:rsidR="00122306" w:rsidRDefault="00122306" w:rsidP="005942B8">
      <w:pPr>
        <w:pStyle w:val="NoSpacing"/>
      </w:pPr>
    </w:p>
    <w:p w:rsidR="00E43D8B" w:rsidRDefault="00E43D8B" w:rsidP="00406A46">
      <w:pPr>
        <w:pStyle w:val="Heading4"/>
      </w:pPr>
      <w:r>
        <w:t>As a lessee</w:t>
      </w:r>
    </w:p>
    <w:p w:rsidR="00E43D8B" w:rsidRPr="00E43D8B" w:rsidRDefault="00E43D8B" w:rsidP="00E43D8B">
      <w:pPr>
        <w:autoSpaceDE w:val="0"/>
        <w:autoSpaceDN w:val="0"/>
        <w:adjustRightInd w:val="0"/>
        <w:spacing w:after="0" w:line="240" w:lineRule="auto"/>
        <w:rPr>
          <w:rFonts w:cstheme="minorHAnsi"/>
          <w:color w:val="231F20"/>
        </w:rPr>
      </w:pPr>
      <w:r w:rsidRPr="00E43D8B">
        <w:rPr>
          <w:rFonts w:cstheme="minorHAnsi"/>
          <w:color w:val="231F20"/>
        </w:rPr>
        <w:t>Chisholm Group recognises a right of</w:t>
      </w:r>
      <w:r>
        <w:rPr>
          <w:rFonts w:cstheme="minorHAnsi"/>
          <w:color w:val="231F20"/>
        </w:rPr>
        <w:t xml:space="preserve"> </w:t>
      </w:r>
      <w:r w:rsidRPr="00E43D8B">
        <w:rPr>
          <w:rFonts w:cstheme="minorHAnsi"/>
          <w:color w:val="231F20"/>
        </w:rPr>
        <w:t>use asset and a lease liability at the</w:t>
      </w:r>
      <w:r>
        <w:rPr>
          <w:rFonts w:cstheme="minorHAnsi"/>
          <w:color w:val="231F20"/>
        </w:rPr>
        <w:t xml:space="preserve"> </w:t>
      </w:r>
      <w:r w:rsidRPr="00E43D8B">
        <w:rPr>
          <w:rFonts w:cstheme="minorHAnsi"/>
          <w:color w:val="231F20"/>
        </w:rPr>
        <w:t>lease commencement date. The right of</w:t>
      </w:r>
      <w:r>
        <w:rPr>
          <w:rFonts w:cstheme="minorHAnsi"/>
          <w:color w:val="231F20"/>
        </w:rPr>
        <w:t xml:space="preserve"> </w:t>
      </w:r>
      <w:r w:rsidRPr="00E43D8B">
        <w:rPr>
          <w:rFonts w:cstheme="minorHAnsi"/>
          <w:color w:val="231F20"/>
        </w:rPr>
        <w:t>use asset is initially measured at cost</w:t>
      </w:r>
      <w:r>
        <w:rPr>
          <w:rFonts w:cstheme="minorHAnsi"/>
          <w:color w:val="231F20"/>
        </w:rPr>
        <w:t xml:space="preserve"> </w:t>
      </w:r>
      <w:r w:rsidRPr="00E43D8B">
        <w:rPr>
          <w:rFonts w:cstheme="minorHAnsi"/>
          <w:color w:val="231F20"/>
        </w:rPr>
        <w:t>which comprises the initial amount of the</w:t>
      </w:r>
      <w:r>
        <w:rPr>
          <w:rFonts w:cstheme="minorHAnsi"/>
          <w:color w:val="231F20"/>
        </w:rPr>
        <w:t xml:space="preserve"> </w:t>
      </w:r>
      <w:r w:rsidRPr="00E43D8B">
        <w:rPr>
          <w:rFonts w:cstheme="minorHAnsi"/>
          <w:color w:val="231F20"/>
        </w:rPr>
        <w:t>lease liability adjusted for:</w:t>
      </w:r>
    </w:p>
    <w:p w:rsidR="00E43D8B" w:rsidRPr="00E43D8B" w:rsidRDefault="00E43D8B" w:rsidP="00925530">
      <w:pPr>
        <w:pStyle w:val="ListParagraph"/>
        <w:numPr>
          <w:ilvl w:val="0"/>
          <w:numId w:val="45"/>
        </w:numPr>
        <w:autoSpaceDE w:val="0"/>
        <w:autoSpaceDN w:val="0"/>
        <w:adjustRightInd w:val="0"/>
        <w:spacing w:after="0" w:line="240" w:lineRule="auto"/>
        <w:rPr>
          <w:rFonts w:cstheme="minorHAnsi"/>
          <w:color w:val="231F20"/>
        </w:rPr>
      </w:pPr>
      <w:r w:rsidRPr="00E43D8B">
        <w:rPr>
          <w:rFonts w:cstheme="minorHAnsi"/>
          <w:color w:val="231F20"/>
        </w:rPr>
        <w:t>any lease payments made at or</w:t>
      </w:r>
      <w:r>
        <w:rPr>
          <w:rFonts w:cstheme="minorHAnsi"/>
          <w:color w:val="231F20"/>
        </w:rPr>
        <w:t xml:space="preserve"> </w:t>
      </w:r>
      <w:r w:rsidRPr="00E43D8B">
        <w:rPr>
          <w:rFonts w:cstheme="minorHAnsi"/>
          <w:color w:val="231F20"/>
        </w:rPr>
        <w:t>before the commencement date; plus</w:t>
      </w:r>
    </w:p>
    <w:p w:rsidR="00E43D8B" w:rsidRPr="00E43D8B" w:rsidRDefault="00E43D8B" w:rsidP="00925530">
      <w:pPr>
        <w:pStyle w:val="ListParagraph"/>
        <w:numPr>
          <w:ilvl w:val="0"/>
          <w:numId w:val="45"/>
        </w:numPr>
        <w:autoSpaceDE w:val="0"/>
        <w:autoSpaceDN w:val="0"/>
        <w:adjustRightInd w:val="0"/>
        <w:spacing w:after="0" w:line="240" w:lineRule="auto"/>
        <w:rPr>
          <w:rFonts w:cstheme="minorHAnsi"/>
          <w:color w:val="231F20"/>
        </w:rPr>
      </w:pPr>
      <w:r w:rsidRPr="00E43D8B">
        <w:rPr>
          <w:rFonts w:cstheme="minorHAnsi"/>
          <w:color w:val="231F20"/>
        </w:rPr>
        <w:t>any initial direct costs incurred; and</w:t>
      </w:r>
    </w:p>
    <w:p w:rsidR="00E43D8B" w:rsidRPr="00E43D8B" w:rsidRDefault="00E43D8B" w:rsidP="00925530">
      <w:pPr>
        <w:pStyle w:val="ListParagraph"/>
        <w:numPr>
          <w:ilvl w:val="0"/>
          <w:numId w:val="45"/>
        </w:numPr>
        <w:autoSpaceDE w:val="0"/>
        <w:autoSpaceDN w:val="0"/>
        <w:adjustRightInd w:val="0"/>
        <w:spacing w:after="0" w:line="240" w:lineRule="auto"/>
        <w:rPr>
          <w:rFonts w:cstheme="minorHAnsi"/>
          <w:color w:val="231F20"/>
        </w:rPr>
      </w:pPr>
      <w:r w:rsidRPr="00E43D8B">
        <w:rPr>
          <w:rFonts w:cstheme="minorHAnsi"/>
          <w:color w:val="231F20"/>
        </w:rPr>
        <w:t>an estimate of costs to dismantle and remove the underlying asset or to restore the underlying asset or the site on which it is located, less any lease</w:t>
      </w:r>
      <w:r>
        <w:rPr>
          <w:rFonts w:cstheme="minorHAnsi"/>
          <w:color w:val="231F20"/>
        </w:rPr>
        <w:t xml:space="preserve"> </w:t>
      </w:r>
      <w:r w:rsidRPr="00E43D8B">
        <w:rPr>
          <w:rFonts w:cstheme="minorHAnsi"/>
          <w:color w:val="231F20"/>
        </w:rPr>
        <w:t>incentive received.</w:t>
      </w:r>
    </w:p>
    <w:p w:rsidR="00E43D8B" w:rsidRDefault="00E43D8B" w:rsidP="00E43D8B">
      <w:pPr>
        <w:autoSpaceDE w:val="0"/>
        <w:autoSpaceDN w:val="0"/>
        <w:adjustRightInd w:val="0"/>
        <w:spacing w:after="0" w:line="240" w:lineRule="auto"/>
        <w:rPr>
          <w:rFonts w:cstheme="minorHAnsi"/>
          <w:color w:val="231F20"/>
        </w:rPr>
      </w:pPr>
    </w:p>
    <w:p w:rsidR="00E43D8B" w:rsidRPr="00E43D8B" w:rsidRDefault="00E43D8B" w:rsidP="00E43D8B">
      <w:pPr>
        <w:autoSpaceDE w:val="0"/>
        <w:autoSpaceDN w:val="0"/>
        <w:adjustRightInd w:val="0"/>
        <w:spacing w:after="0" w:line="240" w:lineRule="auto"/>
        <w:rPr>
          <w:rFonts w:cstheme="minorHAnsi"/>
          <w:color w:val="231F20"/>
        </w:rPr>
      </w:pPr>
      <w:r w:rsidRPr="00E43D8B">
        <w:rPr>
          <w:rFonts w:cstheme="minorHAnsi"/>
          <w:color w:val="231F20"/>
        </w:rPr>
        <w:t>The right of use asset is subsequently</w:t>
      </w:r>
      <w:r>
        <w:rPr>
          <w:rFonts w:cstheme="minorHAnsi"/>
          <w:color w:val="231F20"/>
        </w:rPr>
        <w:t xml:space="preserve"> </w:t>
      </w:r>
      <w:r w:rsidRPr="00E43D8B">
        <w:rPr>
          <w:rFonts w:cstheme="minorHAnsi"/>
          <w:color w:val="231F20"/>
        </w:rPr>
        <w:t>depreciated using the straight-line</w:t>
      </w:r>
      <w:r>
        <w:rPr>
          <w:rFonts w:cstheme="minorHAnsi"/>
          <w:color w:val="231F20"/>
        </w:rPr>
        <w:t xml:space="preserve"> </w:t>
      </w:r>
      <w:r w:rsidRPr="00E43D8B">
        <w:rPr>
          <w:rFonts w:cstheme="minorHAnsi"/>
          <w:color w:val="231F20"/>
        </w:rPr>
        <w:t>method from the commencement date</w:t>
      </w:r>
      <w:r>
        <w:rPr>
          <w:rFonts w:cstheme="minorHAnsi"/>
          <w:color w:val="231F20"/>
        </w:rPr>
        <w:t xml:space="preserve"> </w:t>
      </w:r>
      <w:r w:rsidRPr="00E43D8B">
        <w:rPr>
          <w:rFonts w:cstheme="minorHAnsi"/>
          <w:color w:val="231F20"/>
        </w:rPr>
        <w:t>to the earlier of the end of the useful life</w:t>
      </w:r>
      <w:r>
        <w:rPr>
          <w:rFonts w:cstheme="minorHAnsi"/>
          <w:color w:val="231F20"/>
        </w:rPr>
        <w:t xml:space="preserve"> </w:t>
      </w:r>
      <w:r w:rsidRPr="00E43D8B">
        <w:rPr>
          <w:rFonts w:cstheme="minorHAnsi"/>
          <w:color w:val="231F20"/>
        </w:rPr>
        <w:t>of the right of use asset or the end of the</w:t>
      </w:r>
      <w:r>
        <w:rPr>
          <w:rFonts w:cstheme="minorHAnsi"/>
          <w:color w:val="231F20"/>
        </w:rPr>
        <w:t xml:space="preserve"> </w:t>
      </w:r>
      <w:r w:rsidRPr="00E43D8B">
        <w:rPr>
          <w:rFonts w:cstheme="minorHAnsi"/>
          <w:color w:val="231F20"/>
        </w:rPr>
        <w:t>lease term. The estimated useful lives</w:t>
      </w:r>
      <w:r>
        <w:rPr>
          <w:rFonts w:cstheme="minorHAnsi"/>
          <w:color w:val="231F20"/>
        </w:rPr>
        <w:t xml:space="preserve"> </w:t>
      </w:r>
      <w:r w:rsidRPr="00E43D8B">
        <w:rPr>
          <w:rFonts w:cstheme="minorHAnsi"/>
          <w:color w:val="231F20"/>
        </w:rPr>
        <w:t>of right of use assets are determined</w:t>
      </w:r>
      <w:r>
        <w:rPr>
          <w:rFonts w:cstheme="minorHAnsi"/>
          <w:color w:val="231F20"/>
        </w:rPr>
        <w:t xml:space="preserve"> </w:t>
      </w:r>
      <w:r w:rsidRPr="00E43D8B">
        <w:rPr>
          <w:rFonts w:cstheme="minorHAnsi"/>
          <w:color w:val="231F20"/>
        </w:rPr>
        <w:t>on the same basis as those of property,</w:t>
      </w:r>
      <w:r>
        <w:rPr>
          <w:rFonts w:cstheme="minorHAnsi"/>
          <w:color w:val="231F20"/>
        </w:rPr>
        <w:t xml:space="preserve"> </w:t>
      </w:r>
      <w:r w:rsidRPr="00E43D8B">
        <w:rPr>
          <w:rFonts w:cstheme="minorHAnsi"/>
          <w:color w:val="231F20"/>
        </w:rPr>
        <w:t>plant and equipment. In addition, the</w:t>
      </w:r>
      <w:r>
        <w:rPr>
          <w:rFonts w:cstheme="minorHAnsi"/>
          <w:color w:val="231F20"/>
        </w:rPr>
        <w:t xml:space="preserve"> </w:t>
      </w:r>
      <w:r w:rsidRPr="00E43D8B">
        <w:rPr>
          <w:rFonts w:cstheme="minorHAnsi"/>
          <w:color w:val="231F20"/>
        </w:rPr>
        <w:t>right of use asset is periodically reduced</w:t>
      </w:r>
      <w:r>
        <w:rPr>
          <w:rFonts w:cstheme="minorHAnsi"/>
          <w:color w:val="231F20"/>
        </w:rPr>
        <w:t xml:space="preserve"> </w:t>
      </w:r>
      <w:r w:rsidRPr="00E43D8B">
        <w:rPr>
          <w:rFonts w:cstheme="minorHAnsi"/>
          <w:color w:val="231F20"/>
        </w:rPr>
        <w:t>by impairment losses, if any, and</w:t>
      </w:r>
      <w:r>
        <w:rPr>
          <w:rFonts w:cstheme="minorHAnsi"/>
          <w:color w:val="231F20"/>
        </w:rPr>
        <w:t xml:space="preserve"> </w:t>
      </w:r>
      <w:r w:rsidRPr="00E43D8B">
        <w:rPr>
          <w:rFonts w:cstheme="minorHAnsi"/>
          <w:color w:val="231F20"/>
        </w:rPr>
        <w:t>adjusted for certain measurements of</w:t>
      </w:r>
      <w:r>
        <w:rPr>
          <w:rFonts w:cstheme="minorHAnsi"/>
          <w:color w:val="231F20"/>
        </w:rPr>
        <w:t xml:space="preserve"> </w:t>
      </w:r>
      <w:r w:rsidRPr="00E43D8B">
        <w:rPr>
          <w:rFonts w:cstheme="minorHAnsi"/>
          <w:color w:val="231F20"/>
        </w:rPr>
        <w:t>the lease liability.</w:t>
      </w:r>
    </w:p>
    <w:p w:rsidR="00E43D8B" w:rsidRDefault="00E43D8B" w:rsidP="00E43D8B">
      <w:pPr>
        <w:autoSpaceDE w:val="0"/>
        <w:autoSpaceDN w:val="0"/>
        <w:adjustRightInd w:val="0"/>
        <w:spacing w:after="0" w:line="240" w:lineRule="auto"/>
        <w:rPr>
          <w:rFonts w:cstheme="minorHAnsi"/>
          <w:color w:val="231F20"/>
        </w:rPr>
      </w:pPr>
    </w:p>
    <w:p w:rsidR="00E43D8B" w:rsidRPr="00E43D8B" w:rsidRDefault="00E43D8B" w:rsidP="00E43D8B">
      <w:pPr>
        <w:autoSpaceDE w:val="0"/>
        <w:autoSpaceDN w:val="0"/>
        <w:adjustRightInd w:val="0"/>
        <w:spacing w:after="0" w:line="240" w:lineRule="auto"/>
        <w:rPr>
          <w:rFonts w:cstheme="minorHAnsi"/>
          <w:color w:val="231F20"/>
        </w:rPr>
      </w:pPr>
      <w:r w:rsidRPr="00E43D8B">
        <w:rPr>
          <w:rFonts w:cstheme="minorHAnsi"/>
          <w:color w:val="231F20"/>
        </w:rPr>
        <w:t>The lease liability is initially measured</w:t>
      </w:r>
      <w:r>
        <w:rPr>
          <w:rFonts w:cstheme="minorHAnsi"/>
          <w:color w:val="231F20"/>
        </w:rPr>
        <w:t xml:space="preserve"> </w:t>
      </w:r>
      <w:r w:rsidRPr="00E43D8B">
        <w:rPr>
          <w:rFonts w:cstheme="minorHAnsi"/>
          <w:color w:val="231F20"/>
        </w:rPr>
        <w:t>at the present value of the lease</w:t>
      </w:r>
      <w:r>
        <w:rPr>
          <w:rFonts w:cstheme="minorHAnsi"/>
          <w:color w:val="231F20"/>
        </w:rPr>
        <w:t xml:space="preserve"> </w:t>
      </w:r>
      <w:r w:rsidRPr="00E43D8B">
        <w:rPr>
          <w:rFonts w:cstheme="minorHAnsi"/>
          <w:color w:val="231F20"/>
        </w:rPr>
        <w:t>payments that are not paid at the</w:t>
      </w:r>
      <w:r>
        <w:rPr>
          <w:rFonts w:cstheme="minorHAnsi"/>
          <w:color w:val="231F20"/>
        </w:rPr>
        <w:t xml:space="preserve"> </w:t>
      </w:r>
      <w:r w:rsidRPr="00E43D8B">
        <w:rPr>
          <w:rFonts w:cstheme="minorHAnsi"/>
          <w:color w:val="231F20"/>
        </w:rPr>
        <w:t>commencement date, discounted</w:t>
      </w:r>
      <w:r>
        <w:rPr>
          <w:rFonts w:cstheme="minorHAnsi"/>
          <w:color w:val="231F20"/>
        </w:rPr>
        <w:t xml:space="preserve"> </w:t>
      </w:r>
      <w:r w:rsidRPr="00E43D8B">
        <w:rPr>
          <w:rFonts w:cstheme="minorHAnsi"/>
          <w:color w:val="231F20"/>
        </w:rPr>
        <w:t>using the interest rate implicit in the</w:t>
      </w:r>
      <w:r>
        <w:rPr>
          <w:rFonts w:cstheme="minorHAnsi"/>
          <w:color w:val="231F20"/>
        </w:rPr>
        <w:t xml:space="preserve"> </w:t>
      </w:r>
      <w:r w:rsidRPr="00E43D8B">
        <w:rPr>
          <w:rFonts w:cstheme="minorHAnsi"/>
          <w:color w:val="231F20"/>
        </w:rPr>
        <w:t>lease or, if that rate cannot be readily</w:t>
      </w:r>
      <w:r>
        <w:rPr>
          <w:rFonts w:cstheme="minorHAnsi"/>
          <w:color w:val="231F20"/>
        </w:rPr>
        <w:t xml:space="preserve"> </w:t>
      </w:r>
      <w:r w:rsidRPr="00E43D8B">
        <w:rPr>
          <w:rFonts w:cstheme="minorHAnsi"/>
          <w:color w:val="231F20"/>
        </w:rPr>
        <w:t>determined, an appropriate incrementa</w:t>
      </w:r>
      <w:r>
        <w:rPr>
          <w:rFonts w:cstheme="minorHAnsi"/>
          <w:color w:val="231F20"/>
        </w:rPr>
        <w:t xml:space="preserve">l </w:t>
      </w:r>
      <w:r w:rsidRPr="00E43D8B">
        <w:rPr>
          <w:rFonts w:cstheme="minorHAnsi"/>
          <w:color w:val="231F20"/>
        </w:rPr>
        <w:t>borrowing rate as provided by Treasury</w:t>
      </w:r>
      <w:r>
        <w:rPr>
          <w:rFonts w:cstheme="minorHAnsi"/>
          <w:color w:val="231F20"/>
        </w:rPr>
        <w:t xml:space="preserve"> </w:t>
      </w:r>
      <w:r w:rsidRPr="00E43D8B">
        <w:rPr>
          <w:rFonts w:cstheme="minorHAnsi"/>
          <w:color w:val="231F20"/>
        </w:rPr>
        <w:t>Corporation of Victoria (TCV). Generally,</w:t>
      </w:r>
      <w:r>
        <w:rPr>
          <w:rFonts w:cstheme="minorHAnsi"/>
          <w:color w:val="231F20"/>
        </w:rPr>
        <w:t xml:space="preserve"> </w:t>
      </w:r>
      <w:r w:rsidRPr="00E43D8B">
        <w:rPr>
          <w:rFonts w:cstheme="minorHAnsi"/>
          <w:color w:val="231F20"/>
        </w:rPr>
        <w:t>Chisholm Group uses an appropriate</w:t>
      </w:r>
      <w:r>
        <w:rPr>
          <w:rFonts w:cstheme="minorHAnsi"/>
          <w:color w:val="231F20"/>
        </w:rPr>
        <w:t xml:space="preserve"> </w:t>
      </w:r>
      <w:r w:rsidRPr="00E43D8B">
        <w:rPr>
          <w:rFonts w:cstheme="minorHAnsi"/>
          <w:color w:val="231F20"/>
        </w:rPr>
        <w:t>incremental borrowing rate as the</w:t>
      </w:r>
      <w:r>
        <w:rPr>
          <w:rFonts w:cstheme="minorHAnsi"/>
          <w:color w:val="231F20"/>
        </w:rPr>
        <w:t xml:space="preserve"> </w:t>
      </w:r>
      <w:r w:rsidRPr="00E43D8B">
        <w:rPr>
          <w:rFonts w:cstheme="minorHAnsi"/>
          <w:color w:val="231F20"/>
        </w:rPr>
        <w:t>discount rate.</w:t>
      </w:r>
    </w:p>
    <w:p w:rsidR="00E43D8B" w:rsidRDefault="00E43D8B" w:rsidP="00E43D8B">
      <w:pPr>
        <w:autoSpaceDE w:val="0"/>
        <w:autoSpaceDN w:val="0"/>
        <w:adjustRightInd w:val="0"/>
        <w:spacing w:after="0" w:line="240" w:lineRule="auto"/>
        <w:rPr>
          <w:rFonts w:cstheme="minorHAnsi"/>
          <w:color w:val="231F20"/>
        </w:rPr>
      </w:pPr>
    </w:p>
    <w:p w:rsidR="00E43D8B" w:rsidRPr="00E43D8B" w:rsidRDefault="00E43D8B" w:rsidP="00E43D8B">
      <w:pPr>
        <w:autoSpaceDE w:val="0"/>
        <w:autoSpaceDN w:val="0"/>
        <w:adjustRightInd w:val="0"/>
        <w:spacing w:after="0" w:line="240" w:lineRule="auto"/>
        <w:rPr>
          <w:rFonts w:cstheme="minorHAnsi"/>
          <w:color w:val="231F20"/>
        </w:rPr>
      </w:pPr>
      <w:r w:rsidRPr="00E43D8B">
        <w:rPr>
          <w:rFonts w:cstheme="minorHAnsi"/>
          <w:color w:val="231F20"/>
        </w:rPr>
        <w:t>Lease payments included in the</w:t>
      </w:r>
      <w:r>
        <w:rPr>
          <w:rFonts w:cstheme="minorHAnsi"/>
          <w:color w:val="231F20"/>
        </w:rPr>
        <w:t xml:space="preserve"> </w:t>
      </w:r>
      <w:r w:rsidRPr="00E43D8B">
        <w:rPr>
          <w:rFonts w:cstheme="minorHAnsi"/>
          <w:color w:val="231F20"/>
        </w:rPr>
        <w:t>measurement of the lease liability</w:t>
      </w:r>
      <w:r>
        <w:rPr>
          <w:rFonts w:cstheme="minorHAnsi"/>
          <w:color w:val="231F20"/>
        </w:rPr>
        <w:t xml:space="preserve"> </w:t>
      </w:r>
      <w:r w:rsidRPr="00E43D8B">
        <w:rPr>
          <w:rFonts w:cstheme="minorHAnsi"/>
          <w:color w:val="231F20"/>
        </w:rPr>
        <w:t>comprise the following:</w:t>
      </w:r>
    </w:p>
    <w:p w:rsidR="00E43D8B" w:rsidRPr="00E43D8B" w:rsidRDefault="00E43D8B" w:rsidP="00925530">
      <w:pPr>
        <w:pStyle w:val="ListParagraph"/>
        <w:numPr>
          <w:ilvl w:val="0"/>
          <w:numId w:val="46"/>
        </w:numPr>
        <w:autoSpaceDE w:val="0"/>
        <w:autoSpaceDN w:val="0"/>
        <w:adjustRightInd w:val="0"/>
        <w:spacing w:after="0" w:line="240" w:lineRule="auto"/>
        <w:rPr>
          <w:rFonts w:cstheme="minorHAnsi"/>
          <w:color w:val="231F20"/>
        </w:rPr>
      </w:pPr>
      <w:r w:rsidRPr="00E43D8B">
        <w:rPr>
          <w:rFonts w:cstheme="minorHAnsi"/>
          <w:color w:val="231F20"/>
        </w:rPr>
        <w:t>fixed payments;</w:t>
      </w:r>
    </w:p>
    <w:p w:rsidR="00E43D8B" w:rsidRPr="00E43D8B" w:rsidRDefault="00E43D8B" w:rsidP="00925530">
      <w:pPr>
        <w:pStyle w:val="ListParagraph"/>
        <w:numPr>
          <w:ilvl w:val="0"/>
          <w:numId w:val="46"/>
        </w:numPr>
        <w:autoSpaceDE w:val="0"/>
        <w:autoSpaceDN w:val="0"/>
        <w:adjustRightInd w:val="0"/>
        <w:spacing w:after="0" w:line="240" w:lineRule="auto"/>
        <w:rPr>
          <w:rFonts w:cstheme="minorHAnsi"/>
          <w:color w:val="231F20"/>
        </w:rPr>
      </w:pPr>
      <w:r w:rsidRPr="00E43D8B">
        <w:rPr>
          <w:rFonts w:cstheme="minorHAnsi"/>
          <w:color w:val="231F20"/>
        </w:rPr>
        <w:t>variable lease payments that</w:t>
      </w:r>
      <w:r>
        <w:rPr>
          <w:rFonts w:cstheme="minorHAnsi"/>
          <w:color w:val="231F20"/>
        </w:rPr>
        <w:t xml:space="preserve"> </w:t>
      </w:r>
      <w:r w:rsidRPr="00E43D8B">
        <w:rPr>
          <w:rFonts w:cstheme="minorHAnsi"/>
          <w:color w:val="231F20"/>
        </w:rPr>
        <w:t>depend on an index or a rate, initially measured using the index or rate as at the commencement date;</w:t>
      </w:r>
    </w:p>
    <w:p w:rsidR="00E43D8B" w:rsidRPr="00E43D8B" w:rsidRDefault="00E43D8B" w:rsidP="00925530">
      <w:pPr>
        <w:pStyle w:val="ListParagraph"/>
        <w:numPr>
          <w:ilvl w:val="0"/>
          <w:numId w:val="47"/>
        </w:numPr>
        <w:autoSpaceDE w:val="0"/>
        <w:autoSpaceDN w:val="0"/>
        <w:adjustRightInd w:val="0"/>
        <w:spacing w:after="0" w:line="240" w:lineRule="auto"/>
        <w:rPr>
          <w:rFonts w:cstheme="minorHAnsi"/>
          <w:color w:val="231F20"/>
        </w:rPr>
      </w:pPr>
      <w:r w:rsidRPr="00E43D8B">
        <w:rPr>
          <w:rFonts w:cstheme="minorHAnsi"/>
          <w:color w:val="231F20"/>
        </w:rPr>
        <w:t>amounts expected to be payable</w:t>
      </w:r>
      <w:r>
        <w:rPr>
          <w:rFonts w:cstheme="minorHAnsi"/>
          <w:color w:val="231F20"/>
        </w:rPr>
        <w:t xml:space="preserve"> </w:t>
      </w:r>
      <w:r w:rsidRPr="00E43D8B">
        <w:rPr>
          <w:rFonts w:cstheme="minorHAnsi"/>
          <w:color w:val="231F20"/>
        </w:rPr>
        <w:t>under a residual value guarantee; and</w:t>
      </w:r>
    </w:p>
    <w:p w:rsidR="00E43D8B" w:rsidRPr="00E43D8B" w:rsidRDefault="00E43D8B" w:rsidP="00925530">
      <w:pPr>
        <w:pStyle w:val="ListParagraph"/>
        <w:numPr>
          <w:ilvl w:val="0"/>
          <w:numId w:val="47"/>
        </w:numPr>
        <w:autoSpaceDE w:val="0"/>
        <w:autoSpaceDN w:val="0"/>
        <w:adjustRightInd w:val="0"/>
        <w:spacing w:after="0" w:line="240" w:lineRule="auto"/>
        <w:rPr>
          <w:rFonts w:cstheme="minorHAnsi"/>
          <w:color w:val="231F20"/>
        </w:rPr>
      </w:pPr>
      <w:r w:rsidRPr="00E43D8B">
        <w:rPr>
          <w:rFonts w:cstheme="minorHAnsi"/>
          <w:color w:val="231F20"/>
        </w:rPr>
        <w:t>the exercise price under a purchase option that Chisholm Group is</w:t>
      </w:r>
      <w:r>
        <w:rPr>
          <w:rFonts w:cstheme="minorHAnsi"/>
          <w:color w:val="231F20"/>
        </w:rPr>
        <w:t xml:space="preserve"> </w:t>
      </w:r>
      <w:r w:rsidRPr="00E43D8B">
        <w:rPr>
          <w:rFonts w:cstheme="minorHAnsi"/>
          <w:color w:val="231F20"/>
        </w:rPr>
        <w:t>reasonably certain to exercise, lease payments in an optional renewal period if Chisholm Group is reasonably certain to exercise an extension option, and penalties for early termination of a lease unless Chisholm Group is reasonably certain not to terminate early.</w:t>
      </w:r>
    </w:p>
    <w:p w:rsidR="00E43D8B" w:rsidRDefault="00E43D8B" w:rsidP="00E43D8B">
      <w:pPr>
        <w:autoSpaceDE w:val="0"/>
        <w:autoSpaceDN w:val="0"/>
        <w:adjustRightInd w:val="0"/>
        <w:spacing w:after="0" w:line="240" w:lineRule="auto"/>
        <w:rPr>
          <w:rFonts w:cstheme="minorHAnsi"/>
          <w:color w:val="231F20"/>
        </w:rPr>
      </w:pPr>
    </w:p>
    <w:p w:rsidR="00E43D8B" w:rsidRPr="00E43D8B" w:rsidRDefault="00E43D8B" w:rsidP="00E43D8B">
      <w:pPr>
        <w:autoSpaceDE w:val="0"/>
        <w:autoSpaceDN w:val="0"/>
        <w:adjustRightInd w:val="0"/>
        <w:spacing w:after="0" w:line="240" w:lineRule="auto"/>
        <w:rPr>
          <w:rFonts w:cstheme="minorHAnsi"/>
          <w:color w:val="231F20"/>
        </w:rPr>
      </w:pPr>
      <w:r w:rsidRPr="00E43D8B">
        <w:rPr>
          <w:rFonts w:cstheme="minorHAnsi"/>
          <w:color w:val="231F20"/>
        </w:rPr>
        <w:t>The lease liability is measured at</w:t>
      </w:r>
      <w:r>
        <w:rPr>
          <w:rFonts w:cstheme="minorHAnsi"/>
          <w:color w:val="231F20"/>
        </w:rPr>
        <w:t xml:space="preserve"> </w:t>
      </w:r>
      <w:r w:rsidRPr="00E43D8B">
        <w:rPr>
          <w:rFonts w:cstheme="minorHAnsi"/>
          <w:color w:val="231F20"/>
        </w:rPr>
        <w:t>amortised cost using the effective</w:t>
      </w:r>
      <w:r>
        <w:rPr>
          <w:rFonts w:cstheme="minorHAnsi"/>
          <w:color w:val="231F20"/>
        </w:rPr>
        <w:t xml:space="preserve"> </w:t>
      </w:r>
      <w:r w:rsidRPr="00E43D8B">
        <w:rPr>
          <w:rFonts w:cstheme="minorHAnsi"/>
          <w:color w:val="231F20"/>
        </w:rPr>
        <w:t>interest method. It is remeasured:</w:t>
      </w:r>
    </w:p>
    <w:p w:rsidR="00E43D8B" w:rsidRPr="00E43D8B" w:rsidRDefault="00E43D8B" w:rsidP="00925530">
      <w:pPr>
        <w:pStyle w:val="ListParagraph"/>
        <w:numPr>
          <w:ilvl w:val="0"/>
          <w:numId w:val="47"/>
        </w:numPr>
        <w:autoSpaceDE w:val="0"/>
        <w:autoSpaceDN w:val="0"/>
        <w:adjustRightInd w:val="0"/>
        <w:spacing w:after="0" w:line="240" w:lineRule="auto"/>
        <w:rPr>
          <w:rFonts w:cstheme="minorHAnsi"/>
          <w:color w:val="231F20"/>
        </w:rPr>
      </w:pPr>
      <w:r w:rsidRPr="00E43D8B">
        <w:rPr>
          <w:rFonts w:cstheme="minorHAnsi"/>
          <w:color w:val="231F20"/>
        </w:rPr>
        <w:t>when there is a change in future lease</w:t>
      </w:r>
      <w:r>
        <w:rPr>
          <w:rFonts w:cstheme="minorHAnsi"/>
          <w:color w:val="231F20"/>
        </w:rPr>
        <w:t xml:space="preserve"> </w:t>
      </w:r>
      <w:r w:rsidRPr="00E43D8B">
        <w:rPr>
          <w:rFonts w:cstheme="minorHAnsi"/>
          <w:color w:val="231F20"/>
        </w:rPr>
        <w:t>payments arising from a change in an index or rate;</w:t>
      </w:r>
    </w:p>
    <w:p w:rsidR="00E43D8B" w:rsidRPr="00E43D8B" w:rsidRDefault="00E43D8B" w:rsidP="00925530">
      <w:pPr>
        <w:pStyle w:val="ListParagraph"/>
        <w:numPr>
          <w:ilvl w:val="0"/>
          <w:numId w:val="47"/>
        </w:numPr>
        <w:autoSpaceDE w:val="0"/>
        <w:autoSpaceDN w:val="0"/>
        <w:adjustRightInd w:val="0"/>
        <w:spacing w:after="0" w:line="240" w:lineRule="auto"/>
        <w:rPr>
          <w:rFonts w:cstheme="minorHAnsi"/>
          <w:color w:val="231F20"/>
        </w:rPr>
      </w:pPr>
      <w:r w:rsidRPr="00E43D8B">
        <w:rPr>
          <w:rFonts w:cstheme="minorHAnsi"/>
          <w:color w:val="231F20"/>
        </w:rPr>
        <w:t>if there is a change in Chisholm</w:t>
      </w:r>
      <w:r>
        <w:rPr>
          <w:rFonts w:cstheme="minorHAnsi"/>
          <w:color w:val="231F20"/>
        </w:rPr>
        <w:t xml:space="preserve"> </w:t>
      </w:r>
      <w:r w:rsidRPr="00E43D8B">
        <w:rPr>
          <w:rFonts w:cstheme="minorHAnsi"/>
          <w:color w:val="231F20"/>
        </w:rPr>
        <w:t>Group’s estimate of the amount expected to the payable under a residual value guarantee; or</w:t>
      </w:r>
    </w:p>
    <w:p w:rsidR="00E43D8B" w:rsidRPr="00E43D8B" w:rsidRDefault="00E43D8B" w:rsidP="00925530">
      <w:pPr>
        <w:pStyle w:val="ListParagraph"/>
        <w:numPr>
          <w:ilvl w:val="0"/>
          <w:numId w:val="47"/>
        </w:numPr>
        <w:autoSpaceDE w:val="0"/>
        <w:autoSpaceDN w:val="0"/>
        <w:adjustRightInd w:val="0"/>
        <w:spacing w:after="0" w:line="240" w:lineRule="auto"/>
        <w:rPr>
          <w:rFonts w:cstheme="minorHAnsi"/>
          <w:color w:val="231F20"/>
        </w:rPr>
      </w:pPr>
      <w:r w:rsidRPr="00E43D8B">
        <w:rPr>
          <w:rFonts w:cstheme="minorHAnsi"/>
          <w:color w:val="231F20"/>
        </w:rPr>
        <w:t>if Chisholm Group changes its</w:t>
      </w:r>
      <w:r>
        <w:rPr>
          <w:rFonts w:cstheme="minorHAnsi"/>
          <w:color w:val="231F20"/>
        </w:rPr>
        <w:t xml:space="preserve"> </w:t>
      </w:r>
      <w:r w:rsidRPr="00E43D8B">
        <w:rPr>
          <w:rFonts w:cstheme="minorHAnsi"/>
          <w:color w:val="231F20"/>
        </w:rPr>
        <w:t>assessment of whether it will exercise a purchase, extension or termination option.</w:t>
      </w:r>
    </w:p>
    <w:p w:rsidR="00E43D8B" w:rsidRDefault="00E43D8B" w:rsidP="00E43D8B">
      <w:pPr>
        <w:autoSpaceDE w:val="0"/>
        <w:autoSpaceDN w:val="0"/>
        <w:adjustRightInd w:val="0"/>
        <w:spacing w:after="0" w:line="240" w:lineRule="auto"/>
        <w:rPr>
          <w:rFonts w:cstheme="minorHAnsi"/>
          <w:color w:val="231F20"/>
        </w:rPr>
      </w:pPr>
    </w:p>
    <w:p w:rsidR="00E43D8B" w:rsidRPr="00E43D8B" w:rsidRDefault="00E43D8B" w:rsidP="00E43D8B">
      <w:pPr>
        <w:autoSpaceDE w:val="0"/>
        <w:autoSpaceDN w:val="0"/>
        <w:adjustRightInd w:val="0"/>
        <w:spacing w:after="0" w:line="240" w:lineRule="auto"/>
        <w:rPr>
          <w:rFonts w:cstheme="minorHAnsi"/>
        </w:rPr>
      </w:pPr>
      <w:r w:rsidRPr="00E43D8B">
        <w:rPr>
          <w:rFonts w:cstheme="minorHAnsi"/>
          <w:color w:val="231F20"/>
        </w:rPr>
        <w:lastRenderedPageBreak/>
        <w:t>When the lease liability is remeasured in</w:t>
      </w:r>
      <w:r>
        <w:rPr>
          <w:rFonts w:cstheme="minorHAnsi"/>
          <w:color w:val="231F20"/>
        </w:rPr>
        <w:t xml:space="preserve"> </w:t>
      </w:r>
      <w:r w:rsidRPr="00E43D8B">
        <w:rPr>
          <w:rFonts w:cstheme="minorHAnsi"/>
          <w:color w:val="231F20"/>
        </w:rPr>
        <w:t>this way, a corresponding adjustment is</w:t>
      </w:r>
      <w:r>
        <w:rPr>
          <w:rFonts w:cstheme="minorHAnsi"/>
          <w:color w:val="231F20"/>
        </w:rPr>
        <w:t xml:space="preserve"> </w:t>
      </w:r>
      <w:r w:rsidRPr="00E43D8B">
        <w:rPr>
          <w:rFonts w:cstheme="minorHAnsi"/>
          <w:color w:val="231F20"/>
        </w:rPr>
        <w:t>made to the carrying amount of the right</w:t>
      </w:r>
      <w:r>
        <w:rPr>
          <w:rFonts w:cstheme="minorHAnsi"/>
          <w:color w:val="231F20"/>
        </w:rPr>
        <w:t xml:space="preserve"> </w:t>
      </w:r>
      <w:r w:rsidRPr="00E43D8B">
        <w:rPr>
          <w:rFonts w:cstheme="minorHAnsi"/>
          <w:color w:val="231F20"/>
        </w:rPr>
        <w:t>of use asset, or is recorded in profit or</w:t>
      </w:r>
      <w:r>
        <w:rPr>
          <w:rFonts w:cstheme="minorHAnsi"/>
          <w:color w:val="231F20"/>
        </w:rPr>
        <w:t xml:space="preserve"> </w:t>
      </w:r>
      <w:r w:rsidRPr="00E43D8B">
        <w:rPr>
          <w:rFonts w:cstheme="minorHAnsi"/>
          <w:color w:val="231F20"/>
        </w:rPr>
        <w:t>loss if the carrying amount of the right of</w:t>
      </w:r>
      <w:r>
        <w:rPr>
          <w:rFonts w:cstheme="minorHAnsi"/>
          <w:color w:val="231F20"/>
        </w:rPr>
        <w:t xml:space="preserve"> </w:t>
      </w:r>
      <w:r w:rsidRPr="00E43D8B">
        <w:rPr>
          <w:rFonts w:cstheme="minorHAnsi"/>
          <w:color w:val="231F20"/>
        </w:rPr>
        <w:t>use asset has been reduced to zero.</w:t>
      </w:r>
    </w:p>
    <w:p w:rsidR="00122306" w:rsidRDefault="00122306" w:rsidP="005942B8">
      <w:pPr>
        <w:pStyle w:val="NoSpacing"/>
      </w:pPr>
    </w:p>
    <w:p w:rsidR="00E43D8B" w:rsidRDefault="00E43D8B" w:rsidP="005942B8">
      <w:pPr>
        <w:pStyle w:val="NoSpacing"/>
      </w:pPr>
      <w:r>
        <w:t>&lt;page 64&gt;</w:t>
      </w:r>
    </w:p>
    <w:p w:rsidR="00E43D8B" w:rsidRDefault="00E43D8B" w:rsidP="005942B8">
      <w:pPr>
        <w:pStyle w:val="NoSpacing"/>
      </w:pPr>
    </w:p>
    <w:p w:rsidR="00476690" w:rsidRDefault="00476690" w:rsidP="00406A46">
      <w:pPr>
        <w:pStyle w:val="Heading2"/>
      </w:pPr>
      <w:r>
        <w:t>3. How we expended our funds (continued)</w:t>
      </w:r>
    </w:p>
    <w:p w:rsidR="00406A46" w:rsidRDefault="00406A46" w:rsidP="00406A46">
      <w:pPr>
        <w:pStyle w:val="NoSpacing"/>
      </w:pPr>
    </w:p>
    <w:p w:rsidR="00E43D8B" w:rsidRDefault="00476690" w:rsidP="00406A46">
      <w:pPr>
        <w:pStyle w:val="Heading3"/>
      </w:pPr>
      <w:r>
        <w:t>3.4 Leases (continued)</w:t>
      </w:r>
    </w:p>
    <w:p w:rsidR="00476690" w:rsidRDefault="00476690" w:rsidP="00476690">
      <w:pPr>
        <w:pStyle w:val="NoSpacing"/>
      </w:pPr>
    </w:p>
    <w:tbl>
      <w:tblPr>
        <w:tblStyle w:val="TableGrid"/>
        <w:tblW w:w="10632" w:type="dxa"/>
        <w:tblInd w:w="-856" w:type="dxa"/>
        <w:tblLook w:val="04A0" w:firstRow="1" w:lastRow="0" w:firstColumn="1" w:lastColumn="0" w:noHBand="0" w:noVBand="1"/>
      </w:tblPr>
      <w:tblGrid>
        <w:gridCol w:w="5954"/>
        <w:gridCol w:w="1560"/>
        <w:gridCol w:w="1559"/>
        <w:gridCol w:w="1559"/>
      </w:tblGrid>
      <w:tr w:rsidR="00476690" w:rsidTr="00476690">
        <w:trPr>
          <w:gridBefore w:val="1"/>
          <w:wBefore w:w="5954" w:type="dxa"/>
        </w:trPr>
        <w:tc>
          <w:tcPr>
            <w:tcW w:w="1560" w:type="dxa"/>
          </w:tcPr>
          <w:p w:rsidR="00476690" w:rsidRDefault="00476690" w:rsidP="00476690">
            <w:pPr>
              <w:pStyle w:val="NoSpacing"/>
              <w:jc w:val="right"/>
            </w:pPr>
            <w:r>
              <w:t>Property</w:t>
            </w:r>
          </w:p>
        </w:tc>
        <w:tc>
          <w:tcPr>
            <w:tcW w:w="1559" w:type="dxa"/>
          </w:tcPr>
          <w:p w:rsidR="00476690" w:rsidRDefault="00476690" w:rsidP="00476690">
            <w:pPr>
              <w:pStyle w:val="NoSpacing"/>
              <w:jc w:val="right"/>
            </w:pPr>
            <w:r>
              <w:t>Vehicles</w:t>
            </w:r>
          </w:p>
        </w:tc>
        <w:tc>
          <w:tcPr>
            <w:tcW w:w="1559" w:type="dxa"/>
          </w:tcPr>
          <w:p w:rsidR="00476690" w:rsidRDefault="00476690" w:rsidP="00476690">
            <w:pPr>
              <w:pStyle w:val="NoSpacing"/>
              <w:jc w:val="right"/>
            </w:pPr>
            <w:r>
              <w:t xml:space="preserve">Total </w:t>
            </w:r>
          </w:p>
        </w:tc>
      </w:tr>
      <w:tr w:rsidR="00476690" w:rsidTr="00476690">
        <w:trPr>
          <w:gridBefore w:val="1"/>
          <w:wBefore w:w="5954" w:type="dxa"/>
        </w:trPr>
        <w:tc>
          <w:tcPr>
            <w:tcW w:w="1560" w:type="dxa"/>
          </w:tcPr>
          <w:p w:rsidR="00476690" w:rsidRDefault="00476690" w:rsidP="00476690">
            <w:pPr>
              <w:pStyle w:val="NoSpacing"/>
              <w:jc w:val="right"/>
            </w:pPr>
            <w:r>
              <w:t>$’000</w:t>
            </w:r>
          </w:p>
        </w:tc>
        <w:tc>
          <w:tcPr>
            <w:tcW w:w="1559" w:type="dxa"/>
          </w:tcPr>
          <w:p w:rsidR="00476690" w:rsidRDefault="00476690" w:rsidP="00476690">
            <w:pPr>
              <w:pStyle w:val="NoSpacing"/>
              <w:jc w:val="right"/>
            </w:pPr>
            <w:r>
              <w:t>$’000</w:t>
            </w:r>
          </w:p>
        </w:tc>
        <w:tc>
          <w:tcPr>
            <w:tcW w:w="1559" w:type="dxa"/>
          </w:tcPr>
          <w:p w:rsidR="00476690" w:rsidRDefault="00476690" w:rsidP="00476690">
            <w:pPr>
              <w:pStyle w:val="NoSpacing"/>
              <w:jc w:val="right"/>
            </w:pPr>
            <w:r>
              <w:t>$’000</w:t>
            </w:r>
          </w:p>
        </w:tc>
      </w:tr>
      <w:tr w:rsidR="00476690" w:rsidTr="00476690">
        <w:tc>
          <w:tcPr>
            <w:tcW w:w="10632" w:type="dxa"/>
            <w:gridSpan w:val="4"/>
          </w:tcPr>
          <w:p w:rsidR="00476690" w:rsidRDefault="00476690" w:rsidP="00476690">
            <w:pPr>
              <w:pStyle w:val="NoSpacing"/>
            </w:pPr>
            <w:r>
              <w:t xml:space="preserve">Right of use assets </w:t>
            </w:r>
          </w:p>
        </w:tc>
      </w:tr>
    </w:tbl>
    <w:p w:rsidR="00476690" w:rsidRDefault="00476690" w:rsidP="00476690">
      <w:pPr>
        <w:pStyle w:val="NoSpacing"/>
      </w:pPr>
    </w:p>
    <w:tbl>
      <w:tblPr>
        <w:tblStyle w:val="TableGrid"/>
        <w:tblW w:w="10632" w:type="dxa"/>
        <w:tblInd w:w="-856" w:type="dxa"/>
        <w:tblLook w:val="04A0" w:firstRow="1" w:lastRow="0" w:firstColumn="1" w:lastColumn="0" w:noHBand="0" w:noVBand="1"/>
      </w:tblPr>
      <w:tblGrid>
        <w:gridCol w:w="5954"/>
        <w:gridCol w:w="1560"/>
        <w:gridCol w:w="1559"/>
        <w:gridCol w:w="1559"/>
      </w:tblGrid>
      <w:tr w:rsidR="00476690" w:rsidTr="00C44573">
        <w:tc>
          <w:tcPr>
            <w:tcW w:w="10632" w:type="dxa"/>
            <w:gridSpan w:val="4"/>
          </w:tcPr>
          <w:p w:rsidR="00476690" w:rsidRDefault="00476690" w:rsidP="00476690">
            <w:pPr>
              <w:pStyle w:val="NoSpacing"/>
            </w:pPr>
            <w:r>
              <w:t>Consolidated</w:t>
            </w:r>
          </w:p>
        </w:tc>
      </w:tr>
      <w:tr w:rsidR="00476690" w:rsidTr="00C44573">
        <w:tc>
          <w:tcPr>
            <w:tcW w:w="10632" w:type="dxa"/>
            <w:gridSpan w:val="4"/>
          </w:tcPr>
          <w:p w:rsidR="00476690" w:rsidRDefault="00476690" w:rsidP="00476690">
            <w:pPr>
              <w:pStyle w:val="NoSpacing"/>
            </w:pPr>
            <w:r>
              <w:t>2019</w:t>
            </w:r>
          </w:p>
        </w:tc>
      </w:tr>
      <w:tr w:rsidR="00476690" w:rsidTr="00476690">
        <w:tc>
          <w:tcPr>
            <w:tcW w:w="5954" w:type="dxa"/>
          </w:tcPr>
          <w:p w:rsidR="00476690" w:rsidRDefault="00476690" w:rsidP="00476690">
            <w:pPr>
              <w:pStyle w:val="NoSpacing"/>
            </w:pPr>
            <w:r>
              <w:t xml:space="preserve">Balance at 1 January </w:t>
            </w:r>
          </w:p>
        </w:tc>
        <w:tc>
          <w:tcPr>
            <w:tcW w:w="1560" w:type="dxa"/>
          </w:tcPr>
          <w:p w:rsidR="00476690" w:rsidRDefault="00AC3493" w:rsidP="00AC3493">
            <w:pPr>
              <w:pStyle w:val="NoSpacing"/>
              <w:jc w:val="right"/>
            </w:pPr>
            <w:r>
              <w:t>-</w:t>
            </w:r>
          </w:p>
        </w:tc>
        <w:tc>
          <w:tcPr>
            <w:tcW w:w="1559" w:type="dxa"/>
          </w:tcPr>
          <w:p w:rsidR="00476690" w:rsidRDefault="00AC3493" w:rsidP="00AC3493">
            <w:pPr>
              <w:pStyle w:val="NoSpacing"/>
              <w:jc w:val="right"/>
            </w:pPr>
            <w:r>
              <w:t>-</w:t>
            </w:r>
          </w:p>
        </w:tc>
        <w:tc>
          <w:tcPr>
            <w:tcW w:w="1559" w:type="dxa"/>
          </w:tcPr>
          <w:p w:rsidR="00476690" w:rsidRDefault="00AC3493" w:rsidP="00AC3493">
            <w:pPr>
              <w:pStyle w:val="NoSpacing"/>
              <w:jc w:val="right"/>
            </w:pPr>
            <w:r>
              <w:t>-</w:t>
            </w:r>
          </w:p>
        </w:tc>
      </w:tr>
      <w:tr w:rsidR="00476690" w:rsidTr="00476690">
        <w:tc>
          <w:tcPr>
            <w:tcW w:w="5954" w:type="dxa"/>
          </w:tcPr>
          <w:p w:rsidR="00476690" w:rsidRDefault="00476690" w:rsidP="00476690">
            <w:pPr>
              <w:pStyle w:val="NoSpacing"/>
            </w:pPr>
            <w:r>
              <w:t>Additions</w:t>
            </w:r>
          </w:p>
        </w:tc>
        <w:tc>
          <w:tcPr>
            <w:tcW w:w="1560" w:type="dxa"/>
          </w:tcPr>
          <w:p w:rsidR="00476690" w:rsidRDefault="00AC3493" w:rsidP="00AC3493">
            <w:pPr>
              <w:pStyle w:val="NoSpacing"/>
              <w:jc w:val="right"/>
            </w:pPr>
            <w:r>
              <w:t>2,314</w:t>
            </w:r>
          </w:p>
        </w:tc>
        <w:tc>
          <w:tcPr>
            <w:tcW w:w="1559" w:type="dxa"/>
          </w:tcPr>
          <w:p w:rsidR="00476690" w:rsidRDefault="00AC3493" w:rsidP="00AC3493">
            <w:pPr>
              <w:pStyle w:val="NoSpacing"/>
              <w:jc w:val="right"/>
            </w:pPr>
            <w:r>
              <w:t>659</w:t>
            </w:r>
          </w:p>
        </w:tc>
        <w:tc>
          <w:tcPr>
            <w:tcW w:w="1559" w:type="dxa"/>
          </w:tcPr>
          <w:p w:rsidR="00476690" w:rsidRDefault="00AC3493" w:rsidP="00AC3493">
            <w:pPr>
              <w:pStyle w:val="NoSpacing"/>
              <w:jc w:val="right"/>
            </w:pPr>
            <w:r>
              <w:t>2,973</w:t>
            </w:r>
          </w:p>
        </w:tc>
      </w:tr>
      <w:tr w:rsidR="00476690" w:rsidTr="00476690">
        <w:tc>
          <w:tcPr>
            <w:tcW w:w="5954" w:type="dxa"/>
          </w:tcPr>
          <w:p w:rsidR="00476690" w:rsidRDefault="00476690" w:rsidP="00476690">
            <w:pPr>
              <w:pStyle w:val="NoSpacing"/>
            </w:pPr>
            <w:r>
              <w:t>Amortisation</w:t>
            </w:r>
          </w:p>
        </w:tc>
        <w:tc>
          <w:tcPr>
            <w:tcW w:w="1560" w:type="dxa"/>
          </w:tcPr>
          <w:p w:rsidR="00476690" w:rsidRDefault="00AC3493" w:rsidP="00AC3493">
            <w:pPr>
              <w:pStyle w:val="NoSpacing"/>
              <w:jc w:val="right"/>
            </w:pPr>
            <w:r>
              <w:t>(1,050)</w:t>
            </w:r>
          </w:p>
        </w:tc>
        <w:tc>
          <w:tcPr>
            <w:tcW w:w="1559" w:type="dxa"/>
          </w:tcPr>
          <w:p w:rsidR="00476690" w:rsidRDefault="00AC3493" w:rsidP="00AC3493">
            <w:pPr>
              <w:pStyle w:val="NoSpacing"/>
              <w:jc w:val="right"/>
            </w:pPr>
            <w:r>
              <w:t>(283)</w:t>
            </w:r>
          </w:p>
        </w:tc>
        <w:tc>
          <w:tcPr>
            <w:tcW w:w="1559" w:type="dxa"/>
          </w:tcPr>
          <w:p w:rsidR="00476690" w:rsidRDefault="00AC3493" w:rsidP="00AC3493">
            <w:pPr>
              <w:pStyle w:val="NoSpacing"/>
              <w:jc w:val="right"/>
            </w:pPr>
            <w:r>
              <w:t>(1,333)</w:t>
            </w:r>
          </w:p>
        </w:tc>
      </w:tr>
      <w:tr w:rsidR="00476690" w:rsidTr="00476690">
        <w:tc>
          <w:tcPr>
            <w:tcW w:w="5954" w:type="dxa"/>
          </w:tcPr>
          <w:p w:rsidR="00476690" w:rsidRDefault="00476690" w:rsidP="00476690">
            <w:pPr>
              <w:pStyle w:val="NoSpacing"/>
            </w:pPr>
            <w:r>
              <w:t>Balance at 31 December</w:t>
            </w:r>
          </w:p>
        </w:tc>
        <w:tc>
          <w:tcPr>
            <w:tcW w:w="1560" w:type="dxa"/>
          </w:tcPr>
          <w:p w:rsidR="00476690" w:rsidRDefault="00AC3493" w:rsidP="00AC3493">
            <w:pPr>
              <w:pStyle w:val="NoSpacing"/>
              <w:jc w:val="right"/>
            </w:pPr>
            <w:r>
              <w:t>1,264</w:t>
            </w:r>
          </w:p>
        </w:tc>
        <w:tc>
          <w:tcPr>
            <w:tcW w:w="1559" w:type="dxa"/>
          </w:tcPr>
          <w:p w:rsidR="00476690" w:rsidRDefault="00AC3493" w:rsidP="00AC3493">
            <w:pPr>
              <w:pStyle w:val="NoSpacing"/>
              <w:jc w:val="right"/>
            </w:pPr>
            <w:r>
              <w:t>376</w:t>
            </w:r>
          </w:p>
        </w:tc>
        <w:tc>
          <w:tcPr>
            <w:tcW w:w="1559" w:type="dxa"/>
          </w:tcPr>
          <w:p w:rsidR="00476690" w:rsidRDefault="00AC3493" w:rsidP="00AC3493">
            <w:pPr>
              <w:pStyle w:val="NoSpacing"/>
              <w:jc w:val="right"/>
            </w:pPr>
            <w:r>
              <w:t>1,640</w:t>
            </w:r>
          </w:p>
        </w:tc>
      </w:tr>
      <w:tr w:rsidR="00AC3493" w:rsidTr="00C44573">
        <w:tc>
          <w:tcPr>
            <w:tcW w:w="10632" w:type="dxa"/>
            <w:gridSpan w:val="4"/>
          </w:tcPr>
          <w:p w:rsidR="00AC3493" w:rsidRDefault="00AC3493" w:rsidP="00C44573">
            <w:pPr>
              <w:pStyle w:val="NoSpacing"/>
            </w:pPr>
            <w:r>
              <w:t>Chisholm</w:t>
            </w:r>
          </w:p>
        </w:tc>
      </w:tr>
      <w:tr w:rsidR="00AC3493" w:rsidTr="00C44573">
        <w:tc>
          <w:tcPr>
            <w:tcW w:w="10632" w:type="dxa"/>
            <w:gridSpan w:val="4"/>
          </w:tcPr>
          <w:p w:rsidR="00AC3493" w:rsidRDefault="00AC3493" w:rsidP="00C44573">
            <w:pPr>
              <w:pStyle w:val="NoSpacing"/>
            </w:pPr>
            <w:r>
              <w:t>2019</w:t>
            </w:r>
          </w:p>
        </w:tc>
      </w:tr>
      <w:tr w:rsidR="00AC3493" w:rsidTr="00C44573">
        <w:tc>
          <w:tcPr>
            <w:tcW w:w="5954" w:type="dxa"/>
          </w:tcPr>
          <w:p w:rsidR="00AC3493" w:rsidRDefault="00AC3493" w:rsidP="00C44573">
            <w:pPr>
              <w:pStyle w:val="NoSpacing"/>
            </w:pPr>
            <w:r>
              <w:t xml:space="preserve">Balance at 1 January </w:t>
            </w:r>
          </w:p>
        </w:tc>
        <w:tc>
          <w:tcPr>
            <w:tcW w:w="1560" w:type="dxa"/>
          </w:tcPr>
          <w:p w:rsidR="00AC3493" w:rsidRDefault="00AC3493" w:rsidP="00C44573">
            <w:pPr>
              <w:pStyle w:val="NoSpacing"/>
              <w:jc w:val="right"/>
            </w:pPr>
            <w:r>
              <w:t>-</w:t>
            </w:r>
          </w:p>
        </w:tc>
        <w:tc>
          <w:tcPr>
            <w:tcW w:w="1559" w:type="dxa"/>
          </w:tcPr>
          <w:p w:rsidR="00AC3493" w:rsidRDefault="00AC3493" w:rsidP="00C44573">
            <w:pPr>
              <w:pStyle w:val="NoSpacing"/>
              <w:jc w:val="right"/>
            </w:pPr>
            <w:r>
              <w:t>-</w:t>
            </w:r>
          </w:p>
        </w:tc>
        <w:tc>
          <w:tcPr>
            <w:tcW w:w="1559" w:type="dxa"/>
          </w:tcPr>
          <w:p w:rsidR="00AC3493" w:rsidRDefault="00AC3493" w:rsidP="00C44573">
            <w:pPr>
              <w:pStyle w:val="NoSpacing"/>
              <w:jc w:val="right"/>
            </w:pPr>
            <w:r>
              <w:t>-</w:t>
            </w:r>
          </w:p>
        </w:tc>
      </w:tr>
      <w:tr w:rsidR="00AC3493" w:rsidTr="00C44573">
        <w:tc>
          <w:tcPr>
            <w:tcW w:w="5954" w:type="dxa"/>
          </w:tcPr>
          <w:p w:rsidR="00AC3493" w:rsidRDefault="00AC3493" w:rsidP="00C44573">
            <w:pPr>
              <w:pStyle w:val="NoSpacing"/>
            </w:pPr>
            <w:r>
              <w:t>Additions</w:t>
            </w:r>
          </w:p>
        </w:tc>
        <w:tc>
          <w:tcPr>
            <w:tcW w:w="1560" w:type="dxa"/>
          </w:tcPr>
          <w:p w:rsidR="00AC3493" w:rsidRDefault="00AC3493" w:rsidP="00C44573">
            <w:pPr>
              <w:pStyle w:val="NoSpacing"/>
              <w:jc w:val="right"/>
            </w:pPr>
            <w:r>
              <w:t>2,314</w:t>
            </w:r>
          </w:p>
        </w:tc>
        <w:tc>
          <w:tcPr>
            <w:tcW w:w="1559" w:type="dxa"/>
          </w:tcPr>
          <w:p w:rsidR="00AC3493" w:rsidRDefault="00AC3493" w:rsidP="00C44573">
            <w:pPr>
              <w:pStyle w:val="NoSpacing"/>
              <w:jc w:val="right"/>
            </w:pPr>
            <w:r>
              <w:t>659</w:t>
            </w:r>
          </w:p>
        </w:tc>
        <w:tc>
          <w:tcPr>
            <w:tcW w:w="1559" w:type="dxa"/>
          </w:tcPr>
          <w:p w:rsidR="00AC3493" w:rsidRDefault="00AC3493" w:rsidP="00C44573">
            <w:pPr>
              <w:pStyle w:val="NoSpacing"/>
              <w:jc w:val="right"/>
            </w:pPr>
            <w:r>
              <w:t>2,973</w:t>
            </w:r>
          </w:p>
        </w:tc>
      </w:tr>
      <w:tr w:rsidR="00AC3493" w:rsidTr="00C44573">
        <w:tc>
          <w:tcPr>
            <w:tcW w:w="5954" w:type="dxa"/>
          </w:tcPr>
          <w:p w:rsidR="00AC3493" w:rsidRDefault="00AC3493" w:rsidP="00C44573">
            <w:pPr>
              <w:pStyle w:val="NoSpacing"/>
            </w:pPr>
            <w:r>
              <w:t>Amortisation</w:t>
            </w:r>
          </w:p>
        </w:tc>
        <w:tc>
          <w:tcPr>
            <w:tcW w:w="1560" w:type="dxa"/>
          </w:tcPr>
          <w:p w:rsidR="00AC3493" w:rsidRDefault="00AC3493" w:rsidP="00C44573">
            <w:pPr>
              <w:pStyle w:val="NoSpacing"/>
              <w:jc w:val="right"/>
            </w:pPr>
            <w:r>
              <w:t>(1,050)</w:t>
            </w:r>
          </w:p>
        </w:tc>
        <w:tc>
          <w:tcPr>
            <w:tcW w:w="1559" w:type="dxa"/>
          </w:tcPr>
          <w:p w:rsidR="00AC3493" w:rsidRDefault="00AC3493" w:rsidP="00C44573">
            <w:pPr>
              <w:pStyle w:val="NoSpacing"/>
              <w:jc w:val="right"/>
            </w:pPr>
            <w:r>
              <w:t>(283)</w:t>
            </w:r>
          </w:p>
        </w:tc>
        <w:tc>
          <w:tcPr>
            <w:tcW w:w="1559" w:type="dxa"/>
          </w:tcPr>
          <w:p w:rsidR="00AC3493" w:rsidRDefault="00AC3493" w:rsidP="00C44573">
            <w:pPr>
              <w:pStyle w:val="NoSpacing"/>
              <w:jc w:val="right"/>
            </w:pPr>
            <w:r>
              <w:t>(1,333)</w:t>
            </w:r>
          </w:p>
        </w:tc>
      </w:tr>
      <w:tr w:rsidR="00AC3493" w:rsidTr="00C44573">
        <w:tc>
          <w:tcPr>
            <w:tcW w:w="5954" w:type="dxa"/>
          </w:tcPr>
          <w:p w:rsidR="00AC3493" w:rsidRDefault="00AC3493" w:rsidP="00C44573">
            <w:pPr>
              <w:pStyle w:val="NoSpacing"/>
            </w:pPr>
            <w:r>
              <w:t>Balance at 31 December</w:t>
            </w:r>
          </w:p>
        </w:tc>
        <w:tc>
          <w:tcPr>
            <w:tcW w:w="1560" w:type="dxa"/>
          </w:tcPr>
          <w:p w:rsidR="00AC3493" w:rsidRDefault="00AC3493" w:rsidP="00C44573">
            <w:pPr>
              <w:pStyle w:val="NoSpacing"/>
              <w:jc w:val="right"/>
            </w:pPr>
            <w:r>
              <w:t>1,264</w:t>
            </w:r>
          </w:p>
        </w:tc>
        <w:tc>
          <w:tcPr>
            <w:tcW w:w="1559" w:type="dxa"/>
          </w:tcPr>
          <w:p w:rsidR="00AC3493" w:rsidRDefault="00AC3493" w:rsidP="00C44573">
            <w:pPr>
              <w:pStyle w:val="NoSpacing"/>
              <w:jc w:val="right"/>
            </w:pPr>
            <w:r>
              <w:t>376</w:t>
            </w:r>
          </w:p>
        </w:tc>
        <w:tc>
          <w:tcPr>
            <w:tcW w:w="1559" w:type="dxa"/>
          </w:tcPr>
          <w:p w:rsidR="00AC3493" w:rsidRDefault="00AC3493" w:rsidP="00C44573">
            <w:pPr>
              <w:pStyle w:val="NoSpacing"/>
              <w:jc w:val="right"/>
            </w:pPr>
            <w:r>
              <w:t>1,640</w:t>
            </w:r>
          </w:p>
        </w:tc>
      </w:tr>
    </w:tbl>
    <w:p w:rsidR="00AC3493" w:rsidRDefault="00AC3493" w:rsidP="00476690">
      <w:pPr>
        <w:pStyle w:val="NoSpacing"/>
      </w:pPr>
    </w:p>
    <w:p w:rsidR="000F302B" w:rsidRDefault="000F302B" w:rsidP="005942B8">
      <w:pPr>
        <w:pStyle w:val="NoSpacing"/>
      </w:pPr>
    </w:p>
    <w:tbl>
      <w:tblPr>
        <w:tblStyle w:val="TableGrid"/>
        <w:tblW w:w="4819" w:type="dxa"/>
        <w:tblInd w:w="4957" w:type="dxa"/>
        <w:tblLook w:val="04A0" w:firstRow="1" w:lastRow="0" w:firstColumn="1" w:lastColumn="0" w:noHBand="0" w:noVBand="1"/>
      </w:tblPr>
      <w:tblGrid>
        <w:gridCol w:w="2409"/>
        <w:gridCol w:w="2410"/>
      </w:tblGrid>
      <w:tr w:rsidR="0056181B" w:rsidTr="0056181B">
        <w:tc>
          <w:tcPr>
            <w:tcW w:w="2409" w:type="dxa"/>
          </w:tcPr>
          <w:p w:rsidR="0056181B" w:rsidRDefault="0056181B" w:rsidP="00E007BC">
            <w:pPr>
              <w:pStyle w:val="NoSpacing"/>
              <w:jc w:val="right"/>
            </w:pPr>
            <w:r>
              <w:t>Consolidated</w:t>
            </w:r>
          </w:p>
        </w:tc>
        <w:tc>
          <w:tcPr>
            <w:tcW w:w="2410" w:type="dxa"/>
          </w:tcPr>
          <w:p w:rsidR="0056181B" w:rsidRDefault="0056181B" w:rsidP="00E007BC">
            <w:pPr>
              <w:pStyle w:val="NoSpacing"/>
              <w:jc w:val="right"/>
            </w:pPr>
            <w:r>
              <w:t>Chisholm</w:t>
            </w:r>
          </w:p>
        </w:tc>
      </w:tr>
      <w:tr w:rsidR="0056181B" w:rsidTr="0056181B">
        <w:tc>
          <w:tcPr>
            <w:tcW w:w="2409" w:type="dxa"/>
          </w:tcPr>
          <w:p w:rsidR="0056181B" w:rsidRDefault="0056181B" w:rsidP="00E007BC">
            <w:pPr>
              <w:pStyle w:val="NoSpacing"/>
              <w:jc w:val="right"/>
            </w:pPr>
            <w:r>
              <w:t>2019</w:t>
            </w:r>
          </w:p>
        </w:tc>
        <w:tc>
          <w:tcPr>
            <w:tcW w:w="2410" w:type="dxa"/>
          </w:tcPr>
          <w:p w:rsidR="0056181B" w:rsidRDefault="0056181B" w:rsidP="00E007BC">
            <w:pPr>
              <w:pStyle w:val="NoSpacing"/>
              <w:jc w:val="right"/>
            </w:pPr>
            <w:r>
              <w:t>2018</w:t>
            </w:r>
          </w:p>
        </w:tc>
      </w:tr>
      <w:tr w:rsidR="0056181B" w:rsidTr="0056181B">
        <w:tc>
          <w:tcPr>
            <w:tcW w:w="2409" w:type="dxa"/>
          </w:tcPr>
          <w:p w:rsidR="0056181B" w:rsidRDefault="0056181B" w:rsidP="00E007BC">
            <w:pPr>
              <w:jc w:val="right"/>
            </w:pPr>
            <w:r w:rsidRPr="00105D59">
              <w:t>$’000</w:t>
            </w:r>
          </w:p>
        </w:tc>
        <w:tc>
          <w:tcPr>
            <w:tcW w:w="2410" w:type="dxa"/>
          </w:tcPr>
          <w:p w:rsidR="0056181B" w:rsidRDefault="0056181B" w:rsidP="00E007BC">
            <w:pPr>
              <w:jc w:val="right"/>
            </w:pPr>
            <w:r w:rsidRPr="00105D59">
              <w:t>$’000</w:t>
            </w:r>
          </w:p>
        </w:tc>
      </w:tr>
    </w:tbl>
    <w:p w:rsidR="000F302B" w:rsidRDefault="000F302B" w:rsidP="005942B8">
      <w:pPr>
        <w:pStyle w:val="NoSpacing"/>
      </w:pPr>
    </w:p>
    <w:tbl>
      <w:tblPr>
        <w:tblStyle w:val="TableGrid"/>
        <w:tblW w:w="10632" w:type="dxa"/>
        <w:tblInd w:w="-856" w:type="dxa"/>
        <w:tblLook w:val="04A0" w:firstRow="1" w:lastRow="0" w:firstColumn="1" w:lastColumn="0" w:noHBand="0" w:noVBand="1"/>
      </w:tblPr>
      <w:tblGrid>
        <w:gridCol w:w="5813"/>
        <w:gridCol w:w="2409"/>
        <w:gridCol w:w="2410"/>
      </w:tblGrid>
      <w:tr w:rsidR="0056181B" w:rsidTr="00C44573">
        <w:tc>
          <w:tcPr>
            <w:tcW w:w="10632" w:type="dxa"/>
            <w:gridSpan w:val="3"/>
          </w:tcPr>
          <w:p w:rsidR="0056181B" w:rsidRDefault="0056181B" w:rsidP="0056181B">
            <w:pPr>
              <w:pStyle w:val="NoSpacing"/>
            </w:pPr>
            <w:r>
              <w:t>Maturity analysis – contractual undiscounted cash flows</w:t>
            </w:r>
          </w:p>
        </w:tc>
      </w:tr>
      <w:tr w:rsidR="00737AEA" w:rsidTr="00737AEA">
        <w:tc>
          <w:tcPr>
            <w:tcW w:w="5813" w:type="dxa"/>
          </w:tcPr>
          <w:p w:rsidR="00737AEA" w:rsidRDefault="00737AEA" w:rsidP="00C44573">
            <w:pPr>
              <w:pStyle w:val="NoSpacing"/>
            </w:pPr>
            <w:r>
              <w:t>Less than one year</w:t>
            </w:r>
          </w:p>
        </w:tc>
        <w:tc>
          <w:tcPr>
            <w:tcW w:w="2409" w:type="dxa"/>
          </w:tcPr>
          <w:p w:rsidR="00737AEA" w:rsidRDefault="0056181B" w:rsidP="00C44573">
            <w:pPr>
              <w:pStyle w:val="NoSpacing"/>
              <w:jc w:val="right"/>
            </w:pPr>
            <w:r>
              <w:t>968</w:t>
            </w:r>
          </w:p>
        </w:tc>
        <w:tc>
          <w:tcPr>
            <w:tcW w:w="2410" w:type="dxa"/>
          </w:tcPr>
          <w:p w:rsidR="00737AEA" w:rsidRDefault="004E3B4A" w:rsidP="00C44573">
            <w:pPr>
              <w:pStyle w:val="NoSpacing"/>
              <w:jc w:val="right"/>
            </w:pPr>
            <w:r>
              <w:t>968</w:t>
            </w:r>
          </w:p>
        </w:tc>
      </w:tr>
      <w:tr w:rsidR="00737AEA" w:rsidTr="00737AEA">
        <w:tc>
          <w:tcPr>
            <w:tcW w:w="5813" w:type="dxa"/>
          </w:tcPr>
          <w:p w:rsidR="00737AEA" w:rsidRDefault="00737AEA" w:rsidP="00C44573">
            <w:pPr>
              <w:pStyle w:val="NoSpacing"/>
            </w:pPr>
            <w:r>
              <w:t>One to five years</w:t>
            </w:r>
          </w:p>
        </w:tc>
        <w:tc>
          <w:tcPr>
            <w:tcW w:w="2409" w:type="dxa"/>
          </w:tcPr>
          <w:p w:rsidR="00737AEA" w:rsidRDefault="0056181B" w:rsidP="00C44573">
            <w:pPr>
              <w:pStyle w:val="NoSpacing"/>
              <w:jc w:val="right"/>
            </w:pPr>
            <w:r>
              <w:t>663</w:t>
            </w:r>
          </w:p>
        </w:tc>
        <w:tc>
          <w:tcPr>
            <w:tcW w:w="2410" w:type="dxa"/>
          </w:tcPr>
          <w:p w:rsidR="00737AEA" w:rsidRDefault="004E3B4A" w:rsidP="00C44573">
            <w:pPr>
              <w:pStyle w:val="NoSpacing"/>
              <w:jc w:val="right"/>
            </w:pPr>
            <w:r>
              <w:t>663</w:t>
            </w:r>
          </w:p>
        </w:tc>
      </w:tr>
      <w:tr w:rsidR="00737AEA" w:rsidTr="00737AEA">
        <w:tc>
          <w:tcPr>
            <w:tcW w:w="5813" w:type="dxa"/>
          </w:tcPr>
          <w:p w:rsidR="00737AEA" w:rsidRDefault="00737AEA" w:rsidP="00C44573">
            <w:pPr>
              <w:pStyle w:val="NoSpacing"/>
            </w:pPr>
            <w:r>
              <w:t xml:space="preserve">More than five years  </w:t>
            </w:r>
          </w:p>
        </w:tc>
        <w:tc>
          <w:tcPr>
            <w:tcW w:w="2409" w:type="dxa"/>
          </w:tcPr>
          <w:p w:rsidR="00737AEA" w:rsidRDefault="0056181B" w:rsidP="00C44573">
            <w:pPr>
              <w:pStyle w:val="NoSpacing"/>
              <w:jc w:val="right"/>
            </w:pPr>
            <w:r>
              <w:t>-</w:t>
            </w:r>
          </w:p>
        </w:tc>
        <w:tc>
          <w:tcPr>
            <w:tcW w:w="2410" w:type="dxa"/>
          </w:tcPr>
          <w:p w:rsidR="00737AEA" w:rsidRDefault="004E3B4A" w:rsidP="00C44573">
            <w:pPr>
              <w:pStyle w:val="NoSpacing"/>
              <w:jc w:val="right"/>
            </w:pPr>
            <w:r>
              <w:t>-</w:t>
            </w:r>
          </w:p>
        </w:tc>
      </w:tr>
      <w:tr w:rsidR="00737AEA" w:rsidTr="00737AEA">
        <w:tc>
          <w:tcPr>
            <w:tcW w:w="5813" w:type="dxa"/>
          </w:tcPr>
          <w:p w:rsidR="00737AEA" w:rsidRDefault="00737AEA" w:rsidP="00C44573">
            <w:pPr>
              <w:pStyle w:val="NoSpacing"/>
            </w:pPr>
            <w:r>
              <w:t>Total undiscounted lease liabilities as at 31 December</w:t>
            </w:r>
          </w:p>
        </w:tc>
        <w:tc>
          <w:tcPr>
            <w:tcW w:w="2409" w:type="dxa"/>
          </w:tcPr>
          <w:p w:rsidR="00737AEA" w:rsidRDefault="0056181B" w:rsidP="00C44573">
            <w:pPr>
              <w:pStyle w:val="NoSpacing"/>
              <w:jc w:val="right"/>
            </w:pPr>
            <w:r>
              <w:t>1,631</w:t>
            </w:r>
          </w:p>
        </w:tc>
        <w:tc>
          <w:tcPr>
            <w:tcW w:w="2410" w:type="dxa"/>
          </w:tcPr>
          <w:p w:rsidR="00737AEA" w:rsidRDefault="004E3B4A" w:rsidP="00C44573">
            <w:pPr>
              <w:pStyle w:val="NoSpacing"/>
              <w:jc w:val="right"/>
            </w:pPr>
            <w:r>
              <w:t>1,631</w:t>
            </w:r>
          </w:p>
        </w:tc>
      </w:tr>
    </w:tbl>
    <w:p w:rsidR="00AC3493" w:rsidRDefault="00AC3493" w:rsidP="005942B8">
      <w:pPr>
        <w:pStyle w:val="NoSpacing"/>
      </w:pPr>
    </w:p>
    <w:tbl>
      <w:tblPr>
        <w:tblStyle w:val="TableGrid"/>
        <w:tblW w:w="10632" w:type="dxa"/>
        <w:tblInd w:w="-856" w:type="dxa"/>
        <w:tblLook w:val="04A0" w:firstRow="1" w:lastRow="0" w:firstColumn="1" w:lastColumn="0" w:noHBand="0" w:noVBand="1"/>
      </w:tblPr>
      <w:tblGrid>
        <w:gridCol w:w="5813"/>
        <w:gridCol w:w="2409"/>
        <w:gridCol w:w="2410"/>
      </w:tblGrid>
      <w:tr w:rsidR="004E3B4A" w:rsidTr="00C44573">
        <w:tc>
          <w:tcPr>
            <w:tcW w:w="10632" w:type="dxa"/>
            <w:gridSpan w:val="3"/>
          </w:tcPr>
          <w:p w:rsidR="004E3B4A" w:rsidRDefault="004E3B4A" w:rsidP="004E3B4A">
            <w:pPr>
              <w:pStyle w:val="NoSpacing"/>
            </w:pPr>
            <w:r>
              <w:t xml:space="preserve">Lease liabilities included in the Balance Sheet at 31 December </w:t>
            </w:r>
          </w:p>
        </w:tc>
      </w:tr>
      <w:tr w:rsidR="004E3B4A" w:rsidTr="00737AEA">
        <w:tc>
          <w:tcPr>
            <w:tcW w:w="5813" w:type="dxa"/>
          </w:tcPr>
          <w:p w:rsidR="004E3B4A" w:rsidRDefault="004E3B4A" w:rsidP="004E3B4A">
            <w:pPr>
              <w:pStyle w:val="NoSpacing"/>
            </w:pPr>
            <w:r>
              <w:t xml:space="preserve">Current </w:t>
            </w:r>
          </w:p>
        </w:tc>
        <w:tc>
          <w:tcPr>
            <w:tcW w:w="2409" w:type="dxa"/>
          </w:tcPr>
          <w:p w:rsidR="004E3B4A" w:rsidRDefault="004E3B4A" w:rsidP="004E3B4A">
            <w:pPr>
              <w:pStyle w:val="NoSpacing"/>
              <w:jc w:val="right"/>
            </w:pPr>
            <w:r>
              <w:t>968</w:t>
            </w:r>
          </w:p>
        </w:tc>
        <w:tc>
          <w:tcPr>
            <w:tcW w:w="2410" w:type="dxa"/>
          </w:tcPr>
          <w:p w:rsidR="004E3B4A" w:rsidRDefault="004E3B4A" w:rsidP="004E3B4A">
            <w:pPr>
              <w:pStyle w:val="NoSpacing"/>
              <w:jc w:val="right"/>
            </w:pPr>
            <w:r>
              <w:t>968</w:t>
            </w:r>
          </w:p>
        </w:tc>
      </w:tr>
      <w:tr w:rsidR="004E3B4A" w:rsidTr="00737AEA">
        <w:tc>
          <w:tcPr>
            <w:tcW w:w="5813" w:type="dxa"/>
          </w:tcPr>
          <w:p w:rsidR="004E3B4A" w:rsidRDefault="004E3B4A" w:rsidP="004E3B4A">
            <w:pPr>
              <w:pStyle w:val="NoSpacing"/>
            </w:pPr>
            <w:r>
              <w:t>Non-current</w:t>
            </w:r>
          </w:p>
        </w:tc>
        <w:tc>
          <w:tcPr>
            <w:tcW w:w="2409" w:type="dxa"/>
          </w:tcPr>
          <w:p w:rsidR="004E3B4A" w:rsidRDefault="004E3B4A" w:rsidP="004E3B4A">
            <w:pPr>
              <w:pStyle w:val="NoSpacing"/>
              <w:jc w:val="right"/>
            </w:pPr>
            <w:r>
              <w:t>663</w:t>
            </w:r>
          </w:p>
        </w:tc>
        <w:tc>
          <w:tcPr>
            <w:tcW w:w="2410" w:type="dxa"/>
          </w:tcPr>
          <w:p w:rsidR="004E3B4A" w:rsidRDefault="004E3B4A" w:rsidP="004E3B4A">
            <w:pPr>
              <w:pStyle w:val="NoSpacing"/>
              <w:jc w:val="right"/>
            </w:pPr>
            <w:r>
              <w:t>663</w:t>
            </w:r>
          </w:p>
        </w:tc>
      </w:tr>
      <w:tr w:rsidR="004E3B4A" w:rsidTr="00737AEA">
        <w:tc>
          <w:tcPr>
            <w:tcW w:w="5813" w:type="dxa"/>
          </w:tcPr>
          <w:p w:rsidR="004E3B4A" w:rsidRDefault="004E3B4A" w:rsidP="004E3B4A">
            <w:pPr>
              <w:pStyle w:val="NoSpacing"/>
            </w:pPr>
            <w:r>
              <w:t xml:space="preserve">Total lease liabilities </w:t>
            </w:r>
          </w:p>
        </w:tc>
        <w:tc>
          <w:tcPr>
            <w:tcW w:w="2409" w:type="dxa"/>
          </w:tcPr>
          <w:p w:rsidR="004E3B4A" w:rsidRDefault="004E3B4A" w:rsidP="004E3B4A">
            <w:pPr>
              <w:pStyle w:val="NoSpacing"/>
              <w:jc w:val="right"/>
            </w:pPr>
            <w:r>
              <w:t>1,631</w:t>
            </w:r>
          </w:p>
        </w:tc>
        <w:tc>
          <w:tcPr>
            <w:tcW w:w="2410" w:type="dxa"/>
          </w:tcPr>
          <w:p w:rsidR="004E3B4A" w:rsidRDefault="004E3B4A" w:rsidP="004E3B4A">
            <w:pPr>
              <w:pStyle w:val="NoSpacing"/>
              <w:jc w:val="right"/>
            </w:pPr>
            <w:r>
              <w:t>1,631</w:t>
            </w:r>
          </w:p>
        </w:tc>
      </w:tr>
    </w:tbl>
    <w:p w:rsidR="00AC3493" w:rsidRDefault="00AC3493" w:rsidP="005942B8">
      <w:pPr>
        <w:pStyle w:val="NoSpacing"/>
      </w:pPr>
    </w:p>
    <w:p w:rsidR="00AC3493" w:rsidRDefault="004E3B4A" w:rsidP="005942B8">
      <w:pPr>
        <w:pStyle w:val="NoSpacing"/>
      </w:pPr>
      <w:r>
        <w:t>&lt;page 65&gt;</w:t>
      </w:r>
    </w:p>
    <w:p w:rsidR="004E3B4A" w:rsidRDefault="004E3B4A" w:rsidP="005942B8">
      <w:pPr>
        <w:pStyle w:val="NoSpacing"/>
      </w:pPr>
    </w:p>
    <w:p w:rsidR="004E3B4A" w:rsidRDefault="004E3B4A" w:rsidP="005942B8">
      <w:pPr>
        <w:pStyle w:val="NoSpacing"/>
      </w:pPr>
    </w:p>
    <w:p w:rsidR="004E3B4A" w:rsidRDefault="004E3B4A" w:rsidP="00406A46">
      <w:pPr>
        <w:pStyle w:val="Heading2"/>
      </w:pPr>
      <w:r>
        <w:t>3. How we expended our funds (continued)</w:t>
      </w:r>
    </w:p>
    <w:p w:rsidR="00406A46" w:rsidRDefault="00406A46" w:rsidP="00406A46">
      <w:pPr>
        <w:pStyle w:val="NoSpacing"/>
      </w:pPr>
    </w:p>
    <w:p w:rsidR="004E3B4A" w:rsidRDefault="004E3B4A" w:rsidP="00406A46">
      <w:pPr>
        <w:pStyle w:val="Heading3"/>
      </w:pPr>
      <w:r>
        <w:lastRenderedPageBreak/>
        <w:t>3.4 Leases (continued)</w:t>
      </w:r>
    </w:p>
    <w:p w:rsidR="00AC3493" w:rsidRDefault="00AC3493" w:rsidP="005942B8">
      <w:pPr>
        <w:pStyle w:val="NoSpacing"/>
      </w:pPr>
    </w:p>
    <w:p w:rsidR="004E3B4A" w:rsidRDefault="004E3B4A" w:rsidP="00406A46">
      <w:pPr>
        <w:pStyle w:val="Heading4"/>
      </w:pPr>
      <w:r>
        <w:t xml:space="preserve">Short –term and low value leases </w:t>
      </w:r>
    </w:p>
    <w:p w:rsidR="007A775A" w:rsidRPr="007A775A" w:rsidRDefault="007A775A" w:rsidP="007A775A">
      <w:pPr>
        <w:autoSpaceDE w:val="0"/>
        <w:autoSpaceDN w:val="0"/>
        <w:adjustRightInd w:val="0"/>
        <w:spacing w:after="0" w:line="240" w:lineRule="auto"/>
        <w:rPr>
          <w:rFonts w:cstheme="minorHAnsi"/>
          <w:color w:val="231F20"/>
        </w:rPr>
      </w:pPr>
      <w:r w:rsidRPr="007A775A">
        <w:rPr>
          <w:rFonts w:cstheme="minorHAnsi"/>
          <w:color w:val="231F20"/>
        </w:rPr>
        <w:t>Chisholm Group has elected not to</w:t>
      </w:r>
      <w:r>
        <w:rPr>
          <w:rFonts w:cstheme="minorHAnsi"/>
          <w:color w:val="231F20"/>
        </w:rPr>
        <w:t xml:space="preserve"> </w:t>
      </w:r>
      <w:r w:rsidRPr="007A775A">
        <w:rPr>
          <w:rFonts w:cstheme="minorHAnsi"/>
          <w:color w:val="231F20"/>
        </w:rPr>
        <w:t>recognise right of use assets and</w:t>
      </w:r>
      <w:r>
        <w:rPr>
          <w:rFonts w:cstheme="minorHAnsi"/>
          <w:color w:val="231F20"/>
        </w:rPr>
        <w:t xml:space="preserve"> </w:t>
      </w:r>
      <w:r w:rsidRPr="007A775A">
        <w:rPr>
          <w:rFonts w:cstheme="minorHAnsi"/>
          <w:color w:val="231F20"/>
        </w:rPr>
        <w:t>lease liabilities for short-term leases of</w:t>
      </w:r>
      <w:r>
        <w:rPr>
          <w:rFonts w:cstheme="minorHAnsi"/>
          <w:color w:val="231F20"/>
        </w:rPr>
        <w:t xml:space="preserve"> </w:t>
      </w:r>
      <w:r w:rsidRPr="007A775A">
        <w:rPr>
          <w:rFonts w:cstheme="minorHAnsi"/>
          <w:color w:val="231F20"/>
        </w:rPr>
        <w:t>machinery that have a lease term of 12</w:t>
      </w:r>
      <w:r>
        <w:rPr>
          <w:rFonts w:cstheme="minorHAnsi"/>
          <w:color w:val="231F20"/>
        </w:rPr>
        <w:t xml:space="preserve"> </w:t>
      </w:r>
      <w:r w:rsidRPr="007A775A">
        <w:rPr>
          <w:rFonts w:cstheme="minorHAnsi"/>
          <w:color w:val="231F20"/>
        </w:rPr>
        <w:t>months or less, and leases of low value</w:t>
      </w:r>
      <w:r>
        <w:rPr>
          <w:rFonts w:cstheme="minorHAnsi"/>
          <w:color w:val="231F20"/>
        </w:rPr>
        <w:t xml:space="preserve"> </w:t>
      </w:r>
      <w:r w:rsidRPr="007A775A">
        <w:rPr>
          <w:rFonts w:cstheme="minorHAnsi"/>
          <w:color w:val="231F20"/>
        </w:rPr>
        <w:t>assets (individual assets worth less</w:t>
      </w:r>
      <w:r>
        <w:rPr>
          <w:rFonts w:cstheme="minorHAnsi"/>
          <w:color w:val="231F20"/>
        </w:rPr>
        <w:t xml:space="preserve"> </w:t>
      </w:r>
      <w:r w:rsidRPr="007A775A">
        <w:rPr>
          <w:rFonts w:cstheme="minorHAnsi"/>
          <w:color w:val="231F20"/>
        </w:rPr>
        <w:t>than $10,000), including IT equipment.</w:t>
      </w:r>
      <w:r>
        <w:rPr>
          <w:rFonts w:cstheme="minorHAnsi"/>
          <w:color w:val="231F20"/>
        </w:rPr>
        <w:t xml:space="preserve"> </w:t>
      </w:r>
      <w:r w:rsidRPr="007A775A">
        <w:rPr>
          <w:rFonts w:cstheme="minorHAnsi"/>
          <w:color w:val="231F20"/>
        </w:rPr>
        <w:t>Chisholm Group recognises the lease</w:t>
      </w:r>
      <w:r>
        <w:rPr>
          <w:rFonts w:cstheme="minorHAnsi"/>
          <w:color w:val="231F20"/>
        </w:rPr>
        <w:t xml:space="preserve"> </w:t>
      </w:r>
      <w:r w:rsidRPr="007A775A">
        <w:rPr>
          <w:rFonts w:cstheme="minorHAnsi"/>
          <w:color w:val="231F20"/>
        </w:rPr>
        <w:t>payments associated with these leases</w:t>
      </w:r>
      <w:r>
        <w:rPr>
          <w:rFonts w:cstheme="minorHAnsi"/>
          <w:color w:val="231F20"/>
        </w:rPr>
        <w:t xml:space="preserve"> </w:t>
      </w:r>
      <w:r w:rsidRPr="007A775A">
        <w:rPr>
          <w:rFonts w:cstheme="minorHAnsi"/>
          <w:color w:val="231F20"/>
        </w:rPr>
        <w:t>as an expense on a straight-line basis</w:t>
      </w:r>
      <w:r>
        <w:rPr>
          <w:rFonts w:cstheme="minorHAnsi"/>
          <w:color w:val="231F20"/>
        </w:rPr>
        <w:t xml:space="preserve"> </w:t>
      </w:r>
      <w:r w:rsidRPr="007A775A">
        <w:rPr>
          <w:rFonts w:cstheme="minorHAnsi"/>
          <w:color w:val="231F20"/>
        </w:rPr>
        <w:t>over the lease term.</w:t>
      </w:r>
    </w:p>
    <w:p w:rsidR="007A775A" w:rsidRDefault="007A775A" w:rsidP="007A775A">
      <w:pPr>
        <w:autoSpaceDE w:val="0"/>
        <w:autoSpaceDN w:val="0"/>
        <w:adjustRightInd w:val="0"/>
        <w:spacing w:after="0" w:line="240" w:lineRule="auto"/>
        <w:rPr>
          <w:rFonts w:cstheme="minorHAnsi"/>
          <w:color w:val="231F20"/>
        </w:rPr>
      </w:pPr>
    </w:p>
    <w:p w:rsidR="007A775A" w:rsidRPr="007A775A" w:rsidRDefault="007A775A" w:rsidP="007A775A">
      <w:pPr>
        <w:autoSpaceDE w:val="0"/>
        <w:autoSpaceDN w:val="0"/>
        <w:adjustRightInd w:val="0"/>
        <w:spacing w:after="0" w:line="240" w:lineRule="auto"/>
        <w:rPr>
          <w:rFonts w:cstheme="minorHAnsi"/>
          <w:color w:val="231F20"/>
        </w:rPr>
      </w:pPr>
      <w:r w:rsidRPr="007A775A">
        <w:rPr>
          <w:rFonts w:cstheme="minorHAnsi"/>
          <w:color w:val="231F20"/>
        </w:rPr>
        <w:t>(i)Leases classified as operating leases</w:t>
      </w:r>
      <w:r>
        <w:rPr>
          <w:rFonts w:cstheme="minorHAnsi"/>
          <w:color w:val="231F20"/>
        </w:rPr>
        <w:t xml:space="preserve"> </w:t>
      </w:r>
      <w:r w:rsidRPr="007A775A">
        <w:rPr>
          <w:rFonts w:cstheme="minorHAnsi"/>
          <w:color w:val="231F20"/>
        </w:rPr>
        <w:t>under AASB 117</w:t>
      </w:r>
    </w:p>
    <w:p w:rsidR="007A775A" w:rsidRDefault="007A775A" w:rsidP="007A775A">
      <w:pPr>
        <w:autoSpaceDE w:val="0"/>
        <w:autoSpaceDN w:val="0"/>
        <w:adjustRightInd w:val="0"/>
        <w:spacing w:after="0" w:line="240" w:lineRule="auto"/>
        <w:rPr>
          <w:rFonts w:cstheme="minorHAnsi"/>
          <w:color w:val="231F20"/>
        </w:rPr>
      </w:pPr>
    </w:p>
    <w:p w:rsidR="007A775A" w:rsidRPr="007A775A" w:rsidRDefault="007A775A" w:rsidP="007A775A">
      <w:pPr>
        <w:autoSpaceDE w:val="0"/>
        <w:autoSpaceDN w:val="0"/>
        <w:adjustRightInd w:val="0"/>
        <w:spacing w:after="0" w:line="240" w:lineRule="auto"/>
        <w:rPr>
          <w:rFonts w:cstheme="minorHAnsi"/>
          <w:color w:val="231F20"/>
        </w:rPr>
      </w:pPr>
      <w:r w:rsidRPr="007A775A">
        <w:rPr>
          <w:rFonts w:cstheme="minorHAnsi"/>
          <w:color w:val="231F20"/>
        </w:rPr>
        <w:t>At transition, lease liabilities were</w:t>
      </w:r>
      <w:r>
        <w:rPr>
          <w:rFonts w:cstheme="minorHAnsi"/>
          <w:color w:val="231F20"/>
        </w:rPr>
        <w:t xml:space="preserve"> </w:t>
      </w:r>
      <w:r w:rsidRPr="007A775A">
        <w:rPr>
          <w:rFonts w:cstheme="minorHAnsi"/>
          <w:color w:val="231F20"/>
        </w:rPr>
        <w:t>measured at the present value of the</w:t>
      </w:r>
      <w:r>
        <w:rPr>
          <w:rFonts w:cstheme="minorHAnsi"/>
          <w:color w:val="231F20"/>
        </w:rPr>
        <w:t xml:space="preserve"> </w:t>
      </w:r>
      <w:r w:rsidRPr="007A775A">
        <w:rPr>
          <w:rFonts w:cstheme="minorHAnsi"/>
          <w:color w:val="231F20"/>
        </w:rPr>
        <w:t>remaining lease payments, discounted at</w:t>
      </w:r>
      <w:r>
        <w:rPr>
          <w:rFonts w:cstheme="minorHAnsi"/>
          <w:color w:val="231F20"/>
        </w:rPr>
        <w:t xml:space="preserve"> </w:t>
      </w:r>
      <w:r w:rsidRPr="007A775A">
        <w:rPr>
          <w:rFonts w:cstheme="minorHAnsi"/>
          <w:color w:val="231F20"/>
        </w:rPr>
        <w:t>Chisholm Group’s incremental borrowing</w:t>
      </w:r>
      <w:r>
        <w:rPr>
          <w:rFonts w:cstheme="minorHAnsi"/>
          <w:color w:val="231F20"/>
        </w:rPr>
        <w:t xml:space="preserve"> </w:t>
      </w:r>
      <w:r w:rsidRPr="007A775A">
        <w:rPr>
          <w:rFonts w:cstheme="minorHAnsi"/>
          <w:color w:val="231F20"/>
        </w:rPr>
        <w:t>rate as at 1 January 2019. Right of use</w:t>
      </w:r>
      <w:r>
        <w:rPr>
          <w:rFonts w:cstheme="minorHAnsi"/>
          <w:color w:val="231F20"/>
        </w:rPr>
        <w:t xml:space="preserve"> </w:t>
      </w:r>
      <w:r w:rsidRPr="007A775A">
        <w:rPr>
          <w:rFonts w:cstheme="minorHAnsi"/>
          <w:color w:val="231F20"/>
        </w:rPr>
        <w:t>assets are measured at either:</w:t>
      </w:r>
    </w:p>
    <w:p w:rsidR="007A775A" w:rsidRPr="007A775A" w:rsidRDefault="007A775A" w:rsidP="00925530">
      <w:pPr>
        <w:pStyle w:val="ListParagraph"/>
        <w:numPr>
          <w:ilvl w:val="0"/>
          <w:numId w:val="48"/>
        </w:numPr>
        <w:autoSpaceDE w:val="0"/>
        <w:autoSpaceDN w:val="0"/>
        <w:adjustRightInd w:val="0"/>
        <w:spacing w:after="0" w:line="240" w:lineRule="auto"/>
        <w:rPr>
          <w:rFonts w:cstheme="minorHAnsi"/>
          <w:color w:val="231F20"/>
        </w:rPr>
      </w:pPr>
      <w:r w:rsidRPr="007A775A">
        <w:rPr>
          <w:rFonts w:cstheme="minorHAnsi"/>
          <w:color w:val="231F20"/>
        </w:rPr>
        <w:t>their carrying amount as if AASB</w:t>
      </w:r>
      <w:r>
        <w:rPr>
          <w:rFonts w:cstheme="minorHAnsi"/>
          <w:color w:val="231F20"/>
        </w:rPr>
        <w:t xml:space="preserve"> </w:t>
      </w:r>
      <w:r w:rsidRPr="007A775A">
        <w:rPr>
          <w:rFonts w:cstheme="minorHAnsi"/>
          <w:color w:val="231F20"/>
        </w:rPr>
        <w:t>16 had been applied since the commencement date, discounted using the lessee’s incremental borrowing rate at the date of initial application (Chisholm Group applied this approach to its largest property leases); or</w:t>
      </w:r>
    </w:p>
    <w:p w:rsidR="007A775A" w:rsidRPr="007A775A" w:rsidRDefault="007A775A" w:rsidP="00925530">
      <w:pPr>
        <w:pStyle w:val="ListParagraph"/>
        <w:numPr>
          <w:ilvl w:val="0"/>
          <w:numId w:val="48"/>
        </w:numPr>
        <w:autoSpaceDE w:val="0"/>
        <w:autoSpaceDN w:val="0"/>
        <w:adjustRightInd w:val="0"/>
        <w:spacing w:after="0" w:line="240" w:lineRule="auto"/>
        <w:rPr>
          <w:rFonts w:cstheme="minorHAnsi"/>
          <w:color w:val="231F20"/>
        </w:rPr>
      </w:pPr>
      <w:r w:rsidRPr="007A775A">
        <w:rPr>
          <w:rFonts w:cstheme="minorHAnsi"/>
          <w:color w:val="231F20"/>
        </w:rPr>
        <w:t>an amount equal to the lease liability,</w:t>
      </w:r>
      <w:r>
        <w:rPr>
          <w:rFonts w:cstheme="minorHAnsi"/>
          <w:color w:val="231F20"/>
        </w:rPr>
        <w:t xml:space="preserve"> </w:t>
      </w:r>
      <w:r w:rsidRPr="007A775A">
        <w:rPr>
          <w:rFonts w:cstheme="minorHAnsi"/>
          <w:color w:val="231F20"/>
        </w:rPr>
        <w:t>adjusted by the amount of any prepaid or accrued lease payments (Chisholm Group applied this approach to all other leases).</w:t>
      </w:r>
    </w:p>
    <w:p w:rsidR="007A775A" w:rsidRDefault="007A775A" w:rsidP="007A775A">
      <w:pPr>
        <w:autoSpaceDE w:val="0"/>
        <w:autoSpaceDN w:val="0"/>
        <w:adjustRightInd w:val="0"/>
        <w:spacing w:after="0" w:line="240" w:lineRule="auto"/>
        <w:rPr>
          <w:rFonts w:cstheme="minorHAnsi"/>
          <w:color w:val="231F20"/>
        </w:rPr>
      </w:pPr>
    </w:p>
    <w:p w:rsidR="007A775A" w:rsidRPr="007A775A" w:rsidRDefault="007A775A" w:rsidP="007A775A">
      <w:pPr>
        <w:autoSpaceDE w:val="0"/>
        <w:autoSpaceDN w:val="0"/>
        <w:adjustRightInd w:val="0"/>
        <w:spacing w:after="0" w:line="240" w:lineRule="auto"/>
        <w:rPr>
          <w:rFonts w:cstheme="minorHAnsi"/>
          <w:color w:val="231F20"/>
        </w:rPr>
      </w:pPr>
      <w:r w:rsidRPr="007A775A">
        <w:rPr>
          <w:rFonts w:cstheme="minorHAnsi"/>
          <w:color w:val="231F20"/>
        </w:rPr>
        <w:t>Chisholm Group used the following</w:t>
      </w:r>
      <w:r>
        <w:rPr>
          <w:rFonts w:cstheme="minorHAnsi"/>
          <w:color w:val="231F20"/>
        </w:rPr>
        <w:t xml:space="preserve"> </w:t>
      </w:r>
      <w:r w:rsidRPr="007A775A">
        <w:rPr>
          <w:rFonts w:cstheme="minorHAnsi"/>
          <w:color w:val="231F20"/>
        </w:rPr>
        <w:t>practical expedients when applying</w:t>
      </w:r>
      <w:r>
        <w:rPr>
          <w:rFonts w:cstheme="minorHAnsi"/>
          <w:color w:val="231F20"/>
        </w:rPr>
        <w:t xml:space="preserve"> </w:t>
      </w:r>
      <w:r w:rsidRPr="007A775A">
        <w:rPr>
          <w:rFonts w:cstheme="minorHAnsi"/>
          <w:color w:val="231F20"/>
        </w:rPr>
        <w:t>AASB 16 to leases previously classified</w:t>
      </w:r>
      <w:r>
        <w:rPr>
          <w:rFonts w:cstheme="minorHAnsi"/>
          <w:color w:val="231F20"/>
        </w:rPr>
        <w:t xml:space="preserve"> </w:t>
      </w:r>
      <w:r w:rsidRPr="007A775A">
        <w:rPr>
          <w:rFonts w:cstheme="minorHAnsi"/>
          <w:color w:val="231F20"/>
        </w:rPr>
        <w:t>as operating leases under AASB 117:</w:t>
      </w:r>
    </w:p>
    <w:p w:rsidR="007A775A" w:rsidRPr="007A775A" w:rsidRDefault="007A775A" w:rsidP="00925530">
      <w:pPr>
        <w:pStyle w:val="ListParagraph"/>
        <w:numPr>
          <w:ilvl w:val="0"/>
          <w:numId w:val="48"/>
        </w:numPr>
        <w:autoSpaceDE w:val="0"/>
        <w:autoSpaceDN w:val="0"/>
        <w:adjustRightInd w:val="0"/>
        <w:spacing w:after="0" w:line="240" w:lineRule="auto"/>
        <w:rPr>
          <w:rFonts w:cstheme="minorHAnsi"/>
          <w:color w:val="231F20"/>
        </w:rPr>
      </w:pPr>
      <w:r w:rsidRPr="007A775A">
        <w:rPr>
          <w:rFonts w:cstheme="minorHAnsi"/>
          <w:color w:val="231F20"/>
        </w:rPr>
        <w:t>Applied a single discount rate to</w:t>
      </w:r>
      <w:r>
        <w:rPr>
          <w:rFonts w:cstheme="minorHAnsi"/>
          <w:color w:val="231F20"/>
        </w:rPr>
        <w:t xml:space="preserve"> </w:t>
      </w:r>
      <w:r w:rsidRPr="007A775A">
        <w:rPr>
          <w:rFonts w:cstheme="minorHAnsi"/>
          <w:color w:val="231F20"/>
        </w:rPr>
        <w:t>a portfolio of leases with similar characteristics.</w:t>
      </w:r>
    </w:p>
    <w:p w:rsidR="007A775A" w:rsidRPr="007A775A" w:rsidRDefault="007A775A" w:rsidP="00925530">
      <w:pPr>
        <w:pStyle w:val="ListParagraph"/>
        <w:numPr>
          <w:ilvl w:val="0"/>
          <w:numId w:val="48"/>
        </w:numPr>
        <w:autoSpaceDE w:val="0"/>
        <w:autoSpaceDN w:val="0"/>
        <w:adjustRightInd w:val="0"/>
        <w:spacing w:after="0" w:line="240" w:lineRule="auto"/>
        <w:rPr>
          <w:rFonts w:cstheme="minorHAnsi"/>
          <w:color w:val="231F20"/>
        </w:rPr>
      </w:pPr>
      <w:r w:rsidRPr="007A775A">
        <w:rPr>
          <w:rFonts w:cstheme="minorHAnsi"/>
          <w:color w:val="231F20"/>
        </w:rPr>
        <w:t>Adjusted the right of use assets by</w:t>
      </w:r>
      <w:r>
        <w:rPr>
          <w:rFonts w:cstheme="minorHAnsi"/>
          <w:color w:val="231F20"/>
        </w:rPr>
        <w:t xml:space="preserve"> </w:t>
      </w:r>
      <w:r w:rsidRPr="007A775A">
        <w:rPr>
          <w:rFonts w:cstheme="minorHAnsi"/>
          <w:color w:val="231F20"/>
        </w:rPr>
        <w:t>the amount of AASB 137 onerous contract provision immediately before the date of initial application, as an alternative to an impairment review.</w:t>
      </w:r>
    </w:p>
    <w:p w:rsidR="007A775A" w:rsidRPr="007A775A" w:rsidRDefault="007A775A" w:rsidP="00925530">
      <w:pPr>
        <w:pStyle w:val="ListParagraph"/>
        <w:numPr>
          <w:ilvl w:val="0"/>
          <w:numId w:val="48"/>
        </w:numPr>
        <w:autoSpaceDE w:val="0"/>
        <w:autoSpaceDN w:val="0"/>
        <w:adjustRightInd w:val="0"/>
        <w:spacing w:after="0" w:line="240" w:lineRule="auto"/>
        <w:rPr>
          <w:rFonts w:cstheme="minorHAnsi"/>
          <w:color w:val="231F20"/>
        </w:rPr>
      </w:pPr>
      <w:r w:rsidRPr="007A775A">
        <w:rPr>
          <w:rFonts w:cstheme="minorHAnsi"/>
          <w:color w:val="231F20"/>
        </w:rPr>
        <w:t>Applied the exemption not to</w:t>
      </w:r>
      <w:r>
        <w:rPr>
          <w:rFonts w:cstheme="minorHAnsi"/>
          <w:color w:val="231F20"/>
        </w:rPr>
        <w:t xml:space="preserve"> </w:t>
      </w:r>
      <w:r w:rsidRPr="007A775A">
        <w:rPr>
          <w:rFonts w:cstheme="minorHAnsi"/>
          <w:color w:val="231F20"/>
        </w:rPr>
        <w:t>recognise right of use assets and liabilities for leases with terms of less than 12 months.</w:t>
      </w:r>
    </w:p>
    <w:p w:rsidR="007A775A" w:rsidRPr="007A775A" w:rsidRDefault="007A775A" w:rsidP="00925530">
      <w:pPr>
        <w:pStyle w:val="ListParagraph"/>
        <w:numPr>
          <w:ilvl w:val="0"/>
          <w:numId w:val="48"/>
        </w:numPr>
        <w:autoSpaceDE w:val="0"/>
        <w:autoSpaceDN w:val="0"/>
        <w:adjustRightInd w:val="0"/>
        <w:spacing w:after="0" w:line="240" w:lineRule="auto"/>
        <w:rPr>
          <w:rFonts w:cstheme="minorHAnsi"/>
          <w:color w:val="231F20"/>
        </w:rPr>
      </w:pPr>
      <w:r w:rsidRPr="007A775A">
        <w:rPr>
          <w:rFonts w:cstheme="minorHAnsi"/>
          <w:color w:val="231F20"/>
        </w:rPr>
        <w:t>Excluded initial direct costs from</w:t>
      </w:r>
      <w:r>
        <w:rPr>
          <w:rFonts w:cstheme="minorHAnsi"/>
          <w:color w:val="231F20"/>
        </w:rPr>
        <w:t xml:space="preserve"> </w:t>
      </w:r>
      <w:r w:rsidRPr="007A775A">
        <w:rPr>
          <w:rFonts w:cstheme="minorHAnsi"/>
          <w:color w:val="231F20"/>
        </w:rPr>
        <w:t>measuring the right of use asset at the date of initial application.</w:t>
      </w:r>
    </w:p>
    <w:p w:rsidR="007A775A" w:rsidRPr="007A775A" w:rsidRDefault="007A775A" w:rsidP="00925530">
      <w:pPr>
        <w:pStyle w:val="ListParagraph"/>
        <w:numPr>
          <w:ilvl w:val="0"/>
          <w:numId w:val="48"/>
        </w:numPr>
        <w:autoSpaceDE w:val="0"/>
        <w:autoSpaceDN w:val="0"/>
        <w:adjustRightInd w:val="0"/>
        <w:spacing w:after="0" w:line="240" w:lineRule="auto"/>
        <w:rPr>
          <w:rFonts w:cstheme="minorHAnsi"/>
          <w:color w:val="231F20"/>
        </w:rPr>
      </w:pPr>
      <w:r w:rsidRPr="007A775A">
        <w:rPr>
          <w:rFonts w:cstheme="minorHAnsi"/>
          <w:color w:val="231F20"/>
        </w:rPr>
        <w:t>Used hindsight when determining</w:t>
      </w:r>
      <w:r>
        <w:rPr>
          <w:rFonts w:cstheme="minorHAnsi"/>
          <w:color w:val="231F20"/>
        </w:rPr>
        <w:t xml:space="preserve"> </w:t>
      </w:r>
      <w:r w:rsidRPr="007A775A">
        <w:rPr>
          <w:rFonts w:cstheme="minorHAnsi"/>
          <w:color w:val="231F20"/>
        </w:rPr>
        <w:t>the lease term if the contract contained options to extend or terminate the lease.</w:t>
      </w:r>
    </w:p>
    <w:p w:rsidR="007A775A" w:rsidRDefault="007A775A" w:rsidP="007A775A">
      <w:pPr>
        <w:autoSpaceDE w:val="0"/>
        <w:autoSpaceDN w:val="0"/>
        <w:adjustRightInd w:val="0"/>
        <w:spacing w:after="0" w:line="240" w:lineRule="auto"/>
        <w:rPr>
          <w:rFonts w:cstheme="minorHAnsi"/>
          <w:color w:val="231F20"/>
        </w:rPr>
      </w:pPr>
    </w:p>
    <w:p w:rsidR="007A775A" w:rsidRPr="007A775A" w:rsidRDefault="007A775A" w:rsidP="007A775A">
      <w:pPr>
        <w:autoSpaceDE w:val="0"/>
        <w:autoSpaceDN w:val="0"/>
        <w:adjustRightInd w:val="0"/>
        <w:spacing w:after="0" w:line="240" w:lineRule="auto"/>
        <w:rPr>
          <w:rFonts w:cstheme="minorHAnsi"/>
          <w:color w:val="231F20"/>
        </w:rPr>
      </w:pPr>
      <w:r w:rsidRPr="007A775A">
        <w:rPr>
          <w:rFonts w:cstheme="minorHAnsi"/>
          <w:color w:val="231F20"/>
        </w:rPr>
        <w:t>(ii) Leases previously classified as</w:t>
      </w:r>
      <w:r>
        <w:rPr>
          <w:rFonts w:cstheme="minorHAnsi"/>
          <w:color w:val="231F20"/>
        </w:rPr>
        <w:t xml:space="preserve"> </w:t>
      </w:r>
      <w:r w:rsidRPr="007A775A">
        <w:rPr>
          <w:rFonts w:cstheme="minorHAnsi"/>
          <w:color w:val="231F20"/>
        </w:rPr>
        <w:t>finance leases</w:t>
      </w:r>
    </w:p>
    <w:p w:rsidR="007A775A" w:rsidRDefault="007A775A" w:rsidP="007A775A">
      <w:pPr>
        <w:autoSpaceDE w:val="0"/>
        <w:autoSpaceDN w:val="0"/>
        <w:adjustRightInd w:val="0"/>
        <w:spacing w:after="0" w:line="240" w:lineRule="auto"/>
        <w:rPr>
          <w:rFonts w:cstheme="minorHAnsi"/>
          <w:color w:val="231F20"/>
        </w:rPr>
      </w:pPr>
    </w:p>
    <w:p w:rsidR="007A775A" w:rsidRPr="007A775A" w:rsidRDefault="007A775A" w:rsidP="007A775A">
      <w:pPr>
        <w:autoSpaceDE w:val="0"/>
        <w:autoSpaceDN w:val="0"/>
        <w:adjustRightInd w:val="0"/>
        <w:spacing w:after="0" w:line="240" w:lineRule="auto"/>
        <w:rPr>
          <w:rFonts w:cstheme="minorHAnsi"/>
          <w:color w:val="231F20"/>
        </w:rPr>
      </w:pPr>
      <w:r w:rsidRPr="007A775A">
        <w:rPr>
          <w:rFonts w:cstheme="minorHAnsi"/>
          <w:color w:val="231F20"/>
        </w:rPr>
        <w:t>For leases that were classified as</w:t>
      </w:r>
      <w:r>
        <w:rPr>
          <w:rFonts w:cstheme="minorHAnsi"/>
          <w:color w:val="231F20"/>
        </w:rPr>
        <w:t xml:space="preserve"> </w:t>
      </w:r>
      <w:r w:rsidRPr="007A775A">
        <w:rPr>
          <w:rFonts w:cstheme="minorHAnsi"/>
          <w:color w:val="231F20"/>
        </w:rPr>
        <w:t>finance leases under AASB 117, the</w:t>
      </w:r>
      <w:r>
        <w:rPr>
          <w:rFonts w:cstheme="minorHAnsi"/>
          <w:color w:val="231F20"/>
        </w:rPr>
        <w:t xml:space="preserve"> </w:t>
      </w:r>
      <w:r w:rsidRPr="007A775A">
        <w:rPr>
          <w:rFonts w:cstheme="minorHAnsi"/>
          <w:color w:val="231F20"/>
        </w:rPr>
        <w:t>carrying amount of the right of use asset</w:t>
      </w:r>
      <w:r>
        <w:rPr>
          <w:rFonts w:cstheme="minorHAnsi"/>
          <w:color w:val="231F20"/>
        </w:rPr>
        <w:t xml:space="preserve"> </w:t>
      </w:r>
      <w:r w:rsidRPr="007A775A">
        <w:rPr>
          <w:rFonts w:cstheme="minorHAnsi"/>
          <w:color w:val="231F20"/>
        </w:rPr>
        <w:t>and the lease liability at 1 January 2019</w:t>
      </w:r>
      <w:r>
        <w:rPr>
          <w:rFonts w:cstheme="minorHAnsi"/>
          <w:color w:val="231F20"/>
        </w:rPr>
        <w:t xml:space="preserve"> </w:t>
      </w:r>
      <w:r w:rsidRPr="007A775A">
        <w:rPr>
          <w:rFonts w:cstheme="minorHAnsi"/>
          <w:color w:val="231F20"/>
        </w:rPr>
        <w:t>is determined as the carrying amount of</w:t>
      </w:r>
      <w:r>
        <w:rPr>
          <w:rFonts w:cstheme="minorHAnsi"/>
          <w:color w:val="231F20"/>
        </w:rPr>
        <w:t xml:space="preserve"> </w:t>
      </w:r>
      <w:r w:rsidRPr="007A775A">
        <w:rPr>
          <w:rFonts w:cstheme="minorHAnsi"/>
          <w:color w:val="231F20"/>
        </w:rPr>
        <w:t>the lease asset and lease liability under</w:t>
      </w:r>
      <w:r>
        <w:rPr>
          <w:rFonts w:cstheme="minorHAnsi"/>
          <w:color w:val="231F20"/>
        </w:rPr>
        <w:t xml:space="preserve"> </w:t>
      </w:r>
      <w:r w:rsidRPr="007A775A">
        <w:rPr>
          <w:rFonts w:cstheme="minorHAnsi"/>
          <w:color w:val="231F20"/>
        </w:rPr>
        <w:t>AASB 117 immediately before that date.</w:t>
      </w:r>
    </w:p>
    <w:p w:rsidR="007A775A" w:rsidRDefault="007A775A" w:rsidP="007A775A">
      <w:pPr>
        <w:autoSpaceDE w:val="0"/>
        <w:autoSpaceDN w:val="0"/>
        <w:adjustRightInd w:val="0"/>
        <w:spacing w:after="0" w:line="240" w:lineRule="auto"/>
        <w:rPr>
          <w:rFonts w:cstheme="minorHAnsi"/>
          <w:color w:val="231F20"/>
        </w:rPr>
      </w:pPr>
    </w:p>
    <w:p w:rsidR="00AC3493" w:rsidRPr="007A775A" w:rsidRDefault="007A775A" w:rsidP="007A775A">
      <w:pPr>
        <w:autoSpaceDE w:val="0"/>
        <w:autoSpaceDN w:val="0"/>
        <w:adjustRightInd w:val="0"/>
        <w:spacing w:after="0" w:line="240" w:lineRule="auto"/>
        <w:rPr>
          <w:rFonts w:cstheme="minorHAnsi"/>
        </w:rPr>
      </w:pPr>
      <w:r w:rsidRPr="007A775A">
        <w:rPr>
          <w:rFonts w:cstheme="minorHAnsi"/>
          <w:color w:val="231F20"/>
        </w:rPr>
        <w:t>Under AASB 16, Chisholm Group is</w:t>
      </w:r>
      <w:r>
        <w:rPr>
          <w:rFonts w:cstheme="minorHAnsi"/>
          <w:color w:val="231F20"/>
        </w:rPr>
        <w:t xml:space="preserve"> </w:t>
      </w:r>
      <w:r w:rsidRPr="007A775A">
        <w:rPr>
          <w:rFonts w:cstheme="minorHAnsi"/>
          <w:color w:val="231F20"/>
        </w:rPr>
        <w:t>required to assess the classification of a</w:t>
      </w:r>
      <w:r>
        <w:rPr>
          <w:rFonts w:cstheme="minorHAnsi"/>
          <w:color w:val="231F20"/>
        </w:rPr>
        <w:t xml:space="preserve"> </w:t>
      </w:r>
      <w:r w:rsidRPr="007A775A">
        <w:rPr>
          <w:rFonts w:cstheme="minorHAnsi"/>
          <w:color w:val="231F20"/>
        </w:rPr>
        <w:t>sub-lease with reference to the right of</w:t>
      </w:r>
      <w:r>
        <w:rPr>
          <w:rFonts w:cstheme="minorHAnsi"/>
          <w:color w:val="231F20"/>
        </w:rPr>
        <w:t xml:space="preserve"> </w:t>
      </w:r>
      <w:r w:rsidRPr="007A775A">
        <w:rPr>
          <w:rFonts w:cstheme="minorHAnsi"/>
          <w:color w:val="231F20"/>
        </w:rPr>
        <w:t>use asset, not the underlying asset. On</w:t>
      </w:r>
      <w:r>
        <w:rPr>
          <w:rFonts w:cstheme="minorHAnsi"/>
          <w:color w:val="231F20"/>
        </w:rPr>
        <w:t xml:space="preserve"> </w:t>
      </w:r>
      <w:r w:rsidRPr="007A775A">
        <w:rPr>
          <w:rFonts w:cstheme="minorHAnsi"/>
          <w:color w:val="231F20"/>
        </w:rPr>
        <w:t>transition, Chisholm Group reassessed</w:t>
      </w:r>
      <w:r>
        <w:rPr>
          <w:rFonts w:cstheme="minorHAnsi"/>
          <w:color w:val="231F20"/>
        </w:rPr>
        <w:t xml:space="preserve"> </w:t>
      </w:r>
      <w:r w:rsidRPr="007A775A">
        <w:rPr>
          <w:rFonts w:cstheme="minorHAnsi"/>
          <w:color w:val="231F20"/>
        </w:rPr>
        <w:t>the classification of a sub-lease contract</w:t>
      </w:r>
      <w:r>
        <w:rPr>
          <w:rFonts w:cstheme="minorHAnsi"/>
          <w:color w:val="231F20"/>
        </w:rPr>
        <w:t xml:space="preserve"> </w:t>
      </w:r>
      <w:r w:rsidRPr="007A775A">
        <w:rPr>
          <w:rFonts w:cstheme="minorHAnsi"/>
          <w:color w:val="231F20"/>
        </w:rPr>
        <w:t>previously classified as an operating</w:t>
      </w:r>
      <w:r>
        <w:rPr>
          <w:rFonts w:cstheme="minorHAnsi"/>
          <w:color w:val="231F20"/>
        </w:rPr>
        <w:t xml:space="preserve"> </w:t>
      </w:r>
      <w:r w:rsidRPr="007A775A">
        <w:rPr>
          <w:rFonts w:cstheme="minorHAnsi"/>
          <w:color w:val="231F20"/>
        </w:rPr>
        <w:t>lease under AASB 117.</w:t>
      </w:r>
    </w:p>
    <w:p w:rsidR="007A775A" w:rsidRDefault="007A775A" w:rsidP="005942B8">
      <w:pPr>
        <w:pStyle w:val="NoSpacing"/>
      </w:pPr>
    </w:p>
    <w:p w:rsidR="007A775A" w:rsidRDefault="007A775A" w:rsidP="00406A46">
      <w:pPr>
        <w:pStyle w:val="Heading4"/>
      </w:pPr>
      <w:r>
        <w:t xml:space="preserve">Impact of financial statements </w:t>
      </w:r>
    </w:p>
    <w:p w:rsidR="007A775A" w:rsidRPr="007A775A" w:rsidRDefault="007A775A" w:rsidP="007A775A">
      <w:pPr>
        <w:autoSpaceDE w:val="0"/>
        <w:autoSpaceDN w:val="0"/>
        <w:adjustRightInd w:val="0"/>
        <w:spacing w:after="0" w:line="240" w:lineRule="auto"/>
        <w:rPr>
          <w:rFonts w:cstheme="minorHAnsi"/>
          <w:color w:val="231F20"/>
        </w:rPr>
      </w:pPr>
      <w:r w:rsidRPr="007A775A">
        <w:rPr>
          <w:rFonts w:cstheme="minorHAnsi"/>
          <w:color w:val="231F20"/>
        </w:rPr>
        <w:t>On transition to AASB 16, Chisholm</w:t>
      </w:r>
      <w:r>
        <w:rPr>
          <w:rFonts w:cstheme="minorHAnsi"/>
          <w:color w:val="231F20"/>
        </w:rPr>
        <w:t xml:space="preserve"> </w:t>
      </w:r>
      <w:r w:rsidRPr="007A775A">
        <w:rPr>
          <w:rFonts w:cstheme="minorHAnsi"/>
          <w:color w:val="231F20"/>
        </w:rPr>
        <w:t>Group recognised an additional $2.97</w:t>
      </w:r>
      <w:r>
        <w:rPr>
          <w:rFonts w:cstheme="minorHAnsi"/>
          <w:color w:val="231F20"/>
        </w:rPr>
        <w:t xml:space="preserve"> </w:t>
      </w:r>
      <w:r w:rsidRPr="007A775A">
        <w:rPr>
          <w:rFonts w:cstheme="minorHAnsi"/>
          <w:color w:val="231F20"/>
        </w:rPr>
        <w:t>million of right of use assets and $2.97</w:t>
      </w:r>
      <w:r>
        <w:rPr>
          <w:rFonts w:cstheme="minorHAnsi"/>
          <w:color w:val="231F20"/>
        </w:rPr>
        <w:t xml:space="preserve"> </w:t>
      </w:r>
      <w:r w:rsidRPr="007A775A">
        <w:rPr>
          <w:rFonts w:cstheme="minorHAnsi"/>
          <w:color w:val="231F20"/>
        </w:rPr>
        <w:t>million of lease liabilities, recognising</w:t>
      </w:r>
      <w:r>
        <w:rPr>
          <w:rFonts w:cstheme="minorHAnsi"/>
          <w:color w:val="231F20"/>
        </w:rPr>
        <w:t xml:space="preserve"> </w:t>
      </w:r>
      <w:r w:rsidRPr="007A775A">
        <w:rPr>
          <w:rFonts w:cstheme="minorHAnsi"/>
          <w:color w:val="231F20"/>
        </w:rPr>
        <w:t>the difference in retained earnings.</w:t>
      </w:r>
    </w:p>
    <w:p w:rsidR="007A775A" w:rsidRPr="007A775A" w:rsidRDefault="007A775A" w:rsidP="007A775A">
      <w:pPr>
        <w:autoSpaceDE w:val="0"/>
        <w:autoSpaceDN w:val="0"/>
        <w:adjustRightInd w:val="0"/>
        <w:spacing w:after="0" w:line="240" w:lineRule="auto"/>
        <w:rPr>
          <w:rFonts w:cstheme="minorHAnsi"/>
        </w:rPr>
      </w:pPr>
      <w:r w:rsidRPr="007A775A">
        <w:rPr>
          <w:rFonts w:cstheme="minorHAnsi"/>
          <w:color w:val="231F20"/>
        </w:rPr>
        <w:t>When measuring lease liabilities,</w:t>
      </w:r>
      <w:r>
        <w:rPr>
          <w:rFonts w:cstheme="minorHAnsi"/>
          <w:color w:val="231F20"/>
        </w:rPr>
        <w:t xml:space="preserve"> </w:t>
      </w:r>
      <w:r w:rsidRPr="007A775A">
        <w:rPr>
          <w:rFonts w:cstheme="minorHAnsi"/>
          <w:color w:val="231F20"/>
        </w:rPr>
        <w:t>Chisholm Group discounted lease</w:t>
      </w:r>
      <w:r>
        <w:rPr>
          <w:rFonts w:cstheme="minorHAnsi"/>
          <w:color w:val="231F20"/>
        </w:rPr>
        <w:t xml:space="preserve"> </w:t>
      </w:r>
      <w:r w:rsidRPr="007A775A">
        <w:rPr>
          <w:rFonts w:cstheme="minorHAnsi"/>
          <w:color w:val="231F20"/>
        </w:rPr>
        <w:t>payments using its incremental borrowing</w:t>
      </w:r>
      <w:r>
        <w:rPr>
          <w:rFonts w:cstheme="minorHAnsi"/>
          <w:color w:val="231F20"/>
        </w:rPr>
        <w:t xml:space="preserve"> </w:t>
      </w:r>
      <w:r w:rsidRPr="007A775A">
        <w:rPr>
          <w:rFonts w:cstheme="minorHAnsi"/>
          <w:color w:val="231F20"/>
        </w:rPr>
        <w:t>rate at 1 January 2019. The weighted</w:t>
      </w:r>
      <w:r>
        <w:rPr>
          <w:rFonts w:cstheme="minorHAnsi"/>
          <w:color w:val="231F20"/>
        </w:rPr>
        <w:t xml:space="preserve"> </w:t>
      </w:r>
      <w:r w:rsidRPr="007A775A">
        <w:rPr>
          <w:rFonts w:cstheme="minorHAnsi"/>
          <w:color w:val="231F20"/>
        </w:rPr>
        <w:t>average</w:t>
      </w:r>
      <w:r>
        <w:rPr>
          <w:rFonts w:cstheme="minorHAnsi"/>
          <w:color w:val="231F20"/>
        </w:rPr>
        <w:t xml:space="preserve"> </w:t>
      </w:r>
      <w:r w:rsidRPr="007A775A">
        <w:rPr>
          <w:rFonts w:cstheme="minorHAnsi"/>
          <w:color w:val="231F20"/>
        </w:rPr>
        <w:t>rate applied was 3.5%</w:t>
      </w:r>
    </w:p>
    <w:p w:rsidR="007A775A" w:rsidRDefault="007A775A" w:rsidP="005942B8">
      <w:pPr>
        <w:pStyle w:val="NoSpacing"/>
      </w:pPr>
    </w:p>
    <w:tbl>
      <w:tblPr>
        <w:tblStyle w:val="TableGrid"/>
        <w:tblW w:w="3260" w:type="dxa"/>
        <w:tblInd w:w="6516" w:type="dxa"/>
        <w:tblLook w:val="04A0" w:firstRow="1" w:lastRow="0" w:firstColumn="1" w:lastColumn="0" w:noHBand="0" w:noVBand="1"/>
      </w:tblPr>
      <w:tblGrid>
        <w:gridCol w:w="1701"/>
        <w:gridCol w:w="1559"/>
      </w:tblGrid>
      <w:tr w:rsidR="00C44573" w:rsidTr="00C44573">
        <w:tc>
          <w:tcPr>
            <w:tcW w:w="1701" w:type="dxa"/>
          </w:tcPr>
          <w:p w:rsidR="00C44573" w:rsidRDefault="00C44573" w:rsidP="00C44573">
            <w:pPr>
              <w:pStyle w:val="NoSpacing"/>
              <w:jc w:val="right"/>
            </w:pPr>
            <w:r>
              <w:t>Consolidated</w:t>
            </w:r>
          </w:p>
        </w:tc>
        <w:tc>
          <w:tcPr>
            <w:tcW w:w="1559" w:type="dxa"/>
          </w:tcPr>
          <w:p w:rsidR="00C44573" w:rsidRDefault="00C44573" w:rsidP="00C44573">
            <w:pPr>
              <w:pStyle w:val="NoSpacing"/>
              <w:jc w:val="right"/>
            </w:pPr>
            <w:r>
              <w:t>Chisholm</w:t>
            </w:r>
          </w:p>
        </w:tc>
      </w:tr>
      <w:tr w:rsidR="00C44573" w:rsidTr="00C44573">
        <w:tc>
          <w:tcPr>
            <w:tcW w:w="1701" w:type="dxa"/>
          </w:tcPr>
          <w:p w:rsidR="00C44573" w:rsidRDefault="00C44573" w:rsidP="00C44573">
            <w:pPr>
              <w:pStyle w:val="NoSpacing"/>
              <w:jc w:val="right"/>
            </w:pPr>
            <w:r>
              <w:t>2019</w:t>
            </w:r>
          </w:p>
        </w:tc>
        <w:tc>
          <w:tcPr>
            <w:tcW w:w="1559" w:type="dxa"/>
          </w:tcPr>
          <w:p w:rsidR="00C44573" w:rsidRDefault="00C44573" w:rsidP="00C44573">
            <w:pPr>
              <w:pStyle w:val="NoSpacing"/>
              <w:jc w:val="right"/>
            </w:pPr>
            <w:r>
              <w:t>2019</w:t>
            </w:r>
          </w:p>
        </w:tc>
      </w:tr>
      <w:tr w:rsidR="00C44573" w:rsidTr="00C44573">
        <w:tc>
          <w:tcPr>
            <w:tcW w:w="1701" w:type="dxa"/>
          </w:tcPr>
          <w:p w:rsidR="00C44573" w:rsidRDefault="00C44573" w:rsidP="00C44573">
            <w:pPr>
              <w:jc w:val="right"/>
            </w:pPr>
            <w:r w:rsidRPr="00105D59">
              <w:lastRenderedPageBreak/>
              <w:t>$’000</w:t>
            </w:r>
          </w:p>
        </w:tc>
        <w:tc>
          <w:tcPr>
            <w:tcW w:w="1559" w:type="dxa"/>
          </w:tcPr>
          <w:p w:rsidR="00C44573" w:rsidRDefault="00C44573" w:rsidP="00C44573">
            <w:pPr>
              <w:jc w:val="right"/>
            </w:pPr>
            <w:r w:rsidRPr="00105D59">
              <w:t>$’000</w:t>
            </w:r>
          </w:p>
        </w:tc>
      </w:tr>
    </w:tbl>
    <w:p w:rsidR="00C44573" w:rsidRDefault="00C44573" w:rsidP="00C44573">
      <w:pPr>
        <w:pStyle w:val="NoSpacing"/>
      </w:pPr>
    </w:p>
    <w:tbl>
      <w:tblPr>
        <w:tblStyle w:val="TableGrid"/>
        <w:tblW w:w="10632" w:type="dxa"/>
        <w:tblInd w:w="-856" w:type="dxa"/>
        <w:tblLook w:val="04A0" w:firstRow="1" w:lastRow="0" w:firstColumn="1" w:lastColumn="0" w:noHBand="0" w:noVBand="1"/>
      </w:tblPr>
      <w:tblGrid>
        <w:gridCol w:w="7372"/>
        <w:gridCol w:w="1701"/>
        <w:gridCol w:w="1559"/>
      </w:tblGrid>
      <w:tr w:rsidR="00C44573" w:rsidTr="00C44573">
        <w:tc>
          <w:tcPr>
            <w:tcW w:w="7372" w:type="dxa"/>
          </w:tcPr>
          <w:p w:rsidR="00C44573" w:rsidRDefault="00C44573" w:rsidP="00C44573">
            <w:pPr>
              <w:pStyle w:val="NoSpacing"/>
            </w:pPr>
            <w:r>
              <w:t>Operating lease commitment at 31 December 2018 as disclosed in the consolidated financial statements</w:t>
            </w:r>
          </w:p>
        </w:tc>
        <w:tc>
          <w:tcPr>
            <w:tcW w:w="1701" w:type="dxa"/>
          </w:tcPr>
          <w:p w:rsidR="00C44573" w:rsidRDefault="00672358" w:rsidP="00C44573">
            <w:pPr>
              <w:pStyle w:val="NoSpacing"/>
              <w:jc w:val="right"/>
            </w:pPr>
            <w:r>
              <w:t>6,319</w:t>
            </w:r>
          </w:p>
        </w:tc>
        <w:tc>
          <w:tcPr>
            <w:tcW w:w="1559" w:type="dxa"/>
          </w:tcPr>
          <w:p w:rsidR="00C44573" w:rsidRDefault="00672358" w:rsidP="00C44573">
            <w:pPr>
              <w:pStyle w:val="NoSpacing"/>
              <w:jc w:val="right"/>
            </w:pPr>
            <w:r>
              <w:t>6,319</w:t>
            </w:r>
          </w:p>
        </w:tc>
      </w:tr>
      <w:tr w:rsidR="00C44573" w:rsidTr="00C44573">
        <w:tc>
          <w:tcPr>
            <w:tcW w:w="7372" w:type="dxa"/>
          </w:tcPr>
          <w:p w:rsidR="00C44573" w:rsidRDefault="00C44573" w:rsidP="00C44573">
            <w:pPr>
              <w:pStyle w:val="NoSpacing"/>
            </w:pPr>
            <w:r>
              <w:t>Discounted using the incremental borrowing rate at 1 January 2019</w:t>
            </w:r>
          </w:p>
        </w:tc>
        <w:tc>
          <w:tcPr>
            <w:tcW w:w="1701" w:type="dxa"/>
          </w:tcPr>
          <w:p w:rsidR="00C44573" w:rsidRDefault="00672358" w:rsidP="00C44573">
            <w:pPr>
              <w:pStyle w:val="NoSpacing"/>
              <w:jc w:val="right"/>
            </w:pPr>
            <w:r>
              <w:t>-</w:t>
            </w:r>
          </w:p>
        </w:tc>
        <w:tc>
          <w:tcPr>
            <w:tcW w:w="1559" w:type="dxa"/>
          </w:tcPr>
          <w:p w:rsidR="00C44573" w:rsidRDefault="00672358" w:rsidP="00C44573">
            <w:pPr>
              <w:pStyle w:val="NoSpacing"/>
              <w:jc w:val="right"/>
            </w:pPr>
            <w:r>
              <w:t>-</w:t>
            </w:r>
          </w:p>
        </w:tc>
      </w:tr>
      <w:tr w:rsidR="00C44573" w:rsidTr="00C44573">
        <w:tc>
          <w:tcPr>
            <w:tcW w:w="7372" w:type="dxa"/>
          </w:tcPr>
          <w:p w:rsidR="00C44573" w:rsidRDefault="00C44573" w:rsidP="00C44573">
            <w:pPr>
              <w:pStyle w:val="NoSpacing"/>
            </w:pPr>
            <w:r>
              <w:t>Finance lease liability recognised as at 31 December 2018</w:t>
            </w:r>
          </w:p>
        </w:tc>
        <w:tc>
          <w:tcPr>
            <w:tcW w:w="1701" w:type="dxa"/>
          </w:tcPr>
          <w:p w:rsidR="00C44573" w:rsidRDefault="00672358" w:rsidP="00C44573">
            <w:pPr>
              <w:pStyle w:val="NoSpacing"/>
              <w:jc w:val="right"/>
            </w:pPr>
            <w:r>
              <w:t>6,319</w:t>
            </w:r>
          </w:p>
        </w:tc>
        <w:tc>
          <w:tcPr>
            <w:tcW w:w="1559" w:type="dxa"/>
          </w:tcPr>
          <w:p w:rsidR="00C44573" w:rsidRDefault="00672358" w:rsidP="00C44573">
            <w:pPr>
              <w:pStyle w:val="NoSpacing"/>
              <w:jc w:val="right"/>
            </w:pPr>
            <w:r>
              <w:t>6,319</w:t>
            </w:r>
          </w:p>
        </w:tc>
      </w:tr>
    </w:tbl>
    <w:p w:rsidR="00C44573" w:rsidRDefault="00C44573" w:rsidP="00C44573">
      <w:pPr>
        <w:pStyle w:val="NoSpacing"/>
      </w:pPr>
    </w:p>
    <w:p w:rsidR="00C44573" w:rsidRDefault="00C44573" w:rsidP="00C44573">
      <w:pPr>
        <w:pStyle w:val="NoSpacing"/>
      </w:pPr>
    </w:p>
    <w:p w:rsidR="00C44573" w:rsidRDefault="00C44573" w:rsidP="00C44573">
      <w:pPr>
        <w:pStyle w:val="NoSpacing"/>
      </w:pPr>
      <w:r>
        <w:t>Recognition exemption for:</w:t>
      </w:r>
    </w:p>
    <w:p w:rsidR="00C44573" w:rsidRDefault="00C44573" w:rsidP="00C44573">
      <w:pPr>
        <w:pStyle w:val="NoSpacing"/>
      </w:pPr>
      <w:r>
        <w:t>Finance lease liability recognised as at 31 December 2018</w:t>
      </w:r>
    </w:p>
    <w:tbl>
      <w:tblPr>
        <w:tblStyle w:val="TableGrid"/>
        <w:tblW w:w="10632" w:type="dxa"/>
        <w:tblInd w:w="-856" w:type="dxa"/>
        <w:tblLook w:val="04A0" w:firstRow="1" w:lastRow="0" w:firstColumn="1" w:lastColumn="0" w:noHBand="0" w:noVBand="1"/>
      </w:tblPr>
      <w:tblGrid>
        <w:gridCol w:w="7372"/>
        <w:gridCol w:w="1701"/>
        <w:gridCol w:w="1559"/>
      </w:tblGrid>
      <w:tr w:rsidR="00672358" w:rsidTr="00C44573">
        <w:tc>
          <w:tcPr>
            <w:tcW w:w="7372" w:type="dxa"/>
          </w:tcPr>
          <w:p w:rsidR="00672358" w:rsidRDefault="00672358" w:rsidP="00C44573">
            <w:pPr>
              <w:pStyle w:val="NoSpacing"/>
            </w:pPr>
            <w:r>
              <w:t xml:space="preserve">Short-term leases </w:t>
            </w:r>
          </w:p>
        </w:tc>
        <w:tc>
          <w:tcPr>
            <w:tcW w:w="1701" w:type="dxa"/>
          </w:tcPr>
          <w:p w:rsidR="00672358" w:rsidRDefault="00672358" w:rsidP="00C44573">
            <w:pPr>
              <w:pStyle w:val="NoSpacing"/>
              <w:jc w:val="right"/>
            </w:pPr>
            <w:r>
              <w:t>-</w:t>
            </w:r>
          </w:p>
        </w:tc>
        <w:tc>
          <w:tcPr>
            <w:tcW w:w="1559" w:type="dxa"/>
          </w:tcPr>
          <w:p w:rsidR="00672358" w:rsidRDefault="00672358" w:rsidP="00C44573">
            <w:pPr>
              <w:pStyle w:val="NoSpacing"/>
              <w:jc w:val="right"/>
            </w:pPr>
            <w:r>
              <w:t>-</w:t>
            </w:r>
          </w:p>
        </w:tc>
      </w:tr>
      <w:tr w:rsidR="00C44573" w:rsidTr="00C44573">
        <w:tc>
          <w:tcPr>
            <w:tcW w:w="7372" w:type="dxa"/>
          </w:tcPr>
          <w:p w:rsidR="00C44573" w:rsidRDefault="00C44573" w:rsidP="00C44573">
            <w:pPr>
              <w:pStyle w:val="NoSpacing"/>
            </w:pPr>
            <w:r>
              <w:t>Leases of low value assets</w:t>
            </w:r>
          </w:p>
        </w:tc>
        <w:tc>
          <w:tcPr>
            <w:tcW w:w="1701" w:type="dxa"/>
          </w:tcPr>
          <w:p w:rsidR="00C44573" w:rsidRDefault="00672358" w:rsidP="00C44573">
            <w:pPr>
              <w:pStyle w:val="NoSpacing"/>
              <w:jc w:val="right"/>
            </w:pPr>
            <w:r>
              <w:t>(3,346)</w:t>
            </w:r>
          </w:p>
        </w:tc>
        <w:tc>
          <w:tcPr>
            <w:tcW w:w="1559" w:type="dxa"/>
          </w:tcPr>
          <w:p w:rsidR="00C44573" w:rsidRDefault="00672358" w:rsidP="00C44573">
            <w:pPr>
              <w:pStyle w:val="NoSpacing"/>
              <w:jc w:val="right"/>
            </w:pPr>
            <w:r>
              <w:t>(3,346)</w:t>
            </w:r>
          </w:p>
        </w:tc>
      </w:tr>
      <w:tr w:rsidR="00C44573" w:rsidTr="00C44573">
        <w:tc>
          <w:tcPr>
            <w:tcW w:w="7372" w:type="dxa"/>
          </w:tcPr>
          <w:p w:rsidR="00C44573" w:rsidRDefault="00C44573" w:rsidP="00C44573">
            <w:pPr>
              <w:pStyle w:val="NoSpacing"/>
            </w:pPr>
            <w:r>
              <w:t>Extension and termination options reasonably certain to be exercised</w:t>
            </w:r>
          </w:p>
        </w:tc>
        <w:tc>
          <w:tcPr>
            <w:tcW w:w="1701" w:type="dxa"/>
          </w:tcPr>
          <w:p w:rsidR="00C44573" w:rsidRDefault="00672358" w:rsidP="00C44573">
            <w:pPr>
              <w:pStyle w:val="NoSpacing"/>
              <w:jc w:val="right"/>
            </w:pPr>
            <w:r>
              <w:t>-</w:t>
            </w:r>
          </w:p>
        </w:tc>
        <w:tc>
          <w:tcPr>
            <w:tcW w:w="1559" w:type="dxa"/>
          </w:tcPr>
          <w:p w:rsidR="00C44573" w:rsidRDefault="00672358" w:rsidP="00C44573">
            <w:pPr>
              <w:pStyle w:val="NoSpacing"/>
              <w:jc w:val="right"/>
            </w:pPr>
            <w:r>
              <w:t>-</w:t>
            </w:r>
          </w:p>
        </w:tc>
      </w:tr>
      <w:tr w:rsidR="00C44573" w:rsidTr="00C44573">
        <w:tc>
          <w:tcPr>
            <w:tcW w:w="7372" w:type="dxa"/>
          </w:tcPr>
          <w:p w:rsidR="00C44573" w:rsidRDefault="00C44573" w:rsidP="00C44573">
            <w:pPr>
              <w:pStyle w:val="NoSpacing"/>
            </w:pPr>
            <w:r>
              <w:t>Residual value guarantees</w:t>
            </w:r>
          </w:p>
        </w:tc>
        <w:tc>
          <w:tcPr>
            <w:tcW w:w="1701" w:type="dxa"/>
          </w:tcPr>
          <w:p w:rsidR="00C44573" w:rsidRDefault="00672358" w:rsidP="00C44573">
            <w:pPr>
              <w:pStyle w:val="NoSpacing"/>
              <w:jc w:val="right"/>
            </w:pPr>
            <w:r>
              <w:t>-</w:t>
            </w:r>
          </w:p>
        </w:tc>
        <w:tc>
          <w:tcPr>
            <w:tcW w:w="1559" w:type="dxa"/>
          </w:tcPr>
          <w:p w:rsidR="00C44573" w:rsidRDefault="00672358" w:rsidP="00C44573">
            <w:pPr>
              <w:pStyle w:val="NoSpacing"/>
              <w:jc w:val="right"/>
            </w:pPr>
            <w:r>
              <w:t>-</w:t>
            </w:r>
          </w:p>
        </w:tc>
      </w:tr>
      <w:tr w:rsidR="00C44573" w:rsidTr="00C44573">
        <w:tc>
          <w:tcPr>
            <w:tcW w:w="7372" w:type="dxa"/>
          </w:tcPr>
          <w:p w:rsidR="00C44573" w:rsidRDefault="00672358" w:rsidP="00C44573">
            <w:pPr>
              <w:pStyle w:val="NoSpacing"/>
            </w:pPr>
            <w:r>
              <w:t>Lease liabilities recognised as at 1 January 2019</w:t>
            </w:r>
          </w:p>
        </w:tc>
        <w:tc>
          <w:tcPr>
            <w:tcW w:w="1701" w:type="dxa"/>
          </w:tcPr>
          <w:p w:rsidR="00C44573" w:rsidRDefault="00672358" w:rsidP="00C44573">
            <w:pPr>
              <w:pStyle w:val="NoSpacing"/>
              <w:jc w:val="right"/>
            </w:pPr>
            <w:r>
              <w:t>2,973</w:t>
            </w:r>
          </w:p>
        </w:tc>
        <w:tc>
          <w:tcPr>
            <w:tcW w:w="1559" w:type="dxa"/>
          </w:tcPr>
          <w:p w:rsidR="00C44573" w:rsidRDefault="00672358" w:rsidP="00C44573">
            <w:pPr>
              <w:pStyle w:val="NoSpacing"/>
              <w:jc w:val="right"/>
            </w:pPr>
            <w:r>
              <w:t>2,973</w:t>
            </w:r>
          </w:p>
        </w:tc>
      </w:tr>
    </w:tbl>
    <w:p w:rsidR="00E007BC" w:rsidRDefault="00E007BC" w:rsidP="005942B8">
      <w:pPr>
        <w:pStyle w:val="NoSpacing"/>
      </w:pPr>
    </w:p>
    <w:p w:rsidR="00C44573" w:rsidRDefault="00672358" w:rsidP="005942B8">
      <w:pPr>
        <w:pStyle w:val="NoSpacing"/>
      </w:pPr>
      <w:r>
        <w:t>&lt;page 66&gt;</w:t>
      </w:r>
    </w:p>
    <w:p w:rsidR="00672358" w:rsidRDefault="00672358" w:rsidP="005942B8">
      <w:pPr>
        <w:pStyle w:val="NoSpacing"/>
      </w:pPr>
    </w:p>
    <w:p w:rsidR="00672358" w:rsidRDefault="00672358" w:rsidP="00406A46">
      <w:pPr>
        <w:pStyle w:val="Heading2"/>
      </w:pPr>
      <w:r>
        <w:t>4. The assets we invested in</w:t>
      </w:r>
    </w:p>
    <w:p w:rsidR="00672358" w:rsidRDefault="00672358" w:rsidP="005942B8">
      <w:pPr>
        <w:pStyle w:val="NoSpacing"/>
      </w:pPr>
    </w:p>
    <w:p w:rsidR="00672358" w:rsidRDefault="00672358" w:rsidP="00406A46">
      <w:pPr>
        <w:pStyle w:val="Heading3"/>
      </w:pPr>
      <w:r>
        <w:t>4.1 Property, plant and equipment</w:t>
      </w:r>
    </w:p>
    <w:p w:rsidR="00672358" w:rsidRDefault="00672358" w:rsidP="005942B8">
      <w:pPr>
        <w:pStyle w:val="NoSpacing"/>
      </w:pPr>
    </w:p>
    <w:p w:rsidR="00672358" w:rsidRDefault="00672358" w:rsidP="00406A46">
      <w:pPr>
        <w:pStyle w:val="Heading4"/>
      </w:pPr>
      <w:r>
        <w:t>Fair value measurement</w:t>
      </w:r>
    </w:p>
    <w:p w:rsidR="00672358" w:rsidRDefault="00672358" w:rsidP="005942B8">
      <w:pPr>
        <w:pStyle w:val="NoSpacing"/>
      </w:pPr>
      <w:r>
        <w:t>Where the assets included in this section are carried as fair value, additional information is disclosed in Note 7.3 in connection with how those fair values were determined.</w:t>
      </w:r>
    </w:p>
    <w:p w:rsidR="00E007BC" w:rsidRDefault="00672358" w:rsidP="005942B8">
      <w:pPr>
        <w:pStyle w:val="NoSpacing"/>
      </w:pPr>
      <w:r>
        <w:t>In accordance with government purpose classifications (used by the Australian Bureau of Statistics to classify expenses and acquisitions of non-financial assets of the public sector and general government sector), Chisholm’s propert</w:t>
      </w:r>
      <w:r w:rsidR="009A181C">
        <w:t>y, plant and equipment are assets used for the purpose of education. Property, plant and equipment includes all operational assets.</w:t>
      </w:r>
    </w:p>
    <w:p w:rsidR="001D7B58" w:rsidRDefault="001D7B58" w:rsidP="009C199A">
      <w:pPr>
        <w:pStyle w:val="Heading3"/>
        <w:sectPr w:rsidR="001D7B58">
          <w:pgSz w:w="11906" w:h="16838"/>
          <w:pgMar w:top="1440" w:right="1440" w:bottom="1440" w:left="1440" w:header="708" w:footer="708" w:gutter="0"/>
          <w:cols w:space="708"/>
          <w:docGrid w:linePitch="360"/>
        </w:sectPr>
      </w:pPr>
    </w:p>
    <w:p w:rsidR="009C199A" w:rsidRDefault="009C199A" w:rsidP="00406A46">
      <w:pPr>
        <w:pStyle w:val="Heading2"/>
      </w:pPr>
      <w:r>
        <w:lastRenderedPageBreak/>
        <w:t>4. The assets we invested in</w:t>
      </w:r>
    </w:p>
    <w:p w:rsidR="00406A46" w:rsidRDefault="00406A46" w:rsidP="00406A46">
      <w:pPr>
        <w:pStyle w:val="NoSpacing"/>
      </w:pPr>
    </w:p>
    <w:p w:rsidR="009C199A" w:rsidRDefault="009C199A" w:rsidP="00406A46">
      <w:pPr>
        <w:pStyle w:val="Heading3"/>
      </w:pPr>
      <w:r>
        <w:t>4.1 Property, plant and equipment</w:t>
      </w:r>
    </w:p>
    <w:p w:rsidR="009C199A" w:rsidRDefault="009C199A" w:rsidP="005942B8">
      <w:pPr>
        <w:pStyle w:val="NoSpacing"/>
      </w:pPr>
    </w:p>
    <w:p w:rsidR="001D7B58" w:rsidRDefault="001D7B58" w:rsidP="005942B8">
      <w:pPr>
        <w:pStyle w:val="NoSpacing"/>
      </w:pPr>
    </w:p>
    <w:tbl>
      <w:tblPr>
        <w:tblStyle w:val="TableGrid"/>
        <w:tblW w:w="15593" w:type="dxa"/>
        <w:tblInd w:w="-856" w:type="dxa"/>
        <w:tblLook w:val="04A0" w:firstRow="1" w:lastRow="0" w:firstColumn="1" w:lastColumn="0" w:noHBand="0" w:noVBand="1"/>
      </w:tblPr>
      <w:tblGrid>
        <w:gridCol w:w="5246"/>
        <w:gridCol w:w="1842"/>
        <w:gridCol w:w="1843"/>
        <w:gridCol w:w="1701"/>
        <w:gridCol w:w="1701"/>
        <w:gridCol w:w="1701"/>
        <w:gridCol w:w="1559"/>
      </w:tblGrid>
      <w:tr w:rsidR="001D7B58" w:rsidTr="001D7B58">
        <w:trPr>
          <w:gridBefore w:val="1"/>
          <w:wBefore w:w="5246" w:type="dxa"/>
        </w:trPr>
        <w:tc>
          <w:tcPr>
            <w:tcW w:w="1842" w:type="dxa"/>
          </w:tcPr>
          <w:p w:rsidR="001D7B58" w:rsidRDefault="001D7B58" w:rsidP="001D7B58">
            <w:pPr>
              <w:pStyle w:val="NoSpacing"/>
              <w:jc w:val="right"/>
            </w:pPr>
            <w:r>
              <w:t>Gross carrying amount</w:t>
            </w:r>
          </w:p>
        </w:tc>
        <w:tc>
          <w:tcPr>
            <w:tcW w:w="1843" w:type="dxa"/>
          </w:tcPr>
          <w:p w:rsidR="001D7B58" w:rsidRDefault="001D7B58" w:rsidP="001D7B58">
            <w:pPr>
              <w:pStyle w:val="NoSpacing"/>
              <w:jc w:val="right"/>
            </w:pPr>
            <w:r>
              <w:t>Gross carrying amount</w:t>
            </w:r>
          </w:p>
        </w:tc>
        <w:tc>
          <w:tcPr>
            <w:tcW w:w="1701" w:type="dxa"/>
          </w:tcPr>
          <w:p w:rsidR="001D7B58" w:rsidRDefault="001D7B58" w:rsidP="001D7B58">
            <w:pPr>
              <w:pStyle w:val="NoSpacing"/>
              <w:jc w:val="right"/>
            </w:pPr>
            <w:r>
              <w:t>Accumulated depreciation</w:t>
            </w:r>
          </w:p>
        </w:tc>
        <w:tc>
          <w:tcPr>
            <w:tcW w:w="1701" w:type="dxa"/>
          </w:tcPr>
          <w:p w:rsidR="001D7B58" w:rsidRDefault="001D7B58" w:rsidP="001D7B58">
            <w:pPr>
              <w:pStyle w:val="NoSpacing"/>
              <w:jc w:val="right"/>
            </w:pPr>
            <w:r>
              <w:t>Accumulated depreciation</w:t>
            </w:r>
          </w:p>
        </w:tc>
        <w:tc>
          <w:tcPr>
            <w:tcW w:w="1701" w:type="dxa"/>
          </w:tcPr>
          <w:p w:rsidR="001D7B58" w:rsidRDefault="001D7B58" w:rsidP="001D7B58">
            <w:pPr>
              <w:pStyle w:val="NoSpacing"/>
              <w:jc w:val="right"/>
            </w:pPr>
            <w:r>
              <w:t>Net carrying amount</w:t>
            </w:r>
          </w:p>
        </w:tc>
        <w:tc>
          <w:tcPr>
            <w:tcW w:w="1559" w:type="dxa"/>
          </w:tcPr>
          <w:p w:rsidR="001D7B58" w:rsidRDefault="001D7B58" w:rsidP="001D7B58">
            <w:pPr>
              <w:pStyle w:val="NoSpacing"/>
              <w:jc w:val="right"/>
            </w:pPr>
            <w:r>
              <w:t xml:space="preserve">Net carrying amount </w:t>
            </w:r>
          </w:p>
        </w:tc>
      </w:tr>
      <w:tr w:rsidR="001D7B58" w:rsidTr="001D7B58">
        <w:trPr>
          <w:gridBefore w:val="1"/>
          <w:wBefore w:w="5246" w:type="dxa"/>
        </w:trPr>
        <w:tc>
          <w:tcPr>
            <w:tcW w:w="1842" w:type="dxa"/>
          </w:tcPr>
          <w:p w:rsidR="001D7B58" w:rsidRDefault="001D7B58" w:rsidP="001D7B58">
            <w:pPr>
              <w:pStyle w:val="NoSpacing"/>
              <w:jc w:val="right"/>
            </w:pPr>
            <w:r>
              <w:t>2019</w:t>
            </w:r>
          </w:p>
        </w:tc>
        <w:tc>
          <w:tcPr>
            <w:tcW w:w="1843" w:type="dxa"/>
          </w:tcPr>
          <w:p w:rsidR="001D7B58" w:rsidRDefault="001D7B58" w:rsidP="001D7B58">
            <w:pPr>
              <w:pStyle w:val="NoSpacing"/>
              <w:jc w:val="right"/>
            </w:pPr>
            <w:r>
              <w:t>2018</w:t>
            </w:r>
          </w:p>
        </w:tc>
        <w:tc>
          <w:tcPr>
            <w:tcW w:w="1701" w:type="dxa"/>
          </w:tcPr>
          <w:p w:rsidR="001D7B58" w:rsidRDefault="001D7B58" w:rsidP="001D7B58">
            <w:pPr>
              <w:pStyle w:val="NoSpacing"/>
              <w:jc w:val="right"/>
            </w:pPr>
            <w:r>
              <w:t>2019</w:t>
            </w:r>
          </w:p>
        </w:tc>
        <w:tc>
          <w:tcPr>
            <w:tcW w:w="1701" w:type="dxa"/>
          </w:tcPr>
          <w:p w:rsidR="001D7B58" w:rsidRDefault="001D7B58" w:rsidP="001D7B58">
            <w:pPr>
              <w:pStyle w:val="NoSpacing"/>
              <w:jc w:val="right"/>
            </w:pPr>
            <w:r>
              <w:t>2018</w:t>
            </w:r>
          </w:p>
        </w:tc>
        <w:tc>
          <w:tcPr>
            <w:tcW w:w="1701" w:type="dxa"/>
          </w:tcPr>
          <w:p w:rsidR="001D7B58" w:rsidRDefault="001D7B58" w:rsidP="001D7B58">
            <w:pPr>
              <w:pStyle w:val="NoSpacing"/>
              <w:jc w:val="right"/>
            </w:pPr>
            <w:r>
              <w:t>2019</w:t>
            </w:r>
          </w:p>
        </w:tc>
        <w:tc>
          <w:tcPr>
            <w:tcW w:w="1559" w:type="dxa"/>
          </w:tcPr>
          <w:p w:rsidR="001D7B58" w:rsidRDefault="001D7B58" w:rsidP="001D7B58">
            <w:pPr>
              <w:pStyle w:val="NoSpacing"/>
              <w:jc w:val="right"/>
            </w:pPr>
            <w:r>
              <w:t>2018</w:t>
            </w:r>
          </w:p>
        </w:tc>
      </w:tr>
      <w:tr w:rsidR="001D7B58" w:rsidTr="001D7B58">
        <w:trPr>
          <w:gridBefore w:val="1"/>
          <w:wBefore w:w="5246" w:type="dxa"/>
        </w:trPr>
        <w:tc>
          <w:tcPr>
            <w:tcW w:w="1842" w:type="dxa"/>
          </w:tcPr>
          <w:p w:rsidR="001D7B58" w:rsidRDefault="001D7B58" w:rsidP="001D7B58">
            <w:pPr>
              <w:pStyle w:val="NoSpacing"/>
              <w:jc w:val="right"/>
            </w:pPr>
            <w:r>
              <w:t>$’000</w:t>
            </w:r>
          </w:p>
        </w:tc>
        <w:tc>
          <w:tcPr>
            <w:tcW w:w="1843" w:type="dxa"/>
          </w:tcPr>
          <w:p w:rsidR="001D7B58" w:rsidRDefault="001D7B58" w:rsidP="001D7B58">
            <w:pPr>
              <w:pStyle w:val="NoSpacing"/>
              <w:jc w:val="right"/>
            </w:pPr>
            <w:r>
              <w:t>$’000</w:t>
            </w:r>
          </w:p>
        </w:tc>
        <w:tc>
          <w:tcPr>
            <w:tcW w:w="1701" w:type="dxa"/>
          </w:tcPr>
          <w:p w:rsidR="001D7B58" w:rsidRDefault="001D7B58" w:rsidP="001D7B58">
            <w:pPr>
              <w:pStyle w:val="NoSpacing"/>
              <w:jc w:val="right"/>
            </w:pPr>
            <w:r>
              <w:t>$’000</w:t>
            </w:r>
          </w:p>
        </w:tc>
        <w:tc>
          <w:tcPr>
            <w:tcW w:w="1701" w:type="dxa"/>
          </w:tcPr>
          <w:p w:rsidR="001D7B58" w:rsidRDefault="001D7B58" w:rsidP="001D7B58">
            <w:pPr>
              <w:pStyle w:val="NoSpacing"/>
              <w:jc w:val="right"/>
            </w:pPr>
            <w:r>
              <w:t>$’000</w:t>
            </w:r>
          </w:p>
        </w:tc>
        <w:tc>
          <w:tcPr>
            <w:tcW w:w="1701" w:type="dxa"/>
          </w:tcPr>
          <w:p w:rsidR="001D7B58" w:rsidRDefault="001D7B58" w:rsidP="001D7B58">
            <w:pPr>
              <w:pStyle w:val="NoSpacing"/>
              <w:jc w:val="right"/>
            </w:pPr>
            <w:r>
              <w:t>$’000</w:t>
            </w:r>
          </w:p>
        </w:tc>
        <w:tc>
          <w:tcPr>
            <w:tcW w:w="1559" w:type="dxa"/>
          </w:tcPr>
          <w:p w:rsidR="001D7B58" w:rsidRDefault="001D7B58" w:rsidP="001D7B58">
            <w:pPr>
              <w:pStyle w:val="NoSpacing"/>
              <w:jc w:val="right"/>
            </w:pPr>
            <w:r>
              <w:t>$’000</w:t>
            </w:r>
          </w:p>
        </w:tc>
      </w:tr>
      <w:tr w:rsidR="001D7B58" w:rsidTr="00831DE5">
        <w:tc>
          <w:tcPr>
            <w:tcW w:w="15593" w:type="dxa"/>
            <w:gridSpan w:val="7"/>
          </w:tcPr>
          <w:p w:rsidR="001D7B58" w:rsidRDefault="001D7B58" w:rsidP="005942B8">
            <w:pPr>
              <w:pStyle w:val="NoSpacing"/>
            </w:pPr>
            <w:r>
              <w:t>Consolidated</w:t>
            </w:r>
          </w:p>
        </w:tc>
      </w:tr>
      <w:tr w:rsidR="001D7B58" w:rsidTr="001D7B58">
        <w:tc>
          <w:tcPr>
            <w:tcW w:w="5246" w:type="dxa"/>
          </w:tcPr>
          <w:p w:rsidR="001D7B58" w:rsidRDefault="00CB06E3" w:rsidP="005942B8">
            <w:pPr>
              <w:pStyle w:val="NoSpacing"/>
            </w:pPr>
            <w:r>
              <w:t>Land</w:t>
            </w:r>
          </w:p>
        </w:tc>
        <w:tc>
          <w:tcPr>
            <w:tcW w:w="1842" w:type="dxa"/>
          </w:tcPr>
          <w:p w:rsidR="001D7B58" w:rsidRDefault="009A181C" w:rsidP="009A181C">
            <w:pPr>
              <w:pStyle w:val="NoSpacing"/>
              <w:jc w:val="right"/>
            </w:pPr>
            <w:r>
              <w:t>58,196</w:t>
            </w:r>
          </w:p>
        </w:tc>
        <w:tc>
          <w:tcPr>
            <w:tcW w:w="1843" w:type="dxa"/>
          </w:tcPr>
          <w:p w:rsidR="001D7B58" w:rsidRDefault="009A181C" w:rsidP="009A181C">
            <w:pPr>
              <w:pStyle w:val="NoSpacing"/>
              <w:jc w:val="right"/>
            </w:pPr>
            <w:r>
              <w:t>58,196</w:t>
            </w:r>
          </w:p>
        </w:tc>
        <w:tc>
          <w:tcPr>
            <w:tcW w:w="1701" w:type="dxa"/>
          </w:tcPr>
          <w:p w:rsidR="001D7B58" w:rsidRDefault="009A181C" w:rsidP="009A181C">
            <w:pPr>
              <w:pStyle w:val="NoSpacing"/>
              <w:jc w:val="right"/>
            </w:pPr>
            <w:r>
              <w:t>-</w:t>
            </w:r>
          </w:p>
        </w:tc>
        <w:tc>
          <w:tcPr>
            <w:tcW w:w="1701" w:type="dxa"/>
          </w:tcPr>
          <w:p w:rsidR="001D7B58" w:rsidRDefault="009A181C" w:rsidP="009A181C">
            <w:pPr>
              <w:pStyle w:val="NoSpacing"/>
              <w:jc w:val="right"/>
            </w:pPr>
            <w:r>
              <w:t>-</w:t>
            </w:r>
          </w:p>
        </w:tc>
        <w:tc>
          <w:tcPr>
            <w:tcW w:w="1701" w:type="dxa"/>
          </w:tcPr>
          <w:p w:rsidR="001D7B58" w:rsidRDefault="009A181C" w:rsidP="009A181C">
            <w:pPr>
              <w:pStyle w:val="NoSpacing"/>
              <w:jc w:val="right"/>
            </w:pPr>
            <w:r>
              <w:t>58,196</w:t>
            </w:r>
          </w:p>
        </w:tc>
        <w:tc>
          <w:tcPr>
            <w:tcW w:w="1559" w:type="dxa"/>
          </w:tcPr>
          <w:p w:rsidR="001D7B58" w:rsidRDefault="009A181C" w:rsidP="009A181C">
            <w:pPr>
              <w:pStyle w:val="NoSpacing"/>
              <w:jc w:val="right"/>
            </w:pPr>
            <w:r>
              <w:t>58,196</w:t>
            </w:r>
          </w:p>
        </w:tc>
      </w:tr>
      <w:tr w:rsidR="001D7B58" w:rsidTr="001D7B58">
        <w:tc>
          <w:tcPr>
            <w:tcW w:w="5246" w:type="dxa"/>
          </w:tcPr>
          <w:p w:rsidR="001D7B58" w:rsidRDefault="00CB06E3" w:rsidP="005942B8">
            <w:pPr>
              <w:pStyle w:val="NoSpacing"/>
            </w:pPr>
            <w:r>
              <w:t>Buildings</w:t>
            </w:r>
          </w:p>
        </w:tc>
        <w:tc>
          <w:tcPr>
            <w:tcW w:w="1842" w:type="dxa"/>
          </w:tcPr>
          <w:p w:rsidR="001D7B58" w:rsidRDefault="009A181C" w:rsidP="009A181C">
            <w:pPr>
              <w:pStyle w:val="NoSpacing"/>
              <w:jc w:val="right"/>
            </w:pPr>
            <w:r>
              <w:t>297,041</w:t>
            </w:r>
          </w:p>
        </w:tc>
        <w:tc>
          <w:tcPr>
            <w:tcW w:w="1843" w:type="dxa"/>
          </w:tcPr>
          <w:p w:rsidR="001D7B58" w:rsidRDefault="009A181C" w:rsidP="009A181C">
            <w:pPr>
              <w:pStyle w:val="NoSpacing"/>
              <w:jc w:val="right"/>
            </w:pPr>
            <w:r>
              <w:t>208,207</w:t>
            </w:r>
          </w:p>
        </w:tc>
        <w:tc>
          <w:tcPr>
            <w:tcW w:w="1701" w:type="dxa"/>
          </w:tcPr>
          <w:p w:rsidR="001D7B58" w:rsidRDefault="009A181C" w:rsidP="009A181C">
            <w:pPr>
              <w:pStyle w:val="NoSpacing"/>
              <w:jc w:val="right"/>
            </w:pPr>
            <w:r>
              <w:t>(10,999)</w:t>
            </w:r>
          </w:p>
        </w:tc>
        <w:tc>
          <w:tcPr>
            <w:tcW w:w="1701" w:type="dxa"/>
          </w:tcPr>
          <w:p w:rsidR="001D7B58" w:rsidRDefault="009A181C" w:rsidP="009A181C">
            <w:pPr>
              <w:pStyle w:val="NoSpacing"/>
              <w:jc w:val="right"/>
            </w:pPr>
            <w:r>
              <w:t>(5,219)</w:t>
            </w:r>
          </w:p>
        </w:tc>
        <w:tc>
          <w:tcPr>
            <w:tcW w:w="1701" w:type="dxa"/>
          </w:tcPr>
          <w:p w:rsidR="001D7B58" w:rsidRDefault="009A181C" w:rsidP="009A181C">
            <w:pPr>
              <w:pStyle w:val="NoSpacing"/>
              <w:jc w:val="right"/>
            </w:pPr>
            <w:r>
              <w:t>286,042</w:t>
            </w:r>
          </w:p>
        </w:tc>
        <w:tc>
          <w:tcPr>
            <w:tcW w:w="1559" w:type="dxa"/>
          </w:tcPr>
          <w:p w:rsidR="001D7B58" w:rsidRDefault="009A181C" w:rsidP="009A181C">
            <w:pPr>
              <w:pStyle w:val="NoSpacing"/>
              <w:jc w:val="right"/>
            </w:pPr>
            <w:r>
              <w:t>202,988</w:t>
            </w:r>
          </w:p>
        </w:tc>
      </w:tr>
      <w:tr w:rsidR="001D7B58" w:rsidTr="001D7B58">
        <w:tc>
          <w:tcPr>
            <w:tcW w:w="5246" w:type="dxa"/>
          </w:tcPr>
          <w:p w:rsidR="001D7B58" w:rsidRDefault="00CB06E3" w:rsidP="005942B8">
            <w:pPr>
              <w:pStyle w:val="NoSpacing"/>
            </w:pPr>
            <w:r>
              <w:t>Construction in progress</w:t>
            </w:r>
          </w:p>
        </w:tc>
        <w:tc>
          <w:tcPr>
            <w:tcW w:w="1842" w:type="dxa"/>
          </w:tcPr>
          <w:p w:rsidR="001D7B58" w:rsidRDefault="009A181C" w:rsidP="009A181C">
            <w:pPr>
              <w:pStyle w:val="NoSpacing"/>
              <w:jc w:val="right"/>
            </w:pPr>
            <w:r>
              <w:t>584</w:t>
            </w:r>
          </w:p>
        </w:tc>
        <w:tc>
          <w:tcPr>
            <w:tcW w:w="1843" w:type="dxa"/>
          </w:tcPr>
          <w:p w:rsidR="001D7B58" w:rsidRDefault="009A181C" w:rsidP="009A181C">
            <w:pPr>
              <w:pStyle w:val="NoSpacing"/>
              <w:jc w:val="right"/>
            </w:pPr>
            <w:r>
              <w:t>72,607</w:t>
            </w:r>
          </w:p>
        </w:tc>
        <w:tc>
          <w:tcPr>
            <w:tcW w:w="1701" w:type="dxa"/>
          </w:tcPr>
          <w:p w:rsidR="001D7B58" w:rsidRDefault="009A181C" w:rsidP="009A181C">
            <w:pPr>
              <w:pStyle w:val="NoSpacing"/>
              <w:jc w:val="right"/>
            </w:pPr>
            <w:r>
              <w:t>-</w:t>
            </w:r>
          </w:p>
        </w:tc>
        <w:tc>
          <w:tcPr>
            <w:tcW w:w="1701" w:type="dxa"/>
          </w:tcPr>
          <w:p w:rsidR="001D7B58" w:rsidRDefault="009A181C" w:rsidP="009A181C">
            <w:pPr>
              <w:pStyle w:val="NoSpacing"/>
              <w:jc w:val="right"/>
            </w:pPr>
            <w:r>
              <w:t>-</w:t>
            </w:r>
          </w:p>
        </w:tc>
        <w:tc>
          <w:tcPr>
            <w:tcW w:w="1701" w:type="dxa"/>
          </w:tcPr>
          <w:p w:rsidR="001D7B58" w:rsidRDefault="009A181C" w:rsidP="009A181C">
            <w:pPr>
              <w:pStyle w:val="NoSpacing"/>
              <w:jc w:val="right"/>
            </w:pPr>
            <w:r>
              <w:t>584</w:t>
            </w:r>
          </w:p>
        </w:tc>
        <w:tc>
          <w:tcPr>
            <w:tcW w:w="1559" w:type="dxa"/>
          </w:tcPr>
          <w:p w:rsidR="001D7B58" w:rsidRDefault="009A181C" w:rsidP="009A181C">
            <w:pPr>
              <w:pStyle w:val="NoSpacing"/>
              <w:jc w:val="right"/>
            </w:pPr>
            <w:r>
              <w:t>72,607</w:t>
            </w:r>
          </w:p>
        </w:tc>
      </w:tr>
      <w:tr w:rsidR="001D7B58" w:rsidTr="001D7B58">
        <w:tc>
          <w:tcPr>
            <w:tcW w:w="5246" w:type="dxa"/>
          </w:tcPr>
          <w:p w:rsidR="001D7B58" w:rsidRDefault="00CB06E3" w:rsidP="005942B8">
            <w:pPr>
              <w:pStyle w:val="NoSpacing"/>
            </w:pPr>
            <w:r>
              <w:t>Plant and equipment</w:t>
            </w:r>
          </w:p>
        </w:tc>
        <w:tc>
          <w:tcPr>
            <w:tcW w:w="1842" w:type="dxa"/>
          </w:tcPr>
          <w:p w:rsidR="001D7B58" w:rsidRDefault="009A181C" w:rsidP="009A181C">
            <w:pPr>
              <w:pStyle w:val="NoSpacing"/>
              <w:jc w:val="right"/>
            </w:pPr>
            <w:r>
              <w:t>35,529</w:t>
            </w:r>
          </w:p>
        </w:tc>
        <w:tc>
          <w:tcPr>
            <w:tcW w:w="1843" w:type="dxa"/>
          </w:tcPr>
          <w:p w:rsidR="001D7B58" w:rsidRDefault="009A181C" w:rsidP="009A181C">
            <w:pPr>
              <w:pStyle w:val="NoSpacing"/>
              <w:jc w:val="right"/>
            </w:pPr>
            <w:r>
              <w:t>27,058</w:t>
            </w:r>
          </w:p>
        </w:tc>
        <w:tc>
          <w:tcPr>
            <w:tcW w:w="1701" w:type="dxa"/>
          </w:tcPr>
          <w:p w:rsidR="001D7B58" w:rsidRDefault="009A181C" w:rsidP="009A181C">
            <w:pPr>
              <w:pStyle w:val="NoSpacing"/>
              <w:jc w:val="right"/>
            </w:pPr>
            <w:r>
              <w:t>(22,430)</w:t>
            </w:r>
          </w:p>
        </w:tc>
        <w:tc>
          <w:tcPr>
            <w:tcW w:w="1701" w:type="dxa"/>
          </w:tcPr>
          <w:p w:rsidR="001D7B58" w:rsidRDefault="009A181C" w:rsidP="009A181C">
            <w:pPr>
              <w:pStyle w:val="NoSpacing"/>
              <w:jc w:val="right"/>
            </w:pPr>
            <w:r>
              <w:t>(20,430)</w:t>
            </w:r>
          </w:p>
        </w:tc>
        <w:tc>
          <w:tcPr>
            <w:tcW w:w="1701" w:type="dxa"/>
          </w:tcPr>
          <w:p w:rsidR="001D7B58" w:rsidRDefault="009A181C" w:rsidP="009A181C">
            <w:pPr>
              <w:pStyle w:val="NoSpacing"/>
              <w:jc w:val="right"/>
            </w:pPr>
            <w:r>
              <w:t>13,099</w:t>
            </w:r>
          </w:p>
        </w:tc>
        <w:tc>
          <w:tcPr>
            <w:tcW w:w="1559" w:type="dxa"/>
          </w:tcPr>
          <w:p w:rsidR="001D7B58" w:rsidRDefault="009A181C" w:rsidP="009A181C">
            <w:pPr>
              <w:pStyle w:val="NoSpacing"/>
              <w:jc w:val="right"/>
            </w:pPr>
            <w:r>
              <w:t>6,589</w:t>
            </w:r>
          </w:p>
        </w:tc>
      </w:tr>
      <w:tr w:rsidR="001D7B58" w:rsidTr="001D7B58">
        <w:tc>
          <w:tcPr>
            <w:tcW w:w="5246" w:type="dxa"/>
          </w:tcPr>
          <w:p w:rsidR="001D7B58" w:rsidRDefault="00CB06E3" w:rsidP="005942B8">
            <w:pPr>
              <w:pStyle w:val="NoSpacing"/>
            </w:pPr>
            <w:r>
              <w:t>Motor vehicles</w:t>
            </w:r>
          </w:p>
        </w:tc>
        <w:tc>
          <w:tcPr>
            <w:tcW w:w="1842" w:type="dxa"/>
          </w:tcPr>
          <w:p w:rsidR="001D7B58" w:rsidRDefault="009A181C" w:rsidP="009A181C">
            <w:pPr>
              <w:pStyle w:val="NoSpacing"/>
              <w:jc w:val="right"/>
            </w:pPr>
            <w:r>
              <w:t>1,188</w:t>
            </w:r>
          </w:p>
        </w:tc>
        <w:tc>
          <w:tcPr>
            <w:tcW w:w="1843" w:type="dxa"/>
          </w:tcPr>
          <w:p w:rsidR="001D7B58" w:rsidRDefault="009A181C" w:rsidP="009A181C">
            <w:pPr>
              <w:pStyle w:val="NoSpacing"/>
              <w:jc w:val="right"/>
            </w:pPr>
            <w:r>
              <w:t>1,188</w:t>
            </w:r>
          </w:p>
        </w:tc>
        <w:tc>
          <w:tcPr>
            <w:tcW w:w="1701" w:type="dxa"/>
          </w:tcPr>
          <w:p w:rsidR="001D7B58" w:rsidRDefault="009A181C" w:rsidP="009A181C">
            <w:pPr>
              <w:pStyle w:val="NoSpacing"/>
              <w:jc w:val="right"/>
            </w:pPr>
            <w:r>
              <w:t>(855)</w:t>
            </w:r>
          </w:p>
        </w:tc>
        <w:tc>
          <w:tcPr>
            <w:tcW w:w="1701" w:type="dxa"/>
          </w:tcPr>
          <w:p w:rsidR="001D7B58" w:rsidRDefault="009A181C" w:rsidP="009A181C">
            <w:pPr>
              <w:pStyle w:val="NoSpacing"/>
              <w:jc w:val="right"/>
            </w:pPr>
            <w:r>
              <w:t>(771)</w:t>
            </w:r>
          </w:p>
        </w:tc>
        <w:tc>
          <w:tcPr>
            <w:tcW w:w="1701" w:type="dxa"/>
          </w:tcPr>
          <w:p w:rsidR="001D7B58" w:rsidRDefault="009A181C" w:rsidP="009A181C">
            <w:pPr>
              <w:pStyle w:val="NoSpacing"/>
              <w:jc w:val="right"/>
            </w:pPr>
            <w:r>
              <w:t>333</w:t>
            </w:r>
          </w:p>
        </w:tc>
        <w:tc>
          <w:tcPr>
            <w:tcW w:w="1559" w:type="dxa"/>
          </w:tcPr>
          <w:p w:rsidR="001D7B58" w:rsidRDefault="009A181C" w:rsidP="009A181C">
            <w:pPr>
              <w:pStyle w:val="NoSpacing"/>
              <w:jc w:val="right"/>
            </w:pPr>
            <w:r>
              <w:t>416</w:t>
            </w:r>
          </w:p>
        </w:tc>
      </w:tr>
      <w:tr w:rsidR="001D7B58" w:rsidTr="001D7B58">
        <w:tc>
          <w:tcPr>
            <w:tcW w:w="5246" w:type="dxa"/>
          </w:tcPr>
          <w:p w:rsidR="001D7B58" w:rsidRDefault="00CB06E3" w:rsidP="005942B8">
            <w:pPr>
              <w:pStyle w:val="NoSpacing"/>
            </w:pPr>
            <w:r>
              <w:t>Leasehold improvements</w:t>
            </w:r>
          </w:p>
        </w:tc>
        <w:tc>
          <w:tcPr>
            <w:tcW w:w="1842" w:type="dxa"/>
          </w:tcPr>
          <w:p w:rsidR="001D7B58" w:rsidRDefault="009A181C" w:rsidP="009A181C">
            <w:pPr>
              <w:pStyle w:val="NoSpacing"/>
              <w:jc w:val="right"/>
            </w:pPr>
            <w:r>
              <w:t>3,044</w:t>
            </w:r>
          </w:p>
        </w:tc>
        <w:tc>
          <w:tcPr>
            <w:tcW w:w="1843" w:type="dxa"/>
          </w:tcPr>
          <w:p w:rsidR="001D7B58" w:rsidRDefault="009A181C" w:rsidP="009A181C">
            <w:pPr>
              <w:pStyle w:val="NoSpacing"/>
              <w:jc w:val="right"/>
            </w:pPr>
            <w:r>
              <w:t>3,044</w:t>
            </w:r>
          </w:p>
        </w:tc>
        <w:tc>
          <w:tcPr>
            <w:tcW w:w="1701" w:type="dxa"/>
          </w:tcPr>
          <w:p w:rsidR="001D7B58" w:rsidRDefault="009A181C" w:rsidP="009A181C">
            <w:pPr>
              <w:pStyle w:val="NoSpacing"/>
              <w:jc w:val="right"/>
            </w:pPr>
            <w:r>
              <w:t>(2,931)</w:t>
            </w:r>
          </w:p>
        </w:tc>
        <w:tc>
          <w:tcPr>
            <w:tcW w:w="1701" w:type="dxa"/>
          </w:tcPr>
          <w:p w:rsidR="001D7B58" w:rsidRDefault="009A181C" w:rsidP="009A181C">
            <w:pPr>
              <w:pStyle w:val="NoSpacing"/>
              <w:jc w:val="right"/>
            </w:pPr>
            <w:r>
              <w:t>(2,684)</w:t>
            </w:r>
          </w:p>
        </w:tc>
        <w:tc>
          <w:tcPr>
            <w:tcW w:w="1701" w:type="dxa"/>
          </w:tcPr>
          <w:p w:rsidR="001D7B58" w:rsidRDefault="009A181C" w:rsidP="009A181C">
            <w:pPr>
              <w:pStyle w:val="NoSpacing"/>
              <w:jc w:val="right"/>
            </w:pPr>
            <w:r>
              <w:t>113</w:t>
            </w:r>
          </w:p>
        </w:tc>
        <w:tc>
          <w:tcPr>
            <w:tcW w:w="1559" w:type="dxa"/>
          </w:tcPr>
          <w:p w:rsidR="001D7B58" w:rsidRDefault="009A181C" w:rsidP="009A181C">
            <w:pPr>
              <w:pStyle w:val="NoSpacing"/>
              <w:jc w:val="right"/>
            </w:pPr>
            <w:r>
              <w:t>360</w:t>
            </w:r>
          </w:p>
        </w:tc>
      </w:tr>
      <w:tr w:rsidR="001D7B58" w:rsidTr="001D7B58">
        <w:tc>
          <w:tcPr>
            <w:tcW w:w="5246" w:type="dxa"/>
          </w:tcPr>
          <w:p w:rsidR="001D7B58" w:rsidRDefault="00CB06E3" w:rsidP="005942B8">
            <w:pPr>
              <w:pStyle w:val="NoSpacing"/>
            </w:pPr>
            <w:r>
              <w:t>Land improvements</w:t>
            </w:r>
          </w:p>
        </w:tc>
        <w:tc>
          <w:tcPr>
            <w:tcW w:w="1842" w:type="dxa"/>
          </w:tcPr>
          <w:p w:rsidR="001D7B58" w:rsidRDefault="009A181C" w:rsidP="009A181C">
            <w:pPr>
              <w:pStyle w:val="NoSpacing"/>
              <w:jc w:val="right"/>
            </w:pPr>
            <w:r>
              <w:t>2,888</w:t>
            </w:r>
          </w:p>
        </w:tc>
        <w:tc>
          <w:tcPr>
            <w:tcW w:w="1843" w:type="dxa"/>
          </w:tcPr>
          <w:p w:rsidR="001D7B58" w:rsidRDefault="009A181C" w:rsidP="009A181C">
            <w:pPr>
              <w:pStyle w:val="NoSpacing"/>
              <w:jc w:val="right"/>
            </w:pPr>
            <w:r>
              <w:t>2,570</w:t>
            </w:r>
          </w:p>
        </w:tc>
        <w:tc>
          <w:tcPr>
            <w:tcW w:w="1701" w:type="dxa"/>
          </w:tcPr>
          <w:p w:rsidR="001D7B58" w:rsidRDefault="009A181C" w:rsidP="009A181C">
            <w:pPr>
              <w:pStyle w:val="NoSpacing"/>
              <w:jc w:val="right"/>
            </w:pPr>
            <w:r>
              <w:t>(323)</w:t>
            </w:r>
          </w:p>
        </w:tc>
        <w:tc>
          <w:tcPr>
            <w:tcW w:w="1701" w:type="dxa"/>
          </w:tcPr>
          <w:p w:rsidR="001D7B58" w:rsidRDefault="009A181C" w:rsidP="009A181C">
            <w:pPr>
              <w:pStyle w:val="NoSpacing"/>
              <w:jc w:val="right"/>
            </w:pPr>
            <w:r>
              <w:t>(152)</w:t>
            </w:r>
          </w:p>
        </w:tc>
        <w:tc>
          <w:tcPr>
            <w:tcW w:w="1701" w:type="dxa"/>
          </w:tcPr>
          <w:p w:rsidR="001D7B58" w:rsidRDefault="009A181C" w:rsidP="009A181C">
            <w:pPr>
              <w:pStyle w:val="NoSpacing"/>
              <w:jc w:val="right"/>
            </w:pPr>
            <w:r>
              <w:t>2,565</w:t>
            </w:r>
          </w:p>
        </w:tc>
        <w:tc>
          <w:tcPr>
            <w:tcW w:w="1559" w:type="dxa"/>
          </w:tcPr>
          <w:p w:rsidR="001D7B58" w:rsidRDefault="009A181C" w:rsidP="009A181C">
            <w:pPr>
              <w:pStyle w:val="NoSpacing"/>
              <w:jc w:val="right"/>
            </w:pPr>
            <w:r>
              <w:t>2,418</w:t>
            </w:r>
          </w:p>
        </w:tc>
      </w:tr>
      <w:tr w:rsidR="009A181C" w:rsidTr="001D7B58">
        <w:tc>
          <w:tcPr>
            <w:tcW w:w="5246" w:type="dxa"/>
          </w:tcPr>
          <w:p w:rsidR="009A181C" w:rsidRDefault="009A181C" w:rsidP="005942B8">
            <w:pPr>
              <w:pStyle w:val="NoSpacing"/>
            </w:pPr>
            <w:r>
              <w:t>Right of use assets</w:t>
            </w:r>
          </w:p>
        </w:tc>
        <w:tc>
          <w:tcPr>
            <w:tcW w:w="1842" w:type="dxa"/>
          </w:tcPr>
          <w:p w:rsidR="009A181C" w:rsidRDefault="009A181C" w:rsidP="009A181C">
            <w:pPr>
              <w:pStyle w:val="NoSpacing"/>
              <w:jc w:val="right"/>
            </w:pPr>
            <w:r>
              <w:t>2,973</w:t>
            </w:r>
          </w:p>
        </w:tc>
        <w:tc>
          <w:tcPr>
            <w:tcW w:w="1843" w:type="dxa"/>
          </w:tcPr>
          <w:p w:rsidR="009A181C" w:rsidRDefault="009A181C" w:rsidP="009A181C">
            <w:pPr>
              <w:pStyle w:val="NoSpacing"/>
              <w:jc w:val="right"/>
            </w:pPr>
            <w:r>
              <w:t>-</w:t>
            </w:r>
          </w:p>
        </w:tc>
        <w:tc>
          <w:tcPr>
            <w:tcW w:w="1701" w:type="dxa"/>
          </w:tcPr>
          <w:p w:rsidR="009A181C" w:rsidRDefault="009A181C" w:rsidP="009A181C">
            <w:pPr>
              <w:pStyle w:val="NoSpacing"/>
              <w:jc w:val="right"/>
            </w:pPr>
            <w:r>
              <w:t>(1,333)</w:t>
            </w:r>
          </w:p>
        </w:tc>
        <w:tc>
          <w:tcPr>
            <w:tcW w:w="1701" w:type="dxa"/>
          </w:tcPr>
          <w:p w:rsidR="009A181C" w:rsidRDefault="009A181C" w:rsidP="009A181C">
            <w:pPr>
              <w:pStyle w:val="NoSpacing"/>
              <w:jc w:val="right"/>
            </w:pPr>
            <w:r>
              <w:t>-</w:t>
            </w:r>
          </w:p>
        </w:tc>
        <w:tc>
          <w:tcPr>
            <w:tcW w:w="1701" w:type="dxa"/>
          </w:tcPr>
          <w:p w:rsidR="009A181C" w:rsidRDefault="009A181C" w:rsidP="009A181C">
            <w:pPr>
              <w:pStyle w:val="NoSpacing"/>
              <w:jc w:val="right"/>
            </w:pPr>
            <w:r>
              <w:t>1,640</w:t>
            </w:r>
          </w:p>
        </w:tc>
        <w:tc>
          <w:tcPr>
            <w:tcW w:w="1559" w:type="dxa"/>
          </w:tcPr>
          <w:p w:rsidR="009A181C" w:rsidRDefault="009A181C" w:rsidP="009A181C">
            <w:pPr>
              <w:pStyle w:val="NoSpacing"/>
              <w:jc w:val="right"/>
            </w:pPr>
            <w:r>
              <w:t>-</w:t>
            </w:r>
          </w:p>
        </w:tc>
      </w:tr>
      <w:tr w:rsidR="00CB06E3" w:rsidTr="001D7B58">
        <w:tc>
          <w:tcPr>
            <w:tcW w:w="5246" w:type="dxa"/>
          </w:tcPr>
          <w:p w:rsidR="00CB06E3" w:rsidRDefault="00CB06E3" w:rsidP="005942B8">
            <w:pPr>
              <w:pStyle w:val="NoSpacing"/>
            </w:pPr>
            <w:r>
              <w:t xml:space="preserve">Total </w:t>
            </w:r>
          </w:p>
        </w:tc>
        <w:tc>
          <w:tcPr>
            <w:tcW w:w="1842" w:type="dxa"/>
          </w:tcPr>
          <w:p w:rsidR="00CB06E3" w:rsidRDefault="009A181C" w:rsidP="009A181C">
            <w:pPr>
              <w:pStyle w:val="NoSpacing"/>
              <w:jc w:val="right"/>
            </w:pPr>
            <w:r>
              <w:t>401,443</w:t>
            </w:r>
          </w:p>
        </w:tc>
        <w:tc>
          <w:tcPr>
            <w:tcW w:w="1843" w:type="dxa"/>
          </w:tcPr>
          <w:p w:rsidR="00CB06E3" w:rsidRDefault="009A181C" w:rsidP="009A181C">
            <w:pPr>
              <w:pStyle w:val="NoSpacing"/>
              <w:jc w:val="right"/>
            </w:pPr>
            <w:r>
              <w:t>372,870</w:t>
            </w:r>
          </w:p>
        </w:tc>
        <w:tc>
          <w:tcPr>
            <w:tcW w:w="1701" w:type="dxa"/>
          </w:tcPr>
          <w:p w:rsidR="00CB06E3" w:rsidRDefault="009A181C" w:rsidP="009A181C">
            <w:pPr>
              <w:pStyle w:val="NoSpacing"/>
              <w:jc w:val="right"/>
            </w:pPr>
            <w:r>
              <w:t>(38,871)</w:t>
            </w:r>
          </w:p>
        </w:tc>
        <w:tc>
          <w:tcPr>
            <w:tcW w:w="1701" w:type="dxa"/>
          </w:tcPr>
          <w:p w:rsidR="00CB06E3" w:rsidRDefault="009A181C" w:rsidP="009A181C">
            <w:pPr>
              <w:pStyle w:val="NoSpacing"/>
              <w:jc w:val="right"/>
            </w:pPr>
            <w:r>
              <w:t>(29,295)</w:t>
            </w:r>
          </w:p>
        </w:tc>
        <w:tc>
          <w:tcPr>
            <w:tcW w:w="1701" w:type="dxa"/>
          </w:tcPr>
          <w:p w:rsidR="00CB06E3" w:rsidRDefault="009A181C" w:rsidP="009A181C">
            <w:pPr>
              <w:pStyle w:val="NoSpacing"/>
              <w:jc w:val="right"/>
            </w:pPr>
            <w:r>
              <w:t>362,572</w:t>
            </w:r>
          </w:p>
        </w:tc>
        <w:tc>
          <w:tcPr>
            <w:tcW w:w="1559" w:type="dxa"/>
          </w:tcPr>
          <w:p w:rsidR="00CB06E3" w:rsidRDefault="009A181C" w:rsidP="009A181C">
            <w:pPr>
              <w:pStyle w:val="NoSpacing"/>
              <w:jc w:val="right"/>
            </w:pPr>
            <w:r>
              <w:t>343,574</w:t>
            </w:r>
          </w:p>
        </w:tc>
      </w:tr>
    </w:tbl>
    <w:p w:rsidR="001D7B58" w:rsidRDefault="001D7B58" w:rsidP="005942B8">
      <w:pPr>
        <w:pStyle w:val="NoSpacing"/>
      </w:pPr>
    </w:p>
    <w:p w:rsidR="001D7B58" w:rsidRDefault="001D7B58" w:rsidP="005942B8">
      <w:pPr>
        <w:pStyle w:val="NoSpacing"/>
      </w:pPr>
    </w:p>
    <w:tbl>
      <w:tblPr>
        <w:tblStyle w:val="TableGrid"/>
        <w:tblW w:w="15593" w:type="dxa"/>
        <w:tblInd w:w="-856" w:type="dxa"/>
        <w:tblLook w:val="04A0" w:firstRow="1" w:lastRow="0" w:firstColumn="1" w:lastColumn="0" w:noHBand="0" w:noVBand="1"/>
      </w:tblPr>
      <w:tblGrid>
        <w:gridCol w:w="5246"/>
        <w:gridCol w:w="1842"/>
        <w:gridCol w:w="1843"/>
        <w:gridCol w:w="1701"/>
        <w:gridCol w:w="1701"/>
        <w:gridCol w:w="1701"/>
        <w:gridCol w:w="1559"/>
      </w:tblGrid>
      <w:tr w:rsidR="001D7B58" w:rsidTr="00831DE5">
        <w:tc>
          <w:tcPr>
            <w:tcW w:w="15593" w:type="dxa"/>
            <w:gridSpan w:val="7"/>
          </w:tcPr>
          <w:p w:rsidR="001D7B58" w:rsidRDefault="001D7B58" w:rsidP="00831DE5">
            <w:pPr>
              <w:pStyle w:val="NoSpacing"/>
            </w:pPr>
            <w:r>
              <w:t>Chisholm</w:t>
            </w:r>
          </w:p>
        </w:tc>
      </w:tr>
      <w:tr w:rsidR="001D7B58" w:rsidTr="00831DE5">
        <w:tc>
          <w:tcPr>
            <w:tcW w:w="5246" w:type="dxa"/>
          </w:tcPr>
          <w:p w:rsidR="001D7B58" w:rsidRDefault="00CB06E3" w:rsidP="00831DE5">
            <w:pPr>
              <w:pStyle w:val="NoSpacing"/>
            </w:pPr>
            <w:r>
              <w:t>Land</w:t>
            </w:r>
          </w:p>
        </w:tc>
        <w:tc>
          <w:tcPr>
            <w:tcW w:w="1842" w:type="dxa"/>
          </w:tcPr>
          <w:p w:rsidR="001D7B58" w:rsidRDefault="00326438" w:rsidP="009A181C">
            <w:pPr>
              <w:pStyle w:val="NoSpacing"/>
              <w:jc w:val="right"/>
            </w:pPr>
            <w:r>
              <w:t>58,196</w:t>
            </w:r>
          </w:p>
        </w:tc>
        <w:tc>
          <w:tcPr>
            <w:tcW w:w="1843" w:type="dxa"/>
          </w:tcPr>
          <w:p w:rsidR="001D7B58" w:rsidRDefault="00326438" w:rsidP="009A181C">
            <w:pPr>
              <w:pStyle w:val="NoSpacing"/>
              <w:jc w:val="right"/>
            </w:pPr>
            <w:r>
              <w:t>58,196</w:t>
            </w:r>
          </w:p>
        </w:tc>
        <w:tc>
          <w:tcPr>
            <w:tcW w:w="1701" w:type="dxa"/>
          </w:tcPr>
          <w:p w:rsidR="001D7B58" w:rsidRDefault="00326438" w:rsidP="009A181C">
            <w:pPr>
              <w:pStyle w:val="NoSpacing"/>
              <w:jc w:val="right"/>
            </w:pPr>
            <w:r>
              <w:t>-</w:t>
            </w:r>
          </w:p>
        </w:tc>
        <w:tc>
          <w:tcPr>
            <w:tcW w:w="1701" w:type="dxa"/>
          </w:tcPr>
          <w:p w:rsidR="001D7B58" w:rsidRDefault="00326438" w:rsidP="009A181C">
            <w:pPr>
              <w:pStyle w:val="NoSpacing"/>
              <w:jc w:val="right"/>
            </w:pPr>
            <w:r>
              <w:t>-</w:t>
            </w:r>
          </w:p>
        </w:tc>
        <w:tc>
          <w:tcPr>
            <w:tcW w:w="1701" w:type="dxa"/>
          </w:tcPr>
          <w:p w:rsidR="001D7B58" w:rsidRDefault="00326438" w:rsidP="009A181C">
            <w:pPr>
              <w:pStyle w:val="NoSpacing"/>
              <w:jc w:val="right"/>
            </w:pPr>
            <w:r>
              <w:t>58,196</w:t>
            </w:r>
          </w:p>
        </w:tc>
        <w:tc>
          <w:tcPr>
            <w:tcW w:w="1559" w:type="dxa"/>
          </w:tcPr>
          <w:p w:rsidR="001D7B58" w:rsidRDefault="00326438" w:rsidP="009A181C">
            <w:pPr>
              <w:pStyle w:val="NoSpacing"/>
              <w:jc w:val="right"/>
            </w:pPr>
            <w:r>
              <w:t>58,196</w:t>
            </w:r>
          </w:p>
        </w:tc>
      </w:tr>
      <w:tr w:rsidR="001D7B58" w:rsidTr="00831DE5">
        <w:tc>
          <w:tcPr>
            <w:tcW w:w="5246" w:type="dxa"/>
          </w:tcPr>
          <w:p w:rsidR="001D7B58" w:rsidRDefault="00CB06E3" w:rsidP="00831DE5">
            <w:pPr>
              <w:pStyle w:val="NoSpacing"/>
            </w:pPr>
            <w:r>
              <w:t xml:space="preserve">Buildings </w:t>
            </w:r>
          </w:p>
        </w:tc>
        <w:tc>
          <w:tcPr>
            <w:tcW w:w="1842" w:type="dxa"/>
          </w:tcPr>
          <w:p w:rsidR="001D7B58" w:rsidRDefault="00326438" w:rsidP="009A181C">
            <w:pPr>
              <w:pStyle w:val="NoSpacing"/>
              <w:jc w:val="right"/>
            </w:pPr>
            <w:r>
              <w:t>297,041</w:t>
            </w:r>
          </w:p>
        </w:tc>
        <w:tc>
          <w:tcPr>
            <w:tcW w:w="1843" w:type="dxa"/>
          </w:tcPr>
          <w:p w:rsidR="001D7B58" w:rsidRDefault="00326438" w:rsidP="009A181C">
            <w:pPr>
              <w:pStyle w:val="NoSpacing"/>
              <w:jc w:val="right"/>
            </w:pPr>
            <w:r>
              <w:t>208,207</w:t>
            </w:r>
          </w:p>
        </w:tc>
        <w:tc>
          <w:tcPr>
            <w:tcW w:w="1701" w:type="dxa"/>
          </w:tcPr>
          <w:p w:rsidR="001D7B58" w:rsidRDefault="00326438" w:rsidP="009A181C">
            <w:pPr>
              <w:pStyle w:val="NoSpacing"/>
              <w:jc w:val="right"/>
            </w:pPr>
            <w:r>
              <w:t>(10,999)</w:t>
            </w:r>
          </w:p>
        </w:tc>
        <w:tc>
          <w:tcPr>
            <w:tcW w:w="1701" w:type="dxa"/>
          </w:tcPr>
          <w:p w:rsidR="001D7B58" w:rsidRDefault="00326438" w:rsidP="009A181C">
            <w:pPr>
              <w:pStyle w:val="NoSpacing"/>
              <w:jc w:val="right"/>
            </w:pPr>
            <w:r>
              <w:t>(5,219)</w:t>
            </w:r>
          </w:p>
        </w:tc>
        <w:tc>
          <w:tcPr>
            <w:tcW w:w="1701" w:type="dxa"/>
          </w:tcPr>
          <w:p w:rsidR="001D7B58" w:rsidRDefault="00326438" w:rsidP="009A181C">
            <w:pPr>
              <w:pStyle w:val="NoSpacing"/>
              <w:jc w:val="right"/>
            </w:pPr>
            <w:r>
              <w:t>286,042</w:t>
            </w:r>
          </w:p>
        </w:tc>
        <w:tc>
          <w:tcPr>
            <w:tcW w:w="1559" w:type="dxa"/>
          </w:tcPr>
          <w:p w:rsidR="001D7B58" w:rsidRDefault="00326438" w:rsidP="009A181C">
            <w:pPr>
              <w:pStyle w:val="NoSpacing"/>
              <w:jc w:val="right"/>
            </w:pPr>
            <w:r>
              <w:t>202,988</w:t>
            </w:r>
          </w:p>
        </w:tc>
      </w:tr>
      <w:tr w:rsidR="001D7B58" w:rsidTr="00831DE5">
        <w:tc>
          <w:tcPr>
            <w:tcW w:w="5246" w:type="dxa"/>
          </w:tcPr>
          <w:p w:rsidR="001D7B58" w:rsidRDefault="00CB06E3" w:rsidP="00831DE5">
            <w:pPr>
              <w:pStyle w:val="NoSpacing"/>
            </w:pPr>
            <w:r>
              <w:t>Construction in progress</w:t>
            </w:r>
          </w:p>
        </w:tc>
        <w:tc>
          <w:tcPr>
            <w:tcW w:w="1842" w:type="dxa"/>
          </w:tcPr>
          <w:p w:rsidR="001D7B58" w:rsidRDefault="00326438" w:rsidP="009A181C">
            <w:pPr>
              <w:pStyle w:val="NoSpacing"/>
              <w:jc w:val="right"/>
            </w:pPr>
            <w:r>
              <w:t>584</w:t>
            </w:r>
          </w:p>
        </w:tc>
        <w:tc>
          <w:tcPr>
            <w:tcW w:w="1843" w:type="dxa"/>
          </w:tcPr>
          <w:p w:rsidR="001D7B58" w:rsidRDefault="00326438" w:rsidP="009A181C">
            <w:pPr>
              <w:pStyle w:val="NoSpacing"/>
              <w:jc w:val="right"/>
            </w:pPr>
            <w:r>
              <w:t>72,607</w:t>
            </w:r>
          </w:p>
        </w:tc>
        <w:tc>
          <w:tcPr>
            <w:tcW w:w="1701" w:type="dxa"/>
          </w:tcPr>
          <w:p w:rsidR="001D7B58" w:rsidRDefault="00326438" w:rsidP="009A181C">
            <w:pPr>
              <w:pStyle w:val="NoSpacing"/>
              <w:jc w:val="right"/>
            </w:pPr>
            <w:r>
              <w:t>-</w:t>
            </w:r>
          </w:p>
        </w:tc>
        <w:tc>
          <w:tcPr>
            <w:tcW w:w="1701" w:type="dxa"/>
          </w:tcPr>
          <w:p w:rsidR="001D7B58" w:rsidRDefault="00326438" w:rsidP="009A181C">
            <w:pPr>
              <w:pStyle w:val="NoSpacing"/>
              <w:jc w:val="right"/>
            </w:pPr>
            <w:r>
              <w:t>-</w:t>
            </w:r>
          </w:p>
        </w:tc>
        <w:tc>
          <w:tcPr>
            <w:tcW w:w="1701" w:type="dxa"/>
          </w:tcPr>
          <w:p w:rsidR="001D7B58" w:rsidRDefault="00326438" w:rsidP="009A181C">
            <w:pPr>
              <w:pStyle w:val="NoSpacing"/>
              <w:jc w:val="right"/>
            </w:pPr>
            <w:r>
              <w:t>584</w:t>
            </w:r>
          </w:p>
        </w:tc>
        <w:tc>
          <w:tcPr>
            <w:tcW w:w="1559" w:type="dxa"/>
          </w:tcPr>
          <w:p w:rsidR="001D7B58" w:rsidRDefault="00326438" w:rsidP="009A181C">
            <w:pPr>
              <w:pStyle w:val="NoSpacing"/>
              <w:jc w:val="right"/>
            </w:pPr>
            <w:r>
              <w:t>72,607</w:t>
            </w:r>
          </w:p>
        </w:tc>
      </w:tr>
      <w:tr w:rsidR="001D7B58" w:rsidTr="00831DE5">
        <w:tc>
          <w:tcPr>
            <w:tcW w:w="5246" w:type="dxa"/>
          </w:tcPr>
          <w:p w:rsidR="001D7B58" w:rsidRDefault="00CB06E3" w:rsidP="00831DE5">
            <w:pPr>
              <w:pStyle w:val="NoSpacing"/>
            </w:pPr>
            <w:r>
              <w:t>Plant and equipment</w:t>
            </w:r>
          </w:p>
        </w:tc>
        <w:tc>
          <w:tcPr>
            <w:tcW w:w="1842" w:type="dxa"/>
          </w:tcPr>
          <w:p w:rsidR="001D7B58" w:rsidRDefault="00326438" w:rsidP="009A181C">
            <w:pPr>
              <w:pStyle w:val="NoSpacing"/>
              <w:jc w:val="right"/>
            </w:pPr>
            <w:r>
              <w:t>35,529</w:t>
            </w:r>
          </w:p>
        </w:tc>
        <w:tc>
          <w:tcPr>
            <w:tcW w:w="1843" w:type="dxa"/>
          </w:tcPr>
          <w:p w:rsidR="001D7B58" w:rsidRDefault="00326438" w:rsidP="009A181C">
            <w:pPr>
              <w:pStyle w:val="NoSpacing"/>
              <w:jc w:val="right"/>
            </w:pPr>
            <w:r>
              <w:t>27,058</w:t>
            </w:r>
          </w:p>
        </w:tc>
        <w:tc>
          <w:tcPr>
            <w:tcW w:w="1701" w:type="dxa"/>
          </w:tcPr>
          <w:p w:rsidR="001D7B58" w:rsidRDefault="00326438" w:rsidP="009A181C">
            <w:pPr>
              <w:pStyle w:val="NoSpacing"/>
              <w:jc w:val="right"/>
            </w:pPr>
            <w:r>
              <w:t>(22,430)</w:t>
            </w:r>
          </w:p>
        </w:tc>
        <w:tc>
          <w:tcPr>
            <w:tcW w:w="1701" w:type="dxa"/>
          </w:tcPr>
          <w:p w:rsidR="001D7B58" w:rsidRDefault="00326438" w:rsidP="009A181C">
            <w:pPr>
              <w:pStyle w:val="NoSpacing"/>
              <w:jc w:val="right"/>
            </w:pPr>
            <w:r>
              <w:t>(20,469)</w:t>
            </w:r>
          </w:p>
        </w:tc>
        <w:tc>
          <w:tcPr>
            <w:tcW w:w="1701" w:type="dxa"/>
          </w:tcPr>
          <w:p w:rsidR="001D7B58" w:rsidRDefault="00326438" w:rsidP="009A181C">
            <w:pPr>
              <w:pStyle w:val="NoSpacing"/>
              <w:jc w:val="right"/>
            </w:pPr>
            <w:r>
              <w:t>13,099</w:t>
            </w:r>
          </w:p>
        </w:tc>
        <w:tc>
          <w:tcPr>
            <w:tcW w:w="1559" w:type="dxa"/>
          </w:tcPr>
          <w:p w:rsidR="001D7B58" w:rsidRDefault="00326438" w:rsidP="009A181C">
            <w:pPr>
              <w:pStyle w:val="NoSpacing"/>
              <w:jc w:val="right"/>
            </w:pPr>
            <w:r>
              <w:t>6,589</w:t>
            </w:r>
          </w:p>
        </w:tc>
      </w:tr>
      <w:tr w:rsidR="001D7B58" w:rsidTr="00831DE5">
        <w:tc>
          <w:tcPr>
            <w:tcW w:w="5246" w:type="dxa"/>
          </w:tcPr>
          <w:p w:rsidR="001D7B58" w:rsidRDefault="00CB06E3" w:rsidP="00831DE5">
            <w:pPr>
              <w:pStyle w:val="NoSpacing"/>
            </w:pPr>
            <w:r>
              <w:t>Motor vehicles</w:t>
            </w:r>
          </w:p>
        </w:tc>
        <w:tc>
          <w:tcPr>
            <w:tcW w:w="1842" w:type="dxa"/>
          </w:tcPr>
          <w:p w:rsidR="001D7B58" w:rsidRDefault="00326438" w:rsidP="009A181C">
            <w:pPr>
              <w:pStyle w:val="NoSpacing"/>
              <w:jc w:val="right"/>
            </w:pPr>
            <w:r>
              <w:t>1,188</w:t>
            </w:r>
          </w:p>
        </w:tc>
        <w:tc>
          <w:tcPr>
            <w:tcW w:w="1843" w:type="dxa"/>
          </w:tcPr>
          <w:p w:rsidR="001D7B58" w:rsidRDefault="00326438" w:rsidP="009A181C">
            <w:pPr>
              <w:pStyle w:val="NoSpacing"/>
              <w:jc w:val="right"/>
            </w:pPr>
            <w:r>
              <w:t>1,188</w:t>
            </w:r>
          </w:p>
        </w:tc>
        <w:tc>
          <w:tcPr>
            <w:tcW w:w="1701" w:type="dxa"/>
          </w:tcPr>
          <w:p w:rsidR="001D7B58" w:rsidRDefault="00326438" w:rsidP="009A181C">
            <w:pPr>
              <w:pStyle w:val="NoSpacing"/>
              <w:jc w:val="right"/>
            </w:pPr>
            <w:r>
              <w:t>(855)</w:t>
            </w:r>
          </w:p>
        </w:tc>
        <w:tc>
          <w:tcPr>
            <w:tcW w:w="1701" w:type="dxa"/>
          </w:tcPr>
          <w:p w:rsidR="001D7B58" w:rsidRDefault="00326438" w:rsidP="009A181C">
            <w:pPr>
              <w:pStyle w:val="NoSpacing"/>
              <w:jc w:val="right"/>
            </w:pPr>
            <w:r>
              <w:t>(771)</w:t>
            </w:r>
          </w:p>
        </w:tc>
        <w:tc>
          <w:tcPr>
            <w:tcW w:w="1701" w:type="dxa"/>
          </w:tcPr>
          <w:p w:rsidR="001D7B58" w:rsidRDefault="00326438" w:rsidP="009A181C">
            <w:pPr>
              <w:pStyle w:val="NoSpacing"/>
              <w:jc w:val="right"/>
            </w:pPr>
            <w:r>
              <w:t>333</w:t>
            </w:r>
          </w:p>
        </w:tc>
        <w:tc>
          <w:tcPr>
            <w:tcW w:w="1559" w:type="dxa"/>
          </w:tcPr>
          <w:p w:rsidR="001D7B58" w:rsidRDefault="00326438" w:rsidP="009A181C">
            <w:pPr>
              <w:pStyle w:val="NoSpacing"/>
              <w:jc w:val="right"/>
            </w:pPr>
            <w:r>
              <w:t>416</w:t>
            </w:r>
          </w:p>
        </w:tc>
      </w:tr>
      <w:tr w:rsidR="001D7B58" w:rsidTr="00831DE5">
        <w:tc>
          <w:tcPr>
            <w:tcW w:w="5246" w:type="dxa"/>
          </w:tcPr>
          <w:p w:rsidR="001D7B58" w:rsidRDefault="00CB06E3" w:rsidP="00831DE5">
            <w:pPr>
              <w:pStyle w:val="NoSpacing"/>
            </w:pPr>
            <w:r>
              <w:t>Leasehold improvements</w:t>
            </w:r>
          </w:p>
        </w:tc>
        <w:tc>
          <w:tcPr>
            <w:tcW w:w="1842" w:type="dxa"/>
          </w:tcPr>
          <w:p w:rsidR="001D7B58" w:rsidRDefault="00326438" w:rsidP="009A181C">
            <w:pPr>
              <w:pStyle w:val="NoSpacing"/>
              <w:jc w:val="right"/>
            </w:pPr>
            <w:r>
              <w:t>3,044</w:t>
            </w:r>
          </w:p>
        </w:tc>
        <w:tc>
          <w:tcPr>
            <w:tcW w:w="1843" w:type="dxa"/>
          </w:tcPr>
          <w:p w:rsidR="001D7B58" w:rsidRDefault="00326438" w:rsidP="009A181C">
            <w:pPr>
              <w:pStyle w:val="NoSpacing"/>
              <w:jc w:val="right"/>
            </w:pPr>
            <w:r>
              <w:t>3,044</w:t>
            </w:r>
          </w:p>
        </w:tc>
        <w:tc>
          <w:tcPr>
            <w:tcW w:w="1701" w:type="dxa"/>
          </w:tcPr>
          <w:p w:rsidR="001D7B58" w:rsidRDefault="00326438" w:rsidP="009A181C">
            <w:pPr>
              <w:pStyle w:val="NoSpacing"/>
              <w:jc w:val="right"/>
            </w:pPr>
            <w:r>
              <w:t>(2,931)</w:t>
            </w:r>
          </w:p>
        </w:tc>
        <w:tc>
          <w:tcPr>
            <w:tcW w:w="1701" w:type="dxa"/>
          </w:tcPr>
          <w:p w:rsidR="001D7B58" w:rsidRDefault="00326438" w:rsidP="009A181C">
            <w:pPr>
              <w:pStyle w:val="NoSpacing"/>
              <w:jc w:val="right"/>
            </w:pPr>
            <w:r>
              <w:t>(2,684)</w:t>
            </w:r>
          </w:p>
        </w:tc>
        <w:tc>
          <w:tcPr>
            <w:tcW w:w="1701" w:type="dxa"/>
          </w:tcPr>
          <w:p w:rsidR="001D7B58" w:rsidRDefault="00326438" w:rsidP="009A181C">
            <w:pPr>
              <w:pStyle w:val="NoSpacing"/>
              <w:jc w:val="right"/>
            </w:pPr>
            <w:r>
              <w:t>113</w:t>
            </w:r>
          </w:p>
        </w:tc>
        <w:tc>
          <w:tcPr>
            <w:tcW w:w="1559" w:type="dxa"/>
          </w:tcPr>
          <w:p w:rsidR="001D7B58" w:rsidRDefault="00326438" w:rsidP="009A181C">
            <w:pPr>
              <w:pStyle w:val="NoSpacing"/>
              <w:jc w:val="right"/>
            </w:pPr>
            <w:r>
              <w:t>360</w:t>
            </w:r>
          </w:p>
        </w:tc>
      </w:tr>
      <w:tr w:rsidR="001D7B58" w:rsidTr="00831DE5">
        <w:tc>
          <w:tcPr>
            <w:tcW w:w="5246" w:type="dxa"/>
          </w:tcPr>
          <w:p w:rsidR="001D7B58" w:rsidRDefault="00CB06E3" w:rsidP="00831DE5">
            <w:pPr>
              <w:pStyle w:val="NoSpacing"/>
            </w:pPr>
            <w:r>
              <w:t xml:space="preserve">Land improvements </w:t>
            </w:r>
          </w:p>
        </w:tc>
        <w:tc>
          <w:tcPr>
            <w:tcW w:w="1842" w:type="dxa"/>
          </w:tcPr>
          <w:p w:rsidR="001D7B58" w:rsidRDefault="00326438" w:rsidP="009A181C">
            <w:pPr>
              <w:pStyle w:val="NoSpacing"/>
              <w:jc w:val="right"/>
            </w:pPr>
            <w:r>
              <w:t>2,888</w:t>
            </w:r>
          </w:p>
        </w:tc>
        <w:tc>
          <w:tcPr>
            <w:tcW w:w="1843" w:type="dxa"/>
          </w:tcPr>
          <w:p w:rsidR="001D7B58" w:rsidRDefault="00326438" w:rsidP="009A181C">
            <w:pPr>
              <w:pStyle w:val="NoSpacing"/>
              <w:jc w:val="right"/>
            </w:pPr>
            <w:r>
              <w:t>2,570</w:t>
            </w:r>
          </w:p>
        </w:tc>
        <w:tc>
          <w:tcPr>
            <w:tcW w:w="1701" w:type="dxa"/>
          </w:tcPr>
          <w:p w:rsidR="001D7B58" w:rsidRDefault="00326438" w:rsidP="009A181C">
            <w:pPr>
              <w:pStyle w:val="NoSpacing"/>
              <w:jc w:val="right"/>
            </w:pPr>
            <w:r>
              <w:t>(323)</w:t>
            </w:r>
          </w:p>
        </w:tc>
        <w:tc>
          <w:tcPr>
            <w:tcW w:w="1701" w:type="dxa"/>
          </w:tcPr>
          <w:p w:rsidR="001D7B58" w:rsidRDefault="00326438" w:rsidP="009A181C">
            <w:pPr>
              <w:pStyle w:val="NoSpacing"/>
              <w:jc w:val="right"/>
            </w:pPr>
            <w:r>
              <w:t>(152)</w:t>
            </w:r>
          </w:p>
        </w:tc>
        <w:tc>
          <w:tcPr>
            <w:tcW w:w="1701" w:type="dxa"/>
          </w:tcPr>
          <w:p w:rsidR="001D7B58" w:rsidRDefault="00326438" w:rsidP="009A181C">
            <w:pPr>
              <w:pStyle w:val="NoSpacing"/>
              <w:jc w:val="right"/>
            </w:pPr>
            <w:r>
              <w:t>2,565</w:t>
            </w:r>
          </w:p>
        </w:tc>
        <w:tc>
          <w:tcPr>
            <w:tcW w:w="1559" w:type="dxa"/>
          </w:tcPr>
          <w:p w:rsidR="001D7B58" w:rsidRDefault="00326438" w:rsidP="009A181C">
            <w:pPr>
              <w:pStyle w:val="NoSpacing"/>
              <w:jc w:val="right"/>
            </w:pPr>
            <w:r>
              <w:t>2,418</w:t>
            </w:r>
          </w:p>
        </w:tc>
      </w:tr>
      <w:tr w:rsidR="009A181C" w:rsidTr="00831DE5">
        <w:tc>
          <w:tcPr>
            <w:tcW w:w="5246" w:type="dxa"/>
          </w:tcPr>
          <w:p w:rsidR="009A181C" w:rsidRDefault="009A181C" w:rsidP="00831DE5">
            <w:pPr>
              <w:pStyle w:val="NoSpacing"/>
            </w:pPr>
            <w:r>
              <w:t>Right of use assets</w:t>
            </w:r>
          </w:p>
        </w:tc>
        <w:tc>
          <w:tcPr>
            <w:tcW w:w="1842" w:type="dxa"/>
          </w:tcPr>
          <w:p w:rsidR="009A181C" w:rsidRDefault="00326438" w:rsidP="009A181C">
            <w:pPr>
              <w:pStyle w:val="NoSpacing"/>
              <w:jc w:val="right"/>
            </w:pPr>
            <w:r>
              <w:t>2,973</w:t>
            </w:r>
          </w:p>
        </w:tc>
        <w:tc>
          <w:tcPr>
            <w:tcW w:w="1843" w:type="dxa"/>
          </w:tcPr>
          <w:p w:rsidR="009A181C" w:rsidRDefault="00326438" w:rsidP="009A181C">
            <w:pPr>
              <w:pStyle w:val="NoSpacing"/>
              <w:jc w:val="right"/>
            </w:pPr>
            <w:r>
              <w:t>-</w:t>
            </w:r>
          </w:p>
        </w:tc>
        <w:tc>
          <w:tcPr>
            <w:tcW w:w="1701" w:type="dxa"/>
          </w:tcPr>
          <w:p w:rsidR="009A181C" w:rsidRDefault="00326438" w:rsidP="009A181C">
            <w:pPr>
              <w:pStyle w:val="NoSpacing"/>
              <w:jc w:val="right"/>
            </w:pPr>
            <w:r>
              <w:t>(1,333)</w:t>
            </w:r>
          </w:p>
        </w:tc>
        <w:tc>
          <w:tcPr>
            <w:tcW w:w="1701" w:type="dxa"/>
          </w:tcPr>
          <w:p w:rsidR="009A181C" w:rsidRDefault="00326438" w:rsidP="009A181C">
            <w:pPr>
              <w:pStyle w:val="NoSpacing"/>
              <w:jc w:val="right"/>
            </w:pPr>
            <w:r>
              <w:t>-</w:t>
            </w:r>
          </w:p>
        </w:tc>
        <w:tc>
          <w:tcPr>
            <w:tcW w:w="1701" w:type="dxa"/>
          </w:tcPr>
          <w:p w:rsidR="009A181C" w:rsidRDefault="00326438" w:rsidP="009A181C">
            <w:pPr>
              <w:pStyle w:val="NoSpacing"/>
              <w:jc w:val="right"/>
            </w:pPr>
            <w:r>
              <w:t>1,640</w:t>
            </w:r>
          </w:p>
        </w:tc>
        <w:tc>
          <w:tcPr>
            <w:tcW w:w="1559" w:type="dxa"/>
          </w:tcPr>
          <w:p w:rsidR="009A181C" w:rsidRDefault="00326438" w:rsidP="009A181C">
            <w:pPr>
              <w:pStyle w:val="NoSpacing"/>
              <w:jc w:val="right"/>
            </w:pPr>
            <w:r>
              <w:t>-</w:t>
            </w:r>
          </w:p>
        </w:tc>
      </w:tr>
      <w:tr w:rsidR="00CB06E3" w:rsidTr="00831DE5">
        <w:tc>
          <w:tcPr>
            <w:tcW w:w="5246" w:type="dxa"/>
          </w:tcPr>
          <w:p w:rsidR="00CB06E3" w:rsidRDefault="00CB06E3" w:rsidP="00831DE5">
            <w:pPr>
              <w:pStyle w:val="NoSpacing"/>
            </w:pPr>
            <w:r>
              <w:t xml:space="preserve">Total </w:t>
            </w:r>
          </w:p>
        </w:tc>
        <w:tc>
          <w:tcPr>
            <w:tcW w:w="1842" w:type="dxa"/>
          </w:tcPr>
          <w:p w:rsidR="00CB06E3" w:rsidRDefault="00326438" w:rsidP="009A181C">
            <w:pPr>
              <w:pStyle w:val="NoSpacing"/>
              <w:jc w:val="right"/>
            </w:pPr>
            <w:r>
              <w:t>401,443</w:t>
            </w:r>
          </w:p>
        </w:tc>
        <w:tc>
          <w:tcPr>
            <w:tcW w:w="1843" w:type="dxa"/>
          </w:tcPr>
          <w:p w:rsidR="00CB06E3" w:rsidRDefault="00326438" w:rsidP="009A181C">
            <w:pPr>
              <w:pStyle w:val="NoSpacing"/>
              <w:jc w:val="right"/>
            </w:pPr>
            <w:r>
              <w:t>372,870</w:t>
            </w:r>
          </w:p>
        </w:tc>
        <w:tc>
          <w:tcPr>
            <w:tcW w:w="1701" w:type="dxa"/>
          </w:tcPr>
          <w:p w:rsidR="00CB06E3" w:rsidRDefault="00326438" w:rsidP="009A181C">
            <w:pPr>
              <w:pStyle w:val="NoSpacing"/>
              <w:jc w:val="right"/>
            </w:pPr>
            <w:r>
              <w:t>(38,871)</w:t>
            </w:r>
          </w:p>
        </w:tc>
        <w:tc>
          <w:tcPr>
            <w:tcW w:w="1701" w:type="dxa"/>
          </w:tcPr>
          <w:p w:rsidR="00CB06E3" w:rsidRDefault="00326438" w:rsidP="009A181C">
            <w:pPr>
              <w:pStyle w:val="NoSpacing"/>
              <w:jc w:val="right"/>
            </w:pPr>
            <w:r>
              <w:t>(29,295)</w:t>
            </w:r>
          </w:p>
        </w:tc>
        <w:tc>
          <w:tcPr>
            <w:tcW w:w="1701" w:type="dxa"/>
          </w:tcPr>
          <w:p w:rsidR="00CB06E3" w:rsidRDefault="00326438" w:rsidP="009A181C">
            <w:pPr>
              <w:pStyle w:val="NoSpacing"/>
              <w:jc w:val="right"/>
            </w:pPr>
            <w:r>
              <w:t>362,572</w:t>
            </w:r>
          </w:p>
        </w:tc>
        <w:tc>
          <w:tcPr>
            <w:tcW w:w="1559" w:type="dxa"/>
          </w:tcPr>
          <w:p w:rsidR="00CB06E3" w:rsidRDefault="00326438" w:rsidP="009A181C">
            <w:pPr>
              <w:pStyle w:val="NoSpacing"/>
              <w:jc w:val="right"/>
            </w:pPr>
            <w:r>
              <w:t>343,574</w:t>
            </w:r>
          </w:p>
        </w:tc>
      </w:tr>
    </w:tbl>
    <w:p w:rsidR="00CB06E3" w:rsidRDefault="00CB06E3" w:rsidP="005942B8">
      <w:pPr>
        <w:pStyle w:val="NoSpacing"/>
        <w:sectPr w:rsidR="00CB06E3" w:rsidSect="001D7B58">
          <w:pgSz w:w="16838" w:h="11906" w:orient="landscape"/>
          <w:pgMar w:top="1440" w:right="1440" w:bottom="1440" w:left="1440" w:header="709" w:footer="709" w:gutter="0"/>
          <w:cols w:space="708"/>
          <w:docGrid w:linePitch="360"/>
        </w:sectPr>
      </w:pPr>
    </w:p>
    <w:p w:rsidR="00326438" w:rsidRDefault="00326438" w:rsidP="00406A46">
      <w:pPr>
        <w:pStyle w:val="Heading4"/>
      </w:pPr>
      <w:r>
        <w:lastRenderedPageBreak/>
        <w:t xml:space="preserve">Initial recognition </w:t>
      </w:r>
    </w:p>
    <w:p w:rsidR="00326438" w:rsidRDefault="00326438" w:rsidP="005942B8">
      <w:pPr>
        <w:pStyle w:val="NoSpacing"/>
      </w:pPr>
      <w:r>
        <w:t>Immediately upon acquisition, items of property, plant and equipment are measured initially at cost and subsequently revalued at fair value less accumulated depreciation and impairment. Where an asset is received for no or nominal consideration, the cost is the asset’s fair value at the date of acquisition.</w:t>
      </w:r>
    </w:p>
    <w:p w:rsidR="00326438" w:rsidRDefault="00326438" w:rsidP="005942B8">
      <w:pPr>
        <w:pStyle w:val="NoSpacing"/>
      </w:pPr>
      <w:r>
        <w:t>The cost of constructed non-financial physical assets includes the cost of all materials used in construction, direct labour on the project, and an appropriate proportion of variable and fixed overheads.</w:t>
      </w:r>
    </w:p>
    <w:p w:rsidR="00326438" w:rsidRDefault="00326438" w:rsidP="005942B8">
      <w:pPr>
        <w:pStyle w:val="NoSpacing"/>
      </w:pPr>
    </w:p>
    <w:p w:rsidR="00326438" w:rsidRDefault="00326438" w:rsidP="005942B8">
      <w:pPr>
        <w:pStyle w:val="NoSpacing"/>
      </w:pPr>
      <w:r>
        <w:t>&lt;page 67&gt;</w:t>
      </w:r>
    </w:p>
    <w:p w:rsidR="00326438" w:rsidRDefault="00326438" w:rsidP="005942B8">
      <w:pPr>
        <w:pStyle w:val="NoSpacing"/>
      </w:pPr>
    </w:p>
    <w:p w:rsidR="00326438" w:rsidRDefault="00326438" w:rsidP="00406A46">
      <w:pPr>
        <w:pStyle w:val="Heading2"/>
      </w:pPr>
      <w:r>
        <w:t>4. The assets we invested in (continued)</w:t>
      </w:r>
    </w:p>
    <w:p w:rsidR="00326438" w:rsidRDefault="00326438" w:rsidP="005942B8">
      <w:pPr>
        <w:pStyle w:val="NoSpacing"/>
      </w:pPr>
    </w:p>
    <w:p w:rsidR="00CB06E3" w:rsidRDefault="00CB06E3" w:rsidP="00406A46">
      <w:pPr>
        <w:pStyle w:val="Heading3"/>
      </w:pPr>
      <w:r>
        <w:t>4.1 Property, plant and equipment (continued)</w:t>
      </w:r>
    </w:p>
    <w:p w:rsidR="00CB06E3" w:rsidRDefault="00326438" w:rsidP="005942B8">
      <w:pPr>
        <w:pStyle w:val="NoSpacing"/>
      </w:pPr>
      <w:r>
        <w:t>The cost of leasehold improvements is capitalised and depreciated over the shorted of the remaining term of the lease or their estimated useful lives.</w:t>
      </w:r>
    </w:p>
    <w:p w:rsidR="00326438" w:rsidRDefault="00326438" w:rsidP="005942B8">
      <w:pPr>
        <w:pStyle w:val="NoSpacing"/>
      </w:pPr>
    </w:p>
    <w:p w:rsidR="00326438" w:rsidRDefault="00326438" w:rsidP="00406A46">
      <w:pPr>
        <w:pStyle w:val="Heading4"/>
      </w:pPr>
      <w:r>
        <w:t>Subsequent measurement</w:t>
      </w:r>
    </w:p>
    <w:p w:rsidR="00326438" w:rsidRPr="00326438" w:rsidRDefault="00326438" w:rsidP="00326438">
      <w:pPr>
        <w:autoSpaceDE w:val="0"/>
        <w:autoSpaceDN w:val="0"/>
        <w:adjustRightInd w:val="0"/>
        <w:spacing w:after="0" w:line="240" w:lineRule="auto"/>
        <w:rPr>
          <w:rFonts w:cs="ProximaNovaA-Light"/>
          <w:color w:val="231F20"/>
        </w:rPr>
      </w:pPr>
      <w:r w:rsidRPr="00326438">
        <w:rPr>
          <w:rFonts w:cs="ProximaNovaA-Light"/>
          <w:color w:val="231F20"/>
        </w:rPr>
        <w:t>Where there is an indication that the</w:t>
      </w:r>
      <w:r w:rsidR="00013590">
        <w:rPr>
          <w:rFonts w:cs="ProximaNovaA-Light"/>
          <w:color w:val="231F20"/>
        </w:rPr>
        <w:t xml:space="preserve"> </w:t>
      </w:r>
      <w:r w:rsidRPr="00326438">
        <w:rPr>
          <w:rFonts w:cs="ProximaNovaA-Light"/>
          <w:color w:val="231F20"/>
        </w:rPr>
        <w:t>value of property, plant and equipment</w:t>
      </w:r>
      <w:r w:rsidR="00013590">
        <w:rPr>
          <w:rFonts w:cs="ProximaNovaA-Light"/>
          <w:color w:val="231F20"/>
        </w:rPr>
        <w:t xml:space="preserve"> </w:t>
      </w:r>
      <w:r w:rsidRPr="00326438">
        <w:rPr>
          <w:rFonts w:cs="ProximaNovaA-Light"/>
          <w:color w:val="231F20"/>
        </w:rPr>
        <w:t>has changed, these assets are</w:t>
      </w:r>
      <w:r w:rsidR="00013590">
        <w:rPr>
          <w:rFonts w:cs="ProximaNovaA-Light"/>
          <w:color w:val="231F20"/>
        </w:rPr>
        <w:t xml:space="preserve"> </w:t>
      </w:r>
      <w:r w:rsidRPr="00326438">
        <w:rPr>
          <w:rFonts w:cs="ProximaNovaA-Light"/>
          <w:color w:val="231F20"/>
        </w:rPr>
        <w:t>subsequently measured at fair value</w:t>
      </w:r>
      <w:r w:rsidR="00013590">
        <w:rPr>
          <w:rFonts w:cs="ProximaNovaA-Light"/>
          <w:color w:val="231F20"/>
        </w:rPr>
        <w:t xml:space="preserve"> </w:t>
      </w:r>
      <w:r w:rsidRPr="00326438">
        <w:rPr>
          <w:rFonts w:cs="ProximaNovaA-Light"/>
          <w:color w:val="231F20"/>
        </w:rPr>
        <w:t>less accumulated depreciation and</w:t>
      </w:r>
      <w:r w:rsidR="00013590">
        <w:rPr>
          <w:rFonts w:cs="ProximaNovaA-Light"/>
          <w:color w:val="231F20"/>
        </w:rPr>
        <w:t xml:space="preserve"> </w:t>
      </w:r>
      <w:r w:rsidRPr="00326438">
        <w:rPr>
          <w:rFonts w:cs="ProximaNovaA-Light"/>
          <w:color w:val="231F20"/>
        </w:rPr>
        <w:t>impairment. Fair value is determined</w:t>
      </w:r>
      <w:r w:rsidR="00013590">
        <w:rPr>
          <w:rFonts w:cs="ProximaNovaA-Light"/>
          <w:color w:val="231F20"/>
        </w:rPr>
        <w:t xml:space="preserve"> </w:t>
      </w:r>
      <w:r w:rsidRPr="00326438">
        <w:rPr>
          <w:rFonts w:cs="ProximaNovaA-Light"/>
          <w:color w:val="231F20"/>
        </w:rPr>
        <w:t>with regard to the asset’s highest and</w:t>
      </w:r>
      <w:r w:rsidR="00013590">
        <w:rPr>
          <w:rFonts w:cs="ProximaNovaA-Light"/>
          <w:color w:val="231F20"/>
        </w:rPr>
        <w:t xml:space="preserve"> </w:t>
      </w:r>
      <w:r w:rsidRPr="00326438">
        <w:rPr>
          <w:rFonts w:cs="ProximaNovaA-Light"/>
          <w:color w:val="231F20"/>
        </w:rPr>
        <w:t>best use (considering legal or physical</w:t>
      </w:r>
      <w:r w:rsidR="00013590">
        <w:rPr>
          <w:rFonts w:cs="ProximaNovaA-Light"/>
          <w:color w:val="231F20"/>
        </w:rPr>
        <w:t xml:space="preserve"> </w:t>
      </w:r>
      <w:r w:rsidRPr="00326438">
        <w:rPr>
          <w:rFonts w:cs="ProximaNovaA-Light"/>
          <w:color w:val="231F20"/>
        </w:rPr>
        <w:t>restrictions imposed on the asset, public</w:t>
      </w:r>
      <w:r w:rsidR="00013590">
        <w:rPr>
          <w:rFonts w:cs="ProximaNovaA-Light"/>
          <w:color w:val="231F20"/>
        </w:rPr>
        <w:t xml:space="preserve"> </w:t>
      </w:r>
      <w:r w:rsidRPr="00326438">
        <w:rPr>
          <w:rFonts w:cs="ProximaNovaA-Light"/>
          <w:color w:val="231F20"/>
        </w:rPr>
        <w:t>announcements or commitments made in</w:t>
      </w:r>
      <w:r w:rsidR="00013590">
        <w:rPr>
          <w:rFonts w:cs="ProximaNovaA-Light"/>
          <w:color w:val="231F20"/>
        </w:rPr>
        <w:t xml:space="preserve"> </w:t>
      </w:r>
      <w:r w:rsidRPr="00326438">
        <w:rPr>
          <w:rFonts w:cs="ProximaNovaA-Light"/>
          <w:color w:val="231F20"/>
        </w:rPr>
        <w:t>relation to the intended use of the asset)</w:t>
      </w:r>
      <w:r w:rsidR="00013590">
        <w:rPr>
          <w:rFonts w:cs="ProximaNovaA-Light"/>
          <w:color w:val="231F20"/>
        </w:rPr>
        <w:t xml:space="preserve"> </w:t>
      </w:r>
      <w:r w:rsidRPr="00326438">
        <w:rPr>
          <w:rFonts w:cs="ProximaNovaA-Light"/>
          <w:color w:val="231F20"/>
        </w:rPr>
        <w:t>and is summarised by asset category.</w:t>
      </w:r>
    </w:p>
    <w:p w:rsidR="00013590" w:rsidRDefault="00013590" w:rsidP="00326438">
      <w:pPr>
        <w:autoSpaceDE w:val="0"/>
        <w:autoSpaceDN w:val="0"/>
        <w:adjustRightInd w:val="0"/>
        <w:spacing w:after="0" w:line="240" w:lineRule="auto"/>
        <w:rPr>
          <w:rFonts w:cs="ProximaNovaA-Light"/>
          <w:color w:val="231F20"/>
        </w:rPr>
      </w:pPr>
    </w:p>
    <w:p w:rsidR="00326438" w:rsidRPr="00326438" w:rsidRDefault="00326438" w:rsidP="00326438">
      <w:pPr>
        <w:autoSpaceDE w:val="0"/>
        <w:autoSpaceDN w:val="0"/>
        <w:adjustRightInd w:val="0"/>
        <w:spacing w:after="0" w:line="240" w:lineRule="auto"/>
        <w:rPr>
          <w:rFonts w:cs="ProximaNovaA-Light"/>
          <w:color w:val="231F20"/>
        </w:rPr>
      </w:pPr>
      <w:r w:rsidRPr="00326438">
        <w:rPr>
          <w:rFonts w:cs="ProximaNovaA-Light"/>
          <w:color w:val="231F20"/>
        </w:rPr>
        <w:t>Non-specialised land, non-specialised</w:t>
      </w:r>
      <w:r w:rsidR="00013590">
        <w:rPr>
          <w:rFonts w:cs="ProximaNovaA-Light"/>
          <w:color w:val="231F20"/>
        </w:rPr>
        <w:t xml:space="preserve"> </w:t>
      </w:r>
      <w:r w:rsidRPr="00326438">
        <w:rPr>
          <w:rFonts w:cs="ProximaNovaA-Light"/>
          <w:color w:val="231F20"/>
        </w:rPr>
        <w:t>buildings and artworks are valued using</w:t>
      </w:r>
      <w:r w:rsidR="00013590">
        <w:rPr>
          <w:rFonts w:cs="ProximaNovaA-Light"/>
          <w:color w:val="231F20"/>
        </w:rPr>
        <w:t xml:space="preserve"> </w:t>
      </w:r>
      <w:r w:rsidRPr="00326438">
        <w:rPr>
          <w:rFonts w:cs="ProximaNovaA-Light"/>
          <w:color w:val="231F20"/>
        </w:rPr>
        <w:t>the market approach, whereby assets</w:t>
      </w:r>
      <w:r w:rsidR="00013590">
        <w:rPr>
          <w:rFonts w:cs="ProximaNovaA-Light"/>
          <w:color w:val="231F20"/>
        </w:rPr>
        <w:t xml:space="preserve"> </w:t>
      </w:r>
      <w:r w:rsidRPr="00326438">
        <w:rPr>
          <w:rFonts w:cs="ProximaNovaA-Light"/>
          <w:color w:val="231F20"/>
        </w:rPr>
        <w:t>are compared to recent comparable</w:t>
      </w:r>
      <w:r w:rsidR="00013590">
        <w:rPr>
          <w:rFonts w:cs="ProximaNovaA-Light"/>
          <w:color w:val="231F20"/>
        </w:rPr>
        <w:t xml:space="preserve"> </w:t>
      </w:r>
      <w:r w:rsidRPr="00326438">
        <w:rPr>
          <w:rFonts w:cs="ProximaNovaA-Light"/>
          <w:color w:val="231F20"/>
        </w:rPr>
        <w:t>sales or sales of comparable assets that</w:t>
      </w:r>
      <w:r w:rsidR="00013590">
        <w:rPr>
          <w:rFonts w:cs="ProximaNovaA-Light"/>
          <w:color w:val="231F20"/>
        </w:rPr>
        <w:t xml:space="preserve"> </w:t>
      </w:r>
      <w:r w:rsidRPr="00326438">
        <w:rPr>
          <w:rFonts w:cs="ProximaNovaA-Light"/>
          <w:color w:val="231F20"/>
        </w:rPr>
        <w:t>are considered to have nominal value.</w:t>
      </w:r>
    </w:p>
    <w:p w:rsidR="00013590" w:rsidRDefault="00013590" w:rsidP="00326438">
      <w:pPr>
        <w:autoSpaceDE w:val="0"/>
        <w:autoSpaceDN w:val="0"/>
        <w:adjustRightInd w:val="0"/>
        <w:spacing w:after="0" w:line="240" w:lineRule="auto"/>
        <w:rPr>
          <w:rFonts w:cs="ProximaNovaA-Light"/>
          <w:color w:val="231F20"/>
        </w:rPr>
      </w:pPr>
    </w:p>
    <w:p w:rsidR="00326438" w:rsidRPr="00326438" w:rsidRDefault="00326438" w:rsidP="00326438">
      <w:pPr>
        <w:autoSpaceDE w:val="0"/>
        <w:autoSpaceDN w:val="0"/>
        <w:adjustRightInd w:val="0"/>
        <w:spacing w:after="0" w:line="240" w:lineRule="auto"/>
        <w:rPr>
          <w:rFonts w:cs="ProximaNovaA-Light"/>
          <w:color w:val="231F20"/>
        </w:rPr>
      </w:pPr>
      <w:r w:rsidRPr="00326438">
        <w:rPr>
          <w:rFonts w:cs="ProximaNovaA-Light"/>
          <w:color w:val="231F20"/>
        </w:rPr>
        <w:t>Specialised land and specialised</w:t>
      </w:r>
      <w:r w:rsidR="00013590">
        <w:rPr>
          <w:rFonts w:cs="ProximaNovaA-Light"/>
          <w:color w:val="231F20"/>
        </w:rPr>
        <w:t xml:space="preserve"> </w:t>
      </w:r>
      <w:r w:rsidRPr="00326438">
        <w:rPr>
          <w:rFonts w:cs="ProximaNovaA-Light"/>
          <w:color w:val="231F20"/>
        </w:rPr>
        <w:t>buildings: The market approach is</w:t>
      </w:r>
      <w:r w:rsidR="00013590">
        <w:rPr>
          <w:rFonts w:cs="ProximaNovaA-Light"/>
          <w:color w:val="231F20"/>
        </w:rPr>
        <w:t xml:space="preserve"> </w:t>
      </w:r>
      <w:r w:rsidRPr="00326438">
        <w:rPr>
          <w:rFonts w:cs="ProximaNovaA-Light"/>
          <w:color w:val="231F20"/>
        </w:rPr>
        <w:t>also used for specialised land,</w:t>
      </w:r>
      <w:r w:rsidR="00013590">
        <w:rPr>
          <w:rFonts w:cs="ProximaNovaA-Light"/>
          <w:color w:val="231F20"/>
        </w:rPr>
        <w:t xml:space="preserve"> </w:t>
      </w:r>
      <w:r w:rsidRPr="00326438">
        <w:rPr>
          <w:rFonts w:cs="ProximaNovaA-Light"/>
          <w:color w:val="231F20"/>
        </w:rPr>
        <w:t>although is adjusted for the Community</w:t>
      </w:r>
      <w:r w:rsidR="00013590">
        <w:rPr>
          <w:rFonts w:cs="ProximaNovaA-Light"/>
          <w:color w:val="231F20"/>
        </w:rPr>
        <w:t xml:space="preserve"> </w:t>
      </w:r>
      <w:r w:rsidRPr="00326438">
        <w:rPr>
          <w:rFonts w:cs="ProximaNovaA-Light"/>
          <w:color w:val="231F20"/>
        </w:rPr>
        <w:t>Service Obligation (CSO) to reflect</w:t>
      </w:r>
      <w:r w:rsidR="00013590">
        <w:rPr>
          <w:rFonts w:cs="ProximaNovaA-Light"/>
          <w:color w:val="231F20"/>
        </w:rPr>
        <w:t xml:space="preserve"> </w:t>
      </w:r>
      <w:r w:rsidRPr="00326438">
        <w:rPr>
          <w:rFonts w:cs="ProximaNovaA-Light"/>
          <w:color w:val="231F20"/>
        </w:rPr>
        <w:t>the specialised nature of the land</w:t>
      </w:r>
      <w:r w:rsidR="00013590">
        <w:rPr>
          <w:rFonts w:cs="ProximaNovaA-Light"/>
          <w:color w:val="231F20"/>
        </w:rPr>
        <w:t xml:space="preserve"> </w:t>
      </w:r>
      <w:r w:rsidRPr="00326438">
        <w:rPr>
          <w:rFonts w:cs="ProximaNovaA-Light"/>
          <w:color w:val="231F20"/>
        </w:rPr>
        <w:t>being valued.</w:t>
      </w:r>
    </w:p>
    <w:p w:rsidR="00013590" w:rsidRDefault="00013590" w:rsidP="00326438">
      <w:pPr>
        <w:autoSpaceDE w:val="0"/>
        <w:autoSpaceDN w:val="0"/>
        <w:adjustRightInd w:val="0"/>
        <w:spacing w:after="0" w:line="240" w:lineRule="auto"/>
        <w:rPr>
          <w:rFonts w:cs="ProximaNovaA-Light"/>
          <w:color w:val="231F20"/>
        </w:rPr>
      </w:pPr>
    </w:p>
    <w:p w:rsidR="00326438" w:rsidRPr="00326438" w:rsidRDefault="00326438" w:rsidP="00326438">
      <w:pPr>
        <w:autoSpaceDE w:val="0"/>
        <w:autoSpaceDN w:val="0"/>
        <w:adjustRightInd w:val="0"/>
        <w:spacing w:after="0" w:line="240" w:lineRule="auto"/>
        <w:rPr>
          <w:rFonts w:cs="ProximaNovaA-Light"/>
          <w:color w:val="231F20"/>
        </w:rPr>
      </w:pPr>
      <w:r w:rsidRPr="00326438">
        <w:rPr>
          <w:rFonts w:cs="ProximaNovaA-Light"/>
          <w:color w:val="231F20"/>
        </w:rPr>
        <w:t>The CSO adjustment is a reflection of</w:t>
      </w:r>
      <w:r w:rsidR="00013590">
        <w:rPr>
          <w:rFonts w:cs="ProximaNovaA-Light"/>
          <w:color w:val="231F20"/>
        </w:rPr>
        <w:t xml:space="preserve"> </w:t>
      </w:r>
      <w:r w:rsidRPr="00326438">
        <w:rPr>
          <w:rFonts w:cs="ProximaNovaA-Light"/>
          <w:color w:val="231F20"/>
        </w:rPr>
        <w:t>the valuer’s assessment of the impact</w:t>
      </w:r>
      <w:r w:rsidR="00013590">
        <w:rPr>
          <w:rFonts w:cs="ProximaNovaA-Light"/>
          <w:color w:val="231F20"/>
        </w:rPr>
        <w:t xml:space="preserve"> </w:t>
      </w:r>
      <w:r w:rsidRPr="00326438">
        <w:rPr>
          <w:rFonts w:cs="ProximaNovaA-Light"/>
          <w:color w:val="231F20"/>
        </w:rPr>
        <w:t>of restrictions associated with an</w:t>
      </w:r>
      <w:r w:rsidR="00013590">
        <w:rPr>
          <w:rFonts w:cs="ProximaNovaA-Light"/>
          <w:color w:val="231F20"/>
        </w:rPr>
        <w:t xml:space="preserve"> </w:t>
      </w:r>
      <w:r w:rsidRPr="00326438">
        <w:rPr>
          <w:rFonts w:cs="ProximaNovaA-Light"/>
          <w:color w:val="231F20"/>
        </w:rPr>
        <w:t>asset to the extent that is also equally</w:t>
      </w:r>
      <w:r w:rsidR="00013590">
        <w:rPr>
          <w:rFonts w:cs="ProximaNovaA-Light"/>
          <w:color w:val="231F20"/>
        </w:rPr>
        <w:t xml:space="preserve"> </w:t>
      </w:r>
      <w:r w:rsidRPr="00326438">
        <w:rPr>
          <w:rFonts w:cs="ProximaNovaA-Light"/>
          <w:color w:val="231F20"/>
        </w:rPr>
        <w:t>applicable to market participants.</w:t>
      </w:r>
    </w:p>
    <w:p w:rsidR="00013590" w:rsidRDefault="00013590" w:rsidP="00326438">
      <w:pPr>
        <w:autoSpaceDE w:val="0"/>
        <w:autoSpaceDN w:val="0"/>
        <w:adjustRightInd w:val="0"/>
        <w:spacing w:after="0" w:line="240" w:lineRule="auto"/>
        <w:rPr>
          <w:rFonts w:cs="ProximaNovaA-Light"/>
          <w:color w:val="231F20"/>
        </w:rPr>
      </w:pPr>
    </w:p>
    <w:p w:rsidR="00326438" w:rsidRPr="00326438" w:rsidRDefault="00326438" w:rsidP="00326438">
      <w:pPr>
        <w:autoSpaceDE w:val="0"/>
        <w:autoSpaceDN w:val="0"/>
        <w:adjustRightInd w:val="0"/>
        <w:spacing w:after="0" w:line="240" w:lineRule="auto"/>
        <w:rPr>
          <w:rFonts w:cs="ProximaNovaA-Light"/>
          <w:color w:val="231F20"/>
        </w:rPr>
      </w:pPr>
      <w:r w:rsidRPr="00326438">
        <w:rPr>
          <w:rFonts w:cs="ProximaNovaA-Light"/>
          <w:color w:val="231F20"/>
        </w:rPr>
        <w:t>For the majority of Chisholm’s</w:t>
      </w:r>
      <w:r w:rsidR="00013590">
        <w:rPr>
          <w:rFonts w:cs="ProximaNovaA-Light"/>
          <w:color w:val="231F20"/>
        </w:rPr>
        <w:t xml:space="preserve"> </w:t>
      </w:r>
      <w:r w:rsidRPr="00326438">
        <w:rPr>
          <w:rFonts w:cs="ProximaNovaA-Light"/>
          <w:color w:val="231F20"/>
        </w:rPr>
        <w:t>specialised buildings, the depreciated</w:t>
      </w:r>
      <w:r w:rsidR="00013590">
        <w:rPr>
          <w:rFonts w:cs="ProximaNovaA-Light"/>
          <w:color w:val="231F20"/>
        </w:rPr>
        <w:t xml:space="preserve"> </w:t>
      </w:r>
      <w:r w:rsidRPr="00326438">
        <w:rPr>
          <w:rFonts w:cs="ProximaNovaA-Light"/>
          <w:color w:val="231F20"/>
        </w:rPr>
        <w:t>replacement cost method is</w:t>
      </w:r>
      <w:r w:rsidR="00013590">
        <w:rPr>
          <w:rFonts w:cs="ProximaNovaA-Light"/>
          <w:color w:val="231F20"/>
        </w:rPr>
        <w:t xml:space="preserve"> </w:t>
      </w:r>
      <w:r w:rsidRPr="00326438">
        <w:rPr>
          <w:rFonts w:cs="ProximaNovaA-Light"/>
          <w:color w:val="231F20"/>
        </w:rPr>
        <w:t>used, adjusting for the associated</w:t>
      </w:r>
      <w:r w:rsidR="00013590">
        <w:rPr>
          <w:rFonts w:cs="ProximaNovaA-Light"/>
          <w:color w:val="231F20"/>
        </w:rPr>
        <w:t xml:space="preserve"> </w:t>
      </w:r>
      <w:r w:rsidRPr="00326438">
        <w:rPr>
          <w:rFonts w:cs="ProximaNovaA-Light"/>
          <w:color w:val="231F20"/>
        </w:rPr>
        <w:t>depreciation.</w:t>
      </w:r>
    </w:p>
    <w:p w:rsidR="00013590" w:rsidRDefault="00013590" w:rsidP="00326438">
      <w:pPr>
        <w:autoSpaceDE w:val="0"/>
        <w:autoSpaceDN w:val="0"/>
        <w:adjustRightInd w:val="0"/>
        <w:spacing w:after="0" w:line="240" w:lineRule="auto"/>
        <w:rPr>
          <w:rFonts w:cs="ProximaNovaA-Light"/>
          <w:color w:val="231F20"/>
        </w:rPr>
      </w:pPr>
    </w:p>
    <w:p w:rsidR="00326438" w:rsidRPr="00326438" w:rsidRDefault="00326438" w:rsidP="00326438">
      <w:pPr>
        <w:autoSpaceDE w:val="0"/>
        <w:autoSpaceDN w:val="0"/>
        <w:adjustRightInd w:val="0"/>
        <w:spacing w:after="0" w:line="240" w:lineRule="auto"/>
        <w:rPr>
          <w:rFonts w:cs="ProximaNovaA-Light"/>
          <w:color w:val="231F20"/>
        </w:rPr>
      </w:pPr>
      <w:r w:rsidRPr="00326438">
        <w:rPr>
          <w:rFonts w:cs="ProximaNovaA-Light"/>
          <w:color w:val="231F20"/>
        </w:rPr>
        <w:t>The fair value of plant, equipment and</w:t>
      </w:r>
      <w:r w:rsidR="00013590">
        <w:rPr>
          <w:rFonts w:cs="ProximaNovaA-Light"/>
          <w:color w:val="231F20"/>
        </w:rPr>
        <w:t xml:space="preserve"> </w:t>
      </w:r>
      <w:r w:rsidRPr="00326438">
        <w:rPr>
          <w:rFonts w:cs="ProximaNovaA-Light"/>
          <w:color w:val="231F20"/>
        </w:rPr>
        <w:t>vehicles is normally determined by</w:t>
      </w:r>
      <w:r w:rsidR="00013590">
        <w:rPr>
          <w:rFonts w:cs="ProximaNovaA-Light"/>
          <w:color w:val="231F20"/>
        </w:rPr>
        <w:t xml:space="preserve"> </w:t>
      </w:r>
      <w:r w:rsidRPr="00326438">
        <w:rPr>
          <w:rFonts w:cs="ProximaNovaA-Light"/>
          <w:color w:val="231F20"/>
        </w:rPr>
        <w:t>reference to the asset’s depreciated</w:t>
      </w:r>
      <w:r w:rsidR="00013590">
        <w:rPr>
          <w:rFonts w:cs="ProximaNovaA-Light"/>
          <w:color w:val="231F20"/>
        </w:rPr>
        <w:t xml:space="preserve"> </w:t>
      </w:r>
      <w:r w:rsidRPr="00326438">
        <w:rPr>
          <w:rFonts w:cs="ProximaNovaA-Light"/>
          <w:color w:val="231F20"/>
        </w:rPr>
        <w:t>replacement cost.</w:t>
      </w:r>
    </w:p>
    <w:p w:rsidR="00013590" w:rsidRDefault="00013590" w:rsidP="00326438">
      <w:pPr>
        <w:autoSpaceDE w:val="0"/>
        <w:autoSpaceDN w:val="0"/>
        <w:adjustRightInd w:val="0"/>
        <w:spacing w:after="0" w:line="240" w:lineRule="auto"/>
        <w:rPr>
          <w:rFonts w:cs="ProximaNovaA-Light"/>
          <w:color w:val="231F20"/>
        </w:rPr>
      </w:pPr>
    </w:p>
    <w:p w:rsidR="00326438" w:rsidRDefault="00326438" w:rsidP="00013590">
      <w:pPr>
        <w:autoSpaceDE w:val="0"/>
        <w:autoSpaceDN w:val="0"/>
        <w:adjustRightInd w:val="0"/>
        <w:spacing w:after="0" w:line="240" w:lineRule="auto"/>
      </w:pPr>
      <w:r w:rsidRPr="00326438">
        <w:rPr>
          <w:rFonts w:cs="ProximaNovaA-Light"/>
          <w:color w:val="231F20"/>
        </w:rPr>
        <w:t>The last formal revaluation of land</w:t>
      </w:r>
      <w:r w:rsidR="00013590">
        <w:rPr>
          <w:rFonts w:cs="ProximaNovaA-Light"/>
          <w:color w:val="231F20"/>
        </w:rPr>
        <w:t xml:space="preserve"> </w:t>
      </w:r>
      <w:r w:rsidRPr="00326438">
        <w:rPr>
          <w:rFonts w:cs="ProximaNovaA-Light"/>
          <w:color w:val="231F20"/>
        </w:rPr>
        <w:t>and building assets (including land</w:t>
      </w:r>
      <w:r w:rsidR="00013590">
        <w:rPr>
          <w:rFonts w:cs="ProximaNovaA-Light"/>
          <w:color w:val="231F20"/>
        </w:rPr>
        <w:t xml:space="preserve"> </w:t>
      </w:r>
      <w:r w:rsidRPr="00326438">
        <w:rPr>
          <w:rFonts w:cs="ProximaNovaA-Light"/>
          <w:color w:val="231F20"/>
        </w:rPr>
        <w:t>improvements) were conducted for</w:t>
      </w:r>
      <w:r w:rsidR="00013590">
        <w:rPr>
          <w:rFonts w:cs="ProximaNovaA-Light"/>
          <w:color w:val="231F20"/>
        </w:rPr>
        <w:t xml:space="preserve"> </w:t>
      </w:r>
      <w:r w:rsidRPr="00326438">
        <w:rPr>
          <w:rFonts w:cs="ProximaNovaA-Light"/>
          <w:color w:val="231F20"/>
        </w:rPr>
        <w:t>the year ended 31 December 2017.</w:t>
      </w:r>
      <w:r w:rsidR="00013590">
        <w:rPr>
          <w:rFonts w:cs="ProximaNovaA-Light"/>
          <w:color w:val="231F20"/>
        </w:rPr>
        <w:t xml:space="preserve"> </w:t>
      </w:r>
      <w:r w:rsidRPr="00326438">
        <w:rPr>
          <w:rFonts w:cs="ProximaNovaA-Light"/>
          <w:color w:val="231F20"/>
        </w:rPr>
        <w:t>For the year ended 31 December</w:t>
      </w:r>
      <w:r w:rsidR="00013590">
        <w:rPr>
          <w:rFonts w:cs="ProximaNovaA-Light"/>
          <w:color w:val="231F20"/>
        </w:rPr>
        <w:t xml:space="preserve"> </w:t>
      </w:r>
      <w:r w:rsidRPr="00326438">
        <w:rPr>
          <w:rFonts w:cs="ProximaNovaA-Light"/>
          <w:color w:val="231F20"/>
        </w:rPr>
        <w:t>2019, an assessment was conducted</w:t>
      </w:r>
      <w:r w:rsidR="00013590">
        <w:rPr>
          <w:rFonts w:cs="ProximaNovaA-Light"/>
          <w:color w:val="231F20"/>
        </w:rPr>
        <w:t xml:space="preserve"> </w:t>
      </w:r>
      <w:r w:rsidRPr="00326438">
        <w:rPr>
          <w:rFonts w:cs="ProximaNovaA-Light"/>
          <w:color w:val="231F20"/>
        </w:rPr>
        <w:t>using indices provided by the Office</w:t>
      </w:r>
      <w:r w:rsidR="00013590">
        <w:rPr>
          <w:rFonts w:cs="ProximaNovaA-Light"/>
          <w:color w:val="231F20"/>
        </w:rPr>
        <w:t xml:space="preserve"> </w:t>
      </w:r>
      <w:r w:rsidRPr="00326438">
        <w:rPr>
          <w:rFonts w:cs="ProximaNovaA-Light"/>
          <w:color w:val="231F20"/>
        </w:rPr>
        <w:t>of the Victorian Valuer-General. No</w:t>
      </w:r>
      <w:r w:rsidR="00013590">
        <w:rPr>
          <w:rFonts w:cs="ProximaNovaA-Light"/>
          <w:color w:val="231F20"/>
        </w:rPr>
        <w:t xml:space="preserve"> </w:t>
      </w:r>
      <w:r w:rsidRPr="00326438">
        <w:rPr>
          <w:rFonts w:cs="ProximaNovaA-Light"/>
          <w:color w:val="231F20"/>
        </w:rPr>
        <w:t>revaluation was required as a result of</w:t>
      </w:r>
      <w:r w:rsidR="00013590">
        <w:rPr>
          <w:rFonts w:cs="ProximaNovaA-Light"/>
          <w:color w:val="231F20"/>
        </w:rPr>
        <w:t xml:space="preserve"> </w:t>
      </w:r>
      <w:r w:rsidRPr="00326438">
        <w:rPr>
          <w:rFonts w:cs="ProximaNovaA-Light"/>
          <w:color w:val="231F20"/>
        </w:rPr>
        <w:t>this assessment.</w:t>
      </w:r>
    </w:p>
    <w:p w:rsidR="00326438" w:rsidRDefault="00326438" w:rsidP="005942B8">
      <w:pPr>
        <w:pStyle w:val="NoSpacing"/>
      </w:pPr>
    </w:p>
    <w:p w:rsidR="00013590" w:rsidRPr="00013590" w:rsidRDefault="00013590" w:rsidP="00013590">
      <w:pPr>
        <w:pStyle w:val="NoSpacing"/>
        <w:rPr>
          <w:rFonts w:cs="ProximaNovaA-Light"/>
          <w:color w:val="231F20"/>
        </w:rPr>
      </w:pPr>
      <w:r>
        <w:t xml:space="preserve">Revaluations of non-financial physical assets </w:t>
      </w:r>
      <w:r w:rsidRPr="00013590">
        <w:rPr>
          <w:rFonts w:cs="ProximaNovaA-Light"/>
          <w:color w:val="231F20"/>
        </w:rPr>
        <w:t>Non-current physical assets measured</w:t>
      </w:r>
      <w:r>
        <w:rPr>
          <w:rFonts w:cs="ProximaNovaA-Light"/>
          <w:color w:val="231F20"/>
        </w:rPr>
        <w:t xml:space="preserve"> </w:t>
      </w:r>
      <w:r w:rsidRPr="00013590">
        <w:rPr>
          <w:rFonts w:cs="ProximaNovaA-Light"/>
          <w:color w:val="231F20"/>
        </w:rPr>
        <w:t>at fair value are revalued in accordance</w:t>
      </w:r>
      <w:r>
        <w:rPr>
          <w:rFonts w:cs="ProximaNovaA-Light"/>
          <w:color w:val="231F20"/>
        </w:rPr>
        <w:t xml:space="preserve"> </w:t>
      </w:r>
      <w:r w:rsidRPr="00013590">
        <w:rPr>
          <w:rFonts w:cs="ProximaNovaA-Light"/>
          <w:color w:val="231F20"/>
        </w:rPr>
        <w:t>with Financial Reporting Directions</w:t>
      </w:r>
      <w:r>
        <w:rPr>
          <w:rFonts w:cs="ProximaNovaA-Light"/>
          <w:color w:val="231F20"/>
        </w:rPr>
        <w:t xml:space="preserve"> </w:t>
      </w:r>
      <w:r w:rsidRPr="00013590">
        <w:rPr>
          <w:rFonts w:cs="ProximaNovaA-Light"/>
          <w:color w:val="231F20"/>
        </w:rPr>
        <w:t>(FRDs) issued by the Assistant Treasurer.</w:t>
      </w:r>
    </w:p>
    <w:p w:rsidR="00013590" w:rsidRDefault="00013590" w:rsidP="00013590">
      <w:pPr>
        <w:autoSpaceDE w:val="0"/>
        <w:autoSpaceDN w:val="0"/>
        <w:adjustRightInd w:val="0"/>
        <w:spacing w:after="0" w:line="240" w:lineRule="auto"/>
        <w:rPr>
          <w:rFonts w:cs="ProximaNovaA-Light"/>
          <w:color w:val="231F20"/>
        </w:rPr>
      </w:pPr>
    </w:p>
    <w:p w:rsidR="00013590" w:rsidRDefault="00013590" w:rsidP="00013590">
      <w:pPr>
        <w:autoSpaceDE w:val="0"/>
        <w:autoSpaceDN w:val="0"/>
        <w:adjustRightInd w:val="0"/>
        <w:spacing w:after="0" w:line="240" w:lineRule="auto"/>
      </w:pPr>
      <w:r w:rsidRPr="00013590">
        <w:rPr>
          <w:rFonts w:cs="ProximaNovaA-Light"/>
          <w:color w:val="231F20"/>
        </w:rPr>
        <w:lastRenderedPageBreak/>
        <w:t>Refer to Note 7.3 for additional</w:t>
      </w:r>
      <w:r>
        <w:rPr>
          <w:rFonts w:cs="ProximaNovaA-Light"/>
          <w:color w:val="231F20"/>
        </w:rPr>
        <w:t xml:space="preserve"> </w:t>
      </w:r>
      <w:r w:rsidRPr="00013590">
        <w:rPr>
          <w:rFonts w:cs="ProximaNovaA-Light"/>
          <w:color w:val="231F20"/>
        </w:rPr>
        <w:t>information on fair value determination</w:t>
      </w:r>
      <w:r>
        <w:rPr>
          <w:rFonts w:cs="ProximaNovaA-Light"/>
          <w:color w:val="231F20"/>
        </w:rPr>
        <w:t xml:space="preserve"> </w:t>
      </w:r>
      <w:r w:rsidRPr="00013590">
        <w:rPr>
          <w:rFonts w:cs="ProximaNovaA-Light"/>
          <w:color w:val="231F20"/>
        </w:rPr>
        <w:t>of property, plant and equipment.</w:t>
      </w:r>
    </w:p>
    <w:p w:rsidR="00326438" w:rsidRDefault="00326438" w:rsidP="005942B8">
      <w:pPr>
        <w:pStyle w:val="NoSpacing"/>
      </w:pPr>
    </w:p>
    <w:p w:rsidR="00013590" w:rsidRDefault="00013590" w:rsidP="00406A46">
      <w:pPr>
        <w:pStyle w:val="Heading4"/>
      </w:pPr>
      <w:r>
        <w:t>4.1.1 Reconciliation of movements in carrying amount of property, plant and equipment</w:t>
      </w:r>
    </w:p>
    <w:p w:rsidR="00013590" w:rsidRDefault="00013590" w:rsidP="005942B8">
      <w:pPr>
        <w:pStyle w:val="NoSpacing"/>
      </w:pPr>
    </w:p>
    <w:p w:rsidR="00326438" w:rsidRDefault="00326438" w:rsidP="005942B8">
      <w:pPr>
        <w:pStyle w:val="NoSpacing"/>
      </w:pPr>
    </w:p>
    <w:p w:rsidR="00013590" w:rsidRDefault="00013590" w:rsidP="005942B8">
      <w:pPr>
        <w:pStyle w:val="NoSpacing"/>
      </w:pPr>
    </w:p>
    <w:p w:rsidR="00B431A8" w:rsidRDefault="00B431A8" w:rsidP="005942B8">
      <w:pPr>
        <w:pStyle w:val="NoSpacing"/>
        <w:sectPr w:rsidR="00B431A8" w:rsidSect="00B431A8">
          <w:pgSz w:w="11906" w:h="16838"/>
          <w:pgMar w:top="1440" w:right="1440" w:bottom="1440" w:left="1440" w:header="709" w:footer="709" w:gutter="0"/>
          <w:cols w:space="708"/>
          <w:docGrid w:linePitch="360"/>
        </w:sectPr>
      </w:pPr>
    </w:p>
    <w:p w:rsidR="00CA175F" w:rsidRDefault="00CA175F" w:rsidP="005942B8">
      <w:pPr>
        <w:pStyle w:val="NoSpacing"/>
      </w:pPr>
    </w:p>
    <w:p w:rsidR="00B431A8" w:rsidRDefault="00B431A8" w:rsidP="005942B8">
      <w:pPr>
        <w:pStyle w:val="NoSpacing"/>
      </w:pPr>
    </w:p>
    <w:tbl>
      <w:tblPr>
        <w:tblStyle w:val="TableGrid"/>
        <w:tblW w:w="15310" w:type="dxa"/>
        <w:tblInd w:w="-714" w:type="dxa"/>
        <w:tblLook w:val="04A0" w:firstRow="1" w:lastRow="0" w:firstColumn="1" w:lastColumn="0" w:noHBand="0" w:noVBand="1"/>
      </w:tblPr>
      <w:tblGrid>
        <w:gridCol w:w="2837"/>
        <w:gridCol w:w="1416"/>
        <w:gridCol w:w="1276"/>
        <w:gridCol w:w="1417"/>
        <w:gridCol w:w="1418"/>
        <w:gridCol w:w="1236"/>
        <w:gridCol w:w="1525"/>
        <w:gridCol w:w="1520"/>
        <w:gridCol w:w="1264"/>
        <w:gridCol w:w="1401"/>
      </w:tblGrid>
      <w:tr w:rsidR="00337C8E" w:rsidTr="00337C8E">
        <w:trPr>
          <w:gridBefore w:val="1"/>
          <w:wBefore w:w="2837" w:type="dxa"/>
        </w:trPr>
        <w:tc>
          <w:tcPr>
            <w:tcW w:w="1416" w:type="dxa"/>
            <w:vAlign w:val="bottom"/>
          </w:tcPr>
          <w:p w:rsidR="00013590" w:rsidRDefault="00013590" w:rsidP="00B431A8">
            <w:pPr>
              <w:pStyle w:val="NoSpacing"/>
              <w:jc w:val="right"/>
            </w:pPr>
            <w:r>
              <w:t>Land</w:t>
            </w:r>
          </w:p>
        </w:tc>
        <w:tc>
          <w:tcPr>
            <w:tcW w:w="1276" w:type="dxa"/>
            <w:vAlign w:val="bottom"/>
          </w:tcPr>
          <w:p w:rsidR="00013590" w:rsidRDefault="00013590" w:rsidP="00B431A8">
            <w:pPr>
              <w:pStyle w:val="NoSpacing"/>
              <w:jc w:val="right"/>
            </w:pPr>
            <w:r>
              <w:t>Buildings</w:t>
            </w:r>
          </w:p>
        </w:tc>
        <w:tc>
          <w:tcPr>
            <w:tcW w:w="1417" w:type="dxa"/>
            <w:vAlign w:val="bottom"/>
          </w:tcPr>
          <w:p w:rsidR="00013590" w:rsidRDefault="00013590" w:rsidP="00B431A8">
            <w:pPr>
              <w:pStyle w:val="NoSpacing"/>
              <w:jc w:val="right"/>
            </w:pPr>
            <w:r>
              <w:t>Construction in progress</w:t>
            </w:r>
          </w:p>
        </w:tc>
        <w:tc>
          <w:tcPr>
            <w:tcW w:w="1418" w:type="dxa"/>
            <w:vAlign w:val="bottom"/>
          </w:tcPr>
          <w:p w:rsidR="00013590" w:rsidRDefault="00013590" w:rsidP="00B431A8">
            <w:pPr>
              <w:pStyle w:val="NoSpacing"/>
              <w:jc w:val="right"/>
            </w:pPr>
            <w:r>
              <w:t>Plant and equipment</w:t>
            </w:r>
          </w:p>
        </w:tc>
        <w:tc>
          <w:tcPr>
            <w:tcW w:w="1236" w:type="dxa"/>
            <w:vAlign w:val="bottom"/>
          </w:tcPr>
          <w:p w:rsidR="00013590" w:rsidRDefault="00013590" w:rsidP="00B431A8">
            <w:pPr>
              <w:pStyle w:val="NoSpacing"/>
              <w:jc w:val="right"/>
            </w:pPr>
            <w:r>
              <w:t>Motor vehicles</w:t>
            </w:r>
          </w:p>
        </w:tc>
        <w:tc>
          <w:tcPr>
            <w:tcW w:w="1525" w:type="dxa"/>
            <w:vAlign w:val="bottom"/>
          </w:tcPr>
          <w:p w:rsidR="00013590" w:rsidRDefault="00013590" w:rsidP="00B431A8">
            <w:pPr>
              <w:pStyle w:val="NoSpacing"/>
              <w:jc w:val="right"/>
            </w:pPr>
            <w:r>
              <w:t>Leasehold improvements</w:t>
            </w:r>
          </w:p>
        </w:tc>
        <w:tc>
          <w:tcPr>
            <w:tcW w:w="1520" w:type="dxa"/>
            <w:vAlign w:val="bottom"/>
          </w:tcPr>
          <w:p w:rsidR="00013590" w:rsidRDefault="00013590" w:rsidP="00B431A8">
            <w:pPr>
              <w:pStyle w:val="NoSpacing"/>
              <w:jc w:val="right"/>
            </w:pPr>
            <w:r>
              <w:t>Land improvements</w:t>
            </w:r>
          </w:p>
        </w:tc>
        <w:tc>
          <w:tcPr>
            <w:tcW w:w="1264" w:type="dxa"/>
          </w:tcPr>
          <w:p w:rsidR="00013590" w:rsidRDefault="00013590" w:rsidP="00B431A8">
            <w:pPr>
              <w:pStyle w:val="NoSpacing"/>
              <w:jc w:val="right"/>
            </w:pPr>
            <w:r>
              <w:t>Right of use assets</w:t>
            </w:r>
          </w:p>
        </w:tc>
        <w:tc>
          <w:tcPr>
            <w:tcW w:w="1401" w:type="dxa"/>
          </w:tcPr>
          <w:p w:rsidR="00013590" w:rsidRDefault="00013590" w:rsidP="00B431A8">
            <w:pPr>
              <w:pStyle w:val="NoSpacing"/>
              <w:jc w:val="right"/>
            </w:pPr>
            <w:r>
              <w:t xml:space="preserve">Total </w:t>
            </w:r>
          </w:p>
        </w:tc>
      </w:tr>
      <w:tr w:rsidR="00337C8E" w:rsidTr="00337C8E">
        <w:trPr>
          <w:gridBefore w:val="1"/>
          <w:wBefore w:w="2837" w:type="dxa"/>
        </w:trPr>
        <w:tc>
          <w:tcPr>
            <w:tcW w:w="1416" w:type="dxa"/>
          </w:tcPr>
          <w:p w:rsidR="00013590" w:rsidRDefault="00013590" w:rsidP="000B4661">
            <w:pPr>
              <w:pStyle w:val="NoSpacing"/>
              <w:jc w:val="right"/>
            </w:pPr>
            <w:r>
              <w:t>$’000</w:t>
            </w:r>
          </w:p>
        </w:tc>
        <w:tc>
          <w:tcPr>
            <w:tcW w:w="1276" w:type="dxa"/>
          </w:tcPr>
          <w:p w:rsidR="00013590" w:rsidRDefault="00013590" w:rsidP="000B4661">
            <w:pPr>
              <w:jc w:val="right"/>
            </w:pPr>
            <w:r w:rsidRPr="0065083D">
              <w:t>$’000</w:t>
            </w:r>
          </w:p>
        </w:tc>
        <w:tc>
          <w:tcPr>
            <w:tcW w:w="1417" w:type="dxa"/>
          </w:tcPr>
          <w:p w:rsidR="00013590" w:rsidRDefault="00013590" w:rsidP="000B4661">
            <w:pPr>
              <w:jc w:val="right"/>
            </w:pPr>
            <w:r w:rsidRPr="0065083D">
              <w:t>$’000</w:t>
            </w:r>
          </w:p>
        </w:tc>
        <w:tc>
          <w:tcPr>
            <w:tcW w:w="1418" w:type="dxa"/>
          </w:tcPr>
          <w:p w:rsidR="00013590" w:rsidRDefault="00013590" w:rsidP="000B4661">
            <w:pPr>
              <w:jc w:val="right"/>
            </w:pPr>
            <w:r w:rsidRPr="0065083D">
              <w:t>$’000</w:t>
            </w:r>
          </w:p>
        </w:tc>
        <w:tc>
          <w:tcPr>
            <w:tcW w:w="1236" w:type="dxa"/>
          </w:tcPr>
          <w:p w:rsidR="00013590" w:rsidRDefault="00013590" w:rsidP="000B4661">
            <w:pPr>
              <w:jc w:val="right"/>
            </w:pPr>
            <w:r w:rsidRPr="0065083D">
              <w:t>$’000</w:t>
            </w:r>
          </w:p>
        </w:tc>
        <w:tc>
          <w:tcPr>
            <w:tcW w:w="1525" w:type="dxa"/>
          </w:tcPr>
          <w:p w:rsidR="00013590" w:rsidRDefault="00013590" w:rsidP="000B4661">
            <w:pPr>
              <w:jc w:val="right"/>
            </w:pPr>
            <w:r w:rsidRPr="0065083D">
              <w:t>$’000</w:t>
            </w:r>
          </w:p>
        </w:tc>
        <w:tc>
          <w:tcPr>
            <w:tcW w:w="1520" w:type="dxa"/>
          </w:tcPr>
          <w:p w:rsidR="00013590" w:rsidRDefault="00013590" w:rsidP="000B4661">
            <w:pPr>
              <w:jc w:val="right"/>
            </w:pPr>
            <w:r w:rsidRPr="0065083D">
              <w:t>$’000</w:t>
            </w:r>
          </w:p>
        </w:tc>
        <w:tc>
          <w:tcPr>
            <w:tcW w:w="1264" w:type="dxa"/>
          </w:tcPr>
          <w:p w:rsidR="00013590" w:rsidRPr="0065083D" w:rsidRDefault="00013590" w:rsidP="000B4661">
            <w:pPr>
              <w:jc w:val="right"/>
            </w:pPr>
            <w:r>
              <w:t>$’000</w:t>
            </w:r>
          </w:p>
        </w:tc>
        <w:tc>
          <w:tcPr>
            <w:tcW w:w="1401" w:type="dxa"/>
          </w:tcPr>
          <w:p w:rsidR="00013590" w:rsidRPr="0065083D" w:rsidRDefault="00013590" w:rsidP="000B4661">
            <w:pPr>
              <w:jc w:val="right"/>
            </w:pPr>
            <w:r>
              <w:t>$’000</w:t>
            </w:r>
          </w:p>
        </w:tc>
      </w:tr>
      <w:tr w:rsidR="00337C8E" w:rsidTr="00337C8E">
        <w:tc>
          <w:tcPr>
            <w:tcW w:w="15310" w:type="dxa"/>
            <w:gridSpan w:val="10"/>
          </w:tcPr>
          <w:p w:rsidR="00337C8E" w:rsidRDefault="00337C8E" w:rsidP="005942B8">
            <w:pPr>
              <w:pStyle w:val="NoSpacing"/>
            </w:pPr>
            <w:r>
              <w:t>Consolidated 2019</w:t>
            </w:r>
          </w:p>
        </w:tc>
      </w:tr>
      <w:tr w:rsidR="00E825A8" w:rsidTr="00337C8E">
        <w:tc>
          <w:tcPr>
            <w:tcW w:w="2837" w:type="dxa"/>
          </w:tcPr>
          <w:p w:rsidR="00E825A8" w:rsidRDefault="00E825A8" w:rsidP="00E825A8">
            <w:pPr>
              <w:pStyle w:val="NoSpacing"/>
            </w:pPr>
            <w:r>
              <w:t xml:space="preserve">Opening net book amount </w:t>
            </w:r>
          </w:p>
        </w:tc>
        <w:tc>
          <w:tcPr>
            <w:tcW w:w="1416" w:type="dxa"/>
          </w:tcPr>
          <w:p w:rsidR="00E825A8" w:rsidRDefault="00E825A8" w:rsidP="00E825A8">
            <w:pPr>
              <w:pStyle w:val="NoSpacing"/>
              <w:jc w:val="right"/>
            </w:pPr>
            <w:r>
              <w:t>58,196</w:t>
            </w:r>
          </w:p>
        </w:tc>
        <w:tc>
          <w:tcPr>
            <w:tcW w:w="1276" w:type="dxa"/>
          </w:tcPr>
          <w:p w:rsidR="00E825A8" w:rsidRDefault="00E825A8" w:rsidP="00E825A8">
            <w:pPr>
              <w:pStyle w:val="NoSpacing"/>
              <w:jc w:val="right"/>
            </w:pPr>
            <w:r>
              <w:t>202,988</w:t>
            </w:r>
          </w:p>
        </w:tc>
        <w:tc>
          <w:tcPr>
            <w:tcW w:w="1417" w:type="dxa"/>
          </w:tcPr>
          <w:p w:rsidR="00E825A8" w:rsidRDefault="00E825A8" w:rsidP="00E825A8">
            <w:pPr>
              <w:pStyle w:val="NoSpacing"/>
              <w:jc w:val="right"/>
            </w:pPr>
            <w:r>
              <w:t>72,607</w:t>
            </w:r>
          </w:p>
        </w:tc>
        <w:tc>
          <w:tcPr>
            <w:tcW w:w="1418" w:type="dxa"/>
          </w:tcPr>
          <w:p w:rsidR="00E825A8" w:rsidRDefault="00E825A8" w:rsidP="00E825A8">
            <w:pPr>
              <w:pStyle w:val="NoSpacing"/>
              <w:jc w:val="right"/>
            </w:pPr>
            <w:r>
              <w:t>6,589</w:t>
            </w:r>
          </w:p>
        </w:tc>
        <w:tc>
          <w:tcPr>
            <w:tcW w:w="1236" w:type="dxa"/>
          </w:tcPr>
          <w:p w:rsidR="00E825A8" w:rsidRDefault="00E825A8" w:rsidP="00E825A8">
            <w:pPr>
              <w:pStyle w:val="NoSpacing"/>
              <w:jc w:val="right"/>
            </w:pPr>
            <w:r>
              <w:t>416</w:t>
            </w:r>
          </w:p>
        </w:tc>
        <w:tc>
          <w:tcPr>
            <w:tcW w:w="1525" w:type="dxa"/>
          </w:tcPr>
          <w:p w:rsidR="00E825A8" w:rsidRDefault="00E825A8" w:rsidP="00E825A8">
            <w:pPr>
              <w:pStyle w:val="NoSpacing"/>
              <w:jc w:val="right"/>
            </w:pPr>
            <w:r>
              <w:t>360</w:t>
            </w:r>
          </w:p>
        </w:tc>
        <w:tc>
          <w:tcPr>
            <w:tcW w:w="1520" w:type="dxa"/>
          </w:tcPr>
          <w:p w:rsidR="00E825A8" w:rsidRDefault="00E825A8" w:rsidP="00E825A8">
            <w:pPr>
              <w:pStyle w:val="NoSpacing"/>
              <w:jc w:val="right"/>
            </w:pPr>
            <w:r>
              <w:t>2,418</w:t>
            </w:r>
          </w:p>
        </w:tc>
        <w:tc>
          <w:tcPr>
            <w:tcW w:w="1264" w:type="dxa"/>
          </w:tcPr>
          <w:p w:rsidR="00E825A8" w:rsidRDefault="00E825A8" w:rsidP="00E825A8">
            <w:pPr>
              <w:pStyle w:val="NoSpacing"/>
              <w:jc w:val="right"/>
            </w:pPr>
            <w:r>
              <w:t>-</w:t>
            </w:r>
          </w:p>
        </w:tc>
        <w:tc>
          <w:tcPr>
            <w:tcW w:w="1401" w:type="dxa"/>
          </w:tcPr>
          <w:p w:rsidR="00E825A8" w:rsidRDefault="00E825A8" w:rsidP="00E825A8">
            <w:pPr>
              <w:pStyle w:val="NoSpacing"/>
              <w:jc w:val="right"/>
            </w:pPr>
            <w:r>
              <w:t>343,574</w:t>
            </w:r>
          </w:p>
        </w:tc>
      </w:tr>
      <w:tr w:rsidR="00E825A8" w:rsidTr="00337C8E">
        <w:tc>
          <w:tcPr>
            <w:tcW w:w="2837" w:type="dxa"/>
          </w:tcPr>
          <w:p w:rsidR="00E825A8" w:rsidRDefault="00E825A8" w:rsidP="00E825A8">
            <w:pPr>
              <w:pStyle w:val="NoSpacing"/>
            </w:pPr>
            <w:r>
              <w:t>Additions</w:t>
            </w:r>
          </w:p>
        </w:tc>
        <w:tc>
          <w:tcPr>
            <w:tcW w:w="1416" w:type="dxa"/>
          </w:tcPr>
          <w:p w:rsidR="00E825A8" w:rsidRDefault="00E825A8" w:rsidP="00E825A8">
            <w:pPr>
              <w:pStyle w:val="NoSpacing"/>
              <w:jc w:val="right"/>
            </w:pPr>
            <w:r>
              <w:t>-</w:t>
            </w:r>
          </w:p>
        </w:tc>
        <w:tc>
          <w:tcPr>
            <w:tcW w:w="1276" w:type="dxa"/>
          </w:tcPr>
          <w:p w:rsidR="00E825A8" w:rsidRDefault="00E825A8" w:rsidP="00E825A8">
            <w:pPr>
              <w:pStyle w:val="NoSpacing"/>
              <w:jc w:val="right"/>
            </w:pPr>
            <w:r>
              <w:t>20,636</w:t>
            </w:r>
          </w:p>
        </w:tc>
        <w:tc>
          <w:tcPr>
            <w:tcW w:w="1417" w:type="dxa"/>
          </w:tcPr>
          <w:p w:rsidR="00E825A8" w:rsidRDefault="00E825A8" w:rsidP="00E825A8">
            <w:pPr>
              <w:pStyle w:val="NoSpacing"/>
              <w:jc w:val="right"/>
            </w:pPr>
            <w:r>
              <w:t>574</w:t>
            </w:r>
          </w:p>
        </w:tc>
        <w:tc>
          <w:tcPr>
            <w:tcW w:w="1418" w:type="dxa"/>
          </w:tcPr>
          <w:p w:rsidR="00E825A8" w:rsidRDefault="00E825A8" w:rsidP="00E825A8">
            <w:pPr>
              <w:pStyle w:val="NoSpacing"/>
              <w:jc w:val="right"/>
            </w:pPr>
            <w:r>
              <w:t>4,732</w:t>
            </w:r>
          </w:p>
        </w:tc>
        <w:tc>
          <w:tcPr>
            <w:tcW w:w="1236" w:type="dxa"/>
          </w:tcPr>
          <w:p w:rsidR="00E825A8" w:rsidRDefault="00E825A8" w:rsidP="00E825A8">
            <w:pPr>
              <w:pStyle w:val="NoSpacing"/>
              <w:jc w:val="right"/>
            </w:pPr>
            <w:r>
              <w:t>-</w:t>
            </w:r>
          </w:p>
        </w:tc>
        <w:tc>
          <w:tcPr>
            <w:tcW w:w="1525" w:type="dxa"/>
          </w:tcPr>
          <w:p w:rsidR="00E825A8" w:rsidRDefault="00E825A8" w:rsidP="00E825A8">
            <w:pPr>
              <w:pStyle w:val="NoSpacing"/>
              <w:jc w:val="right"/>
            </w:pPr>
            <w:r>
              <w:t>-</w:t>
            </w:r>
          </w:p>
        </w:tc>
        <w:tc>
          <w:tcPr>
            <w:tcW w:w="1520" w:type="dxa"/>
          </w:tcPr>
          <w:p w:rsidR="00E825A8" w:rsidRDefault="00E825A8" w:rsidP="00E825A8">
            <w:pPr>
              <w:pStyle w:val="NoSpacing"/>
              <w:jc w:val="right"/>
            </w:pPr>
            <w:r>
              <w:t>253</w:t>
            </w:r>
          </w:p>
        </w:tc>
        <w:tc>
          <w:tcPr>
            <w:tcW w:w="1264" w:type="dxa"/>
          </w:tcPr>
          <w:p w:rsidR="00E825A8" w:rsidRDefault="00E825A8" w:rsidP="00E825A8">
            <w:pPr>
              <w:pStyle w:val="NoSpacing"/>
              <w:jc w:val="right"/>
            </w:pPr>
            <w:r>
              <w:t>2,973</w:t>
            </w:r>
          </w:p>
        </w:tc>
        <w:tc>
          <w:tcPr>
            <w:tcW w:w="1401" w:type="dxa"/>
          </w:tcPr>
          <w:p w:rsidR="00E825A8" w:rsidRDefault="00E825A8" w:rsidP="00E825A8">
            <w:pPr>
              <w:pStyle w:val="NoSpacing"/>
              <w:jc w:val="right"/>
            </w:pPr>
            <w:r>
              <w:t>29,168</w:t>
            </w:r>
          </w:p>
        </w:tc>
      </w:tr>
      <w:tr w:rsidR="00E825A8" w:rsidTr="00337C8E">
        <w:tc>
          <w:tcPr>
            <w:tcW w:w="2837" w:type="dxa"/>
          </w:tcPr>
          <w:p w:rsidR="00E825A8" w:rsidRDefault="00E825A8" w:rsidP="00E825A8">
            <w:pPr>
              <w:pStyle w:val="NoSpacing"/>
            </w:pPr>
            <w:r>
              <w:t>Disposals</w:t>
            </w:r>
          </w:p>
        </w:tc>
        <w:tc>
          <w:tcPr>
            <w:tcW w:w="1416" w:type="dxa"/>
          </w:tcPr>
          <w:p w:rsidR="00E825A8" w:rsidRDefault="00E825A8" w:rsidP="00E825A8">
            <w:pPr>
              <w:pStyle w:val="NoSpacing"/>
              <w:jc w:val="right"/>
            </w:pPr>
            <w:r>
              <w:t>-</w:t>
            </w:r>
          </w:p>
        </w:tc>
        <w:tc>
          <w:tcPr>
            <w:tcW w:w="1276" w:type="dxa"/>
          </w:tcPr>
          <w:p w:rsidR="00E825A8" w:rsidRDefault="00E825A8" w:rsidP="00E825A8">
            <w:pPr>
              <w:pStyle w:val="NoSpacing"/>
              <w:jc w:val="right"/>
            </w:pPr>
            <w:r>
              <w:t>-</w:t>
            </w:r>
          </w:p>
        </w:tc>
        <w:tc>
          <w:tcPr>
            <w:tcW w:w="1417" w:type="dxa"/>
          </w:tcPr>
          <w:p w:rsidR="00E825A8" w:rsidRDefault="00E825A8" w:rsidP="00E825A8">
            <w:pPr>
              <w:pStyle w:val="NoSpacing"/>
              <w:jc w:val="right"/>
            </w:pPr>
            <w:r>
              <w:t>(2)</w:t>
            </w:r>
          </w:p>
        </w:tc>
        <w:tc>
          <w:tcPr>
            <w:tcW w:w="1418" w:type="dxa"/>
          </w:tcPr>
          <w:p w:rsidR="00E825A8" w:rsidRDefault="00E825A8" w:rsidP="00E825A8">
            <w:pPr>
              <w:pStyle w:val="NoSpacing"/>
              <w:jc w:val="right"/>
            </w:pPr>
            <w:r>
              <w:t>(2)</w:t>
            </w:r>
          </w:p>
        </w:tc>
        <w:tc>
          <w:tcPr>
            <w:tcW w:w="1236" w:type="dxa"/>
          </w:tcPr>
          <w:p w:rsidR="00E825A8" w:rsidRDefault="00E825A8" w:rsidP="00E825A8">
            <w:pPr>
              <w:pStyle w:val="NoSpacing"/>
              <w:jc w:val="right"/>
            </w:pPr>
            <w:r>
              <w:t>-</w:t>
            </w:r>
          </w:p>
        </w:tc>
        <w:tc>
          <w:tcPr>
            <w:tcW w:w="1525" w:type="dxa"/>
          </w:tcPr>
          <w:p w:rsidR="00E825A8" w:rsidRDefault="00E825A8" w:rsidP="00E825A8">
            <w:pPr>
              <w:pStyle w:val="NoSpacing"/>
              <w:jc w:val="right"/>
            </w:pPr>
            <w:r>
              <w:t>-</w:t>
            </w:r>
          </w:p>
        </w:tc>
        <w:tc>
          <w:tcPr>
            <w:tcW w:w="1520" w:type="dxa"/>
          </w:tcPr>
          <w:p w:rsidR="00E825A8" w:rsidRDefault="00E825A8" w:rsidP="00E825A8">
            <w:pPr>
              <w:pStyle w:val="NoSpacing"/>
              <w:jc w:val="right"/>
            </w:pPr>
            <w:r>
              <w:t>-</w:t>
            </w:r>
          </w:p>
        </w:tc>
        <w:tc>
          <w:tcPr>
            <w:tcW w:w="1264" w:type="dxa"/>
          </w:tcPr>
          <w:p w:rsidR="00E825A8" w:rsidRDefault="00E825A8" w:rsidP="00E825A8">
            <w:pPr>
              <w:pStyle w:val="NoSpacing"/>
              <w:jc w:val="right"/>
            </w:pPr>
            <w:r>
              <w:t>-</w:t>
            </w:r>
          </w:p>
        </w:tc>
        <w:tc>
          <w:tcPr>
            <w:tcW w:w="1401" w:type="dxa"/>
          </w:tcPr>
          <w:p w:rsidR="00E825A8" w:rsidRDefault="00E825A8" w:rsidP="00E825A8">
            <w:pPr>
              <w:pStyle w:val="NoSpacing"/>
              <w:jc w:val="right"/>
            </w:pPr>
            <w:r>
              <w:t>(4)</w:t>
            </w:r>
          </w:p>
        </w:tc>
      </w:tr>
      <w:tr w:rsidR="00E825A8" w:rsidTr="00337C8E">
        <w:tc>
          <w:tcPr>
            <w:tcW w:w="2837" w:type="dxa"/>
          </w:tcPr>
          <w:p w:rsidR="00E825A8" w:rsidRDefault="00E825A8" w:rsidP="00E825A8">
            <w:pPr>
              <w:pStyle w:val="NoSpacing"/>
            </w:pPr>
            <w:r>
              <w:t>Transfers</w:t>
            </w:r>
          </w:p>
        </w:tc>
        <w:tc>
          <w:tcPr>
            <w:tcW w:w="1416" w:type="dxa"/>
          </w:tcPr>
          <w:p w:rsidR="00E825A8" w:rsidRDefault="00E825A8" w:rsidP="00E825A8">
            <w:pPr>
              <w:pStyle w:val="NoSpacing"/>
              <w:jc w:val="right"/>
            </w:pPr>
            <w:r>
              <w:t>-</w:t>
            </w:r>
          </w:p>
        </w:tc>
        <w:tc>
          <w:tcPr>
            <w:tcW w:w="1276" w:type="dxa"/>
          </w:tcPr>
          <w:p w:rsidR="00E825A8" w:rsidRDefault="00E825A8" w:rsidP="00E825A8">
            <w:pPr>
              <w:pStyle w:val="NoSpacing"/>
              <w:jc w:val="right"/>
            </w:pPr>
            <w:r>
              <w:t>68,586</w:t>
            </w:r>
          </w:p>
        </w:tc>
        <w:tc>
          <w:tcPr>
            <w:tcW w:w="1417" w:type="dxa"/>
          </w:tcPr>
          <w:p w:rsidR="00E825A8" w:rsidRDefault="00E825A8" w:rsidP="00E825A8">
            <w:pPr>
              <w:pStyle w:val="NoSpacing"/>
              <w:jc w:val="right"/>
            </w:pPr>
            <w:r>
              <w:t>(72,595)</w:t>
            </w:r>
          </w:p>
        </w:tc>
        <w:tc>
          <w:tcPr>
            <w:tcW w:w="1418" w:type="dxa"/>
          </w:tcPr>
          <w:p w:rsidR="00E825A8" w:rsidRDefault="00E825A8" w:rsidP="00E825A8">
            <w:pPr>
              <w:pStyle w:val="NoSpacing"/>
              <w:jc w:val="right"/>
            </w:pPr>
            <w:r>
              <w:t>3,944</w:t>
            </w:r>
          </w:p>
        </w:tc>
        <w:tc>
          <w:tcPr>
            <w:tcW w:w="1236" w:type="dxa"/>
          </w:tcPr>
          <w:p w:rsidR="00E825A8" w:rsidRDefault="00E825A8" w:rsidP="00E825A8">
            <w:pPr>
              <w:pStyle w:val="NoSpacing"/>
              <w:jc w:val="right"/>
            </w:pPr>
            <w:r>
              <w:t>-</w:t>
            </w:r>
          </w:p>
        </w:tc>
        <w:tc>
          <w:tcPr>
            <w:tcW w:w="1525" w:type="dxa"/>
          </w:tcPr>
          <w:p w:rsidR="00E825A8" w:rsidRDefault="00E825A8" w:rsidP="00E825A8">
            <w:pPr>
              <w:pStyle w:val="NoSpacing"/>
              <w:jc w:val="right"/>
            </w:pPr>
            <w:r>
              <w:t>-</w:t>
            </w:r>
          </w:p>
        </w:tc>
        <w:tc>
          <w:tcPr>
            <w:tcW w:w="1520" w:type="dxa"/>
          </w:tcPr>
          <w:p w:rsidR="00E825A8" w:rsidRDefault="00E825A8" w:rsidP="00E825A8">
            <w:pPr>
              <w:pStyle w:val="NoSpacing"/>
              <w:jc w:val="right"/>
            </w:pPr>
            <w:r>
              <w:t>65</w:t>
            </w:r>
          </w:p>
        </w:tc>
        <w:tc>
          <w:tcPr>
            <w:tcW w:w="1264" w:type="dxa"/>
          </w:tcPr>
          <w:p w:rsidR="00E825A8" w:rsidRDefault="00E825A8" w:rsidP="00E825A8">
            <w:pPr>
              <w:pStyle w:val="NoSpacing"/>
              <w:jc w:val="right"/>
            </w:pPr>
            <w:r>
              <w:t>-</w:t>
            </w:r>
          </w:p>
        </w:tc>
        <w:tc>
          <w:tcPr>
            <w:tcW w:w="1401" w:type="dxa"/>
          </w:tcPr>
          <w:p w:rsidR="00E825A8" w:rsidRDefault="00E825A8" w:rsidP="00E825A8">
            <w:pPr>
              <w:pStyle w:val="NoSpacing"/>
              <w:jc w:val="right"/>
            </w:pPr>
            <w:r>
              <w:t>-</w:t>
            </w:r>
          </w:p>
        </w:tc>
      </w:tr>
      <w:tr w:rsidR="00E825A8" w:rsidTr="00337C8E">
        <w:tc>
          <w:tcPr>
            <w:tcW w:w="2837" w:type="dxa"/>
          </w:tcPr>
          <w:p w:rsidR="00E825A8" w:rsidRDefault="00E825A8" w:rsidP="00E825A8">
            <w:pPr>
              <w:pStyle w:val="NoSpacing"/>
            </w:pPr>
            <w:r>
              <w:t>Depreciation</w:t>
            </w:r>
          </w:p>
        </w:tc>
        <w:tc>
          <w:tcPr>
            <w:tcW w:w="1416" w:type="dxa"/>
          </w:tcPr>
          <w:p w:rsidR="00E825A8" w:rsidRDefault="00E825A8" w:rsidP="00E825A8">
            <w:pPr>
              <w:pStyle w:val="NoSpacing"/>
              <w:jc w:val="right"/>
            </w:pPr>
            <w:r>
              <w:t>-</w:t>
            </w:r>
          </w:p>
        </w:tc>
        <w:tc>
          <w:tcPr>
            <w:tcW w:w="1276" w:type="dxa"/>
          </w:tcPr>
          <w:p w:rsidR="00E825A8" w:rsidRDefault="00E825A8" w:rsidP="00E825A8">
            <w:pPr>
              <w:pStyle w:val="NoSpacing"/>
              <w:jc w:val="right"/>
            </w:pPr>
            <w:r>
              <w:t>(6,198)</w:t>
            </w:r>
          </w:p>
        </w:tc>
        <w:tc>
          <w:tcPr>
            <w:tcW w:w="1417" w:type="dxa"/>
          </w:tcPr>
          <w:p w:rsidR="00E825A8" w:rsidRDefault="00E825A8" w:rsidP="00E825A8">
            <w:pPr>
              <w:pStyle w:val="NoSpacing"/>
              <w:jc w:val="right"/>
            </w:pPr>
            <w:r>
              <w:t>-</w:t>
            </w:r>
          </w:p>
        </w:tc>
        <w:tc>
          <w:tcPr>
            <w:tcW w:w="1418" w:type="dxa"/>
          </w:tcPr>
          <w:p w:rsidR="00E825A8" w:rsidRDefault="00E825A8" w:rsidP="00E825A8">
            <w:pPr>
              <w:pStyle w:val="NoSpacing"/>
              <w:jc w:val="right"/>
            </w:pPr>
            <w:r>
              <w:t>(2,164)</w:t>
            </w:r>
          </w:p>
        </w:tc>
        <w:tc>
          <w:tcPr>
            <w:tcW w:w="1236" w:type="dxa"/>
          </w:tcPr>
          <w:p w:rsidR="00E825A8" w:rsidRDefault="00E825A8" w:rsidP="00E825A8">
            <w:pPr>
              <w:pStyle w:val="NoSpacing"/>
              <w:jc w:val="right"/>
            </w:pPr>
            <w:r>
              <w:t>(83)</w:t>
            </w:r>
          </w:p>
        </w:tc>
        <w:tc>
          <w:tcPr>
            <w:tcW w:w="1525" w:type="dxa"/>
          </w:tcPr>
          <w:p w:rsidR="00E825A8" w:rsidRDefault="00E825A8" w:rsidP="00E825A8">
            <w:pPr>
              <w:pStyle w:val="NoSpacing"/>
              <w:jc w:val="right"/>
            </w:pPr>
            <w:r>
              <w:t>(247)</w:t>
            </w:r>
          </w:p>
        </w:tc>
        <w:tc>
          <w:tcPr>
            <w:tcW w:w="1520" w:type="dxa"/>
          </w:tcPr>
          <w:p w:rsidR="00E825A8" w:rsidRDefault="00E825A8" w:rsidP="00E825A8">
            <w:pPr>
              <w:pStyle w:val="NoSpacing"/>
              <w:jc w:val="right"/>
            </w:pPr>
            <w:r>
              <w:t>(171)</w:t>
            </w:r>
          </w:p>
        </w:tc>
        <w:tc>
          <w:tcPr>
            <w:tcW w:w="1264" w:type="dxa"/>
          </w:tcPr>
          <w:p w:rsidR="00E825A8" w:rsidRDefault="00E825A8" w:rsidP="00E825A8">
            <w:pPr>
              <w:pStyle w:val="NoSpacing"/>
              <w:jc w:val="right"/>
            </w:pPr>
            <w:r>
              <w:t>(1,333)</w:t>
            </w:r>
          </w:p>
        </w:tc>
        <w:tc>
          <w:tcPr>
            <w:tcW w:w="1401" w:type="dxa"/>
          </w:tcPr>
          <w:p w:rsidR="00E825A8" w:rsidRDefault="00E825A8" w:rsidP="00E825A8">
            <w:pPr>
              <w:pStyle w:val="NoSpacing"/>
              <w:jc w:val="right"/>
            </w:pPr>
            <w:r>
              <w:t>(10,166)</w:t>
            </w:r>
          </w:p>
        </w:tc>
      </w:tr>
      <w:tr w:rsidR="00E825A8" w:rsidTr="00337C8E">
        <w:tc>
          <w:tcPr>
            <w:tcW w:w="2837" w:type="dxa"/>
          </w:tcPr>
          <w:p w:rsidR="00E825A8" w:rsidRDefault="00E825A8" w:rsidP="00E825A8">
            <w:pPr>
              <w:pStyle w:val="NoSpacing"/>
            </w:pPr>
            <w:r>
              <w:t>Closing balance</w:t>
            </w:r>
          </w:p>
        </w:tc>
        <w:tc>
          <w:tcPr>
            <w:tcW w:w="1416" w:type="dxa"/>
          </w:tcPr>
          <w:p w:rsidR="00E825A8" w:rsidRDefault="00E825A8" w:rsidP="00E825A8">
            <w:pPr>
              <w:pStyle w:val="NoSpacing"/>
              <w:jc w:val="right"/>
            </w:pPr>
            <w:r>
              <w:t>58,196</w:t>
            </w:r>
          </w:p>
        </w:tc>
        <w:tc>
          <w:tcPr>
            <w:tcW w:w="1276" w:type="dxa"/>
          </w:tcPr>
          <w:p w:rsidR="00E825A8" w:rsidRDefault="00E825A8" w:rsidP="00E825A8">
            <w:pPr>
              <w:pStyle w:val="NoSpacing"/>
              <w:jc w:val="right"/>
            </w:pPr>
            <w:r>
              <w:t>286,042</w:t>
            </w:r>
          </w:p>
        </w:tc>
        <w:tc>
          <w:tcPr>
            <w:tcW w:w="1417" w:type="dxa"/>
          </w:tcPr>
          <w:p w:rsidR="00E825A8" w:rsidRDefault="00E825A8" w:rsidP="00E825A8">
            <w:pPr>
              <w:pStyle w:val="NoSpacing"/>
              <w:jc w:val="right"/>
            </w:pPr>
            <w:r>
              <w:t>584</w:t>
            </w:r>
          </w:p>
        </w:tc>
        <w:tc>
          <w:tcPr>
            <w:tcW w:w="1418" w:type="dxa"/>
          </w:tcPr>
          <w:p w:rsidR="00E825A8" w:rsidRDefault="00E825A8" w:rsidP="00E825A8">
            <w:pPr>
              <w:pStyle w:val="NoSpacing"/>
              <w:jc w:val="right"/>
            </w:pPr>
            <w:r>
              <w:t>13,099</w:t>
            </w:r>
          </w:p>
        </w:tc>
        <w:tc>
          <w:tcPr>
            <w:tcW w:w="1236" w:type="dxa"/>
          </w:tcPr>
          <w:p w:rsidR="00E825A8" w:rsidRDefault="00E825A8" w:rsidP="00E825A8">
            <w:pPr>
              <w:pStyle w:val="NoSpacing"/>
              <w:jc w:val="right"/>
            </w:pPr>
            <w:r>
              <w:t>333</w:t>
            </w:r>
          </w:p>
        </w:tc>
        <w:tc>
          <w:tcPr>
            <w:tcW w:w="1525" w:type="dxa"/>
          </w:tcPr>
          <w:p w:rsidR="00E825A8" w:rsidRDefault="00E825A8" w:rsidP="00E825A8">
            <w:pPr>
              <w:pStyle w:val="NoSpacing"/>
              <w:jc w:val="right"/>
            </w:pPr>
            <w:r>
              <w:t>113</w:t>
            </w:r>
          </w:p>
        </w:tc>
        <w:tc>
          <w:tcPr>
            <w:tcW w:w="1520" w:type="dxa"/>
          </w:tcPr>
          <w:p w:rsidR="00E825A8" w:rsidRDefault="00E825A8" w:rsidP="00E825A8">
            <w:pPr>
              <w:pStyle w:val="NoSpacing"/>
              <w:jc w:val="right"/>
            </w:pPr>
            <w:r>
              <w:t>2,565</w:t>
            </w:r>
          </w:p>
        </w:tc>
        <w:tc>
          <w:tcPr>
            <w:tcW w:w="1264" w:type="dxa"/>
          </w:tcPr>
          <w:p w:rsidR="00E825A8" w:rsidRDefault="00E825A8" w:rsidP="00E825A8">
            <w:pPr>
              <w:pStyle w:val="NoSpacing"/>
              <w:jc w:val="right"/>
            </w:pPr>
            <w:r>
              <w:t>1,640</w:t>
            </w:r>
          </w:p>
        </w:tc>
        <w:tc>
          <w:tcPr>
            <w:tcW w:w="1401" w:type="dxa"/>
          </w:tcPr>
          <w:p w:rsidR="00E825A8" w:rsidRDefault="00E825A8" w:rsidP="00E825A8">
            <w:pPr>
              <w:pStyle w:val="NoSpacing"/>
              <w:jc w:val="right"/>
            </w:pPr>
            <w:r>
              <w:t>362,572</w:t>
            </w:r>
          </w:p>
        </w:tc>
      </w:tr>
    </w:tbl>
    <w:p w:rsidR="00575B0B" w:rsidRDefault="00575B0B" w:rsidP="005942B8">
      <w:pPr>
        <w:pStyle w:val="NoSpacing"/>
      </w:pPr>
    </w:p>
    <w:tbl>
      <w:tblPr>
        <w:tblStyle w:val="TableGrid"/>
        <w:tblW w:w="15310" w:type="dxa"/>
        <w:tblInd w:w="-714" w:type="dxa"/>
        <w:tblLook w:val="04A0" w:firstRow="1" w:lastRow="0" w:firstColumn="1" w:lastColumn="0" w:noHBand="0" w:noVBand="1"/>
      </w:tblPr>
      <w:tblGrid>
        <w:gridCol w:w="2836"/>
        <w:gridCol w:w="1417"/>
        <w:gridCol w:w="1276"/>
        <w:gridCol w:w="1417"/>
        <w:gridCol w:w="1418"/>
        <w:gridCol w:w="1276"/>
        <w:gridCol w:w="1559"/>
        <w:gridCol w:w="1417"/>
        <w:gridCol w:w="1347"/>
        <w:gridCol w:w="1347"/>
      </w:tblGrid>
      <w:tr w:rsidR="00575B0B" w:rsidTr="00831DE5">
        <w:tc>
          <w:tcPr>
            <w:tcW w:w="15310" w:type="dxa"/>
            <w:gridSpan w:val="10"/>
          </w:tcPr>
          <w:p w:rsidR="00575B0B" w:rsidRDefault="00575B0B" w:rsidP="00831DE5">
            <w:pPr>
              <w:pStyle w:val="NoSpacing"/>
            </w:pPr>
            <w:r>
              <w:t>Consolidated 2018</w:t>
            </w:r>
          </w:p>
        </w:tc>
      </w:tr>
      <w:tr w:rsidR="00E825A8" w:rsidTr="00C303FB">
        <w:tc>
          <w:tcPr>
            <w:tcW w:w="2836" w:type="dxa"/>
          </w:tcPr>
          <w:p w:rsidR="00E825A8" w:rsidRDefault="00E825A8" w:rsidP="00831DE5">
            <w:pPr>
              <w:pStyle w:val="NoSpacing"/>
            </w:pPr>
            <w:r>
              <w:t>Opening net book amount</w:t>
            </w:r>
          </w:p>
        </w:tc>
        <w:tc>
          <w:tcPr>
            <w:tcW w:w="1417" w:type="dxa"/>
          </w:tcPr>
          <w:p w:rsidR="00E825A8" w:rsidRDefault="00E825A8" w:rsidP="00E825A8">
            <w:pPr>
              <w:pStyle w:val="NoSpacing"/>
              <w:jc w:val="right"/>
            </w:pPr>
            <w:r>
              <w:t>58,196</w:t>
            </w:r>
          </w:p>
        </w:tc>
        <w:tc>
          <w:tcPr>
            <w:tcW w:w="1276" w:type="dxa"/>
          </w:tcPr>
          <w:p w:rsidR="00E825A8" w:rsidRDefault="00E825A8" w:rsidP="00E825A8">
            <w:pPr>
              <w:pStyle w:val="NoSpacing"/>
              <w:jc w:val="right"/>
            </w:pPr>
            <w:r>
              <w:t>196,789</w:t>
            </w:r>
          </w:p>
        </w:tc>
        <w:tc>
          <w:tcPr>
            <w:tcW w:w="1417" w:type="dxa"/>
          </w:tcPr>
          <w:p w:rsidR="00E825A8" w:rsidRDefault="00E825A8" w:rsidP="00E825A8">
            <w:pPr>
              <w:pStyle w:val="NoSpacing"/>
              <w:jc w:val="right"/>
            </w:pPr>
            <w:r>
              <w:t>16,000</w:t>
            </w:r>
          </w:p>
        </w:tc>
        <w:tc>
          <w:tcPr>
            <w:tcW w:w="1418" w:type="dxa"/>
          </w:tcPr>
          <w:p w:rsidR="00E825A8" w:rsidRDefault="00E825A8" w:rsidP="00E825A8">
            <w:pPr>
              <w:pStyle w:val="NoSpacing"/>
              <w:jc w:val="right"/>
            </w:pPr>
            <w:r>
              <w:t>4,854</w:t>
            </w:r>
          </w:p>
        </w:tc>
        <w:tc>
          <w:tcPr>
            <w:tcW w:w="1276" w:type="dxa"/>
          </w:tcPr>
          <w:p w:rsidR="00E825A8" w:rsidRDefault="00E825A8" w:rsidP="00E825A8">
            <w:pPr>
              <w:pStyle w:val="NoSpacing"/>
              <w:jc w:val="right"/>
            </w:pPr>
            <w:r>
              <w:t>280</w:t>
            </w:r>
          </w:p>
        </w:tc>
        <w:tc>
          <w:tcPr>
            <w:tcW w:w="1559" w:type="dxa"/>
          </w:tcPr>
          <w:p w:rsidR="00E825A8" w:rsidRDefault="00E825A8" w:rsidP="00E825A8">
            <w:pPr>
              <w:pStyle w:val="NoSpacing"/>
              <w:jc w:val="right"/>
            </w:pPr>
            <w:r>
              <w:t>650</w:t>
            </w:r>
          </w:p>
        </w:tc>
        <w:tc>
          <w:tcPr>
            <w:tcW w:w="1417" w:type="dxa"/>
          </w:tcPr>
          <w:p w:rsidR="00E825A8" w:rsidRDefault="00E825A8" w:rsidP="00E825A8">
            <w:pPr>
              <w:pStyle w:val="NoSpacing"/>
              <w:jc w:val="right"/>
            </w:pPr>
            <w:r>
              <w:t>2,502</w:t>
            </w:r>
          </w:p>
        </w:tc>
        <w:tc>
          <w:tcPr>
            <w:tcW w:w="1347" w:type="dxa"/>
          </w:tcPr>
          <w:p w:rsidR="00E825A8" w:rsidRDefault="00E825A8" w:rsidP="00E825A8">
            <w:pPr>
              <w:pStyle w:val="NoSpacing"/>
              <w:jc w:val="right"/>
            </w:pPr>
            <w:r>
              <w:t>-</w:t>
            </w:r>
          </w:p>
        </w:tc>
        <w:tc>
          <w:tcPr>
            <w:tcW w:w="1347" w:type="dxa"/>
          </w:tcPr>
          <w:p w:rsidR="00E825A8" w:rsidRDefault="00E825A8" w:rsidP="00E825A8">
            <w:pPr>
              <w:pStyle w:val="NoSpacing"/>
              <w:jc w:val="right"/>
            </w:pPr>
            <w:r>
              <w:t>279,271</w:t>
            </w:r>
          </w:p>
        </w:tc>
      </w:tr>
      <w:tr w:rsidR="00E825A8" w:rsidTr="00C303FB">
        <w:tc>
          <w:tcPr>
            <w:tcW w:w="2836" w:type="dxa"/>
          </w:tcPr>
          <w:p w:rsidR="00E825A8" w:rsidRDefault="00E825A8" w:rsidP="00831DE5">
            <w:pPr>
              <w:pStyle w:val="NoSpacing"/>
            </w:pPr>
            <w:r>
              <w:t>Additions</w:t>
            </w:r>
          </w:p>
        </w:tc>
        <w:tc>
          <w:tcPr>
            <w:tcW w:w="1417" w:type="dxa"/>
          </w:tcPr>
          <w:p w:rsidR="00E825A8" w:rsidRDefault="00E825A8" w:rsidP="00E825A8">
            <w:pPr>
              <w:pStyle w:val="NoSpacing"/>
              <w:jc w:val="right"/>
            </w:pPr>
            <w:r>
              <w:t>-</w:t>
            </w:r>
          </w:p>
        </w:tc>
        <w:tc>
          <w:tcPr>
            <w:tcW w:w="1276" w:type="dxa"/>
          </w:tcPr>
          <w:p w:rsidR="00E825A8" w:rsidRDefault="00E825A8" w:rsidP="00E825A8">
            <w:pPr>
              <w:pStyle w:val="NoSpacing"/>
              <w:jc w:val="right"/>
            </w:pPr>
            <w:r>
              <w:t>-</w:t>
            </w:r>
          </w:p>
        </w:tc>
        <w:tc>
          <w:tcPr>
            <w:tcW w:w="1417" w:type="dxa"/>
          </w:tcPr>
          <w:p w:rsidR="00E825A8" w:rsidRDefault="00E825A8" w:rsidP="00E825A8">
            <w:pPr>
              <w:pStyle w:val="NoSpacing"/>
              <w:jc w:val="right"/>
            </w:pPr>
            <w:r>
              <w:t>69,052</w:t>
            </w:r>
          </w:p>
        </w:tc>
        <w:tc>
          <w:tcPr>
            <w:tcW w:w="1418" w:type="dxa"/>
          </w:tcPr>
          <w:p w:rsidR="00E825A8" w:rsidRDefault="00E825A8" w:rsidP="00E825A8">
            <w:pPr>
              <w:pStyle w:val="NoSpacing"/>
              <w:jc w:val="right"/>
            </w:pPr>
            <w:r>
              <w:t>2,358</w:t>
            </w:r>
          </w:p>
        </w:tc>
        <w:tc>
          <w:tcPr>
            <w:tcW w:w="1276" w:type="dxa"/>
          </w:tcPr>
          <w:p w:rsidR="00E825A8" w:rsidRDefault="00E825A8" w:rsidP="00E825A8">
            <w:pPr>
              <w:pStyle w:val="NoSpacing"/>
              <w:jc w:val="right"/>
            </w:pPr>
            <w:r>
              <w:t>198</w:t>
            </w:r>
          </w:p>
        </w:tc>
        <w:tc>
          <w:tcPr>
            <w:tcW w:w="1559" w:type="dxa"/>
          </w:tcPr>
          <w:p w:rsidR="00E825A8" w:rsidRDefault="00E825A8" w:rsidP="00E825A8">
            <w:pPr>
              <w:pStyle w:val="NoSpacing"/>
              <w:jc w:val="right"/>
            </w:pPr>
            <w:r>
              <w:t>-</w:t>
            </w:r>
          </w:p>
        </w:tc>
        <w:tc>
          <w:tcPr>
            <w:tcW w:w="1417" w:type="dxa"/>
          </w:tcPr>
          <w:p w:rsidR="00E825A8" w:rsidRDefault="00E825A8" w:rsidP="00E825A8">
            <w:pPr>
              <w:pStyle w:val="NoSpacing"/>
              <w:jc w:val="right"/>
            </w:pPr>
            <w:r>
              <w:t>68</w:t>
            </w:r>
          </w:p>
        </w:tc>
        <w:tc>
          <w:tcPr>
            <w:tcW w:w="1347" w:type="dxa"/>
          </w:tcPr>
          <w:p w:rsidR="00E825A8" w:rsidRDefault="00E825A8" w:rsidP="00E825A8">
            <w:pPr>
              <w:pStyle w:val="NoSpacing"/>
              <w:jc w:val="right"/>
            </w:pPr>
            <w:r>
              <w:t>-</w:t>
            </w:r>
          </w:p>
        </w:tc>
        <w:tc>
          <w:tcPr>
            <w:tcW w:w="1347" w:type="dxa"/>
          </w:tcPr>
          <w:p w:rsidR="00E825A8" w:rsidRDefault="00E825A8" w:rsidP="00E825A8">
            <w:pPr>
              <w:pStyle w:val="NoSpacing"/>
              <w:jc w:val="right"/>
            </w:pPr>
            <w:r>
              <w:t>71,675</w:t>
            </w:r>
          </w:p>
        </w:tc>
      </w:tr>
      <w:tr w:rsidR="00E825A8" w:rsidTr="00C303FB">
        <w:tc>
          <w:tcPr>
            <w:tcW w:w="2836" w:type="dxa"/>
          </w:tcPr>
          <w:p w:rsidR="00E825A8" w:rsidRDefault="00E825A8" w:rsidP="00831DE5">
            <w:pPr>
              <w:pStyle w:val="NoSpacing"/>
            </w:pPr>
            <w:r>
              <w:t>Disposals</w:t>
            </w:r>
          </w:p>
        </w:tc>
        <w:tc>
          <w:tcPr>
            <w:tcW w:w="1417" w:type="dxa"/>
          </w:tcPr>
          <w:p w:rsidR="00E825A8" w:rsidRDefault="00E825A8" w:rsidP="00E825A8">
            <w:pPr>
              <w:pStyle w:val="NoSpacing"/>
              <w:jc w:val="right"/>
            </w:pPr>
            <w:r>
              <w:t>-</w:t>
            </w:r>
          </w:p>
        </w:tc>
        <w:tc>
          <w:tcPr>
            <w:tcW w:w="1276" w:type="dxa"/>
          </w:tcPr>
          <w:p w:rsidR="00E825A8" w:rsidRDefault="00E825A8" w:rsidP="00E825A8">
            <w:pPr>
              <w:pStyle w:val="NoSpacing"/>
              <w:jc w:val="right"/>
            </w:pPr>
            <w:r>
              <w:t>-</w:t>
            </w:r>
          </w:p>
        </w:tc>
        <w:tc>
          <w:tcPr>
            <w:tcW w:w="1417" w:type="dxa"/>
          </w:tcPr>
          <w:p w:rsidR="00E825A8" w:rsidRDefault="00E825A8" w:rsidP="00E825A8">
            <w:pPr>
              <w:pStyle w:val="NoSpacing"/>
              <w:jc w:val="right"/>
            </w:pPr>
            <w:r>
              <w:t>-</w:t>
            </w:r>
          </w:p>
        </w:tc>
        <w:tc>
          <w:tcPr>
            <w:tcW w:w="1418" w:type="dxa"/>
          </w:tcPr>
          <w:p w:rsidR="00E825A8" w:rsidRDefault="00E825A8" w:rsidP="00E825A8">
            <w:pPr>
              <w:pStyle w:val="NoSpacing"/>
              <w:jc w:val="right"/>
            </w:pPr>
            <w:r>
              <w:t>(222)</w:t>
            </w:r>
          </w:p>
        </w:tc>
        <w:tc>
          <w:tcPr>
            <w:tcW w:w="1276" w:type="dxa"/>
          </w:tcPr>
          <w:p w:rsidR="00E825A8" w:rsidRDefault="00E825A8" w:rsidP="00E825A8">
            <w:pPr>
              <w:pStyle w:val="NoSpacing"/>
              <w:jc w:val="right"/>
            </w:pPr>
            <w:r>
              <w:t>-</w:t>
            </w:r>
          </w:p>
        </w:tc>
        <w:tc>
          <w:tcPr>
            <w:tcW w:w="1559" w:type="dxa"/>
          </w:tcPr>
          <w:p w:rsidR="00E825A8" w:rsidRDefault="00E825A8" w:rsidP="00E825A8">
            <w:pPr>
              <w:pStyle w:val="NoSpacing"/>
              <w:jc w:val="right"/>
            </w:pPr>
            <w:r>
              <w:t>-</w:t>
            </w:r>
          </w:p>
        </w:tc>
        <w:tc>
          <w:tcPr>
            <w:tcW w:w="1417" w:type="dxa"/>
          </w:tcPr>
          <w:p w:rsidR="00E825A8" w:rsidRDefault="00E825A8" w:rsidP="00E825A8">
            <w:pPr>
              <w:pStyle w:val="NoSpacing"/>
              <w:jc w:val="right"/>
            </w:pPr>
            <w:r>
              <w:t>-</w:t>
            </w:r>
          </w:p>
        </w:tc>
        <w:tc>
          <w:tcPr>
            <w:tcW w:w="1347" w:type="dxa"/>
          </w:tcPr>
          <w:p w:rsidR="00E825A8" w:rsidRDefault="00E825A8" w:rsidP="00E825A8">
            <w:pPr>
              <w:pStyle w:val="NoSpacing"/>
              <w:jc w:val="right"/>
            </w:pPr>
            <w:r>
              <w:t>-</w:t>
            </w:r>
          </w:p>
        </w:tc>
        <w:tc>
          <w:tcPr>
            <w:tcW w:w="1347" w:type="dxa"/>
          </w:tcPr>
          <w:p w:rsidR="00E825A8" w:rsidRDefault="00E825A8" w:rsidP="00E825A8">
            <w:pPr>
              <w:pStyle w:val="NoSpacing"/>
              <w:jc w:val="right"/>
            </w:pPr>
            <w:r>
              <w:t>(222)</w:t>
            </w:r>
          </w:p>
        </w:tc>
      </w:tr>
      <w:tr w:rsidR="00E825A8" w:rsidTr="00C303FB">
        <w:tc>
          <w:tcPr>
            <w:tcW w:w="2836" w:type="dxa"/>
          </w:tcPr>
          <w:p w:rsidR="00E825A8" w:rsidRDefault="00E825A8" w:rsidP="00831DE5">
            <w:pPr>
              <w:pStyle w:val="NoSpacing"/>
            </w:pPr>
            <w:r>
              <w:t>Transfers</w:t>
            </w:r>
          </w:p>
        </w:tc>
        <w:tc>
          <w:tcPr>
            <w:tcW w:w="1417" w:type="dxa"/>
          </w:tcPr>
          <w:p w:rsidR="00E825A8" w:rsidRDefault="00E825A8" w:rsidP="00E825A8">
            <w:pPr>
              <w:pStyle w:val="NoSpacing"/>
              <w:jc w:val="right"/>
            </w:pPr>
            <w:r>
              <w:t>-</w:t>
            </w:r>
          </w:p>
        </w:tc>
        <w:tc>
          <w:tcPr>
            <w:tcW w:w="1276" w:type="dxa"/>
          </w:tcPr>
          <w:p w:rsidR="00E825A8" w:rsidRDefault="00E825A8" w:rsidP="00E825A8">
            <w:pPr>
              <w:pStyle w:val="NoSpacing"/>
              <w:jc w:val="right"/>
            </w:pPr>
            <w:r>
              <w:t>11,418</w:t>
            </w:r>
          </w:p>
        </w:tc>
        <w:tc>
          <w:tcPr>
            <w:tcW w:w="1417" w:type="dxa"/>
          </w:tcPr>
          <w:p w:rsidR="00E825A8" w:rsidRDefault="00E825A8" w:rsidP="00E825A8">
            <w:pPr>
              <w:pStyle w:val="NoSpacing"/>
              <w:jc w:val="right"/>
            </w:pPr>
            <w:r>
              <w:t>(12,445)</w:t>
            </w:r>
          </w:p>
        </w:tc>
        <w:tc>
          <w:tcPr>
            <w:tcW w:w="1418" w:type="dxa"/>
          </w:tcPr>
          <w:p w:rsidR="00E825A8" w:rsidRDefault="00E825A8" w:rsidP="00E825A8">
            <w:pPr>
              <w:pStyle w:val="NoSpacing"/>
              <w:jc w:val="right"/>
            </w:pPr>
            <w:r>
              <w:t>1,027</w:t>
            </w:r>
          </w:p>
        </w:tc>
        <w:tc>
          <w:tcPr>
            <w:tcW w:w="1276" w:type="dxa"/>
          </w:tcPr>
          <w:p w:rsidR="00E825A8" w:rsidRDefault="00E825A8" w:rsidP="00E825A8">
            <w:pPr>
              <w:pStyle w:val="NoSpacing"/>
              <w:jc w:val="right"/>
            </w:pPr>
            <w:r>
              <w:t>-</w:t>
            </w:r>
          </w:p>
        </w:tc>
        <w:tc>
          <w:tcPr>
            <w:tcW w:w="1559" w:type="dxa"/>
          </w:tcPr>
          <w:p w:rsidR="00E825A8" w:rsidRDefault="00E825A8" w:rsidP="00E825A8">
            <w:pPr>
              <w:pStyle w:val="NoSpacing"/>
              <w:jc w:val="right"/>
            </w:pPr>
            <w:r>
              <w:t>-</w:t>
            </w:r>
          </w:p>
        </w:tc>
        <w:tc>
          <w:tcPr>
            <w:tcW w:w="1417" w:type="dxa"/>
          </w:tcPr>
          <w:p w:rsidR="00E825A8" w:rsidRDefault="00E825A8" w:rsidP="00E825A8">
            <w:pPr>
              <w:pStyle w:val="NoSpacing"/>
              <w:jc w:val="right"/>
            </w:pPr>
            <w:r>
              <w:t>-</w:t>
            </w:r>
          </w:p>
        </w:tc>
        <w:tc>
          <w:tcPr>
            <w:tcW w:w="1347" w:type="dxa"/>
          </w:tcPr>
          <w:p w:rsidR="00E825A8" w:rsidRDefault="00E825A8" w:rsidP="00E825A8">
            <w:pPr>
              <w:pStyle w:val="NoSpacing"/>
              <w:jc w:val="right"/>
            </w:pPr>
            <w:r>
              <w:t>-</w:t>
            </w:r>
          </w:p>
        </w:tc>
        <w:tc>
          <w:tcPr>
            <w:tcW w:w="1347" w:type="dxa"/>
          </w:tcPr>
          <w:p w:rsidR="00E825A8" w:rsidRDefault="00E825A8" w:rsidP="00E825A8">
            <w:pPr>
              <w:pStyle w:val="NoSpacing"/>
              <w:jc w:val="right"/>
            </w:pPr>
            <w:r>
              <w:t>-</w:t>
            </w:r>
          </w:p>
        </w:tc>
      </w:tr>
      <w:tr w:rsidR="00E825A8" w:rsidTr="00C303FB">
        <w:tc>
          <w:tcPr>
            <w:tcW w:w="2836" w:type="dxa"/>
          </w:tcPr>
          <w:p w:rsidR="00E825A8" w:rsidRDefault="00E825A8" w:rsidP="00831DE5">
            <w:pPr>
              <w:pStyle w:val="NoSpacing"/>
            </w:pPr>
            <w:r>
              <w:t>Depreciation</w:t>
            </w:r>
          </w:p>
        </w:tc>
        <w:tc>
          <w:tcPr>
            <w:tcW w:w="1417" w:type="dxa"/>
          </w:tcPr>
          <w:p w:rsidR="00E825A8" w:rsidRDefault="00E825A8" w:rsidP="00E825A8">
            <w:pPr>
              <w:pStyle w:val="NoSpacing"/>
              <w:jc w:val="right"/>
            </w:pPr>
            <w:r>
              <w:t>-</w:t>
            </w:r>
          </w:p>
        </w:tc>
        <w:tc>
          <w:tcPr>
            <w:tcW w:w="1276" w:type="dxa"/>
          </w:tcPr>
          <w:p w:rsidR="00E825A8" w:rsidRDefault="00E825A8" w:rsidP="00E825A8">
            <w:pPr>
              <w:pStyle w:val="NoSpacing"/>
              <w:jc w:val="right"/>
            </w:pPr>
            <w:r>
              <w:t>(5,219)</w:t>
            </w:r>
          </w:p>
        </w:tc>
        <w:tc>
          <w:tcPr>
            <w:tcW w:w="1417" w:type="dxa"/>
          </w:tcPr>
          <w:p w:rsidR="00E825A8" w:rsidRDefault="00E825A8" w:rsidP="00E825A8">
            <w:pPr>
              <w:pStyle w:val="NoSpacing"/>
              <w:jc w:val="right"/>
            </w:pPr>
            <w:r>
              <w:t>-</w:t>
            </w:r>
          </w:p>
        </w:tc>
        <w:tc>
          <w:tcPr>
            <w:tcW w:w="1418" w:type="dxa"/>
          </w:tcPr>
          <w:p w:rsidR="00E825A8" w:rsidRDefault="00E825A8" w:rsidP="00E825A8">
            <w:pPr>
              <w:pStyle w:val="NoSpacing"/>
              <w:jc w:val="right"/>
            </w:pPr>
            <w:r>
              <w:t>(1,428)</w:t>
            </w:r>
          </w:p>
        </w:tc>
        <w:tc>
          <w:tcPr>
            <w:tcW w:w="1276" w:type="dxa"/>
          </w:tcPr>
          <w:p w:rsidR="00E825A8" w:rsidRDefault="00E825A8" w:rsidP="00E825A8">
            <w:pPr>
              <w:pStyle w:val="NoSpacing"/>
              <w:jc w:val="right"/>
            </w:pPr>
            <w:r>
              <w:t>(61)</w:t>
            </w:r>
          </w:p>
        </w:tc>
        <w:tc>
          <w:tcPr>
            <w:tcW w:w="1559" w:type="dxa"/>
          </w:tcPr>
          <w:p w:rsidR="00E825A8" w:rsidRDefault="00E825A8" w:rsidP="00E825A8">
            <w:pPr>
              <w:pStyle w:val="NoSpacing"/>
              <w:jc w:val="right"/>
            </w:pPr>
            <w:r>
              <w:t>(290)</w:t>
            </w:r>
          </w:p>
        </w:tc>
        <w:tc>
          <w:tcPr>
            <w:tcW w:w="1417" w:type="dxa"/>
          </w:tcPr>
          <w:p w:rsidR="00E825A8" w:rsidRDefault="00E825A8" w:rsidP="00E825A8">
            <w:pPr>
              <w:pStyle w:val="NoSpacing"/>
              <w:jc w:val="right"/>
            </w:pPr>
            <w:r>
              <w:t>(152)</w:t>
            </w:r>
          </w:p>
        </w:tc>
        <w:tc>
          <w:tcPr>
            <w:tcW w:w="1347" w:type="dxa"/>
          </w:tcPr>
          <w:p w:rsidR="00E825A8" w:rsidRDefault="00E825A8" w:rsidP="00E825A8">
            <w:pPr>
              <w:pStyle w:val="NoSpacing"/>
              <w:jc w:val="right"/>
            </w:pPr>
            <w:r>
              <w:t>-</w:t>
            </w:r>
          </w:p>
        </w:tc>
        <w:tc>
          <w:tcPr>
            <w:tcW w:w="1347" w:type="dxa"/>
          </w:tcPr>
          <w:p w:rsidR="00E825A8" w:rsidRDefault="00E825A8" w:rsidP="00E825A8">
            <w:pPr>
              <w:pStyle w:val="NoSpacing"/>
              <w:jc w:val="right"/>
            </w:pPr>
            <w:r>
              <w:t>(7,150)</w:t>
            </w:r>
          </w:p>
        </w:tc>
      </w:tr>
      <w:tr w:rsidR="00E825A8" w:rsidTr="00C303FB">
        <w:tc>
          <w:tcPr>
            <w:tcW w:w="2836" w:type="dxa"/>
          </w:tcPr>
          <w:p w:rsidR="00E825A8" w:rsidRDefault="00E825A8" w:rsidP="00831DE5">
            <w:pPr>
              <w:pStyle w:val="NoSpacing"/>
            </w:pPr>
            <w:r>
              <w:t>Closing balance</w:t>
            </w:r>
          </w:p>
        </w:tc>
        <w:tc>
          <w:tcPr>
            <w:tcW w:w="1417" w:type="dxa"/>
          </w:tcPr>
          <w:p w:rsidR="00E825A8" w:rsidRDefault="00E825A8" w:rsidP="00E825A8">
            <w:pPr>
              <w:pStyle w:val="NoSpacing"/>
              <w:jc w:val="right"/>
            </w:pPr>
            <w:r>
              <w:t>58,196</w:t>
            </w:r>
          </w:p>
        </w:tc>
        <w:tc>
          <w:tcPr>
            <w:tcW w:w="1276" w:type="dxa"/>
          </w:tcPr>
          <w:p w:rsidR="00E825A8" w:rsidRDefault="00E825A8" w:rsidP="00E825A8">
            <w:pPr>
              <w:pStyle w:val="NoSpacing"/>
              <w:jc w:val="right"/>
            </w:pPr>
            <w:r>
              <w:t>202,988</w:t>
            </w:r>
          </w:p>
        </w:tc>
        <w:tc>
          <w:tcPr>
            <w:tcW w:w="1417" w:type="dxa"/>
          </w:tcPr>
          <w:p w:rsidR="00E825A8" w:rsidRDefault="00E825A8" w:rsidP="00E825A8">
            <w:pPr>
              <w:pStyle w:val="NoSpacing"/>
              <w:jc w:val="right"/>
            </w:pPr>
            <w:r>
              <w:t>72,607</w:t>
            </w:r>
          </w:p>
        </w:tc>
        <w:tc>
          <w:tcPr>
            <w:tcW w:w="1418" w:type="dxa"/>
          </w:tcPr>
          <w:p w:rsidR="00E825A8" w:rsidRDefault="00E825A8" w:rsidP="00E825A8">
            <w:pPr>
              <w:pStyle w:val="NoSpacing"/>
              <w:jc w:val="right"/>
            </w:pPr>
            <w:r>
              <w:t>6,589</w:t>
            </w:r>
          </w:p>
        </w:tc>
        <w:tc>
          <w:tcPr>
            <w:tcW w:w="1276" w:type="dxa"/>
          </w:tcPr>
          <w:p w:rsidR="00E825A8" w:rsidRDefault="00E825A8" w:rsidP="00E825A8">
            <w:pPr>
              <w:pStyle w:val="NoSpacing"/>
              <w:jc w:val="right"/>
            </w:pPr>
            <w:r>
              <w:t>416</w:t>
            </w:r>
          </w:p>
        </w:tc>
        <w:tc>
          <w:tcPr>
            <w:tcW w:w="1559" w:type="dxa"/>
          </w:tcPr>
          <w:p w:rsidR="00E825A8" w:rsidRDefault="00E825A8" w:rsidP="00E825A8">
            <w:pPr>
              <w:pStyle w:val="NoSpacing"/>
              <w:jc w:val="right"/>
            </w:pPr>
            <w:r>
              <w:t>360</w:t>
            </w:r>
          </w:p>
        </w:tc>
        <w:tc>
          <w:tcPr>
            <w:tcW w:w="1417" w:type="dxa"/>
          </w:tcPr>
          <w:p w:rsidR="00E825A8" w:rsidRDefault="00E825A8" w:rsidP="00E825A8">
            <w:pPr>
              <w:pStyle w:val="NoSpacing"/>
              <w:jc w:val="right"/>
            </w:pPr>
            <w:r>
              <w:t>2,418</w:t>
            </w:r>
          </w:p>
        </w:tc>
        <w:tc>
          <w:tcPr>
            <w:tcW w:w="1347" w:type="dxa"/>
          </w:tcPr>
          <w:p w:rsidR="00E825A8" w:rsidRDefault="00E825A8" w:rsidP="00E825A8">
            <w:pPr>
              <w:pStyle w:val="NoSpacing"/>
              <w:jc w:val="right"/>
            </w:pPr>
            <w:r>
              <w:t>-</w:t>
            </w:r>
          </w:p>
        </w:tc>
        <w:tc>
          <w:tcPr>
            <w:tcW w:w="1347" w:type="dxa"/>
          </w:tcPr>
          <w:p w:rsidR="00E825A8" w:rsidRDefault="00E825A8" w:rsidP="00E825A8">
            <w:pPr>
              <w:pStyle w:val="NoSpacing"/>
              <w:jc w:val="right"/>
            </w:pPr>
            <w:r>
              <w:t>343,574</w:t>
            </w:r>
          </w:p>
        </w:tc>
      </w:tr>
    </w:tbl>
    <w:p w:rsidR="00575B0B" w:rsidRDefault="00575B0B" w:rsidP="005942B8">
      <w:pPr>
        <w:pStyle w:val="NoSpacing"/>
      </w:pPr>
    </w:p>
    <w:p w:rsidR="00337C8E" w:rsidRDefault="00337C8E" w:rsidP="005942B8">
      <w:pPr>
        <w:pStyle w:val="NoSpacing"/>
      </w:pPr>
      <w:r>
        <w:t>&lt;page 68&gt;</w:t>
      </w:r>
    </w:p>
    <w:p w:rsidR="00337C8E" w:rsidRDefault="00337C8E" w:rsidP="005942B8">
      <w:pPr>
        <w:pStyle w:val="NoSpacing"/>
      </w:pPr>
    </w:p>
    <w:p w:rsidR="00F02D69" w:rsidRDefault="00F02D69" w:rsidP="00406A46">
      <w:pPr>
        <w:pStyle w:val="Heading3"/>
      </w:pPr>
      <w:r w:rsidRPr="00F42F0B">
        <w:rPr>
          <w:rStyle w:val="Heading5Char"/>
        </w:rPr>
        <w:t>4.1 Property, plant and equipment (continued)</w:t>
      </w:r>
    </w:p>
    <w:p w:rsidR="00F02D69" w:rsidRDefault="00F02D69" w:rsidP="005942B8">
      <w:pPr>
        <w:pStyle w:val="NoSpacing"/>
      </w:pPr>
    </w:p>
    <w:p w:rsidR="00337C8E" w:rsidRDefault="00337C8E" w:rsidP="00337C8E">
      <w:pPr>
        <w:pStyle w:val="NoSpacing"/>
      </w:pPr>
    </w:p>
    <w:tbl>
      <w:tblPr>
        <w:tblStyle w:val="TableGrid"/>
        <w:tblW w:w="15310" w:type="dxa"/>
        <w:tblInd w:w="-714" w:type="dxa"/>
        <w:tblLook w:val="04A0" w:firstRow="1" w:lastRow="0" w:firstColumn="1" w:lastColumn="0" w:noHBand="0" w:noVBand="1"/>
      </w:tblPr>
      <w:tblGrid>
        <w:gridCol w:w="2837"/>
        <w:gridCol w:w="1416"/>
        <w:gridCol w:w="1276"/>
        <w:gridCol w:w="1417"/>
        <w:gridCol w:w="1418"/>
        <w:gridCol w:w="1236"/>
        <w:gridCol w:w="1525"/>
        <w:gridCol w:w="1520"/>
        <w:gridCol w:w="1264"/>
        <w:gridCol w:w="1401"/>
      </w:tblGrid>
      <w:tr w:rsidR="00337C8E" w:rsidTr="00C303FB">
        <w:trPr>
          <w:gridBefore w:val="1"/>
          <w:wBefore w:w="2837" w:type="dxa"/>
        </w:trPr>
        <w:tc>
          <w:tcPr>
            <w:tcW w:w="1416" w:type="dxa"/>
            <w:vAlign w:val="bottom"/>
          </w:tcPr>
          <w:p w:rsidR="00337C8E" w:rsidRDefault="00337C8E" w:rsidP="00C303FB">
            <w:pPr>
              <w:pStyle w:val="NoSpacing"/>
              <w:jc w:val="right"/>
            </w:pPr>
            <w:r>
              <w:t>Land</w:t>
            </w:r>
          </w:p>
        </w:tc>
        <w:tc>
          <w:tcPr>
            <w:tcW w:w="1276" w:type="dxa"/>
            <w:vAlign w:val="bottom"/>
          </w:tcPr>
          <w:p w:rsidR="00337C8E" w:rsidRDefault="00337C8E" w:rsidP="00C303FB">
            <w:pPr>
              <w:pStyle w:val="NoSpacing"/>
              <w:jc w:val="right"/>
            </w:pPr>
            <w:r>
              <w:t>Buildings</w:t>
            </w:r>
          </w:p>
        </w:tc>
        <w:tc>
          <w:tcPr>
            <w:tcW w:w="1417" w:type="dxa"/>
            <w:vAlign w:val="bottom"/>
          </w:tcPr>
          <w:p w:rsidR="00337C8E" w:rsidRDefault="00337C8E" w:rsidP="00C303FB">
            <w:pPr>
              <w:pStyle w:val="NoSpacing"/>
              <w:jc w:val="right"/>
            </w:pPr>
            <w:r>
              <w:t>Construction in progress</w:t>
            </w:r>
          </w:p>
        </w:tc>
        <w:tc>
          <w:tcPr>
            <w:tcW w:w="1418" w:type="dxa"/>
            <w:vAlign w:val="bottom"/>
          </w:tcPr>
          <w:p w:rsidR="00337C8E" w:rsidRDefault="00337C8E" w:rsidP="00C303FB">
            <w:pPr>
              <w:pStyle w:val="NoSpacing"/>
              <w:jc w:val="right"/>
            </w:pPr>
            <w:r>
              <w:t>Plant and equipment</w:t>
            </w:r>
          </w:p>
        </w:tc>
        <w:tc>
          <w:tcPr>
            <w:tcW w:w="1236" w:type="dxa"/>
            <w:vAlign w:val="bottom"/>
          </w:tcPr>
          <w:p w:rsidR="00337C8E" w:rsidRDefault="00337C8E" w:rsidP="00C303FB">
            <w:pPr>
              <w:pStyle w:val="NoSpacing"/>
              <w:jc w:val="right"/>
            </w:pPr>
            <w:r>
              <w:t>Motor vehicles</w:t>
            </w:r>
          </w:p>
        </w:tc>
        <w:tc>
          <w:tcPr>
            <w:tcW w:w="1525" w:type="dxa"/>
            <w:vAlign w:val="bottom"/>
          </w:tcPr>
          <w:p w:rsidR="00337C8E" w:rsidRDefault="00337C8E" w:rsidP="00C303FB">
            <w:pPr>
              <w:pStyle w:val="NoSpacing"/>
              <w:jc w:val="right"/>
            </w:pPr>
            <w:r>
              <w:t>Leasehold improvements</w:t>
            </w:r>
          </w:p>
        </w:tc>
        <w:tc>
          <w:tcPr>
            <w:tcW w:w="1520" w:type="dxa"/>
            <w:vAlign w:val="bottom"/>
          </w:tcPr>
          <w:p w:rsidR="00337C8E" w:rsidRDefault="00337C8E" w:rsidP="00C303FB">
            <w:pPr>
              <w:pStyle w:val="NoSpacing"/>
              <w:jc w:val="right"/>
            </w:pPr>
            <w:r>
              <w:t>Land improvements</w:t>
            </w:r>
          </w:p>
        </w:tc>
        <w:tc>
          <w:tcPr>
            <w:tcW w:w="1264" w:type="dxa"/>
          </w:tcPr>
          <w:p w:rsidR="00337C8E" w:rsidRDefault="00337C8E" w:rsidP="00C303FB">
            <w:pPr>
              <w:pStyle w:val="NoSpacing"/>
              <w:jc w:val="right"/>
            </w:pPr>
            <w:r>
              <w:t>Right of use assets</w:t>
            </w:r>
          </w:p>
        </w:tc>
        <w:tc>
          <w:tcPr>
            <w:tcW w:w="1401" w:type="dxa"/>
          </w:tcPr>
          <w:p w:rsidR="00337C8E" w:rsidRDefault="00337C8E" w:rsidP="00C303FB">
            <w:pPr>
              <w:pStyle w:val="NoSpacing"/>
              <w:jc w:val="right"/>
            </w:pPr>
            <w:r>
              <w:t xml:space="preserve">Total </w:t>
            </w:r>
          </w:p>
        </w:tc>
      </w:tr>
      <w:tr w:rsidR="00337C8E" w:rsidTr="00C303FB">
        <w:trPr>
          <w:gridBefore w:val="1"/>
          <w:wBefore w:w="2837" w:type="dxa"/>
        </w:trPr>
        <w:tc>
          <w:tcPr>
            <w:tcW w:w="1416" w:type="dxa"/>
          </w:tcPr>
          <w:p w:rsidR="00337C8E" w:rsidRDefault="00337C8E" w:rsidP="00C303FB">
            <w:pPr>
              <w:pStyle w:val="NoSpacing"/>
              <w:jc w:val="right"/>
            </w:pPr>
            <w:r>
              <w:t>$’000</w:t>
            </w:r>
          </w:p>
        </w:tc>
        <w:tc>
          <w:tcPr>
            <w:tcW w:w="1276" w:type="dxa"/>
          </w:tcPr>
          <w:p w:rsidR="00337C8E" w:rsidRDefault="00337C8E" w:rsidP="00C303FB">
            <w:pPr>
              <w:jc w:val="right"/>
            </w:pPr>
            <w:r w:rsidRPr="0065083D">
              <w:t>$’000</w:t>
            </w:r>
          </w:p>
        </w:tc>
        <w:tc>
          <w:tcPr>
            <w:tcW w:w="1417" w:type="dxa"/>
          </w:tcPr>
          <w:p w:rsidR="00337C8E" w:rsidRDefault="00337C8E" w:rsidP="00C303FB">
            <w:pPr>
              <w:jc w:val="right"/>
            </w:pPr>
            <w:r w:rsidRPr="0065083D">
              <w:t>$’000</w:t>
            </w:r>
          </w:p>
        </w:tc>
        <w:tc>
          <w:tcPr>
            <w:tcW w:w="1418" w:type="dxa"/>
          </w:tcPr>
          <w:p w:rsidR="00337C8E" w:rsidRDefault="00337C8E" w:rsidP="00C303FB">
            <w:pPr>
              <w:jc w:val="right"/>
            </w:pPr>
            <w:r w:rsidRPr="0065083D">
              <w:t>$’000</w:t>
            </w:r>
          </w:p>
        </w:tc>
        <w:tc>
          <w:tcPr>
            <w:tcW w:w="1236" w:type="dxa"/>
          </w:tcPr>
          <w:p w:rsidR="00337C8E" w:rsidRDefault="00337C8E" w:rsidP="00C303FB">
            <w:pPr>
              <w:jc w:val="right"/>
            </w:pPr>
            <w:r w:rsidRPr="0065083D">
              <w:t>$’000</w:t>
            </w:r>
          </w:p>
        </w:tc>
        <w:tc>
          <w:tcPr>
            <w:tcW w:w="1525" w:type="dxa"/>
          </w:tcPr>
          <w:p w:rsidR="00337C8E" w:rsidRDefault="00337C8E" w:rsidP="00C303FB">
            <w:pPr>
              <w:jc w:val="right"/>
            </w:pPr>
            <w:r w:rsidRPr="0065083D">
              <w:t>$’000</w:t>
            </w:r>
          </w:p>
        </w:tc>
        <w:tc>
          <w:tcPr>
            <w:tcW w:w="1520" w:type="dxa"/>
          </w:tcPr>
          <w:p w:rsidR="00337C8E" w:rsidRDefault="00337C8E" w:rsidP="00C303FB">
            <w:pPr>
              <w:jc w:val="right"/>
            </w:pPr>
            <w:r w:rsidRPr="0065083D">
              <w:t>$’000</w:t>
            </w:r>
          </w:p>
        </w:tc>
        <w:tc>
          <w:tcPr>
            <w:tcW w:w="1264" w:type="dxa"/>
          </w:tcPr>
          <w:p w:rsidR="00337C8E" w:rsidRPr="0065083D" w:rsidRDefault="00337C8E" w:rsidP="00C303FB">
            <w:pPr>
              <w:jc w:val="right"/>
            </w:pPr>
            <w:r>
              <w:t>$’000</w:t>
            </w:r>
          </w:p>
        </w:tc>
        <w:tc>
          <w:tcPr>
            <w:tcW w:w="1401" w:type="dxa"/>
          </w:tcPr>
          <w:p w:rsidR="00337C8E" w:rsidRPr="0065083D" w:rsidRDefault="00337C8E" w:rsidP="00C303FB">
            <w:pPr>
              <w:jc w:val="right"/>
            </w:pPr>
            <w:r>
              <w:t>$’000</w:t>
            </w:r>
          </w:p>
        </w:tc>
      </w:tr>
      <w:tr w:rsidR="00337C8E" w:rsidTr="00C303FB">
        <w:tc>
          <w:tcPr>
            <w:tcW w:w="15310" w:type="dxa"/>
            <w:gridSpan w:val="10"/>
          </w:tcPr>
          <w:p w:rsidR="00337C8E" w:rsidRDefault="00337C8E" w:rsidP="00C303FB">
            <w:pPr>
              <w:pStyle w:val="NoSpacing"/>
            </w:pPr>
            <w:r>
              <w:t>Chisholm 2019</w:t>
            </w:r>
          </w:p>
        </w:tc>
      </w:tr>
      <w:tr w:rsidR="00337C8E" w:rsidTr="00C303FB">
        <w:tc>
          <w:tcPr>
            <w:tcW w:w="2837" w:type="dxa"/>
          </w:tcPr>
          <w:p w:rsidR="00337C8E" w:rsidRDefault="00337C8E" w:rsidP="00C303FB">
            <w:pPr>
              <w:pStyle w:val="NoSpacing"/>
            </w:pPr>
            <w:r>
              <w:t xml:space="preserve">Opening net book amount </w:t>
            </w:r>
          </w:p>
        </w:tc>
        <w:tc>
          <w:tcPr>
            <w:tcW w:w="1416" w:type="dxa"/>
          </w:tcPr>
          <w:p w:rsidR="00337C8E" w:rsidRDefault="00E825A8" w:rsidP="00C303FB">
            <w:pPr>
              <w:pStyle w:val="NoSpacing"/>
              <w:jc w:val="right"/>
            </w:pPr>
            <w:r>
              <w:t>58,196</w:t>
            </w:r>
          </w:p>
        </w:tc>
        <w:tc>
          <w:tcPr>
            <w:tcW w:w="1276" w:type="dxa"/>
          </w:tcPr>
          <w:p w:rsidR="00337C8E" w:rsidRDefault="00E825A8" w:rsidP="00C303FB">
            <w:pPr>
              <w:pStyle w:val="NoSpacing"/>
              <w:jc w:val="right"/>
            </w:pPr>
            <w:r>
              <w:t>202,988</w:t>
            </w:r>
          </w:p>
        </w:tc>
        <w:tc>
          <w:tcPr>
            <w:tcW w:w="1417" w:type="dxa"/>
          </w:tcPr>
          <w:p w:rsidR="00337C8E" w:rsidRDefault="007C6012" w:rsidP="00C303FB">
            <w:pPr>
              <w:pStyle w:val="NoSpacing"/>
              <w:jc w:val="right"/>
            </w:pPr>
            <w:r>
              <w:t>72,607</w:t>
            </w:r>
          </w:p>
        </w:tc>
        <w:tc>
          <w:tcPr>
            <w:tcW w:w="1418" w:type="dxa"/>
          </w:tcPr>
          <w:p w:rsidR="00337C8E" w:rsidRDefault="007C6012" w:rsidP="00C303FB">
            <w:pPr>
              <w:pStyle w:val="NoSpacing"/>
              <w:jc w:val="right"/>
            </w:pPr>
            <w:r>
              <w:t>6,589</w:t>
            </w:r>
          </w:p>
        </w:tc>
        <w:tc>
          <w:tcPr>
            <w:tcW w:w="1236" w:type="dxa"/>
          </w:tcPr>
          <w:p w:rsidR="00337C8E" w:rsidRDefault="007C6012" w:rsidP="00C303FB">
            <w:pPr>
              <w:pStyle w:val="NoSpacing"/>
              <w:jc w:val="right"/>
            </w:pPr>
            <w:r>
              <w:t>416</w:t>
            </w:r>
          </w:p>
        </w:tc>
        <w:tc>
          <w:tcPr>
            <w:tcW w:w="1525" w:type="dxa"/>
          </w:tcPr>
          <w:p w:rsidR="00337C8E" w:rsidRDefault="007C6012" w:rsidP="00C303FB">
            <w:pPr>
              <w:pStyle w:val="NoSpacing"/>
              <w:jc w:val="right"/>
            </w:pPr>
            <w:r>
              <w:t>360</w:t>
            </w:r>
          </w:p>
        </w:tc>
        <w:tc>
          <w:tcPr>
            <w:tcW w:w="1520" w:type="dxa"/>
          </w:tcPr>
          <w:p w:rsidR="00337C8E" w:rsidRDefault="007C6012" w:rsidP="00C303FB">
            <w:pPr>
              <w:pStyle w:val="NoSpacing"/>
              <w:jc w:val="right"/>
            </w:pPr>
            <w:r>
              <w:t>2,418</w:t>
            </w:r>
          </w:p>
        </w:tc>
        <w:tc>
          <w:tcPr>
            <w:tcW w:w="1264" w:type="dxa"/>
          </w:tcPr>
          <w:p w:rsidR="00337C8E" w:rsidRDefault="007C6012" w:rsidP="00C303FB">
            <w:pPr>
              <w:pStyle w:val="NoSpacing"/>
              <w:jc w:val="right"/>
            </w:pPr>
            <w:r>
              <w:t>-</w:t>
            </w:r>
          </w:p>
        </w:tc>
        <w:tc>
          <w:tcPr>
            <w:tcW w:w="1401" w:type="dxa"/>
          </w:tcPr>
          <w:p w:rsidR="00337C8E" w:rsidRDefault="007C6012" w:rsidP="00C303FB">
            <w:pPr>
              <w:pStyle w:val="NoSpacing"/>
              <w:jc w:val="right"/>
            </w:pPr>
            <w:r>
              <w:t>343,574</w:t>
            </w:r>
          </w:p>
        </w:tc>
      </w:tr>
      <w:tr w:rsidR="00337C8E" w:rsidTr="00C303FB">
        <w:tc>
          <w:tcPr>
            <w:tcW w:w="2837" w:type="dxa"/>
          </w:tcPr>
          <w:p w:rsidR="00337C8E" w:rsidRDefault="00337C8E" w:rsidP="00C303FB">
            <w:pPr>
              <w:pStyle w:val="NoSpacing"/>
            </w:pPr>
            <w:r>
              <w:t>Additions</w:t>
            </w:r>
          </w:p>
        </w:tc>
        <w:tc>
          <w:tcPr>
            <w:tcW w:w="1416" w:type="dxa"/>
          </w:tcPr>
          <w:p w:rsidR="00337C8E" w:rsidRDefault="00E825A8" w:rsidP="00C303FB">
            <w:pPr>
              <w:pStyle w:val="NoSpacing"/>
              <w:jc w:val="right"/>
            </w:pPr>
            <w:r>
              <w:t>-</w:t>
            </w:r>
          </w:p>
        </w:tc>
        <w:tc>
          <w:tcPr>
            <w:tcW w:w="1276" w:type="dxa"/>
          </w:tcPr>
          <w:p w:rsidR="00337C8E" w:rsidRDefault="00E825A8" w:rsidP="00C303FB">
            <w:pPr>
              <w:pStyle w:val="NoSpacing"/>
              <w:jc w:val="right"/>
            </w:pPr>
            <w:r>
              <w:t>20,636</w:t>
            </w:r>
          </w:p>
        </w:tc>
        <w:tc>
          <w:tcPr>
            <w:tcW w:w="1417" w:type="dxa"/>
          </w:tcPr>
          <w:p w:rsidR="00337C8E" w:rsidRDefault="007C6012" w:rsidP="00C303FB">
            <w:pPr>
              <w:pStyle w:val="NoSpacing"/>
              <w:jc w:val="right"/>
            </w:pPr>
            <w:r>
              <w:t>574</w:t>
            </w:r>
          </w:p>
        </w:tc>
        <w:tc>
          <w:tcPr>
            <w:tcW w:w="1418" w:type="dxa"/>
          </w:tcPr>
          <w:p w:rsidR="00337C8E" w:rsidRDefault="007C6012" w:rsidP="00C303FB">
            <w:pPr>
              <w:pStyle w:val="NoSpacing"/>
              <w:jc w:val="right"/>
            </w:pPr>
            <w:r>
              <w:t>4,732</w:t>
            </w:r>
          </w:p>
        </w:tc>
        <w:tc>
          <w:tcPr>
            <w:tcW w:w="1236" w:type="dxa"/>
          </w:tcPr>
          <w:p w:rsidR="00337C8E" w:rsidRDefault="007C6012" w:rsidP="00C303FB">
            <w:pPr>
              <w:pStyle w:val="NoSpacing"/>
              <w:jc w:val="right"/>
            </w:pPr>
            <w:r>
              <w:t>-</w:t>
            </w:r>
          </w:p>
        </w:tc>
        <w:tc>
          <w:tcPr>
            <w:tcW w:w="1525" w:type="dxa"/>
          </w:tcPr>
          <w:p w:rsidR="00337C8E" w:rsidRDefault="007C6012" w:rsidP="00C303FB">
            <w:pPr>
              <w:pStyle w:val="NoSpacing"/>
              <w:jc w:val="right"/>
            </w:pPr>
            <w:r>
              <w:t>-</w:t>
            </w:r>
          </w:p>
        </w:tc>
        <w:tc>
          <w:tcPr>
            <w:tcW w:w="1520" w:type="dxa"/>
          </w:tcPr>
          <w:p w:rsidR="00337C8E" w:rsidRDefault="007C6012" w:rsidP="00C303FB">
            <w:pPr>
              <w:pStyle w:val="NoSpacing"/>
              <w:jc w:val="right"/>
            </w:pPr>
            <w:r>
              <w:t>253</w:t>
            </w:r>
          </w:p>
        </w:tc>
        <w:tc>
          <w:tcPr>
            <w:tcW w:w="1264" w:type="dxa"/>
          </w:tcPr>
          <w:p w:rsidR="00337C8E" w:rsidRDefault="007C6012" w:rsidP="00C303FB">
            <w:pPr>
              <w:pStyle w:val="NoSpacing"/>
              <w:jc w:val="right"/>
            </w:pPr>
            <w:r>
              <w:t>2,973</w:t>
            </w:r>
          </w:p>
        </w:tc>
        <w:tc>
          <w:tcPr>
            <w:tcW w:w="1401" w:type="dxa"/>
          </w:tcPr>
          <w:p w:rsidR="00337C8E" w:rsidRDefault="007C6012" w:rsidP="00C303FB">
            <w:pPr>
              <w:pStyle w:val="NoSpacing"/>
              <w:jc w:val="right"/>
            </w:pPr>
            <w:r>
              <w:t>29,168</w:t>
            </w:r>
          </w:p>
        </w:tc>
      </w:tr>
      <w:tr w:rsidR="00337C8E" w:rsidTr="00C303FB">
        <w:tc>
          <w:tcPr>
            <w:tcW w:w="2837" w:type="dxa"/>
          </w:tcPr>
          <w:p w:rsidR="00337C8E" w:rsidRDefault="00337C8E" w:rsidP="00C303FB">
            <w:pPr>
              <w:pStyle w:val="NoSpacing"/>
            </w:pPr>
            <w:r>
              <w:lastRenderedPageBreak/>
              <w:t>Disposals</w:t>
            </w:r>
          </w:p>
        </w:tc>
        <w:tc>
          <w:tcPr>
            <w:tcW w:w="1416" w:type="dxa"/>
          </w:tcPr>
          <w:p w:rsidR="00337C8E" w:rsidRDefault="00E825A8" w:rsidP="00C303FB">
            <w:pPr>
              <w:pStyle w:val="NoSpacing"/>
              <w:jc w:val="right"/>
            </w:pPr>
            <w:r>
              <w:t>-</w:t>
            </w:r>
          </w:p>
        </w:tc>
        <w:tc>
          <w:tcPr>
            <w:tcW w:w="1276" w:type="dxa"/>
          </w:tcPr>
          <w:p w:rsidR="00337C8E" w:rsidRDefault="00E825A8" w:rsidP="00C303FB">
            <w:pPr>
              <w:pStyle w:val="NoSpacing"/>
              <w:jc w:val="right"/>
            </w:pPr>
            <w:r>
              <w:t>-</w:t>
            </w:r>
          </w:p>
        </w:tc>
        <w:tc>
          <w:tcPr>
            <w:tcW w:w="1417" w:type="dxa"/>
          </w:tcPr>
          <w:p w:rsidR="00337C8E" w:rsidRDefault="007C6012" w:rsidP="00C303FB">
            <w:pPr>
              <w:pStyle w:val="NoSpacing"/>
              <w:jc w:val="right"/>
            </w:pPr>
            <w:r>
              <w:t>(2)</w:t>
            </w:r>
          </w:p>
        </w:tc>
        <w:tc>
          <w:tcPr>
            <w:tcW w:w="1418" w:type="dxa"/>
          </w:tcPr>
          <w:p w:rsidR="00337C8E" w:rsidRDefault="007C6012" w:rsidP="00C303FB">
            <w:pPr>
              <w:pStyle w:val="NoSpacing"/>
              <w:jc w:val="right"/>
            </w:pPr>
            <w:r>
              <w:t>(2)</w:t>
            </w:r>
          </w:p>
        </w:tc>
        <w:tc>
          <w:tcPr>
            <w:tcW w:w="1236" w:type="dxa"/>
          </w:tcPr>
          <w:p w:rsidR="00337C8E" w:rsidRDefault="007C6012" w:rsidP="00C303FB">
            <w:pPr>
              <w:pStyle w:val="NoSpacing"/>
              <w:jc w:val="right"/>
            </w:pPr>
            <w:r>
              <w:t>-</w:t>
            </w:r>
          </w:p>
        </w:tc>
        <w:tc>
          <w:tcPr>
            <w:tcW w:w="1525" w:type="dxa"/>
          </w:tcPr>
          <w:p w:rsidR="00337C8E" w:rsidRDefault="007C6012" w:rsidP="00C303FB">
            <w:pPr>
              <w:pStyle w:val="NoSpacing"/>
              <w:jc w:val="right"/>
            </w:pPr>
            <w:r>
              <w:t>-</w:t>
            </w:r>
          </w:p>
        </w:tc>
        <w:tc>
          <w:tcPr>
            <w:tcW w:w="1520" w:type="dxa"/>
          </w:tcPr>
          <w:p w:rsidR="00337C8E" w:rsidRDefault="007C6012" w:rsidP="00C303FB">
            <w:pPr>
              <w:pStyle w:val="NoSpacing"/>
              <w:jc w:val="right"/>
            </w:pPr>
            <w:r>
              <w:t>-</w:t>
            </w:r>
          </w:p>
        </w:tc>
        <w:tc>
          <w:tcPr>
            <w:tcW w:w="1264" w:type="dxa"/>
          </w:tcPr>
          <w:p w:rsidR="00337C8E" w:rsidRDefault="007C6012" w:rsidP="00C303FB">
            <w:pPr>
              <w:pStyle w:val="NoSpacing"/>
              <w:jc w:val="right"/>
            </w:pPr>
            <w:r>
              <w:t>-</w:t>
            </w:r>
          </w:p>
        </w:tc>
        <w:tc>
          <w:tcPr>
            <w:tcW w:w="1401" w:type="dxa"/>
          </w:tcPr>
          <w:p w:rsidR="00337C8E" w:rsidRDefault="007C6012" w:rsidP="00C303FB">
            <w:pPr>
              <w:pStyle w:val="NoSpacing"/>
              <w:jc w:val="right"/>
            </w:pPr>
            <w:r>
              <w:t>(4)</w:t>
            </w:r>
          </w:p>
        </w:tc>
      </w:tr>
      <w:tr w:rsidR="00337C8E" w:rsidTr="00C303FB">
        <w:tc>
          <w:tcPr>
            <w:tcW w:w="2837" w:type="dxa"/>
          </w:tcPr>
          <w:p w:rsidR="00337C8E" w:rsidRDefault="00337C8E" w:rsidP="00C303FB">
            <w:pPr>
              <w:pStyle w:val="NoSpacing"/>
            </w:pPr>
            <w:r>
              <w:t>Transfers</w:t>
            </w:r>
          </w:p>
        </w:tc>
        <w:tc>
          <w:tcPr>
            <w:tcW w:w="1416" w:type="dxa"/>
          </w:tcPr>
          <w:p w:rsidR="00337C8E" w:rsidRDefault="00E825A8" w:rsidP="00C303FB">
            <w:pPr>
              <w:pStyle w:val="NoSpacing"/>
              <w:jc w:val="right"/>
            </w:pPr>
            <w:r>
              <w:t>-</w:t>
            </w:r>
          </w:p>
        </w:tc>
        <w:tc>
          <w:tcPr>
            <w:tcW w:w="1276" w:type="dxa"/>
          </w:tcPr>
          <w:p w:rsidR="00337C8E" w:rsidRDefault="00E825A8" w:rsidP="00C303FB">
            <w:pPr>
              <w:pStyle w:val="NoSpacing"/>
              <w:jc w:val="right"/>
            </w:pPr>
            <w:r>
              <w:t>68,586</w:t>
            </w:r>
          </w:p>
        </w:tc>
        <w:tc>
          <w:tcPr>
            <w:tcW w:w="1417" w:type="dxa"/>
          </w:tcPr>
          <w:p w:rsidR="00337C8E" w:rsidRDefault="007C6012" w:rsidP="00C303FB">
            <w:pPr>
              <w:pStyle w:val="NoSpacing"/>
              <w:jc w:val="right"/>
            </w:pPr>
            <w:r>
              <w:t>(72,595)</w:t>
            </w:r>
          </w:p>
        </w:tc>
        <w:tc>
          <w:tcPr>
            <w:tcW w:w="1418" w:type="dxa"/>
          </w:tcPr>
          <w:p w:rsidR="00337C8E" w:rsidRDefault="007C6012" w:rsidP="00C303FB">
            <w:pPr>
              <w:pStyle w:val="NoSpacing"/>
              <w:jc w:val="right"/>
            </w:pPr>
            <w:r>
              <w:t>3,944</w:t>
            </w:r>
          </w:p>
        </w:tc>
        <w:tc>
          <w:tcPr>
            <w:tcW w:w="1236" w:type="dxa"/>
          </w:tcPr>
          <w:p w:rsidR="00337C8E" w:rsidRDefault="007C6012" w:rsidP="00C303FB">
            <w:pPr>
              <w:pStyle w:val="NoSpacing"/>
              <w:jc w:val="right"/>
            </w:pPr>
            <w:r>
              <w:t>-</w:t>
            </w:r>
          </w:p>
        </w:tc>
        <w:tc>
          <w:tcPr>
            <w:tcW w:w="1525" w:type="dxa"/>
          </w:tcPr>
          <w:p w:rsidR="00337C8E" w:rsidRDefault="007C6012" w:rsidP="00C303FB">
            <w:pPr>
              <w:pStyle w:val="NoSpacing"/>
              <w:jc w:val="right"/>
            </w:pPr>
            <w:r>
              <w:t>-</w:t>
            </w:r>
          </w:p>
        </w:tc>
        <w:tc>
          <w:tcPr>
            <w:tcW w:w="1520" w:type="dxa"/>
          </w:tcPr>
          <w:p w:rsidR="00337C8E" w:rsidRDefault="007C6012" w:rsidP="00C303FB">
            <w:pPr>
              <w:pStyle w:val="NoSpacing"/>
              <w:jc w:val="right"/>
            </w:pPr>
            <w:r>
              <w:t>65</w:t>
            </w:r>
          </w:p>
        </w:tc>
        <w:tc>
          <w:tcPr>
            <w:tcW w:w="1264" w:type="dxa"/>
          </w:tcPr>
          <w:p w:rsidR="00337C8E" w:rsidRDefault="007C6012" w:rsidP="00C303FB">
            <w:pPr>
              <w:pStyle w:val="NoSpacing"/>
              <w:jc w:val="right"/>
            </w:pPr>
            <w:r>
              <w:t>-</w:t>
            </w:r>
          </w:p>
        </w:tc>
        <w:tc>
          <w:tcPr>
            <w:tcW w:w="1401" w:type="dxa"/>
          </w:tcPr>
          <w:p w:rsidR="00337C8E" w:rsidRDefault="007C6012" w:rsidP="00C303FB">
            <w:pPr>
              <w:pStyle w:val="NoSpacing"/>
              <w:jc w:val="right"/>
            </w:pPr>
            <w:r>
              <w:t>-</w:t>
            </w:r>
          </w:p>
        </w:tc>
      </w:tr>
      <w:tr w:rsidR="00337C8E" w:rsidTr="00C303FB">
        <w:tc>
          <w:tcPr>
            <w:tcW w:w="2837" w:type="dxa"/>
          </w:tcPr>
          <w:p w:rsidR="00337C8E" w:rsidRDefault="00337C8E" w:rsidP="00C303FB">
            <w:pPr>
              <w:pStyle w:val="NoSpacing"/>
            </w:pPr>
            <w:r>
              <w:t>Depreciation</w:t>
            </w:r>
          </w:p>
        </w:tc>
        <w:tc>
          <w:tcPr>
            <w:tcW w:w="1416" w:type="dxa"/>
          </w:tcPr>
          <w:p w:rsidR="00337C8E" w:rsidRDefault="00E825A8" w:rsidP="00C303FB">
            <w:pPr>
              <w:pStyle w:val="NoSpacing"/>
              <w:jc w:val="right"/>
            </w:pPr>
            <w:r>
              <w:t>-</w:t>
            </w:r>
          </w:p>
        </w:tc>
        <w:tc>
          <w:tcPr>
            <w:tcW w:w="1276" w:type="dxa"/>
          </w:tcPr>
          <w:p w:rsidR="00337C8E" w:rsidRDefault="00E825A8" w:rsidP="00C303FB">
            <w:pPr>
              <w:pStyle w:val="NoSpacing"/>
              <w:jc w:val="right"/>
            </w:pPr>
            <w:r>
              <w:t>(6,</w:t>
            </w:r>
            <w:r w:rsidR="007C6012">
              <w:t>168)</w:t>
            </w:r>
          </w:p>
        </w:tc>
        <w:tc>
          <w:tcPr>
            <w:tcW w:w="1417" w:type="dxa"/>
          </w:tcPr>
          <w:p w:rsidR="00337C8E" w:rsidRDefault="007C6012" w:rsidP="00C303FB">
            <w:pPr>
              <w:pStyle w:val="NoSpacing"/>
              <w:jc w:val="right"/>
            </w:pPr>
            <w:r>
              <w:t>-</w:t>
            </w:r>
          </w:p>
        </w:tc>
        <w:tc>
          <w:tcPr>
            <w:tcW w:w="1418" w:type="dxa"/>
          </w:tcPr>
          <w:p w:rsidR="00337C8E" w:rsidRDefault="007C6012" w:rsidP="00C303FB">
            <w:pPr>
              <w:pStyle w:val="NoSpacing"/>
              <w:jc w:val="right"/>
            </w:pPr>
            <w:r>
              <w:t>(2,164)</w:t>
            </w:r>
          </w:p>
        </w:tc>
        <w:tc>
          <w:tcPr>
            <w:tcW w:w="1236" w:type="dxa"/>
          </w:tcPr>
          <w:p w:rsidR="00337C8E" w:rsidRDefault="007C6012" w:rsidP="00C303FB">
            <w:pPr>
              <w:pStyle w:val="NoSpacing"/>
              <w:jc w:val="right"/>
            </w:pPr>
            <w:r>
              <w:t>(83)</w:t>
            </w:r>
          </w:p>
        </w:tc>
        <w:tc>
          <w:tcPr>
            <w:tcW w:w="1525" w:type="dxa"/>
          </w:tcPr>
          <w:p w:rsidR="00337C8E" w:rsidRDefault="007C6012" w:rsidP="00C303FB">
            <w:pPr>
              <w:pStyle w:val="NoSpacing"/>
              <w:jc w:val="right"/>
            </w:pPr>
            <w:r>
              <w:t>(247)</w:t>
            </w:r>
          </w:p>
        </w:tc>
        <w:tc>
          <w:tcPr>
            <w:tcW w:w="1520" w:type="dxa"/>
          </w:tcPr>
          <w:p w:rsidR="00337C8E" w:rsidRDefault="007C6012" w:rsidP="00C303FB">
            <w:pPr>
              <w:pStyle w:val="NoSpacing"/>
              <w:jc w:val="right"/>
            </w:pPr>
            <w:r>
              <w:t>(171)</w:t>
            </w:r>
          </w:p>
        </w:tc>
        <w:tc>
          <w:tcPr>
            <w:tcW w:w="1264" w:type="dxa"/>
          </w:tcPr>
          <w:p w:rsidR="00337C8E" w:rsidRDefault="007C6012" w:rsidP="00C303FB">
            <w:pPr>
              <w:pStyle w:val="NoSpacing"/>
              <w:jc w:val="right"/>
            </w:pPr>
            <w:r>
              <w:t>(1,333)</w:t>
            </w:r>
          </w:p>
        </w:tc>
        <w:tc>
          <w:tcPr>
            <w:tcW w:w="1401" w:type="dxa"/>
          </w:tcPr>
          <w:p w:rsidR="00337C8E" w:rsidRDefault="007C6012" w:rsidP="00C303FB">
            <w:pPr>
              <w:pStyle w:val="NoSpacing"/>
              <w:jc w:val="right"/>
            </w:pPr>
            <w:r>
              <w:t>(10,166)</w:t>
            </w:r>
          </w:p>
        </w:tc>
      </w:tr>
      <w:tr w:rsidR="00337C8E" w:rsidTr="00C303FB">
        <w:tc>
          <w:tcPr>
            <w:tcW w:w="2837" w:type="dxa"/>
          </w:tcPr>
          <w:p w:rsidR="00337C8E" w:rsidRDefault="00337C8E" w:rsidP="00C303FB">
            <w:pPr>
              <w:pStyle w:val="NoSpacing"/>
            </w:pPr>
            <w:r>
              <w:t>Closing balance</w:t>
            </w:r>
          </w:p>
        </w:tc>
        <w:tc>
          <w:tcPr>
            <w:tcW w:w="1416" w:type="dxa"/>
          </w:tcPr>
          <w:p w:rsidR="00337C8E" w:rsidRDefault="00E825A8" w:rsidP="00C303FB">
            <w:pPr>
              <w:pStyle w:val="NoSpacing"/>
              <w:jc w:val="right"/>
            </w:pPr>
            <w:r>
              <w:t>58,196</w:t>
            </w:r>
          </w:p>
        </w:tc>
        <w:tc>
          <w:tcPr>
            <w:tcW w:w="1276" w:type="dxa"/>
          </w:tcPr>
          <w:p w:rsidR="00337C8E" w:rsidRDefault="007C6012" w:rsidP="00C303FB">
            <w:pPr>
              <w:pStyle w:val="NoSpacing"/>
              <w:jc w:val="right"/>
            </w:pPr>
            <w:r>
              <w:t>286,042</w:t>
            </w:r>
          </w:p>
        </w:tc>
        <w:tc>
          <w:tcPr>
            <w:tcW w:w="1417" w:type="dxa"/>
          </w:tcPr>
          <w:p w:rsidR="00337C8E" w:rsidRDefault="007C6012" w:rsidP="00C303FB">
            <w:pPr>
              <w:pStyle w:val="NoSpacing"/>
              <w:jc w:val="right"/>
            </w:pPr>
            <w:r>
              <w:t>584</w:t>
            </w:r>
          </w:p>
        </w:tc>
        <w:tc>
          <w:tcPr>
            <w:tcW w:w="1418" w:type="dxa"/>
          </w:tcPr>
          <w:p w:rsidR="00337C8E" w:rsidRDefault="007C6012" w:rsidP="00C303FB">
            <w:pPr>
              <w:pStyle w:val="NoSpacing"/>
              <w:jc w:val="right"/>
            </w:pPr>
            <w:r>
              <w:t>13,099</w:t>
            </w:r>
          </w:p>
        </w:tc>
        <w:tc>
          <w:tcPr>
            <w:tcW w:w="1236" w:type="dxa"/>
          </w:tcPr>
          <w:p w:rsidR="00337C8E" w:rsidRDefault="007C6012" w:rsidP="00C303FB">
            <w:pPr>
              <w:pStyle w:val="NoSpacing"/>
              <w:jc w:val="right"/>
            </w:pPr>
            <w:r>
              <w:t>333</w:t>
            </w:r>
          </w:p>
        </w:tc>
        <w:tc>
          <w:tcPr>
            <w:tcW w:w="1525" w:type="dxa"/>
          </w:tcPr>
          <w:p w:rsidR="00337C8E" w:rsidRDefault="007C6012" w:rsidP="00C303FB">
            <w:pPr>
              <w:pStyle w:val="NoSpacing"/>
              <w:jc w:val="right"/>
            </w:pPr>
            <w:r>
              <w:t>113</w:t>
            </w:r>
          </w:p>
        </w:tc>
        <w:tc>
          <w:tcPr>
            <w:tcW w:w="1520" w:type="dxa"/>
          </w:tcPr>
          <w:p w:rsidR="00337C8E" w:rsidRDefault="007C6012" w:rsidP="00C303FB">
            <w:pPr>
              <w:pStyle w:val="NoSpacing"/>
              <w:jc w:val="right"/>
            </w:pPr>
            <w:r>
              <w:t>2,565</w:t>
            </w:r>
          </w:p>
        </w:tc>
        <w:tc>
          <w:tcPr>
            <w:tcW w:w="1264" w:type="dxa"/>
          </w:tcPr>
          <w:p w:rsidR="00337C8E" w:rsidRDefault="007C6012" w:rsidP="00C303FB">
            <w:pPr>
              <w:pStyle w:val="NoSpacing"/>
              <w:jc w:val="right"/>
            </w:pPr>
            <w:r>
              <w:t>1,640</w:t>
            </w:r>
          </w:p>
        </w:tc>
        <w:tc>
          <w:tcPr>
            <w:tcW w:w="1401" w:type="dxa"/>
          </w:tcPr>
          <w:p w:rsidR="00337C8E" w:rsidRDefault="007C6012" w:rsidP="00C303FB">
            <w:pPr>
              <w:pStyle w:val="NoSpacing"/>
              <w:jc w:val="right"/>
            </w:pPr>
            <w:r>
              <w:t>362,572</w:t>
            </w:r>
          </w:p>
        </w:tc>
      </w:tr>
    </w:tbl>
    <w:p w:rsidR="00337C8E" w:rsidRDefault="00337C8E" w:rsidP="00337C8E">
      <w:pPr>
        <w:pStyle w:val="NoSpacing"/>
      </w:pPr>
    </w:p>
    <w:tbl>
      <w:tblPr>
        <w:tblStyle w:val="TableGrid"/>
        <w:tblW w:w="15310" w:type="dxa"/>
        <w:tblInd w:w="-714" w:type="dxa"/>
        <w:tblLook w:val="04A0" w:firstRow="1" w:lastRow="0" w:firstColumn="1" w:lastColumn="0" w:noHBand="0" w:noVBand="1"/>
      </w:tblPr>
      <w:tblGrid>
        <w:gridCol w:w="2836"/>
        <w:gridCol w:w="1417"/>
        <w:gridCol w:w="1276"/>
        <w:gridCol w:w="1417"/>
        <w:gridCol w:w="1418"/>
        <w:gridCol w:w="1276"/>
        <w:gridCol w:w="1559"/>
        <w:gridCol w:w="1417"/>
        <w:gridCol w:w="1347"/>
        <w:gridCol w:w="1347"/>
      </w:tblGrid>
      <w:tr w:rsidR="00E825A8" w:rsidTr="00C303FB">
        <w:tc>
          <w:tcPr>
            <w:tcW w:w="15310" w:type="dxa"/>
            <w:gridSpan w:val="10"/>
          </w:tcPr>
          <w:p w:rsidR="00E825A8" w:rsidRDefault="00E825A8" w:rsidP="00E825A8">
            <w:pPr>
              <w:pStyle w:val="NoSpacing"/>
            </w:pPr>
            <w:r>
              <w:t>Chisholm 2018</w:t>
            </w:r>
          </w:p>
        </w:tc>
      </w:tr>
      <w:tr w:rsidR="00E825A8" w:rsidTr="00C303FB">
        <w:tc>
          <w:tcPr>
            <w:tcW w:w="2836" w:type="dxa"/>
          </w:tcPr>
          <w:p w:rsidR="00E825A8" w:rsidRDefault="00E825A8" w:rsidP="00C303FB">
            <w:pPr>
              <w:pStyle w:val="NoSpacing"/>
            </w:pPr>
            <w:r>
              <w:t>Opening net book amount</w:t>
            </w:r>
          </w:p>
        </w:tc>
        <w:tc>
          <w:tcPr>
            <w:tcW w:w="1417" w:type="dxa"/>
          </w:tcPr>
          <w:p w:rsidR="00E825A8" w:rsidRDefault="00C303FB" w:rsidP="00C303FB">
            <w:pPr>
              <w:pStyle w:val="NoSpacing"/>
              <w:jc w:val="right"/>
            </w:pPr>
            <w:r>
              <w:t>58,196</w:t>
            </w:r>
          </w:p>
        </w:tc>
        <w:tc>
          <w:tcPr>
            <w:tcW w:w="1276" w:type="dxa"/>
          </w:tcPr>
          <w:p w:rsidR="00E825A8" w:rsidRDefault="00C303FB" w:rsidP="00C303FB">
            <w:pPr>
              <w:pStyle w:val="NoSpacing"/>
              <w:jc w:val="right"/>
            </w:pPr>
            <w:r>
              <w:t>196,789</w:t>
            </w:r>
          </w:p>
        </w:tc>
        <w:tc>
          <w:tcPr>
            <w:tcW w:w="1417" w:type="dxa"/>
          </w:tcPr>
          <w:p w:rsidR="00E825A8" w:rsidRDefault="00C303FB" w:rsidP="00C303FB">
            <w:pPr>
              <w:pStyle w:val="NoSpacing"/>
              <w:jc w:val="right"/>
            </w:pPr>
            <w:r>
              <w:t>16,000</w:t>
            </w:r>
          </w:p>
        </w:tc>
        <w:tc>
          <w:tcPr>
            <w:tcW w:w="1418" w:type="dxa"/>
          </w:tcPr>
          <w:p w:rsidR="00E825A8" w:rsidRDefault="00C303FB" w:rsidP="00C303FB">
            <w:pPr>
              <w:pStyle w:val="NoSpacing"/>
              <w:jc w:val="right"/>
            </w:pPr>
            <w:r>
              <w:t>4,854</w:t>
            </w:r>
          </w:p>
        </w:tc>
        <w:tc>
          <w:tcPr>
            <w:tcW w:w="1276" w:type="dxa"/>
          </w:tcPr>
          <w:p w:rsidR="00E825A8" w:rsidRDefault="00C303FB" w:rsidP="00C303FB">
            <w:pPr>
              <w:pStyle w:val="NoSpacing"/>
              <w:jc w:val="right"/>
            </w:pPr>
            <w:r>
              <w:t>280</w:t>
            </w:r>
          </w:p>
        </w:tc>
        <w:tc>
          <w:tcPr>
            <w:tcW w:w="1559" w:type="dxa"/>
          </w:tcPr>
          <w:p w:rsidR="00E825A8" w:rsidRDefault="00C303FB" w:rsidP="00C303FB">
            <w:pPr>
              <w:pStyle w:val="NoSpacing"/>
              <w:jc w:val="right"/>
            </w:pPr>
            <w:r>
              <w:t>650</w:t>
            </w:r>
          </w:p>
        </w:tc>
        <w:tc>
          <w:tcPr>
            <w:tcW w:w="1417" w:type="dxa"/>
          </w:tcPr>
          <w:p w:rsidR="00E825A8" w:rsidRDefault="00C303FB" w:rsidP="00C303FB">
            <w:pPr>
              <w:pStyle w:val="NoSpacing"/>
              <w:jc w:val="right"/>
            </w:pPr>
            <w:r>
              <w:t>2,502</w:t>
            </w:r>
          </w:p>
        </w:tc>
        <w:tc>
          <w:tcPr>
            <w:tcW w:w="1347" w:type="dxa"/>
          </w:tcPr>
          <w:p w:rsidR="00E825A8" w:rsidRDefault="00C303FB" w:rsidP="00C303FB">
            <w:pPr>
              <w:pStyle w:val="NoSpacing"/>
              <w:jc w:val="right"/>
            </w:pPr>
            <w:r>
              <w:t>-</w:t>
            </w:r>
          </w:p>
        </w:tc>
        <w:tc>
          <w:tcPr>
            <w:tcW w:w="1347" w:type="dxa"/>
          </w:tcPr>
          <w:p w:rsidR="00E825A8" w:rsidRDefault="00C303FB" w:rsidP="00C303FB">
            <w:pPr>
              <w:pStyle w:val="NoSpacing"/>
              <w:jc w:val="right"/>
            </w:pPr>
            <w:r>
              <w:t>279,271</w:t>
            </w:r>
          </w:p>
        </w:tc>
      </w:tr>
      <w:tr w:rsidR="00E825A8" w:rsidTr="00C303FB">
        <w:tc>
          <w:tcPr>
            <w:tcW w:w="2836" w:type="dxa"/>
          </w:tcPr>
          <w:p w:rsidR="00E825A8" w:rsidRDefault="00E825A8" w:rsidP="00C303FB">
            <w:pPr>
              <w:pStyle w:val="NoSpacing"/>
            </w:pPr>
            <w:r>
              <w:t>Additions</w:t>
            </w:r>
          </w:p>
        </w:tc>
        <w:tc>
          <w:tcPr>
            <w:tcW w:w="1417" w:type="dxa"/>
          </w:tcPr>
          <w:p w:rsidR="00E825A8" w:rsidRDefault="00C303FB" w:rsidP="00C303FB">
            <w:pPr>
              <w:pStyle w:val="NoSpacing"/>
              <w:jc w:val="right"/>
            </w:pPr>
            <w:r>
              <w:t>-</w:t>
            </w:r>
          </w:p>
        </w:tc>
        <w:tc>
          <w:tcPr>
            <w:tcW w:w="1276" w:type="dxa"/>
          </w:tcPr>
          <w:p w:rsidR="00E825A8" w:rsidRDefault="00C303FB" w:rsidP="00C303FB">
            <w:pPr>
              <w:pStyle w:val="NoSpacing"/>
              <w:jc w:val="right"/>
            </w:pPr>
            <w:r>
              <w:t>-</w:t>
            </w:r>
          </w:p>
        </w:tc>
        <w:tc>
          <w:tcPr>
            <w:tcW w:w="1417" w:type="dxa"/>
          </w:tcPr>
          <w:p w:rsidR="00E825A8" w:rsidRDefault="00C303FB" w:rsidP="00C303FB">
            <w:pPr>
              <w:pStyle w:val="NoSpacing"/>
              <w:jc w:val="right"/>
            </w:pPr>
            <w:r>
              <w:t>69,052</w:t>
            </w:r>
          </w:p>
        </w:tc>
        <w:tc>
          <w:tcPr>
            <w:tcW w:w="1418" w:type="dxa"/>
          </w:tcPr>
          <w:p w:rsidR="00E825A8" w:rsidRDefault="00C303FB" w:rsidP="00C303FB">
            <w:pPr>
              <w:pStyle w:val="NoSpacing"/>
              <w:jc w:val="right"/>
            </w:pPr>
            <w:r>
              <w:t>2,358</w:t>
            </w:r>
          </w:p>
        </w:tc>
        <w:tc>
          <w:tcPr>
            <w:tcW w:w="1276" w:type="dxa"/>
          </w:tcPr>
          <w:p w:rsidR="00E825A8" w:rsidRDefault="00C303FB" w:rsidP="00C303FB">
            <w:pPr>
              <w:pStyle w:val="NoSpacing"/>
              <w:jc w:val="right"/>
            </w:pPr>
            <w:r>
              <w:t>197</w:t>
            </w:r>
          </w:p>
        </w:tc>
        <w:tc>
          <w:tcPr>
            <w:tcW w:w="1559" w:type="dxa"/>
          </w:tcPr>
          <w:p w:rsidR="00E825A8" w:rsidRDefault="00C303FB" w:rsidP="00C303FB">
            <w:pPr>
              <w:pStyle w:val="NoSpacing"/>
              <w:jc w:val="right"/>
            </w:pPr>
            <w:r>
              <w:t>-</w:t>
            </w:r>
          </w:p>
        </w:tc>
        <w:tc>
          <w:tcPr>
            <w:tcW w:w="1417" w:type="dxa"/>
          </w:tcPr>
          <w:p w:rsidR="00E825A8" w:rsidRDefault="00C303FB" w:rsidP="00C303FB">
            <w:pPr>
              <w:pStyle w:val="NoSpacing"/>
              <w:jc w:val="right"/>
            </w:pPr>
            <w:r>
              <w:t>68</w:t>
            </w:r>
          </w:p>
        </w:tc>
        <w:tc>
          <w:tcPr>
            <w:tcW w:w="1347" w:type="dxa"/>
          </w:tcPr>
          <w:p w:rsidR="00E825A8" w:rsidRDefault="00C303FB" w:rsidP="00C303FB">
            <w:pPr>
              <w:pStyle w:val="NoSpacing"/>
              <w:jc w:val="right"/>
            </w:pPr>
            <w:r>
              <w:t>-</w:t>
            </w:r>
          </w:p>
        </w:tc>
        <w:tc>
          <w:tcPr>
            <w:tcW w:w="1347" w:type="dxa"/>
          </w:tcPr>
          <w:p w:rsidR="00E825A8" w:rsidRDefault="00C303FB" w:rsidP="00C303FB">
            <w:pPr>
              <w:pStyle w:val="NoSpacing"/>
              <w:jc w:val="right"/>
            </w:pPr>
            <w:r>
              <w:t>71,675</w:t>
            </w:r>
          </w:p>
        </w:tc>
      </w:tr>
      <w:tr w:rsidR="00E825A8" w:rsidTr="00C303FB">
        <w:tc>
          <w:tcPr>
            <w:tcW w:w="2836" w:type="dxa"/>
          </w:tcPr>
          <w:p w:rsidR="00E825A8" w:rsidRDefault="00E825A8" w:rsidP="00C303FB">
            <w:pPr>
              <w:pStyle w:val="NoSpacing"/>
            </w:pPr>
            <w:r>
              <w:t>Disposals</w:t>
            </w:r>
          </w:p>
        </w:tc>
        <w:tc>
          <w:tcPr>
            <w:tcW w:w="1417" w:type="dxa"/>
          </w:tcPr>
          <w:p w:rsidR="00E825A8" w:rsidRDefault="00C303FB" w:rsidP="00C303FB">
            <w:pPr>
              <w:pStyle w:val="NoSpacing"/>
              <w:jc w:val="right"/>
            </w:pPr>
            <w:r>
              <w:t>-</w:t>
            </w:r>
          </w:p>
        </w:tc>
        <w:tc>
          <w:tcPr>
            <w:tcW w:w="1276" w:type="dxa"/>
          </w:tcPr>
          <w:p w:rsidR="00E825A8" w:rsidRDefault="00C303FB" w:rsidP="00C303FB">
            <w:pPr>
              <w:pStyle w:val="NoSpacing"/>
              <w:jc w:val="right"/>
            </w:pPr>
            <w:r>
              <w:t>-</w:t>
            </w:r>
          </w:p>
        </w:tc>
        <w:tc>
          <w:tcPr>
            <w:tcW w:w="1417" w:type="dxa"/>
          </w:tcPr>
          <w:p w:rsidR="00E825A8" w:rsidRDefault="00C303FB" w:rsidP="00C303FB">
            <w:pPr>
              <w:pStyle w:val="NoSpacing"/>
              <w:jc w:val="right"/>
            </w:pPr>
            <w:r>
              <w:t>-</w:t>
            </w:r>
          </w:p>
        </w:tc>
        <w:tc>
          <w:tcPr>
            <w:tcW w:w="1418" w:type="dxa"/>
          </w:tcPr>
          <w:p w:rsidR="00E825A8" w:rsidRDefault="00C303FB" w:rsidP="00C303FB">
            <w:pPr>
              <w:pStyle w:val="NoSpacing"/>
              <w:jc w:val="right"/>
            </w:pPr>
            <w:r>
              <w:t>(222)</w:t>
            </w:r>
          </w:p>
        </w:tc>
        <w:tc>
          <w:tcPr>
            <w:tcW w:w="1276" w:type="dxa"/>
          </w:tcPr>
          <w:p w:rsidR="00E825A8" w:rsidRDefault="00C303FB" w:rsidP="00C303FB">
            <w:pPr>
              <w:pStyle w:val="NoSpacing"/>
              <w:jc w:val="right"/>
            </w:pPr>
            <w:r>
              <w:t>-</w:t>
            </w:r>
          </w:p>
        </w:tc>
        <w:tc>
          <w:tcPr>
            <w:tcW w:w="1559" w:type="dxa"/>
          </w:tcPr>
          <w:p w:rsidR="00E825A8" w:rsidRDefault="00C303FB" w:rsidP="00C303FB">
            <w:pPr>
              <w:pStyle w:val="NoSpacing"/>
              <w:jc w:val="right"/>
            </w:pPr>
            <w:r>
              <w:t>-</w:t>
            </w:r>
          </w:p>
        </w:tc>
        <w:tc>
          <w:tcPr>
            <w:tcW w:w="1417" w:type="dxa"/>
          </w:tcPr>
          <w:p w:rsidR="00E825A8" w:rsidRDefault="00C303FB" w:rsidP="00C303FB">
            <w:pPr>
              <w:pStyle w:val="NoSpacing"/>
              <w:jc w:val="right"/>
            </w:pPr>
            <w:r>
              <w:t>-</w:t>
            </w:r>
          </w:p>
        </w:tc>
        <w:tc>
          <w:tcPr>
            <w:tcW w:w="1347" w:type="dxa"/>
          </w:tcPr>
          <w:p w:rsidR="00E825A8" w:rsidRDefault="00C303FB" w:rsidP="00C303FB">
            <w:pPr>
              <w:pStyle w:val="NoSpacing"/>
              <w:jc w:val="right"/>
            </w:pPr>
            <w:r>
              <w:t>-</w:t>
            </w:r>
          </w:p>
        </w:tc>
        <w:tc>
          <w:tcPr>
            <w:tcW w:w="1347" w:type="dxa"/>
          </w:tcPr>
          <w:p w:rsidR="00E825A8" w:rsidRDefault="00C303FB" w:rsidP="00C303FB">
            <w:pPr>
              <w:pStyle w:val="NoSpacing"/>
              <w:jc w:val="right"/>
            </w:pPr>
            <w:r>
              <w:t>(222)</w:t>
            </w:r>
          </w:p>
        </w:tc>
      </w:tr>
      <w:tr w:rsidR="00E825A8" w:rsidTr="00C303FB">
        <w:tc>
          <w:tcPr>
            <w:tcW w:w="2836" w:type="dxa"/>
          </w:tcPr>
          <w:p w:rsidR="00E825A8" w:rsidRDefault="00E825A8" w:rsidP="00C303FB">
            <w:pPr>
              <w:pStyle w:val="NoSpacing"/>
            </w:pPr>
            <w:r>
              <w:t>Transfers</w:t>
            </w:r>
          </w:p>
        </w:tc>
        <w:tc>
          <w:tcPr>
            <w:tcW w:w="1417" w:type="dxa"/>
          </w:tcPr>
          <w:p w:rsidR="00E825A8" w:rsidRDefault="00C303FB" w:rsidP="00C303FB">
            <w:pPr>
              <w:pStyle w:val="NoSpacing"/>
              <w:jc w:val="right"/>
            </w:pPr>
            <w:r>
              <w:t>-</w:t>
            </w:r>
          </w:p>
        </w:tc>
        <w:tc>
          <w:tcPr>
            <w:tcW w:w="1276" w:type="dxa"/>
          </w:tcPr>
          <w:p w:rsidR="00E825A8" w:rsidRDefault="00C303FB" w:rsidP="00C303FB">
            <w:pPr>
              <w:pStyle w:val="NoSpacing"/>
              <w:jc w:val="right"/>
            </w:pPr>
            <w:r>
              <w:t>11,418</w:t>
            </w:r>
          </w:p>
        </w:tc>
        <w:tc>
          <w:tcPr>
            <w:tcW w:w="1417" w:type="dxa"/>
          </w:tcPr>
          <w:p w:rsidR="00E825A8" w:rsidRDefault="00C303FB" w:rsidP="00C303FB">
            <w:pPr>
              <w:pStyle w:val="NoSpacing"/>
              <w:jc w:val="right"/>
            </w:pPr>
            <w:r>
              <w:t>(12,445)</w:t>
            </w:r>
          </w:p>
        </w:tc>
        <w:tc>
          <w:tcPr>
            <w:tcW w:w="1418" w:type="dxa"/>
          </w:tcPr>
          <w:p w:rsidR="00E825A8" w:rsidRDefault="00C303FB" w:rsidP="00C303FB">
            <w:pPr>
              <w:pStyle w:val="NoSpacing"/>
              <w:jc w:val="right"/>
            </w:pPr>
            <w:r>
              <w:t>1,027</w:t>
            </w:r>
          </w:p>
        </w:tc>
        <w:tc>
          <w:tcPr>
            <w:tcW w:w="1276" w:type="dxa"/>
          </w:tcPr>
          <w:p w:rsidR="00E825A8" w:rsidRDefault="00C303FB" w:rsidP="00C303FB">
            <w:pPr>
              <w:pStyle w:val="NoSpacing"/>
              <w:jc w:val="right"/>
            </w:pPr>
            <w:r>
              <w:t>-</w:t>
            </w:r>
          </w:p>
        </w:tc>
        <w:tc>
          <w:tcPr>
            <w:tcW w:w="1559" w:type="dxa"/>
          </w:tcPr>
          <w:p w:rsidR="00E825A8" w:rsidRDefault="00C303FB" w:rsidP="00C303FB">
            <w:pPr>
              <w:pStyle w:val="NoSpacing"/>
              <w:jc w:val="right"/>
            </w:pPr>
            <w:r>
              <w:t>-</w:t>
            </w:r>
          </w:p>
        </w:tc>
        <w:tc>
          <w:tcPr>
            <w:tcW w:w="1417" w:type="dxa"/>
          </w:tcPr>
          <w:p w:rsidR="00E825A8" w:rsidRDefault="00C303FB" w:rsidP="00C303FB">
            <w:pPr>
              <w:pStyle w:val="NoSpacing"/>
              <w:jc w:val="right"/>
            </w:pPr>
            <w:r>
              <w:t>-</w:t>
            </w:r>
          </w:p>
        </w:tc>
        <w:tc>
          <w:tcPr>
            <w:tcW w:w="1347" w:type="dxa"/>
          </w:tcPr>
          <w:p w:rsidR="00E825A8" w:rsidRDefault="00C303FB" w:rsidP="00C303FB">
            <w:pPr>
              <w:pStyle w:val="NoSpacing"/>
              <w:jc w:val="right"/>
            </w:pPr>
            <w:r>
              <w:t>-</w:t>
            </w:r>
          </w:p>
        </w:tc>
        <w:tc>
          <w:tcPr>
            <w:tcW w:w="1347" w:type="dxa"/>
          </w:tcPr>
          <w:p w:rsidR="00E825A8" w:rsidRDefault="00C303FB" w:rsidP="00C303FB">
            <w:pPr>
              <w:pStyle w:val="NoSpacing"/>
              <w:jc w:val="right"/>
            </w:pPr>
            <w:r>
              <w:t>-</w:t>
            </w:r>
          </w:p>
        </w:tc>
      </w:tr>
      <w:tr w:rsidR="00E825A8" w:rsidTr="00C303FB">
        <w:tc>
          <w:tcPr>
            <w:tcW w:w="2836" w:type="dxa"/>
          </w:tcPr>
          <w:p w:rsidR="00E825A8" w:rsidRDefault="00E825A8" w:rsidP="00C303FB">
            <w:pPr>
              <w:pStyle w:val="NoSpacing"/>
            </w:pPr>
            <w:r>
              <w:t>Depreciation</w:t>
            </w:r>
          </w:p>
        </w:tc>
        <w:tc>
          <w:tcPr>
            <w:tcW w:w="1417" w:type="dxa"/>
          </w:tcPr>
          <w:p w:rsidR="00E825A8" w:rsidRDefault="00C303FB" w:rsidP="00C303FB">
            <w:pPr>
              <w:pStyle w:val="NoSpacing"/>
              <w:jc w:val="right"/>
            </w:pPr>
            <w:r>
              <w:t>-</w:t>
            </w:r>
          </w:p>
        </w:tc>
        <w:tc>
          <w:tcPr>
            <w:tcW w:w="1276" w:type="dxa"/>
          </w:tcPr>
          <w:p w:rsidR="00E825A8" w:rsidRDefault="00C303FB" w:rsidP="00C303FB">
            <w:pPr>
              <w:pStyle w:val="NoSpacing"/>
              <w:jc w:val="right"/>
            </w:pPr>
            <w:r>
              <w:t>(5,219)</w:t>
            </w:r>
          </w:p>
        </w:tc>
        <w:tc>
          <w:tcPr>
            <w:tcW w:w="1417" w:type="dxa"/>
          </w:tcPr>
          <w:p w:rsidR="00E825A8" w:rsidRDefault="00C303FB" w:rsidP="00C303FB">
            <w:pPr>
              <w:pStyle w:val="NoSpacing"/>
              <w:jc w:val="right"/>
            </w:pPr>
            <w:r>
              <w:t>-</w:t>
            </w:r>
          </w:p>
        </w:tc>
        <w:tc>
          <w:tcPr>
            <w:tcW w:w="1418" w:type="dxa"/>
          </w:tcPr>
          <w:p w:rsidR="00E825A8" w:rsidRDefault="00C303FB" w:rsidP="00C303FB">
            <w:pPr>
              <w:pStyle w:val="NoSpacing"/>
              <w:jc w:val="right"/>
            </w:pPr>
            <w:r>
              <w:t>(1,428)</w:t>
            </w:r>
          </w:p>
        </w:tc>
        <w:tc>
          <w:tcPr>
            <w:tcW w:w="1276" w:type="dxa"/>
          </w:tcPr>
          <w:p w:rsidR="00E825A8" w:rsidRDefault="00C303FB" w:rsidP="00C303FB">
            <w:pPr>
              <w:pStyle w:val="NoSpacing"/>
              <w:jc w:val="right"/>
            </w:pPr>
            <w:r>
              <w:t>(61)</w:t>
            </w:r>
          </w:p>
        </w:tc>
        <w:tc>
          <w:tcPr>
            <w:tcW w:w="1559" w:type="dxa"/>
          </w:tcPr>
          <w:p w:rsidR="00E825A8" w:rsidRDefault="00C303FB" w:rsidP="00C303FB">
            <w:pPr>
              <w:pStyle w:val="NoSpacing"/>
              <w:jc w:val="right"/>
            </w:pPr>
            <w:r>
              <w:t>(290)</w:t>
            </w:r>
          </w:p>
        </w:tc>
        <w:tc>
          <w:tcPr>
            <w:tcW w:w="1417" w:type="dxa"/>
          </w:tcPr>
          <w:p w:rsidR="00E825A8" w:rsidRDefault="00C303FB" w:rsidP="00C303FB">
            <w:pPr>
              <w:pStyle w:val="NoSpacing"/>
              <w:jc w:val="right"/>
            </w:pPr>
            <w:r>
              <w:t>(152)</w:t>
            </w:r>
          </w:p>
        </w:tc>
        <w:tc>
          <w:tcPr>
            <w:tcW w:w="1347" w:type="dxa"/>
          </w:tcPr>
          <w:p w:rsidR="00E825A8" w:rsidRDefault="00C303FB" w:rsidP="00C303FB">
            <w:pPr>
              <w:pStyle w:val="NoSpacing"/>
              <w:jc w:val="right"/>
            </w:pPr>
            <w:r>
              <w:t>-</w:t>
            </w:r>
          </w:p>
        </w:tc>
        <w:tc>
          <w:tcPr>
            <w:tcW w:w="1347" w:type="dxa"/>
          </w:tcPr>
          <w:p w:rsidR="00E825A8" w:rsidRDefault="00C303FB" w:rsidP="00C303FB">
            <w:pPr>
              <w:pStyle w:val="NoSpacing"/>
              <w:jc w:val="right"/>
            </w:pPr>
            <w:r>
              <w:t>(7,150)</w:t>
            </w:r>
          </w:p>
        </w:tc>
      </w:tr>
      <w:tr w:rsidR="00E825A8" w:rsidTr="00C303FB">
        <w:tc>
          <w:tcPr>
            <w:tcW w:w="2836" w:type="dxa"/>
          </w:tcPr>
          <w:p w:rsidR="00E825A8" w:rsidRDefault="00E825A8" w:rsidP="00C303FB">
            <w:pPr>
              <w:pStyle w:val="NoSpacing"/>
            </w:pPr>
            <w:r>
              <w:t>Closing balance</w:t>
            </w:r>
          </w:p>
        </w:tc>
        <w:tc>
          <w:tcPr>
            <w:tcW w:w="1417" w:type="dxa"/>
          </w:tcPr>
          <w:p w:rsidR="00E825A8" w:rsidRDefault="00C303FB" w:rsidP="00C303FB">
            <w:pPr>
              <w:pStyle w:val="NoSpacing"/>
              <w:jc w:val="right"/>
            </w:pPr>
            <w:r>
              <w:t>58,196</w:t>
            </w:r>
          </w:p>
        </w:tc>
        <w:tc>
          <w:tcPr>
            <w:tcW w:w="1276" w:type="dxa"/>
          </w:tcPr>
          <w:p w:rsidR="00E825A8" w:rsidRDefault="00C303FB" w:rsidP="00C303FB">
            <w:pPr>
              <w:pStyle w:val="NoSpacing"/>
              <w:jc w:val="right"/>
            </w:pPr>
            <w:r>
              <w:t>202,988</w:t>
            </w:r>
          </w:p>
        </w:tc>
        <w:tc>
          <w:tcPr>
            <w:tcW w:w="1417" w:type="dxa"/>
          </w:tcPr>
          <w:p w:rsidR="00E825A8" w:rsidRDefault="00C303FB" w:rsidP="00C303FB">
            <w:pPr>
              <w:pStyle w:val="NoSpacing"/>
              <w:jc w:val="right"/>
            </w:pPr>
            <w:r>
              <w:t>72,607</w:t>
            </w:r>
          </w:p>
        </w:tc>
        <w:tc>
          <w:tcPr>
            <w:tcW w:w="1418" w:type="dxa"/>
          </w:tcPr>
          <w:p w:rsidR="00E825A8" w:rsidRDefault="00C303FB" w:rsidP="00C303FB">
            <w:pPr>
              <w:pStyle w:val="NoSpacing"/>
              <w:jc w:val="right"/>
            </w:pPr>
            <w:r>
              <w:t>6,589</w:t>
            </w:r>
          </w:p>
        </w:tc>
        <w:tc>
          <w:tcPr>
            <w:tcW w:w="1276" w:type="dxa"/>
          </w:tcPr>
          <w:p w:rsidR="00E825A8" w:rsidRDefault="00C303FB" w:rsidP="00C303FB">
            <w:pPr>
              <w:pStyle w:val="NoSpacing"/>
              <w:jc w:val="right"/>
            </w:pPr>
            <w:r>
              <w:t>416</w:t>
            </w:r>
          </w:p>
        </w:tc>
        <w:tc>
          <w:tcPr>
            <w:tcW w:w="1559" w:type="dxa"/>
          </w:tcPr>
          <w:p w:rsidR="00E825A8" w:rsidRDefault="00C303FB" w:rsidP="00C303FB">
            <w:pPr>
              <w:pStyle w:val="NoSpacing"/>
              <w:jc w:val="right"/>
            </w:pPr>
            <w:r>
              <w:t>360</w:t>
            </w:r>
          </w:p>
        </w:tc>
        <w:tc>
          <w:tcPr>
            <w:tcW w:w="1417" w:type="dxa"/>
          </w:tcPr>
          <w:p w:rsidR="00E825A8" w:rsidRDefault="00C303FB" w:rsidP="00C303FB">
            <w:pPr>
              <w:pStyle w:val="NoSpacing"/>
              <w:jc w:val="right"/>
            </w:pPr>
            <w:r>
              <w:t>2,418</w:t>
            </w:r>
          </w:p>
        </w:tc>
        <w:tc>
          <w:tcPr>
            <w:tcW w:w="1347" w:type="dxa"/>
          </w:tcPr>
          <w:p w:rsidR="00E825A8" w:rsidRDefault="00C303FB" w:rsidP="00C303FB">
            <w:pPr>
              <w:pStyle w:val="NoSpacing"/>
              <w:jc w:val="right"/>
            </w:pPr>
            <w:r>
              <w:t>-</w:t>
            </w:r>
          </w:p>
        </w:tc>
        <w:tc>
          <w:tcPr>
            <w:tcW w:w="1347" w:type="dxa"/>
          </w:tcPr>
          <w:p w:rsidR="00E825A8" w:rsidRDefault="00C303FB" w:rsidP="00C303FB">
            <w:pPr>
              <w:pStyle w:val="NoSpacing"/>
              <w:jc w:val="right"/>
            </w:pPr>
            <w:r>
              <w:t>343,574</w:t>
            </w:r>
          </w:p>
        </w:tc>
      </w:tr>
    </w:tbl>
    <w:p w:rsidR="00E825A8" w:rsidRDefault="00E825A8" w:rsidP="00337C8E">
      <w:pPr>
        <w:pStyle w:val="NoSpacing"/>
      </w:pPr>
    </w:p>
    <w:p w:rsidR="00337C8E" w:rsidRDefault="00337C8E" w:rsidP="005942B8">
      <w:pPr>
        <w:pStyle w:val="NoSpacing"/>
      </w:pPr>
    </w:p>
    <w:p w:rsidR="00C303FB" w:rsidRDefault="00C303FB" w:rsidP="005942B8">
      <w:pPr>
        <w:pStyle w:val="NoSpacing"/>
      </w:pPr>
    </w:p>
    <w:p w:rsidR="00C303FB" w:rsidRDefault="00C303FB" w:rsidP="005942B8">
      <w:pPr>
        <w:pStyle w:val="NoSpacing"/>
      </w:pPr>
    </w:p>
    <w:p w:rsidR="00C303FB" w:rsidRDefault="00C303FB" w:rsidP="005942B8">
      <w:pPr>
        <w:pStyle w:val="NoSpacing"/>
      </w:pPr>
    </w:p>
    <w:p w:rsidR="00C303FB" w:rsidRDefault="00C303FB" w:rsidP="005942B8">
      <w:pPr>
        <w:pStyle w:val="NoSpacing"/>
      </w:pPr>
    </w:p>
    <w:p w:rsidR="00C303FB" w:rsidRDefault="00C303FB" w:rsidP="005942B8">
      <w:pPr>
        <w:pStyle w:val="NoSpacing"/>
      </w:pPr>
    </w:p>
    <w:p w:rsidR="00C303FB" w:rsidRDefault="00C303FB" w:rsidP="005942B8">
      <w:pPr>
        <w:pStyle w:val="NoSpacing"/>
      </w:pPr>
    </w:p>
    <w:p w:rsidR="00C303FB" w:rsidRDefault="00C303FB" w:rsidP="005942B8">
      <w:pPr>
        <w:pStyle w:val="NoSpacing"/>
      </w:pPr>
    </w:p>
    <w:p w:rsidR="00F02D69" w:rsidRDefault="00F02D69" w:rsidP="00C303FB">
      <w:pPr>
        <w:pStyle w:val="NoSpacing"/>
        <w:sectPr w:rsidR="00F02D69" w:rsidSect="00B431A8">
          <w:pgSz w:w="16838" w:h="11906" w:orient="landscape"/>
          <w:pgMar w:top="1440" w:right="1440" w:bottom="1440" w:left="1440" w:header="709" w:footer="709" w:gutter="0"/>
          <w:cols w:space="708"/>
          <w:docGrid w:linePitch="360"/>
        </w:sectPr>
      </w:pPr>
    </w:p>
    <w:p w:rsidR="00F02D69" w:rsidRDefault="00C303FB" w:rsidP="00406A46">
      <w:pPr>
        <w:pStyle w:val="Heading4"/>
      </w:pPr>
      <w:r>
        <w:lastRenderedPageBreak/>
        <w:t>4.1.2 Capital commitments</w:t>
      </w:r>
    </w:p>
    <w:p w:rsidR="00C303FB" w:rsidRDefault="00C303FB" w:rsidP="00F02D69">
      <w:pPr>
        <w:pStyle w:val="NoSpacing"/>
      </w:pPr>
    </w:p>
    <w:p w:rsidR="00C303FB" w:rsidRDefault="00C303FB" w:rsidP="00F02D69">
      <w:pPr>
        <w:pStyle w:val="NoSpacing"/>
      </w:pPr>
      <w:r>
        <w:t>These capital commitments are recorded below at their nominal value and inclusive of GST.</w:t>
      </w:r>
    </w:p>
    <w:p w:rsidR="00C303FB" w:rsidRDefault="00C303FB" w:rsidP="00F02D69">
      <w:pPr>
        <w:pStyle w:val="NoSpacing"/>
      </w:pPr>
    </w:p>
    <w:p w:rsidR="00C303FB" w:rsidRDefault="00C303FB" w:rsidP="00F02D69">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C303FB" w:rsidTr="00C303FB">
        <w:trPr>
          <w:gridBefore w:val="1"/>
          <w:wBefore w:w="5529" w:type="dxa"/>
        </w:trPr>
        <w:tc>
          <w:tcPr>
            <w:tcW w:w="2552" w:type="dxa"/>
            <w:gridSpan w:val="2"/>
          </w:tcPr>
          <w:p w:rsidR="00C303FB" w:rsidRDefault="00C303FB" w:rsidP="00C303FB">
            <w:pPr>
              <w:pStyle w:val="NoSpacing"/>
              <w:jc w:val="right"/>
            </w:pPr>
            <w:r>
              <w:t>Consolidated</w:t>
            </w:r>
          </w:p>
          <w:p w:rsidR="00C303FB" w:rsidRDefault="00C303FB" w:rsidP="00C303FB">
            <w:pPr>
              <w:pStyle w:val="NoSpacing"/>
              <w:jc w:val="center"/>
            </w:pPr>
          </w:p>
        </w:tc>
        <w:tc>
          <w:tcPr>
            <w:tcW w:w="2551" w:type="dxa"/>
            <w:gridSpan w:val="2"/>
          </w:tcPr>
          <w:p w:rsidR="00C303FB" w:rsidRDefault="00C303FB" w:rsidP="00C303FB">
            <w:pPr>
              <w:pStyle w:val="NoSpacing"/>
              <w:jc w:val="right"/>
            </w:pPr>
            <w:r>
              <w:t>Chisholm</w:t>
            </w:r>
          </w:p>
        </w:tc>
      </w:tr>
      <w:tr w:rsidR="00C303FB" w:rsidTr="00C303FB">
        <w:trPr>
          <w:gridBefore w:val="1"/>
          <w:wBefore w:w="5529" w:type="dxa"/>
        </w:trPr>
        <w:tc>
          <w:tcPr>
            <w:tcW w:w="1276" w:type="dxa"/>
          </w:tcPr>
          <w:p w:rsidR="00C303FB" w:rsidRDefault="00C303FB" w:rsidP="00C303FB">
            <w:pPr>
              <w:pStyle w:val="NoSpacing"/>
              <w:jc w:val="right"/>
            </w:pPr>
            <w:r>
              <w:t>2019</w:t>
            </w:r>
          </w:p>
        </w:tc>
        <w:tc>
          <w:tcPr>
            <w:tcW w:w="1276" w:type="dxa"/>
          </w:tcPr>
          <w:p w:rsidR="00C303FB" w:rsidRDefault="00C303FB" w:rsidP="00C303FB">
            <w:pPr>
              <w:pStyle w:val="NoSpacing"/>
              <w:jc w:val="right"/>
            </w:pPr>
            <w:r>
              <w:t>2018</w:t>
            </w:r>
          </w:p>
        </w:tc>
        <w:tc>
          <w:tcPr>
            <w:tcW w:w="1275" w:type="dxa"/>
          </w:tcPr>
          <w:p w:rsidR="00C303FB" w:rsidRDefault="00C303FB" w:rsidP="00C303FB">
            <w:pPr>
              <w:pStyle w:val="NoSpacing"/>
              <w:jc w:val="right"/>
            </w:pPr>
            <w:r>
              <w:t>2019</w:t>
            </w:r>
          </w:p>
        </w:tc>
        <w:tc>
          <w:tcPr>
            <w:tcW w:w="1276" w:type="dxa"/>
          </w:tcPr>
          <w:p w:rsidR="00C303FB" w:rsidRDefault="00C303FB" w:rsidP="00C303FB">
            <w:pPr>
              <w:pStyle w:val="NoSpacing"/>
              <w:jc w:val="right"/>
            </w:pPr>
            <w:r>
              <w:t>2018</w:t>
            </w:r>
          </w:p>
        </w:tc>
      </w:tr>
      <w:tr w:rsidR="00C303FB" w:rsidTr="00C303FB">
        <w:trPr>
          <w:gridBefore w:val="1"/>
          <w:wBefore w:w="5529" w:type="dxa"/>
        </w:trPr>
        <w:tc>
          <w:tcPr>
            <w:tcW w:w="1276" w:type="dxa"/>
          </w:tcPr>
          <w:p w:rsidR="00C303FB" w:rsidRDefault="00C303FB" w:rsidP="00C303FB">
            <w:pPr>
              <w:pStyle w:val="NoSpacing"/>
              <w:jc w:val="right"/>
            </w:pPr>
            <w:r>
              <w:t>$’000</w:t>
            </w:r>
          </w:p>
        </w:tc>
        <w:tc>
          <w:tcPr>
            <w:tcW w:w="1276" w:type="dxa"/>
          </w:tcPr>
          <w:p w:rsidR="00C303FB" w:rsidRDefault="00C303FB" w:rsidP="00C303FB">
            <w:pPr>
              <w:jc w:val="right"/>
            </w:pPr>
            <w:r w:rsidRPr="00105D59">
              <w:t>$’000</w:t>
            </w:r>
          </w:p>
        </w:tc>
        <w:tc>
          <w:tcPr>
            <w:tcW w:w="1275" w:type="dxa"/>
          </w:tcPr>
          <w:p w:rsidR="00C303FB" w:rsidRDefault="00C303FB" w:rsidP="00C303FB">
            <w:pPr>
              <w:jc w:val="right"/>
            </w:pPr>
            <w:r w:rsidRPr="00105D59">
              <w:t>$’000</w:t>
            </w:r>
          </w:p>
        </w:tc>
        <w:tc>
          <w:tcPr>
            <w:tcW w:w="1276" w:type="dxa"/>
          </w:tcPr>
          <w:p w:rsidR="00C303FB" w:rsidRDefault="00C303FB" w:rsidP="00C303FB">
            <w:pPr>
              <w:jc w:val="right"/>
            </w:pPr>
            <w:r w:rsidRPr="00105D59">
              <w:t>$’000</w:t>
            </w:r>
          </w:p>
        </w:tc>
      </w:tr>
      <w:tr w:rsidR="00C303FB" w:rsidTr="00C303FB">
        <w:tc>
          <w:tcPr>
            <w:tcW w:w="10632" w:type="dxa"/>
            <w:gridSpan w:val="5"/>
          </w:tcPr>
          <w:p w:rsidR="00C303FB" w:rsidRDefault="00C303FB" w:rsidP="00C303FB">
            <w:pPr>
              <w:pStyle w:val="NoSpacing"/>
            </w:pPr>
            <w:r>
              <w:t>Payable:</w:t>
            </w:r>
          </w:p>
        </w:tc>
      </w:tr>
      <w:tr w:rsidR="00C303FB" w:rsidTr="00C303FB">
        <w:tc>
          <w:tcPr>
            <w:tcW w:w="5529" w:type="dxa"/>
          </w:tcPr>
          <w:p w:rsidR="00C303FB" w:rsidRDefault="00C303FB" w:rsidP="00C303FB">
            <w:pPr>
              <w:pStyle w:val="NoSpacing"/>
            </w:pPr>
            <w:r>
              <w:t>Within one year</w:t>
            </w:r>
          </w:p>
        </w:tc>
        <w:tc>
          <w:tcPr>
            <w:tcW w:w="1276" w:type="dxa"/>
          </w:tcPr>
          <w:p w:rsidR="00C303FB" w:rsidRDefault="00C303FB" w:rsidP="00C303FB">
            <w:pPr>
              <w:pStyle w:val="NoSpacing"/>
              <w:jc w:val="right"/>
            </w:pPr>
            <w:r>
              <w:t>14</w:t>
            </w:r>
          </w:p>
        </w:tc>
        <w:tc>
          <w:tcPr>
            <w:tcW w:w="1276" w:type="dxa"/>
          </w:tcPr>
          <w:p w:rsidR="00C303FB" w:rsidRDefault="00C303FB" w:rsidP="00C303FB">
            <w:pPr>
              <w:pStyle w:val="NoSpacing"/>
              <w:jc w:val="right"/>
            </w:pPr>
            <w:r>
              <w:t>15,325</w:t>
            </w:r>
          </w:p>
        </w:tc>
        <w:tc>
          <w:tcPr>
            <w:tcW w:w="1275" w:type="dxa"/>
          </w:tcPr>
          <w:p w:rsidR="00C303FB" w:rsidRDefault="00C303FB" w:rsidP="00C303FB">
            <w:pPr>
              <w:pStyle w:val="NoSpacing"/>
              <w:jc w:val="right"/>
            </w:pPr>
            <w:r>
              <w:t>14</w:t>
            </w:r>
          </w:p>
        </w:tc>
        <w:tc>
          <w:tcPr>
            <w:tcW w:w="1276" w:type="dxa"/>
          </w:tcPr>
          <w:p w:rsidR="00C303FB" w:rsidRDefault="00C303FB" w:rsidP="00C303FB">
            <w:pPr>
              <w:pStyle w:val="NoSpacing"/>
              <w:jc w:val="right"/>
            </w:pPr>
            <w:r>
              <w:t>15,325</w:t>
            </w:r>
          </w:p>
        </w:tc>
      </w:tr>
      <w:tr w:rsidR="00C303FB" w:rsidTr="00C303FB">
        <w:tc>
          <w:tcPr>
            <w:tcW w:w="5529" w:type="dxa"/>
          </w:tcPr>
          <w:p w:rsidR="00C303FB" w:rsidRDefault="00C303FB" w:rsidP="00C303FB">
            <w:pPr>
              <w:pStyle w:val="NoSpacing"/>
            </w:pPr>
            <w:r>
              <w:t>Later than one year but no later than five years</w:t>
            </w:r>
          </w:p>
        </w:tc>
        <w:tc>
          <w:tcPr>
            <w:tcW w:w="1276" w:type="dxa"/>
          </w:tcPr>
          <w:p w:rsidR="00C303FB" w:rsidRDefault="00C303FB" w:rsidP="00C303FB">
            <w:pPr>
              <w:pStyle w:val="NoSpacing"/>
              <w:jc w:val="right"/>
            </w:pPr>
            <w:r>
              <w:t>-</w:t>
            </w:r>
          </w:p>
        </w:tc>
        <w:tc>
          <w:tcPr>
            <w:tcW w:w="1276" w:type="dxa"/>
          </w:tcPr>
          <w:p w:rsidR="00C303FB" w:rsidRDefault="00C303FB" w:rsidP="00C303FB">
            <w:pPr>
              <w:pStyle w:val="NoSpacing"/>
              <w:jc w:val="right"/>
            </w:pPr>
            <w:r>
              <w:t>59</w:t>
            </w:r>
          </w:p>
        </w:tc>
        <w:tc>
          <w:tcPr>
            <w:tcW w:w="1275" w:type="dxa"/>
          </w:tcPr>
          <w:p w:rsidR="00C303FB" w:rsidRDefault="00C303FB" w:rsidP="00C303FB">
            <w:pPr>
              <w:pStyle w:val="NoSpacing"/>
              <w:jc w:val="right"/>
            </w:pPr>
            <w:r>
              <w:t>-</w:t>
            </w:r>
          </w:p>
        </w:tc>
        <w:tc>
          <w:tcPr>
            <w:tcW w:w="1276" w:type="dxa"/>
          </w:tcPr>
          <w:p w:rsidR="00C303FB" w:rsidRDefault="00C303FB" w:rsidP="00C303FB">
            <w:pPr>
              <w:pStyle w:val="NoSpacing"/>
              <w:jc w:val="right"/>
            </w:pPr>
            <w:r>
              <w:t>59</w:t>
            </w:r>
          </w:p>
        </w:tc>
      </w:tr>
      <w:tr w:rsidR="00C303FB" w:rsidTr="00C303FB">
        <w:tc>
          <w:tcPr>
            <w:tcW w:w="5529" w:type="dxa"/>
          </w:tcPr>
          <w:p w:rsidR="00C303FB" w:rsidRDefault="00C303FB" w:rsidP="00C303FB">
            <w:pPr>
              <w:pStyle w:val="NoSpacing"/>
            </w:pPr>
            <w:r>
              <w:t>Total capital expenditure commitments</w:t>
            </w:r>
          </w:p>
        </w:tc>
        <w:tc>
          <w:tcPr>
            <w:tcW w:w="1276" w:type="dxa"/>
          </w:tcPr>
          <w:p w:rsidR="00C303FB" w:rsidRDefault="00C303FB" w:rsidP="00C303FB">
            <w:pPr>
              <w:pStyle w:val="NoSpacing"/>
              <w:jc w:val="right"/>
            </w:pPr>
            <w:r>
              <w:t>14</w:t>
            </w:r>
          </w:p>
        </w:tc>
        <w:tc>
          <w:tcPr>
            <w:tcW w:w="1276" w:type="dxa"/>
          </w:tcPr>
          <w:p w:rsidR="00C303FB" w:rsidRDefault="00C303FB" w:rsidP="00C303FB">
            <w:pPr>
              <w:pStyle w:val="NoSpacing"/>
              <w:jc w:val="right"/>
            </w:pPr>
            <w:r>
              <w:t>15,384</w:t>
            </w:r>
          </w:p>
        </w:tc>
        <w:tc>
          <w:tcPr>
            <w:tcW w:w="1275" w:type="dxa"/>
          </w:tcPr>
          <w:p w:rsidR="00C303FB" w:rsidRDefault="00C303FB" w:rsidP="00C303FB">
            <w:pPr>
              <w:pStyle w:val="NoSpacing"/>
              <w:jc w:val="right"/>
            </w:pPr>
            <w:r>
              <w:t>14</w:t>
            </w:r>
          </w:p>
        </w:tc>
        <w:tc>
          <w:tcPr>
            <w:tcW w:w="1276" w:type="dxa"/>
          </w:tcPr>
          <w:p w:rsidR="00C303FB" w:rsidRDefault="00C303FB" w:rsidP="00C303FB">
            <w:pPr>
              <w:pStyle w:val="NoSpacing"/>
              <w:jc w:val="right"/>
            </w:pPr>
            <w:r>
              <w:t>15,384</w:t>
            </w:r>
          </w:p>
        </w:tc>
      </w:tr>
    </w:tbl>
    <w:p w:rsidR="00C303FB" w:rsidRDefault="00C303FB" w:rsidP="00C303FB">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C303FB" w:rsidTr="00C303FB">
        <w:tc>
          <w:tcPr>
            <w:tcW w:w="5529" w:type="dxa"/>
          </w:tcPr>
          <w:p w:rsidR="00C303FB" w:rsidRDefault="00C303FB" w:rsidP="00C303FB">
            <w:pPr>
              <w:pStyle w:val="NoSpacing"/>
            </w:pPr>
            <w:r>
              <w:t>GST reclaimable on the above</w:t>
            </w:r>
          </w:p>
        </w:tc>
        <w:tc>
          <w:tcPr>
            <w:tcW w:w="1276" w:type="dxa"/>
          </w:tcPr>
          <w:p w:rsidR="00C303FB" w:rsidRDefault="00C303FB" w:rsidP="00C303FB">
            <w:pPr>
              <w:pStyle w:val="NoSpacing"/>
              <w:jc w:val="right"/>
            </w:pPr>
            <w:r>
              <w:t>1</w:t>
            </w:r>
          </w:p>
        </w:tc>
        <w:tc>
          <w:tcPr>
            <w:tcW w:w="1276" w:type="dxa"/>
          </w:tcPr>
          <w:p w:rsidR="00C303FB" w:rsidRDefault="00C303FB" w:rsidP="00C303FB">
            <w:pPr>
              <w:pStyle w:val="NoSpacing"/>
              <w:jc w:val="right"/>
            </w:pPr>
            <w:r>
              <w:t>1,399</w:t>
            </w:r>
          </w:p>
        </w:tc>
        <w:tc>
          <w:tcPr>
            <w:tcW w:w="1275" w:type="dxa"/>
          </w:tcPr>
          <w:p w:rsidR="00C303FB" w:rsidRDefault="00C303FB" w:rsidP="00C303FB">
            <w:pPr>
              <w:pStyle w:val="NoSpacing"/>
              <w:jc w:val="right"/>
            </w:pPr>
            <w:r>
              <w:t>1</w:t>
            </w:r>
          </w:p>
        </w:tc>
        <w:tc>
          <w:tcPr>
            <w:tcW w:w="1276" w:type="dxa"/>
          </w:tcPr>
          <w:p w:rsidR="00C303FB" w:rsidRDefault="00C303FB" w:rsidP="00C303FB">
            <w:pPr>
              <w:pStyle w:val="NoSpacing"/>
              <w:jc w:val="right"/>
            </w:pPr>
            <w:r>
              <w:t>1,399</w:t>
            </w:r>
          </w:p>
        </w:tc>
      </w:tr>
      <w:tr w:rsidR="00C303FB" w:rsidTr="00C303FB">
        <w:tc>
          <w:tcPr>
            <w:tcW w:w="5529" w:type="dxa"/>
          </w:tcPr>
          <w:p w:rsidR="00C303FB" w:rsidRDefault="00C303FB" w:rsidP="00C303FB">
            <w:pPr>
              <w:pStyle w:val="NoSpacing"/>
            </w:pPr>
            <w:r>
              <w:t xml:space="preserve">Net capital expenditure commitments </w:t>
            </w:r>
          </w:p>
        </w:tc>
        <w:tc>
          <w:tcPr>
            <w:tcW w:w="1276" w:type="dxa"/>
          </w:tcPr>
          <w:p w:rsidR="00C303FB" w:rsidRDefault="00C303FB" w:rsidP="00C303FB">
            <w:pPr>
              <w:pStyle w:val="NoSpacing"/>
              <w:jc w:val="right"/>
            </w:pPr>
            <w:r>
              <w:t>13</w:t>
            </w:r>
          </w:p>
        </w:tc>
        <w:tc>
          <w:tcPr>
            <w:tcW w:w="1276" w:type="dxa"/>
          </w:tcPr>
          <w:p w:rsidR="00C303FB" w:rsidRDefault="00C303FB" w:rsidP="00C303FB">
            <w:pPr>
              <w:pStyle w:val="NoSpacing"/>
              <w:jc w:val="right"/>
            </w:pPr>
            <w:r>
              <w:t>13,985</w:t>
            </w:r>
          </w:p>
        </w:tc>
        <w:tc>
          <w:tcPr>
            <w:tcW w:w="1275" w:type="dxa"/>
          </w:tcPr>
          <w:p w:rsidR="00C303FB" w:rsidRDefault="00C303FB" w:rsidP="00C303FB">
            <w:pPr>
              <w:pStyle w:val="NoSpacing"/>
              <w:jc w:val="right"/>
            </w:pPr>
            <w:r>
              <w:t>13</w:t>
            </w:r>
          </w:p>
        </w:tc>
        <w:tc>
          <w:tcPr>
            <w:tcW w:w="1276" w:type="dxa"/>
          </w:tcPr>
          <w:p w:rsidR="00C303FB" w:rsidRDefault="00C303FB" w:rsidP="00C303FB">
            <w:pPr>
              <w:pStyle w:val="NoSpacing"/>
              <w:jc w:val="right"/>
            </w:pPr>
            <w:r>
              <w:t>13,985</w:t>
            </w:r>
          </w:p>
        </w:tc>
      </w:tr>
    </w:tbl>
    <w:p w:rsidR="00875CBF" w:rsidRDefault="00875CBF" w:rsidP="00F02D69">
      <w:pPr>
        <w:pStyle w:val="NoSpacing"/>
      </w:pPr>
    </w:p>
    <w:p w:rsidR="00C303FB" w:rsidRDefault="00C303FB" w:rsidP="00F02D69">
      <w:pPr>
        <w:pStyle w:val="NoSpacing"/>
      </w:pPr>
      <w:r>
        <w:t>The high level of capital commitments reported at 31 December 2018 related to major works conducted in 2019, specifically the Frankston Redevelopment Stage 1 project (which is now complete). The drop in capital commitments reported at 31 December 2019 is due to there being no major projects confirmed for 2020.</w:t>
      </w:r>
    </w:p>
    <w:p w:rsidR="00C303FB" w:rsidRDefault="00C303FB" w:rsidP="00F02D69">
      <w:pPr>
        <w:pStyle w:val="NoSpacing"/>
      </w:pPr>
    </w:p>
    <w:p w:rsidR="00C303FB" w:rsidRDefault="00C303FB" w:rsidP="00F02D69">
      <w:pPr>
        <w:pStyle w:val="NoSpacing"/>
      </w:pPr>
      <w:r>
        <w:t>&lt;page 69&gt;</w:t>
      </w:r>
    </w:p>
    <w:p w:rsidR="00C303FB" w:rsidRDefault="00C303FB" w:rsidP="00F02D69">
      <w:pPr>
        <w:pStyle w:val="NoSpacing"/>
      </w:pPr>
    </w:p>
    <w:p w:rsidR="00F42F0B" w:rsidRDefault="00F42F0B" w:rsidP="00406A46">
      <w:pPr>
        <w:pStyle w:val="Heading2"/>
      </w:pPr>
      <w:r>
        <w:t>4. The assets we invested in (continued)</w:t>
      </w:r>
    </w:p>
    <w:p w:rsidR="00406A46" w:rsidRDefault="00406A46" w:rsidP="00406A46">
      <w:pPr>
        <w:pStyle w:val="NoSpacing"/>
      </w:pPr>
    </w:p>
    <w:p w:rsidR="00F42F0B" w:rsidRDefault="00F42F0B" w:rsidP="00406A46">
      <w:pPr>
        <w:pStyle w:val="Heading3"/>
      </w:pPr>
      <w:r>
        <w:t>4.1 Property, plant and equipment (continued)</w:t>
      </w:r>
    </w:p>
    <w:p w:rsidR="00406A46" w:rsidRDefault="00406A46" w:rsidP="00406A46">
      <w:pPr>
        <w:pStyle w:val="NoSpacing"/>
      </w:pPr>
    </w:p>
    <w:p w:rsidR="00F42F0B" w:rsidRDefault="00F42F0B" w:rsidP="00406A46">
      <w:pPr>
        <w:pStyle w:val="Heading4"/>
      </w:pPr>
      <w:r>
        <w:t>4.1.3 Gain/loss on property, plant and equipment</w:t>
      </w:r>
    </w:p>
    <w:p w:rsidR="00F42F0B" w:rsidRDefault="00F42F0B" w:rsidP="00F02D69">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F42F0B" w:rsidTr="00F42F0B">
        <w:trPr>
          <w:gridBefore w:val="1"/>
          <w:wBefore w:w="5529" w:type="dxa"/>
        </w:trPr>
        <w:tc>
          <w:tcPr>
            <w:tcW w:w="2552" w:type="dxa"/>
            <w:gridSpan w:val="2"/>
          </w:tcPr>
          <w:p w:rsidR="00F42F0B" w:rsidRDefault="00F42F0B" w:rsidP="004B3B10">
            <w:pPr>
              <w:pStyle w:val="NoSpacing"/>
              <w:jc w:val="right"/>
            </w:pPr>
            <w:r>
              <w:t>Consolidated</w:t>
            </w:r>
          </w:p>
        </w:tc>
        <w:tc>
          <w:tcPr>
            <w:tcW w:w="2551" w:type="dxa"/>
            <w:gridSpan w:val="2"/>
          </w:tcPr>
          <w:p w:rsidR="00F42F0B" w:rsidRDefault="00F42F0B" w:rsidP="004B3B10">
            <w:pPr>
              <w:pStyle w:val="NoSpacing"/>
              <w:jc w:val="right"/>
            </w:pPr>
            <w:r>
              <w:t>Chisholm</w:t>
            </w:r>
          </w:p>
        </w:tc>
      </w:tr>
      <w:tr w:rsidR="00F42F0B" w:rsidTr="00F42F0B">
        <w:trPr>
          <w:gridBefore w:val="1"/>
          <w:wBefore w:w="5529" w:type="dxa"/>
        </w:trPr>
        <w:tc>
          <w:tcPr>
            <w:tcW w:w="1276" w:type="dxa"/>
          </w:tcPr>
          <w:p w:rsidR="00F42F0B" w:rsidRDefault="00F42F0B" w:rsidP="004B3B10">
            <w:pPr>
              <w:pStyle w:val="NoSpacing"/>
              <w:jc w:val="right"/>
            </w:pPr>
            <w:r>
              <w:t>2019</w:t>
            </w:r>
          </w:p>
        </w:tc>
        <w:tc>
          <w:tcPr>
            <w:tcW w:w="1276" w:type="dxa"/>
          </w:tcPr>
          <w:p w:rsidR="00F42F0B" w:rsidRDefault="00F42F0B" w:rsidP="004B3B10">
            <w:pPr>
              <w:pStyle w:val="NoSpacing"/>
              <w:jc w:val="right"/>
            </w:pPr>
            <w:r>
              <w:t>2018</w:t>
            </w:r>
          </w:p>
        </w:tc>
        <w:tc>
          <w:tcPr>
            <w:tcW w:w="1275" w:type="dxa"/>
          </w:tcPr>
          <w:p w:rsidR="00F42F0B" w:rsidRDefault="00F42F0B" w:rsidP="004B3B10">
            <w:pPr>
              <w:pStyle w:val="NoSpacing"/>
              <w:jc w:val="right"/>
            </w:pPr>
            <w:r>
              <w:t>2019</w:t>
            </w:r>
          </w:p>
        </w:tc>
        <w:tc>
          <w:tcPr>
            <w:tcW w:w="1276" w:type="dxa"/>
          </w:tcPr>
          <w:p w:rsidR="00F42F0B" w:rsidRDefault="00F42F0B" w:rsidP="004B3B10">
            <w:pPr>
              <w:pStyle w:val="NoSpacing"/>
              <w:jc w:val="right"/>
            </w:pPr>
            <w:r>
              <w:t>2018</w:t>
            </w:r>
          </w:p>
        </w:tc>
      </w:tr>
      <w:tr w:rsidR="00F42F0B" w:rsidTr="00F42F0B">
        <w:trPr>
          <w:gridBefore w:val="1"/>
          <w:wBefore w:w="5529" w:type="dxa"/>
        </w:trPr>
        <w:tc>
          <w:tcPr>
            <w:tcW w:w="1276" w:type="dxa"/>
          </w:tcPr>
          <w:p w:rsidR="00F42F0B" w:rsidRDefault="00F42F0B" w:rsidP="004B3B10">
            <w:pPr>
              <w:pStyle w:val="NoSpacing"/>
              <w:jc w:val="right"/>
            </w:pPr>
            <w:r>
              <w:t>$’000</w:t>
            </w:r>
          </w:p>
        </w:tc>
        <w:tc>
          <w:tcPr>
            <w:tcW w:w="1276" w:type="dxa"/>
          </w:tcPr>
          <w:p w:rsidR="00F42F0B" w:rsidRDefault="00F42F0B" w:rsidP="004B3B10">
            <w:pPr>
              <w:jc w:val="right"/>
            </w:pPr>
            <w:r w:rsidRPr="00105D59">
              <w:t>$’000</w:t>
            </w:r>
          </w:p>
        </w:tc>
        <w:tc>
          <w:tcPr>
            <w:tcW w:w="1275" w:type="dxa"/>
          </w:tcPr>
          <w:p w:rsidR="00F42F0B" w:rsidRDefault="00F42F0B" w:rsidP="004B3B10">
            <w:pPr>
              <w:jc w:val="right"/>
            </w:pPr>
            <w:r w:rsidRPr="00105D59">
              <w:t>$’000</w:t>
            </w:r>
          </w:p>
        </w:tc>
        <w:tc>
          <w:tcPr>
            <w:tcW w:w="1276" w:type="dxa"/>
          </w:tcPr>
          <w:p w:rsidR="00F42F0B" w:rsidRDefault="00F42F0B" w:rsidP="004B3B10">
            <w:pPr>
              <w:jc w:val="right"/>
            </w:pPr>
            <w:r w:rsidRPr="00105D59">
              <w:t>$’000</w:t>
            </w:r>
          </w:p>
        </w:tc>
      </w:tr>
      <w:tr w:rsidR="00F42F0B" w:rsidTr="00F42F0B">
        <w:tc>
          <w:tcPr>
            <w:tcW w:w="5529" w:type="dxa"/>
          </w:tcPr>
          <w:p w:rsidR="00F42F0B" w:rsidRDefault="00F42F0B" w:rsidP="004B3B10">
            <w:pPr>
              <w:pStyle w:val="NoSpacing"/>
            </w:pPr>
            <w:r>
              <w:t>Net gain/(loss) on disposal of property plant and equipment</w:t>
            </w:r>
          </w:p>
        </w:tc>
        <w:tc>
          <w:tcPr>
            <w:tcW w:w="1276" w:type="dxa"/>
          </w:tcPr>
          <w:p w:rsidR="00F42F0B" w:rsidRDefault="00F42F0B" w:rsidP="004B3B10">
            <w:pPr>
              <w:pStyle w:val="NoSpacing"/>
              <w:jc w:val="right"/>
            </w:pPr>
            <w:r>
              <w:t>7</w:t>
            </w:r>
          </w:p>
        </w:tc>
        <w:tc>
          <w:tcPr>
            <w:tcW w:w="1276" w:type="dxa"/>
          </w:tcPr>
          <w:p w:rsidR="00F42F0B" w:rsidRDefault="00F42F0B" w:rsidP="004B3B10">
            <w:pPr>
              <w:pStyle w:val="NoSpacing"/>
              <w:jc w:val="right"/>
            </w:pPr>
            <w:r>
              <w:t>9</w:t>
            </w:r>
          </w:p>
        </w:tc>
        <w:tc>
          <w:tcPr>
            <w:tcW w:w="1275" w:type="dxa"/>
          </w:tcPr>
          <w:p w:rsidR="00F42F0B" w:rsidRDefault="00F42F0B" w:rsidP="004B3B10">
            <w:pPr>
              <w:pStyle w:val="NoSpacing"/>
              <w:jc w:val="right"/>
            </w:pPr>
            <w:r>
              <w:t>7</w:t>
            </w:r>
          </w:p>
        </w:tc>
        <w:tc>
          <w:tcPr>
            <w:tcW w:w="1276" w:type="dxa"/>
          </w:tcPr>
          <w:p w:rsidR="00F42F0B" w:rsidRDefault="00F42F0B" w:rsidP="004B3B10">
            <w:pPr>
              <w:pStyle w:val="NoSpacing"/>
              <w:jc w:val="right"/>
            </w:pPr>
            <w:r>
              <w:t>9</w:t>
            </w:r>
          </w:p>
        </w:tc>
      </w:tr>
      <w:tr w:rsidR="00F42F0B" w:rsidTr="00F42F0B">
        <w:tc>
          <w:tcPr>
            <w:tcW w:w="5529" w:type="dxa"/>
          </w:tcPr>
          <w:p w:rsidR="00F42F0B" w:rsidRDefault="00F42F0B" w:rsidP="004B3B10">
            <w:pPr>
              <w:pStyle w:val="NoSpacing"/>
            </w:pPr>
            <w:r>
              <w:t xml:space="preserve">Total </w:t>
            </w:r>
          </w:p>
        </w:tc>
        <w:tc>
          <w:tcPr>
            <w:tcW w:w="1276" w:type="dxa"/>
          </w:tcPr>
          <w:p w:rsidR="00F42F0B" w:rsidRDefault="00F42F0B" w:rsidP="004B3B10">
            <w:pPr>
              <w:pStyle w:val="NoSpacing"/>
              <w:jc w:val="right"/>
            </w:pPr>
            <w:r>
              <w:t>7</w:t>
            </w:r>
          </w:p>
        </w:tc>
        <w:tc>
          <w:tcPr>
            <w:tcW w:w="1276" w:type="dxa"/>
          </w:tcPr>
          <w:p w:rsidR="00F42F0B" w:rsidRDefault="00F42F0B" w:rsidP="004B3B10">
            <w:pPr>
              <w:pStyle w:val="NoSpacing"/>
              <w:jc w:val="right"/>
            </w:pPr>
            <w:r>
              <w:t>9</w:t>
            </w:r>
          </w:p>
        </w:tc>
        <w:tc>
          <w:tcPr>
            <w:tcW w:w="1275" w:type="dxa"/>
          </w:tcPr>
          <w:p w:rsidR="00F42F0B" w:rsidRDefault="00F42F0B" w:rsidP="004B3B10">
            <w:pPr>
              <w:pStyle w:val="NoSpacing"/>
              <w:jc w:val="right"/>
            </w:pPr>
            <w:r>
              <w:t>7</w:t>
            </w:r>
          </w:p>
        </w:tc>
        <w:tc>
          <w:tcPr>
            <w:tcW w:w="1276" w:type="dxa"/>
          </w:tcPr>
          <w:p w:rsidR="00F42F0B" w:rsidRDefault="00F42F0B" w:rsidP="004B3B10">
            <w:pPr>
              <w:pStyle w:val="NoSpacing"/>
              <w:jc w:val="right"/>
            </w:pPr>
            <w:r>
              <w:t>9</w:t>
            </w:r>
          </w:p>
        </w:tc>
      </w:tr>
    </w:tbl>
    <w:p w:rsidR="00F42F0B" w:rsidRDefault="00F42F0B" w:rsidP="00F02D69">
      <w:pPr>
        <w:pStyle w:val="NoSpacing"/>
      </w:pPr>
    </w:p>
    <w:p w:rsidR="00C303FB" w:rsidRDefault="00F42F0B" w:rsidP="00F02D69">
      <w:pPr>
        <w:pStyle w:val="NoSpacing"/>
      </w:pPr>
      <w:r>
        <w:t>Net gain/(loss) on non-financial assets and liabilities includes realised and unrealised gains and losses from revaluations, impairments, and disposals of all physical and intangible assets.</w:t>
      </w:r>
    </w:p>
    <w:p w:rsidR="00F42F0B" w:rsidRDefault="00F42F0B" w:rsidP="00F02D69">
      <w:pPr>
        <w:pStyle w:val="NoSpacing"/>
      </w:pPr>
      <w:r>
        <w:t>Any gain or loss on disposal of non-financial assets is recognised at the date control of the asset is passed to the buyer and is determined after deducting from the proceeds the carrying value of the asset at the time.</w:t>
      </w:r>
    </w:p>
    <w:p w:rsidR="00C303FB" w:rsidRDefault="00C303FB" w:rsidP="00F02D69">
      <w:pPr>
        <w:pStyle w:val="NoSpacing"/>
      </w:pPr>
    </w:p>
    <w:p w:rsidR="00875CBF" w:rsidRPr="00406A46" w:rsidRDefault="00875CBF" w:rsidP="00406A46">
      <w:pPr>
        <w:pStyle w:val="Heading3"/>
      </w:pPr>
      <w:r w:rsidRPr="00406A46">
        <w:t>4.2 Intangible assets</w:t>
      </w:r>
    </w:p>
    <w:p w:rsidR="00F42F0B" w:rsidRDefault="00F42F0B" w:rsidP="00F42F0B"/>
    <w:p w:rsidR="00F42F0B" w:rsidRDefault="00F42F0B" w:rsidP="00F42F0B">
      <w:pPr>
        <w:pStyle w:val="NoSpacing"/>
      </w:pPr>
      <w:r>
        <w:t xml:space="preserve">Chisholm has capitalised software development expenditure for the upgrade </w:t>
      </w:r>
      <w:r w:rsidR="00905A72">
        <w:t>of its student management system (Strata) software. The carrying amount of the capitalised software development expenditure is $5.39 million (2018: $4.67 million). Its useful life is 4 years.</w:t>
      </w:r>
    </w:p>
    <w:p w:rsidR="00905A72" w:rsidRDefault="00905A72" w:rsidP="00F42F0B">
      <w:pPr>
        <w:pStyle w:val="NoSpacing"/>
      </w:pPr>
    </w:p>
    <w:p w:rsidR="00905A72" w:rsidRDefault="00905A72" w:rsidP="00F42F0B">
      <w:pPr>
        <w:pStyle w:val="NoSpacing"/>
      </w:pPr>
      <w:r>
        <w:lastRenderedPageBreak/>
        <w:t>TAFE Online Pty Ltd has capitalised software development expenditure in relation to its online enrolment system and online learning modules. The carrying amount of the capitalised software development expenditure is $0.81 million (2018: $0.58 million). Its useful life is 3 years.</w:t>
      </w:r>
    </w:p>
    <w:p w:rsidR="00F42F0B" w:rsidRPr="00F42F0B" w:rsidRDefault="00F42F0B" w:rsidP="00F42F0B"/>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875CBF" w:rsidTr="00831DE5">
        <w:trPr>
          <w:gridBefore w:val="1"/>
          <w:wBefore w:w="5529" w:type="dxa"/>
        </w:trPr>
        <w:tc>
          <w:tcPr>
            <w:tcW w:w="2552" w:type="dxa"/>
            <w:gridSpan w:val="2"/>
          </w:tcPr>
          <w:p w:rsidR="00875CBF" w:rsidRDefault="00875CBF" w:rsidP="00831DE5">
            <w:pPr>
              <w:pStyle w:val="NoSpacing"/>
              <w:jc w:val="right"/>
            </w:pPr>
            <w:r>
              <w:t>Consolidated</w:t>
            </w:r>
          </w:p>
        </w:tc>
        <w:tc>
          <w:tcPr>
            <w:tcW w:w="2551" w:type="dxa"/>
            <w:gridSpan w:val="2"/>
          </w:tcPr>
          <w:p w:rsidR="00875CBF" w:rsidRDefault="00875CBF" w:rsidP="00831DE5">
            <w:pPr>
              <w:pStyle w:val="NoSpacing"/>
              <w:jc w:val="right"/>
            </w:pPr>
            <w:r>
              <w:t>Chisholm</w:t>
            </w:r>
          </w:p>
        </w:tc>
      </w:tr>
      <w:tr w:rsidR="00875CBF" w:rsidTr="00831DE5">
        <w:trPr>
          <w:gridBefore w:val="1"/>
          <w:wBefore w:w="5529" w:type="dxa"/>
        </w:trPr>
        <w:tc>
          <w:tcPr>
            <w:tcW w:w="1276" w:type="dxa"/>
          </w:tcPr>
          <w:p w:rsidR="00875CBF" w:rsidRDefault="00875CBF" w:rsidP="00831DE5">
            <w:pPr>
              <w:pStyle w:val="NoSpacing"/>
              <w:jc w:val="right"/>
            </w:pPr>
            <w:r>
              <w:t>2019</w:t>
            </w:r>
          </w:p>
        </w:tc>
        <w:tc>
          <w:tcPr>
            <w:tcW w:w="1276" w:type="dxa"/>
          </w:tcPr>
          <w:p w:rsidR="00875CBF" w:rsidRDefault="00875CBF" w:rsidP="00831DE5">
            <w:pPr>
              <w:pStyle w:val="NoSpacing"/>
              <w:jc w:val="right"/>
            </w:pPr>
            <w:r>
              <w:t>2018</w:t>
            </w:r>
          </w:p>
        </w:tc>
        <w:tc>
          <w:tcPr>
            <w:tcW w:w="1275" w:type="dxa"/>
          </w:tcPr>
          <w:p w:rsidR="00875CBF" w:rsidRDefault="00875CBF" w:rsidP="00831DE5">
            <w:pPr>
              <w:pStyle w:val="NoSpacing"/>
              <w:jc w:val="right"/>
            </w:pPr>
            <w:r>
              <w:t>2019</w:t>
            </w:r>
          </w:p>
        </w:tc>
        <w:tc>
          <w:tcPr>
            <w:tcW w:w="1276" w:type="dxa"/>
          </w:tcPr>
          <w:p w:rsidR="00875CBF" w:rsidRDefault="00875CBF" w:rsidP="00831DE5">
            <w:pPr>
              <w:pStyle w:val="NoSpacing"/>
              <w:jc w:val="right"/>
            </w:pPr>
            <w:r>
              <w:t>2018</w:t>
            </w:r>
          </w:p>
        </w:tc>
      </w:tr>
      <w:tr w:rsidR="00875CBF" w:rsidTr="00831DE5">
        <w:trPr>
          <w:gridBefore w:val="1"/>
          <w:wBefore w:w="5529" w:type="dxa"/>
        </w:trPr>
        <w:tc>
          <w:tcPr>
            <w:tcW w:w="1276" w:type="dxa"/>
          </w:tcPr>
          <w:p w:rsidR="00875CBF" w:rsidRDefault="00875CBF" w:rsidP="00831DE5">
            <w:pPr>
              <w:pStyle w:val="NoSpacing"/>
              <w:jc w:val="right"/>
            </w:pPr>
            <w:r>
              <w:t>$’000</w:t>
            </w:r>
          </w:p>
        </w:tc>
        <w:tc>
          <w:tcPr>
            <w:tcW w:w="1276" w:type="dxa"/>
          </w:tcPr>
          <w:p w:rsidR="00875CBF" w:rsidRDefault="00875CBF" w:rsidP="00831DE5">
            <w:pPr>
              <w:jc w:val="right"/>
            </w:pPr>
            <w:r w:rsidRPr="00105D59">
              <w:t>$’000</w:t>
            </w:r>
          </w:p>
        </w:tc>
        <w:tc>
          <w:tcPr>
            <w:tcW w:w="1275" w:type="dxa"/>
          </w:tcPr>
          <w:p w:rsidR="00875CBF" w:rsidRDefault="00875CBF" w:rsidP="00831DE5">
            <w:pPr>
              <w:jc w:val="right"/>
            </w:pPr>
            <w:r w:rsidRPr="00105D59">
              <w:t>$’000</w:t>
            </w:r>
          </w:p>
        </w:tc>
        <w:tc>
          <w:tcPr>
            <w:tcW w:w="1276" w:type="dxa"/>
          </w:tcPr>
          <w:p w:rsidR="00875CBF" w:rsidRDefault="00875CBF" w:rsidP="00831DE5">
            <w:pPr>
              <w:jc w:val="right"/>
            </w:pPr>
            <w:r w:rsidRPr="00105D59">
              <w:t>$’000</w:t>
            </w:r>
          </w:p>
        </w:tc>
      </w:tr>
      <w:tr w:rsidR="00875CBF" w:rsidTr="00831DE5">
        <w:tc>
          <w:tcPr>
            <w:tcW w:w="10632" w:type="dxa"/>
            <w:gridSpan w:val="5"/>
          </w:tcPr>
          <w:p w:rsidR="00875CBF" w:rsidRDefault="00875CBF" w:rsidP="00831DE5">
            <w:pPr>
              <w:pStyle w:val="NoSpacing"/>
            </w:pPr>
            <w:r>
              <w:t>Software</w:t>
            </w:r>
          </w:p>
        </w:tc>
      </w:tr>
      <w:tr w:rsidR="00875CBF" w:rsidTr="00831DE5">
        <w:tc>
          <w:tcPr>
            <w:tcW w:w="10632" w:type="dxa"/>
            <w:gridSpan w:val="5"/>
          </w:tcPr>
          <w:p w:rsidR="00875CBF" w:rsidRDefault="00875CBF" w:rsidP="00875CBF">
            <w:pPr>
              <w:pStyle w:val="NoSpacing"/>
            </w:pPr>
            <w:r>
              <w:t>Gross carrying amount</w:t>
            </w:r>
          </w:p>
        </w:tc>
      </w:tr>
      <w:tr w:rsidR="00875CBF" w:rsidTr="00831DE5">
        <w:tc>
          <w:tcPr>
            <w:tcW w:w="5529" w:type="dxa"/>
          </w:tcPr>
          <w:p w:rsidR="00875CBF" w:rsidRDefault="00875CBF" w:rsidP="00831DE5">
            <w:pPr>
              <w:pStyle w:val="NoSpacing"/>
            </w:pPr>
            <w:r>
              <w:t>Opening balance</w:t>
            </w:r>
          </w:p>
        </w:tc>
        <w:tc>
          <w:tcPr>
            <w:tcW w:w="1276" w:type="dxa"/>
          </w:tcPr>
          <w:p w:rsidR="00875CBF" w:rsidRDefault="00E2777E" w:rsidP="00831DE5">
            <w:pPr>
              <w:pStyle w:val="NoSpacing"/>
              <w:jc w:val="right"/>
            </w:pPr>
            <w:r>
              <w:t>10,053</w:t>
            </w:r>
          </w:p>
        </w:tc>
        <w:tc>
          <w:tcPr>
            <w:tcW w:w="1276" w:type="dxa"/>
          </w:tcPr>
          <w:p w:rsidR="00875CBF" w:rsidRDefault="00E2777E" w:rsidP="00831DE5">
            <w:pPr>
              <w:pStyle w:val="NoSpacing"/>
              <w:jc w:val="right"/>
            </w:pPr>
            <w:r>
              <w:t>6,935</w:t>
            </w:r>
          </w:p>
        </w:tc>
        <w:tc>
          <w:tcPr>
            <w:tcW w:w="1275" w:type="dxa"/>
          </w:tcPr>
          <w:p w:rsidR="00875CBF" w:rsidRDefault="00E2777E" w:rsidP="00831DE5">
            <w:pPr>
              <w:pStyle w:val="NoSpacing"/>
              <w:jc w:val="right"/>
            </w:pPr>
            <w:r>
              <w:t>7,941</w:t>
            </w:r>
          </w:p>
        </w:tc>
        <w:tc>
          <w:tcPr>
            <w:tcW w:w="1276" w:type="dxa"/>
          </w:tcPr>
          <w:p w:rsidR="00875CBF" w:rsidRDefault="00E2777E" w:rsidP="00831DE5">
            <w:pPr>
              <w:pStyle w:val="NoSpacing"/>
              <w:jc w:val="right"/>
            </w:pPr>
            <w:r>
              <w:t>5,189</w:t>
            </w:r>
          </w:p>
        </w:tc>
      </w:tr>
      <w:tr w:rsidR="00875CBF" w:rsidTr="00831DE5">
        <w:tc>
          <w:tcPr>
            <w:tcW w:w="5529" w:type="dxa"/>
          </w:tcPr>
          <w:p w:rsidR="00875CBF" w:rsidRDefault="00875CBF" w:rsidP="00831DE5">
            <w:pPr>
              <w:pStyle w:val="NoSpacing"/>
            </w:pPr>
            <w:r>
              <w:t>Additions from internal developments</w:t>
            </w:r>
          </w:p>
        </w:tc>
        <w:tc>
          <w:tcPr>
            <w:tcW w:w="1276" w:type="dxa"/>
          </w:tcPr>
          <w:p w:rsidR="00875CBF" w:rsidRDefault="00E2777E" w:rsidP="00831DE5">
            <w:pPr>
              <w:pStyle w:val="NoSpacing"/>
              <w:jc w:val="right"/>
            </w:pPr>
            <w:r>
              <w:t>2,505</w:t>
            </w:r>
          </w:p>
        </w:tc>
        <w:tc>
          <w:tcPr>
            <w:tcW w:w="1276" w:type="dxa"/>
          </w:tcPr>
          <w:p w:rsidR="00875CBF" w:rsidRDefault="00E2777E" w:rsidP="00831DE5">
            <w:pPr>
              <w:pStyle w:val="NoSpacing"/>
              <w:jc w:val="right"/>
            </w:pPr>
            <w:r>
              <w:t>3,118</w:t>
            </w:r>
          </w:p>
        </w:tc>
        <w:tc>
          <w:tcPr>
            <w:tcW w:w="1275" w:type="dxa"/>
          </w:tcPr>
          <w:p w:rsidR="00875CBF" w:rsidRDefault="00E2777E" w:rsidP="00831DE5">
            <w:pPr>
              <w:pStyle w:val="NoSpacing"/>
              <w:jc w:val="right"/>
            </w:pPr>
            <w:r>
              <w:t>1,959</w:t>
            </w:r>
          </w:p>
        </w:tc>
        <w:tc>
          <w:tcPr>
            <w:tcW w:w="1276" w:type="dxa"/>
          </w:tcPr>
          <w:p w:rsidR="00875CBF" w:rsidRDefault="00E2777E" w:rsidP="00831DE5">
            <w:pPr>
              <w:pStyle w:val="NoSpacing"/>
              <w:jc w:val="right"/>
            </w:pPr>
            <w:r>
              <w:t>2,752</w:t>
            </w:r>
          </w:p>
        </w:tc>
      </w:tr>
      <w:tr w:rsidR="00875CBF" w:rsidTr="00831DE5">
        <w:tc>
          <w:tcPr>
            <w:tcW w:w="5529" w:type="dxa"/>
          </w:tcPr>
          <w:p w:rsidR="00875CBF" w:rsidRDefault="00875CBF" w:rsidP="00831DE5">
            <w:pPr>
              <w:pStyle w:val="NoSpacing"/>
            </w:pPr>
            <w:r>
              <w:t>Closing balance</w:t>
            </w:r>
          </w:p>
        </w:tc>
        <w:tc>
          <w:tcPr>
            <w:tcW w:w="1276" w:type="dxa"/>
          </w:tcPr>
          <w:p w:rsidR="00875CBF" w:rsidRDefault="00E2777E" w:rsidP="00831DE5">
            <w:pPr>
              <w:pStyle w:val="NoSpacing"/>
              <w:jc w:val="right"/>
            </w:pPr>
            <w:r>
              <w:t>12,558</w:t>
            </w:r>
          </w:p>
        </w:tc>
        <w:tc>
          <w:tcPr>
            <w:tcW w:w="1276" w:type="dxa"/>
          </w:tcPr>
          <w:p w:rsidR="00875CBF" w:rsidRDefault="00E2777E" w:rsidP="00831DE5">
            <w:pPr>
              <w:pStyle w:val="NoSpacing"/>
              <w:jc w:val="right"/>
            </w:pPr>
            <w:r>
              <w:t>10,053</w:t>
            </w:r>
          </w:p>
        </w:tc>
        <w:tc>
          <w:tcPr>
            <w:tcW w:w="1275" w:type="dxa"/>
          </w:tcPr>
          <w:p w:rsidR="00875CBF" w:rsidRDefault="00E2777E" w:rsidP="00831DE5">
            <w:pPr>
              <w:pStyle w:val="NoSpacing"/>
              <w:jc w:val="right"/>
            </w:pPr>
            <w:r>
              <w:t>9,900</w:t>
            </w:r>
          </w:p>
        </w:tc>
        <w:tc>
          <w:tcPr>
            <w:tcW w:w="1276" w:type="dxa"/>
          </w:tcPr>
          <w:p w:rsidR="00875CBF" w:rsidRDefault="00E2777E" w:rsidP="00831DE5">
            <w:pPr>
              <w:pStyle w:val="NoSpacing"/>
              <w:jc w:val="right"/>
            </w:pPr>
            <w:r>
              <w:t>7,941</w:t>
            </w:r>
          </w:p>
        </w:tc>
      </w:tr>
    </w:tbl>
    <w:p w:rsidR="00875CBF" w:rsidRDefault="00875CBF" w:rsidP="00F02D69">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875CBF" w:rsidTr="00831DE5">
        <w:tc>
          <w:tcPr>
            <w:tcW w:w="10632" w:type="dxa"/>
            <w:gridSpan w:val="5"/>
          </w:tcPr>
          <w:p w:rsidR="00875CBF" w:rsidRDefault="00875CBF" w:rsidP="00831DE5">
            <w:pPr>
              <w:pStyle w:val="NoSpacing"/>
            </w:pPr>
            <w:r>
              <w:t>Accumulated amortisation and impairment</w:t>
            </w:r>
          </w:p>
        </w:tc>
      </w:tr>
      <w:tr w:rsidR="00875CBF" w:rsidTr="00831DE5">
        <w:tc>
          <w:tcPr>
            <w:tcW w:w="5529" w:type="dxa"/>
          </w:tcPr>
          <w:p w:rsidR="00875CBF" w:rsidRDefault="00875CBF" w:rsidP="00831DE5">
            <w:pPr>
              <w:pStyle w:val="NoSpacing"/>
            </w:pPr>
            <w:r>
              <w:t xml:space="preserve">Opening balance </w:t>
            </w:r>
          </w:p>
        </w:tc>
        <w:tc>
          <w:tcPr>
            <w:tcW w:w="1276" w:type="dxa"/>
          </w:tcPr>
          <w:p w:rsidR="00875CBF" w:rsidRDefault="00E2777E" w:rsidP="00831DE5">
            <w:pPr>
              <w:pStyle w:val="NoSpacing"/>
              <w:jc w:val="right"/>
            </w:pPr>
            <w:r>
              <w:t>(4,803)</w:t>
            </w:r>
          </w:p>
        </w:tc>
        <w:tc>
          <w:tcPr>
            <w:tcW w:w="1276" w:type="dxa"/>
          </w:tcPr>
          <w:p w:rsidR="00875CBF" w:rsidRDefault="00E2777E" w:rsidP="00831DE5">
            <w:pPr>
              <w:pStyle w:val="NoSpacing"/>
              <w:jc w:val="right"/>
            </w:pPr>
            <w:r>
              <w:t>(3,721)</w:t>
            </w:r>
          </w:p>
        </w:tc>
        <w:tc>
          <w:tcPr>
            <w:tcW w:w="1275" w:type="dxa"/>
          </w:tcPr>
          <w:p w:rsidR="00875CBF" w:rsidRDefault="00E2777E" w:rsidP="00831DE5">
            <w:pPr>
              <w:pStyle w:val="NoSpacing"/>
              <w:jc w:val="right"/>
            </w:pPr>
            <w:r>
              <w:t>(3,273)</w:t>
            </w:r>
          </w:p>
        </w:tc>
        <w:tc>
          <w:tcPr>
            <w:tcW w:w="1276" w:type="dxa"/>
          </w:tcPr>
          <w:p w:rsidR="00875CBF" w:rsidRDefault="00E2777E" w:rsidP="00831DE5">
            <w:pPr>
              <w:pStyle w:val="NoSpacing"/>
              <w:jc w:val="right"/>
            </w:pPr>
            <w:r>
              <w:t>(2,474)</w:t>
            </w:r>
          </w:p>
        </w:tc>
      </w:tr>
      <w:tr w:rsidR="00875CBF" w:rsidTr="00831DE5">
        <w:tc>
          <w:tcPr>
            <w:tcW w:w="5529" w:type="dxa"/>
          </w:tcPr>
          <w:p w:rsidR="00875CBF" w:rsidRDefault="00875CBF" w:rsidP="00831DE5">
            <w:pPr>
              <w:pStyle w:val="NoSpacing"/>
            </w:pPr>
            <w:r>
              <w:t>Amortisation change</w:t>
            </w:r>
          </w:p>
        </w:tc>
        <w:tc>
          <w:tcPr>
            <w:tcW w:w="1276" w:type="dxa"/>
          </w:tcPr>
          <w:p w:rsidR="00875CBF" w:rsidRDefault="00E2777E" w:rsidP="00831DE5">
            <w:pPr>
              <w:pStyle w:val="NoSpacing"/>
              <w:jc w:val="right"/>
            </w:pPr>
            <w:r>
              <w:t>(1,559)</w:t>
            </w:r>
          </w:p>
        </w:tc>
        <w:tc>
          <w:tcPr>
            <w:tcW w:w="1276" w:type="dxa"/>
          </w:tcPr>
          <w:p w:rsidR="00875CBF" w:rsidRDefault="00E2777E" w:rsidP="00831DE5">
            <w:pPr>
              <w:pStyle w:val="NoSpacing"/>
              <w:jc w:val="right"/>
            </w:pPr>
            <w:r>
              <w:t>(1,082)</w:t>
            </w:r>
          </w:p>
        </w:tc>
        <w:tc>
          <w:tcPr>
            <w:tcW w:w="1275" w:type="dxa"/>
          </w:tcPr>
          <w:p w:rsidR="00875CBF" w:rsidRDefault="00E2777E" w:rsidP="00831DE5">
            <w:pPr>
              <w:pStyle w:val="NoSpacing"/>
              <w:jc w:val="right"/>
            </w:pPr>
            <w:r>
              <w:t>(1,239)</w:t>
            </w:r>
          </w:p>
        </w:tc>
        <w:tc>
          <w:tcPr>
            <w:tcW w:w="1276" w:type="dxa"/>
          </w:tcPr>
          <w:p w:rsidR="00875CBF" w:rsidRDefault="00E2777E" w:rsidP="00831DE5">
            <w:pPr>
              <w:pStyle w:val="NoSpacing"/>
              <w:jc w:val="right"/>
            </w:pPr>
            <w:r>
              <w:t>(799)</w:t>
            </w:r>
          </w:p>
        </w:tc>
      </w:tr>
      <w:tr w:rsidR="00875CBF" w:rsidTr="00831DE5">
        <w:tc>
          <w:tcPr>
            <w:tcW w:w="5529" w:type="dxa"/>
          </w:tcPr>
          <w:p w:rsidR="00875CBF" w:rsidRDefault="00875CBF" w:rsidP="00831DE5">
            <w:pPr>
              <w:pStyle w:val="NoSpacing"/>
            </w:pPr>
            <w:r>
              <w:t xml:space="preserve">Closing balance </w:t>
            </w:r>
          </w:p>
        </w:tc>
        <w:tc>
          <w:tcPr>
            <w:tcW w:w="1276" w:type="dxa"/>
          </w:tcPr>
          <w:p w:rsidR="00875CBF" w:rsidRDefault="00E2777E" w:rsidP="00831DE5">
            <w:pPr>
              <w:pStyle w:val="NoSpacing"/>
              <w:jc w:val="right"/>
            </w:pPr>
            <w:r>
              <w:t>(6,362)</w:t>
            </w:r>
          </w:p>
        </w:tc>
        <w:tc>
          <w:tcPr>
            <w:tcW w:w="1276" w:type="dxa"/>
          </w:tcPr>
          <w:p w:rsidR="00875CBF" w:rsidRDefault="00E2777E" w:rsidP="00831DE5">
            <w:pPr>
              <w:pStyle w:val="NoSpacing"/>
              <w:jc w:val="right"/>
            </w:pPr>
            <w:r>
              <w:t>(4,803)</w:t>
            </w:r>
          </w:p>
        </w:tc>
        <w:tc>
          <w:tcPr>
            <w:tcW w:w="1275" w:type="dxa"/>
          </w:tcPr>
          <w:p w:rsidR="00875CBF" w:rsidRDefault="00E2777E" w:rsidP="00831DE5">
            <w:pPr>
              <w:pStyle w:val="NoSpacing"/>
              <w:jc w:val="right"/>
            </w:pPr>
            <w:r>
              <w:t>(4,512)</w:t>
            </w:r>
          </w:p>
        </w:tc>
        <w:tc>
          <w:tcPr>
            <w:tcW w:w="1276" w:type="dxa"/>
          </w:tcPr>
          <w:p w:rsidR="00875CBF" w:rsidRDefault="00E2777E" w:rsidP="00831DE5">
            <w:pPr>
              <w:pStyle w:val="NoSpacing"/>
              <w:jc w:val="right"/>
            </w:pPr>
            <w:r>
              <w:t>(3,273)</w:t>
            </w:r>
          </w:p>
        </w:tc>
      </w:tr>
    </w:tbl>
    <w:p w:rsidR="00875CBF" w:rsidRDefault="00875CBF" w:rsidP="00F02D69">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875CBF" w:rsidTr="00831DE5">
        <w:tc>
          <w:tcPr>
            <w:tcW w:w="5529" w:type="dxa"/>
          </w:tcPr>
          <w:p w:rsidR="00875CBF" w:rsidRDefault="00875CBF" w:rsidP="00831DE5">
            <w:pPr>
              <w:pStyle w:val="NoSpacing"/>
            </w:pPr>
            <w:r>
              <w:t xml:space="preserve">Net carrying amount at end of the year </w:t>
            </w:r>
          </w:p>
        </w:tc>
        <w:tc>
          <w:tcPr>
            <w:tcW w:w="1276" w:type="dxa"/>
          </w:tcPr>
          <w:p w:rsidR="00875CBF" w:rsidRDefault="00E2777E" w:rsidP="00831DE5">
            <w:pPr>
              <w:pStyle w:val="NoSpacing"/>
              <w:jc w:val="right"/>
            </w:pPr>
            <w:r>
              <w:t>6,196</w:t>
            </w:r>
          </w:p>
        </w:tc>
        <w:tc>
          <w:tcPr>
            <w:tcW w:w="1276" w:type="dxa"/>
          </w:tcPr>
          <w:p w:rsidR="00875CBF" w:rsidRDefault="00E2777E" w:rsidP="00831DE5">
            <w:pPr>
              <w:pStyle w:val="NoSpacing"/>
              <w:jc w:val="right"/>
            </w:pPr>
            <w:r>
              <w:t>5,250</w:t>
            </w:r>
          </w:p>
        </w:tc>
        <w:tc>
          <w:tcPr>
            <w:tcW w:w="1275" w:type="dxa"/>
          </w:tcPr>
          <w:p w:rsidR="00875CBF" w:rsidRDefault="00E2777E" w:rsidP="00831DE5">
            <w:pPr>
              <w:pStyle w:val="NoSpacing"/>
              <w:jc w:val="right"/>
            </w:pPr>
            <w:r>
              <w:t>5,388</w:t>
            </w:r>
          </w:p>
        </w:tc>
        <w:tc>
          <w:tcPr>
            <w:tcW w:w="1276" w:type="dxa"/>
          </w:tcPr>
          <w:p w:rsidR="00875CBF" w:rsidRDefault="00E2777E" w:rsidP="00831DE5">
            <w:pPr>
              <w:pStyle w:val="NoSpacing"/>
              <w:jc w:val="right"/>
            </w:pPr>
            <w:r>
              <w:t>4,668</w:t>
            </w:r>
          </w:p>
        </w:tc>
      </w:tr>
    </w:tbl>
    <w:p w:rsidR="00875CBF" w:rsidRDefault="00875CBF" w:rsidP="00F02D69">
      <w:pPr>
        <w:pStyle w:val="NoSpacing"/>
      </w:pPr>
    </w:p>
    <w:p w:rsidR="003B6CF1" w:rsidRDefault="00E2777E" w:rsidP="00F02D69">
      <w:pPr>
        <w:pStyle w:val="NoSpacing"/>
      </w:pPr>
      <w:r>
        <w:t>&lt;page 70&gt;</w:t>
      </w:r>
    </w:p>
    <w:p w:rsidR="00E2777E" w:rsidRDefault="00E2777E" w:rsidP="00F02D69">
      <w:pPr>
        <w:pStyle w:val="NoSpacing"/>
      </w:pPr>
    </w:p>
    <w:p w:rsidR="00E2777E" w:rsidRDefault="00E2777E" w:rsidP="00406A46">
      <w:pPr>
        <w:pStyle w:val="Heading2"/>
      </w:pPr>
      <w:r>
        <w:t>4. The assets we invested in (continued)</w:t>
      </w:r>
    </w:p>
    <w:p w:rsidR="00E2777E" w:rsidRDefault="00E2777E" w:rsidP="00F02D69">
      <w:pPr>
        <w:pStyle w:val="NoSpacing"/>
      </w:pPr>
    </w:p>
    <w:p w:rsidR="00E2777E" w:rsidRDefault="00E2777E" w:rsidP="00406A46">
      <w:pPr>
        <w:pStyle w:val="Heading3"/>
      </w:pPr>
      <w:r>
        <w:t>4.2 Intangible assets (continued)</w:t>
      </w:r>
    </w:p>
    <w:p w:rsidR="00E2777E" w:rsidRDefault="00E2777E" w:rsidP="00F02D69">
      <w:pPr>
        <w:pStyle w:val="NoSpacing"/>
      </w:pPr>
    </w:p>
    <w:p w:rsidR="00E2777E" w:rsidRDefault="00E2777E" w:rsidP="00406A46">
      <w:pPr>
        <w:pStyle w:val="Heading4"/>
      </w:pPr>
      <w:r>
        <w:t>Initial recognition</w:t>
      </w:r>
    </w:p>
    <w:p w:rsidR="00E2777E" w:rsidRPr="00E2777E" w:rsidRDefault="00E2777E" w:rsidP="00E2777E">
      <w:pPr>
        <w:autoSpaceDE w:val="0"/>
        <w:autoSpaceDN w:val="0"/>
        <w:adjustRightInd w:val="0"/>
        <w:spacing w:after="0" w:line="240" w:lineRule="auto"/>
        <w:rPr>
          <w:rFonts w:cs="ProximaNovaA-Light"/>
          <w:color w:val="231F20"/>
        </w:rPr>
      </w:pPr>
      <w:r w:rsidRPr="00E2777E">
        <w:rPr>
          <w:rFonts w:cs="ProximaNovaA-Light"/>
          <w:color w:val="231F20"/>
        </w:rPr>
        <w:t>When recognition criteria in AASB 138</w:t>
      </w:r>
      <w:r>
        <w:rPr>
          <w:rFonts w:cs="ProximaNovaA-Light"/>
          <w:color w:val="231F20"/>
        </w:rPr>
        <w:t xml:space="preserve"> </w:t>
      </w:r>
      <w:r w:rsidRPr="00E2777E">
        <w:rPr>
          <w:rFonts w:cs="ProximaNovaA-Light"/>
          <w:color w:val="231F20"/>
        </w:rPr>
        <w:t>Intangible Assets are met, internally</w:t>
      </w:r>
      <w:r>
        <w:rPr>
          <w:rFonts w:cs="ProximaNovaA-Light"/>
          <w:color w:val="231F20"/>
        </w:rPr>
        <w:t xml:space="preserve"> </w:t>
      </w:r>
      <w:r w:rsidRPr="00E2777E">
        <w:rPr>
          <w:rFonts w:cs="ProximaNovaA-Light"/>
          <w:color w:val="231F20"/>
        </w:rPr>
        <w:t>generated intangible assets are</w:t>
      </w:r>
      <w:r>
        <w:rPr>
          <w:rFonts w:cs="ProximaNovaA-Light"/>
          <w:color w:val="231F20"/>
        </w:rPr>
        <w:t xml:space="preserve"> </w:t>
      </w:r>
      <w:r w:rsidRPr="00E2777E">
        <w:rPr>
          <w:rFonts w:cs="ProximaNovaA-Light"/>
          <w:color w:val="231F20"/>
        </w:rPr>
        <w:t>recognised at cost. Subsequently,</w:t>
      </w:r>
      <w:r>
        <w:rPr>
          <w:rFonts w:cs="ProximaNovaA-Light"/>
          <w:color w:val="231F20"/>
        </w:rPr>
        <w:t xml:space="preserve"> </w:t>
      </w:r>
      <w:r w:rsidRPr="00E2777E">
        <w:rPr>
          <w:rFonts w:cs="ProximaNovaA-Light"/>
          <w:color w:val="231F20"/>
        </w:rPr>
        <w:t>intangible assets with finite useful lives</w:t>
      </w:r>
      <w:r>
        <w:rPr>
          <w:rFonts w:cs="ProximaNovaA-Light"/>
          <w:color w:val="231F20"/>
        </w:rPr>
        <w:t xml:space="preserve"> </w:t>
      </w:r>
      <w:r w:rsidRPr="00E2777E">
        <w:rPr>
          <w:rFonts w:cs="ProximaNovaA-Light"/>
          <w:color w:val="231F20"/>
        </w:rPr>
        <w:t>are carried at cost less accumulated</w:t>
      </w:r>
      <w:r>
        <w:rPr>
          <w:rFonts w:cs="ProximaNovaA-Light"/>
          <w:color w:val="231F20"/>
        </w:rPr>
        <w:t xml:space="preserve"> </w:t>
      </w:r>
      <w:r w:rsidRPr="00E2777E">
        <w:rPr>
          <w:rFonts w:cs="ProximaNovaA-Light"/>
          <w:color w:val="231F20"/>
        </w:rPr>
        <w:t>amortisation and accumulated</w:t>
      </w:r>
      <w:r>
        <w:rPr>
          <w:rFonts w:cs="ProximaNovaA-Light"/>
          <w:color w:val="231F20"/>
        </w:rPr>
        <w:t xml:space="preserve"> </w:t>
      </w:r>
      <w:r w:rsidRPr="00E2777E">
        <w:rPr>
          <w:rFonts w:cs="ProximaNovaA-Light"/>
          <w:color w:val="231F20"/>
        </w:rPr>
        <w:t>impairment losses. Amortisation begins</w:t>
      </w:r>
      <w:r>
        <w:rPr>
          <w:rFonts w:cs="ProximaNovaA-Light"/>
          <w:color w:val="231F20"/>
        </w:rPr>
        <w:t xml:space="preserve"> </w:t>
      </w:r>
      <w:r w:rsidRPr="00E2777E">
        <w:rPr>
          <w:rFonts w:cs="ProximaNovaA-Light"/>
          <w:color w:val="231F20"/>
        </w:rPr>
        <w:t>when the asset is available for use,</w:t>
      </w:r>
      <w:r>
        <w:rPr>
          <w:rFonts w:cs="ProximaNovaA-Light"/>
          <w:color w:val="231F20"/>
        </w:rPr>
        <w:t xml:space="preserve"> </w:t>
      </w:r>
      <w:r w:rsidRPr="00E2777E">
        <w:rPr>
          <w:rFonts w:cs="ProximaNovaA-Light"/>
          <w:color w:val="231F20"/>
        </w:rPr>
        <w:t>that is, when it is in the location and</w:t>
      </w:r>
      <w:r>
        <w:rPr>
          <w:rFonts w:cs="ProximaNovaA-Light"/>
          <w:color w:val="231F20"/>
        </w:rPr>
        <w:t xml:space="preserve"> </w:t>
      </w:r>
      <w:r w:rsidRPr="00E2777E">
        <w:rPr>
          <w:rFonts w:cs="ProximaNovaA-Light"/>
          <w:color w:val="231F20"/>
        </w:rPr>
        <w:t>condition necessary for it to be capable</w:t>
      </w:r>
      <w:r>
        <w:rPr>
          <w:rFonts w:cs="ProximaNovaA-Light"/>
          <w:color w:val="231F20"/>
        </w:rPr>
        <w:t xml:space="preserve"> </w:t>
      </w:r>
      <w:r w:rsidRPr="00E2777E">
        <w:rPr>
          <w:rFonts w:cs="ProximaNovaA-Light"/>
          <w:color w:val="231F20"/>
        </w:rPr>
        <w:t>of operating in the manner intended by</w:t>
      </w:r>
      <w:r>
        <w:rPr>
          <w:rFonts w:cs="ProximaNovaA-Light"/>
          <w:color w:val="231F20"/>
        </w:rPr>
        <w:t xml:space="preserve"> </w:t>
      </w:r>
      <w:r w:rsidRPr="00E2777E">
        <w:rPr>
          <w:rFonts w:cs="ProximaNovaA-Light"/>
          <w:color w:val="231F20"/>
        </w:rPr>
        <w:t>management.</w:t>
      </w:r>
    </w:p>
    <w:p w:rsidR="00E2777E" w:rsidRDefault="00E2777E" w:rsidP="00E2777E">
      <w:pPr>
        <w:autoSpaceDE w:val="0"/>
        <w:autoSpaceDN w:val="0"/>
        <w:adjustRightInd w:val="0"/>
        <w:spacing w:after="0" w:line="240" w:lineRule="auto"/>
        <w:rPr>
          <w:rFonts w:cs="ProximaNovaA-Light"/>
          <w:color w:val="231F20"/>
        </w:rPr>
      </w:pPr>
    </w:p>
    <w:p w:rsidR="00E2777E" w:rsidRPr="00E2777E" w:rsidRDefault="00E2777E" w:rsidP="00E2777E">
      <w:pPr>
        <w:autoSpaceDE w:val="0"/>
        <w:autoSpaceDN w:val="0"/>
        <w:adjustRightInd w:val="0"/>
        <w:spacing w:after="0" w:line="240" w:lineRule="auto"/>
        <w:rPr>
          <w:rFonts w:cs="ProximaNovaA-Light"/>
          <w:color w:val="231F20"/>
        </w:rPr>
      </w:pPr>
      <w:r w:rsidRPr="00E2777E">
        <w:rPr>
          <w:rFonts w:cs="ProximaNovaA-Light"/>
          <w:color w:val="231F20"/>
        </w:rPr>
        <w:t>An internally generated intangible</w:t>
      </w:r>
      <w:r>
        <w:rPr>
          <w:rFonts w:cs="ProximaNovaA-Light"/>
          <w:color w:val="231F20"/>
        </w:rPr>
        <w:t xml:space="preserve"> </w:t>
      </w:r>
      <w:r w:rsidRPr="00E2777E">
        <w:rPr>
          <w:rFonts w:cs="ProximaNovaA-Light"/>
          <w:color w:val="231F20"/>
        </w:rPr>
        <w:t>asset arising from development (or</w:t>
      </w:r>
      <w:r>
        <w:rPr>
          <w:rFonts w:cs="ProximaNovaA-Light"/>
          <w:color w:val="231F20"/>
        </w:rPr>
        <w:t xml:space="preserve"> </w:t>
      </w:r>
      <w:r w:rsidRPr="00E2777E">
        <w:rPr>
          <w:rFonts w:cs="ProximaNovaA-Light"/>
          <w:color w:val="231F20"/>
        </w:rPr>
        <w:t>from the development phase of an</w:t>
      </w:r>
      <w:r>
        <w:rPr>
          <w:rFonts w:cs="ProximaNovaA-Light"/>
          <w:color w:val="231F20"/>
        </w:rPr>
        <w:t xml:space="preserve"> </w:t>
      </w:r>
      <w:r w:rsidRPr="00E2777E">
        <w:rPr>
          <w:rFonts w:cs="ProximaNovaA-Light"/>
          <w:color w:val="231F20"/>
        </w:rPr>
        <w:t>internal project) is recognised if all of the</w:t>
      </w:r>
      <w:r>
        <w:rPr>
          <w:rFonts w:cs="ProximaNovaA-Light"/>
          <w:color w:val="231F20"/>
        </w:rPr>
        <w:t xml:space="preserve"> </w:t>
      </w:r>
      <w:r w:rsidRPr="00E2777E">
        <w:rPr>
          <w:rFonts w:cs="ProximaNovaA-Light"/>
          <w:color w:val="231F20"/>
        </w:rPr>
        <w:t>following are demonstrated:</w:t>
      </w:r>
    </w:p>
    <w:p w:rsidR="00E2777E" w:rsidRPr="00E2777E" w:rsidRDefault="00E2777E" w:rsidP="00925530">
      <w:pPr>
        <w:pStyle w:val="ListParagraph"/>
        <w:numPr>
          <w:ilvl w:val="0"/>
          <w:numId w:val="49"/>
        </w:numPr>
        <w:autoSpaceDE w:val="0"/>
        <w:autoSpaceDN w:val="0"/>
        <w:adjustRightInd w:val="0"/>
        <w:spacing w:after="0" w:line="240" w:lineRule="auto"/>
        <w:rPr>
          <w:rFonts w:cs="ProximaNovaA-Light"/>
          <w:color w:val="231F20"/>
        </w:rPr>
      </w:pPr>
      <w:r w:rsidRPr="00E2777E">
        <w:rPr>
          <w:rFonts w:cs="ProximaNovaA-Light"/>
          <w:color w:val="231F20"/>
        </w:rPr>
        <w:t>the technical feasibility of completing</w:t>
      </w:r>
      <w:r>
        <w:rPr>
          <w:rFonts w:cs="ProximaNovaA-Light"/>
          <w:color w:val="231F20"/>
        </w:rPr>
        <w:t xml:space="preserve"> </w:t>
      </w:r>
      <w:r w:rsidRPr="00E2777E">
        <w:rPr>
          <w:rFonts w:cs="ProximaNovaA-Light"/>
          <w:color w:val="231F20"/>
        </w:rPr>
        <w:t>the intangible asset so that it will be available for use or sale;</w:t>
      </w:r>
    </w:p>
    <w:p w:rsidR="00E2777E" w:rsidRPr="00E2777E" w:rsidRDefault="00E2777E" w:rsidP="00925530">
      <w:pPr>
        <w:pStyle w:val="ListParagraph"/>
        <w:numPr>
          <w:ilvl w:val="0"/>
          <w:numId w:val="49"/>
        </w:numPr>
        <w:autoSpaceDE w:val="0"/>
        <w:autoSpaceDN w:val="0"/>
        <w:adjustRightInd w:val="0"/>
        <w:spacing w:after="0" w:line="240" w:lineRule="auto"/>
        <w:rPr>
          <w:rFonts w:cs="ProximaNovaA-Light"/>
          <w:color w:val="231F20"/>
        </w:rPr>
      </w:pPr>
      <w:r w:rsidRPr="00E2777E">
        <w:rPr>
          <w:rFonts w:cs="ProximaNovaA-Light"/>
          <w:color w:val="231F20"/>
        </w:rPr>
        <w:t>the intention to complete the</w:t>
      </w:r>
      <w:r>
        <w:rPr>
          <w:rFonts w:cs="ProximaNovaA-Light"/>
          <w:color w:val="231F20"/>
        </w:rPr>
        <w:t xml:space="preserve"> </w:t>
      </w:r>
      <w:r w:rsidRPr="00E2777E">
        <w:rPr>
          <w:rFonts w:cs="ProximaNovaA-Light"/>
          <w:color w:val="231F20"/>
        </w:rPr>
        <w:t>intangible asset for use or sale;</w:t>
      </w:r>
    </w:p>
    <w:p w:rsidR="00E2777E" w:rsidRDefault="00E2777E" w:rsidP="00925530">
      <w:pPr>
        <w:pStyle w:val="ListParagraph"/>
        <w:numPr>
          <w:ilvl w:val="0"/>
          <w:numId w:val="49"/>
        </w:numPr>
        <w:autoSpaceDE w:val="0"/>
        <w:autoSpaceDN w:val="0"/>
        <w:adjustRightInd w:val="0"/>
        <w:spacing w:after="0" w:line="240" w:lineRule="auto"/>
        <w:rPr>
          <w:rFonts w:cs="ProximaNovaA-Light"/>
          <w:color w:val="231F20"/>
        </w:rPr>
      </w:pPr>
      <w:r w:rsidRPr="00E2777E">
        <w:rPr>
          <w:rFonts w:cs="ProximaNovaA-Light"/>
          <w:color w:val="231F20"/>
        </w:rPr>
        <w:t>the ability to use or sell the asset;</w:t>
      </w:r>
    </w:p>
    <w:p w:rsidR="00E2777E" w:rsidRPr="00E2777E" w:rsidRDefault="00E2777E" w:rsidP="00925530">
      <w:pPr>
        <w:pStyle w:val="ListParagraph"/>
        <w:numPr>
          <w:ilvl w:val="0"/>
          <w:numId w:val="49"/>
        </w:numPr>
        <w:autoSpaceDE w:val="0"/>
        <w:autoSpaceDN w:val="0"/>
        <w:adjustRightInd w:val="0"/>
        <w:spacing w:after="0" w:line="240" w:lineRule="auto"/>
        <w:rPr>
          <w:rFonts w:cs="ProximaNovaA-Light"/>
          <w:color w:val="231F20"/>
        </w:rPr>
      </w:pPr>
      <w:r w:rsidRPr="00E2777E">
        <w:rPr>
          <w:rFonts w:cs="ProximaNovaA-Light"/>
          <w:color w:val="231F20"/>
        </w:rPr>
        <w:t>the intangible asset will generate probable future economic benefits;</w:t>
      </w:r>
    </w:p>
    <w:p w:rsidR="00E2777E" w:rsidRPr="00E2777E" w:rsidRDefault="00E2777E" w:rsidP="00925530">
      <w:pPr>
        <w:pStyle w:val="ListParagraph"/>
        <w:numPr>
          <w:ilvl w:val="0"/>
          <w:numId w:val="50"/>
        </w:numPr>
        <w:autoSpaceDE w:val="0"/>
        <w:autoSpaceDN w:val="0"/>
        <w:adjustRightInd w:val="0"/>
        <w:spacing w:after="0" w:line="240" w:lineRule="auto"/>
        <w:rPr>
          <w:rFonts w:cs="ProximaNovaA-Light"/>
          <w:color w:val="231F20"/>
        </w:rPr>
      </w:pPr>
      <w:r w:rsidRPr="00E2777E">
        <w:rPr>
          <w:rFonts w:cs="ProximaNovaA-Light"/>
          <w:color w:val="231F20"/>
        </w:rPr>
        <w:t>the availability of adequate technical,</w:t>
      </w:r>
      <w:r>
        <w:rPr>
          <w:rFonts w:cs="ProximaNovaA-Light"/>
          <w:color w:val="231F20"/>
        </w:rPr>
        <w:t xml:space="preserve"> </w:t>
      </w:r>
      <w:r w:rsidRPr="00E2777E">
        <w:rPr>
          <w:rFonts w:cs="ProximaNovaA-Light"/>
          <w:color w:val="231F20"/>
        </w:rPr>
        <w:t>financial and other resources to complete the development and to use or sell the intangible asset; and</w:t>
      </w:r>
    </w:p>
    <w:p w:rsidR="00E2777E" w:rsidRPr="00E2777E" w:rsidRDefault="00E2777E" w:rsidP="00925530">
      <w:pPr>
        <w:pStyle w:val="ListParagraph"/>
        <w:numPr>
          <w:ilvl w:val="0"/>
          <w:numId w:val="50"/>
        </w:numPr>
        <w:autoSpaceDE w:val="0"/>
        <w:autoSpaceDN w:val="0"/>
        <w:adjustRightInd w:val="0"/>
        <w:spacing w:after="0" w:line="240" w:lineRule="auto"/>
      </w:pPr>
      <w:r w:rsidRPr="00E2777E">
        <w:rPr>
          <w:rFonts w:cs="ProximaNovaA-Light"/>
          <w:color w:val="231F20"/>
        </w:rPr>
        <w:t>the ability to measure reliably</w:t>
      </w:r>
      <w:r>
        <w:rPr>
          <w:rFonts w:cs="ProximaNovaA-Light"/>
          <w:color w:val="231F20"/>
        </w:rPr>
        <w:t xml:space="preserve"> </w:t>
      </w:r>
      <w:r w:rsidRPr="00E2777E">
        <w:rPr>
          <w:rFonts w:cs="ProximaNovaA-Light"/>
          <w:color w:val="231F20"/>
        </w:rPr>
        <w:t>the expenditure attributable to the intangible asset during its development.</w:t>
      </w:r>
    </w:p>
    <w:p w:rsidR="00E2777E" w:rsidRDefault="00E2777E" w:rsidP="00F02D69">
      <w:pPr>
        <w:pStyle w:val="NoSpacing"/>
      </w:pPr>
    </w:p>
    <w:p w:rsidR="00E2777E" w:rsidRDefault="00E2777E" w:rsidP="00406A46">
      <w:pPr>
        <w:pStyle w:val="Heading4"/>
      </w:pPr>
      <w:r>
        <w:t>Subsequent measurement</w:t>
      </w:r>
    </w:p>
    <w:p w:rsidR="00E2777E" w:rsidRPr="00E2777E" w:rsidRDefault="00E2777E" w:rsidP="00E2777E">
      <w:pPr>
        <w:autoSpaceDE w:val="0"/>
        <w:autoSpaceDN w:val="0"/>
        <w:adjustRightInd w:val="0"/>
        <w:spacing w:after="0" w:line="240" w:lineRule="auto"/>
      </w:pPr>
      <w:r w:rsidRPr="00E2777E">
        <w:rPr>
          <w:rFonts w:cs="ProximaNovaA-Light"/>
          <w:color w:val="231F20"/>
        </w:rPr>
        <w:t>Software assets are amortised as</w:t>
      </w:r>
      <w:r>
        <w:rPr>
          <w:rFonts w:cs="ProximaNovaA-Light"/>
          <w:color w:val="231F20"/>
        </w:rPr>
        <w:t xml:space="preserve"> </w:t>
      </w:r>
      <w:r w:rsidRPr="00E2777E">
        <w:rPr>
          <w:rFonts w:cs="ProximaNovaA-Light"/>
          <w:color w:val="231F20"/>
        </w:rPr>
        <w:t>an ‘expense from transactions’ on a</w:t>
      </w:r>
      <w:r>
        <w:rPr>
          <w:rFonts w:cs="ProximaNovaA-Light"/>
          <w:color w:val="231F20"/>
        </w:rPr>
        <w:t xml:space="preserve"> </w:t>
      </w:r>
      <w:r w:rsidRPr="00E2777E">
        <w:rPr>
          <w:rFonts w:cs="ProximaNovaA-Light"/>
          <w:color w:val="231F20"/>
        </w:rPr>
        <w:t>straight-line basis over their useful lives.</w:t>
      </w:r>
      <w:r>
        <w:rPr>
          <w:rFonts w:cs="ProximaNovaA-Light"/>
          <w:color w:val="231F20"/>
        </w:rPr>
        <w:t xml:space="preserve"> </w:t>
      </w:r>
      <w:r w:rsidRPr="00E2777E">
        <w:rPr>
          <w:rFonts w:cs="ProximaNovaA-Light"/>
          <w:color w:val="231F20"/>
        </w:rPr>
        <w:t>Software assets have useful lives of</w:t>
      </w:r>
      <w:r>
        <w:rPr>
          <w:rFonts w:cs="ProximaNovaA-Light"/>
          <w:color w:val="231F20"/>
        </w:rPr>
        <w:t xml:space="preserve"> </w:t>
      </w:r>
      <w:r w:rsidRPr="00E2777E">
        <w:rPr>
          <w:rFonts w:cs="ProximaNovaA-Light"/>
          <w:color w:val="231F20"/>
        </w:rPr>
        <w:t>between 3 and 4 years.</w:t>
      </w:r>
    </w:p>
    <w:p w:rsidR="00E2777E" w:rsidRDefault="00E2777E" w:rsidP="00F02D69">
      <w:pPr>
        <w:pStyle w:val="NoSpacing"/>
      </w:pPr>
    </w:p>
    <w:p w:rsidR="00E2777E" w:rsidRDefault="00E2777E" w:rsidP="00406A46">
      <w:pPr>
        <w:pStyle w:val="Heading4"/>
      </w:pPr>
      <w:r>
        <w:lastRenderedPageBreak/>
        <w:t>Impairment of intangible assets</w:t>
      </w:r>
    </w:p>
    <w:p w:rsidR="00E2777E" w:rsidRPr="00E2777E" w:rsidRDefault="00E2777E" w:rsidP="00E2777E">
      <w:pPr>
        <w:autoSpaceDE w:val="0"/>
        <w:autoSpaceDN w:val="0"/>
        <w:adjustRightInd w:val="0"/>
        <w:spacing w:after="0" w:line="240" w:lineRule="auto"/>
        <w:rPr>
          <w:rFonts w:cs="ProximaNovaA-Light"/>
          <w:color w:val="231F20"/>
        </w:rPr>
      </w:pPr>
      <w:r w:rsidRPr="00E2777E">
        <w:rPr>
          <w:rFonts w:cs="ProximaNovaA-Light"/>
          <w:color w:val="231F20"/>
        </w:rPr>
        <w:t>Intangible assets with indefinite useful</w:t>
      </w:r>
      <w:r>
        <w:rPr>
          <w:rFonts w:cs="ProximaNovaA-Light"/>
          <w:color w:val="231F20"/>
        </w:rPr>
        <w:t xml:space="preserve"> </w:t>
      </w:r>
      <w:r w:rsidRPr="00E2777E">
        <w:rPr>
          <w:rFonts w:cs="ProximaNovaA-Light"/>
          <w:color w:val="231F20"/>
        </w:rPr>
        <w:t>lives (and intangible assets not yet</w:t>
      </w:r>
      <w:r>
        <w:rPr>
          <w:rFonts w:cs="ProximaNovaA-Light"/>
          <w:color w:val="231F20"/>
        </w:rPr>
        <w:t xml:space="preserve"> </w:t>
      </w:r>
      <w:r w:rsidRPr="00E2777E">
        <w:rPr>
          <w:rFonts w:cs="ProximaNovaA-Light"/>
          <w:color w:val="231F20"/>
        </w:rPr>
        <w:t>available for use) are tested annually</w:t>
      </w:r>
      <w:r>
        <w:rPr>
          <w:rFonts w:cs="ProximaNovaA-Light"/>
          <w:color w:val="231F20"/>
        </w:rPr>
        <w:t xml:space="preserve"> </w:t>
      </w:r>
      <w:r w:rsidRPr="00E2777E">
        <w:rPr>
          <w:rFonts w:cs="ProximaNovaA-Light"/>
          <w:color w:val="231F20"/>
        </w:rPr>
        <w:t>for impairment and whenever there is</w:t>
      </w:r>
      <w:r>
        <w:rPr>
          <w:rFonts w:cs="ProximaNovaA-Light"/>
          <w:color w:val="231F20"/>
        </w:rPr>
        <w:t xml:space="preserve"> </w:t>
      </w:r>
      <w:r w:rsidRPr="00E2777E">
        <w:rPr>
          <w:rFonts w:cs="ProximaNovaA-Light"/>
          <w:color w:val="231F20"/>
        </w:rPr>
        <w:t>an indication that the asset may be</w:t>
      </w:r>
      <w:r>
        <w:rPr>
          <w:rFonts w:cs="ProximaNovaA-Light"/>
          <w:color w:val="231F20"/>
        </w:rPr>
        <w:t xml:space="preserve"> </w:t>
      </w:r>
      <w:r w:rsidRPr="00E2777E">
        <w:rPr>
          <w:rFonts w:cs="ProximaNovaA-Light"/>
          <w:color w:val="231F20"/>
        </w:rPr>
        <w:t>impaired. Intangible assets with finite</w:t>
      </w:r>
      <w:r>
        <w:rPr>
          <w:rFonts w:cs="ProximaNovaA-Light"/>
          <w:color w:val="231F20"/>
        </w:rPr>
        <w:t xml:space="preserve"> </w:t>
      </w:r>
      <w:r w:rsidRPr="00E2777E">
        <w:rPr>
          <w:rFonts w:cs="ProximaNovaA-Light"/>
          <w:color w:val="231F20"/>
        </w:rPr>
        <w:t>useful lives are tested</w:t>
      </w:r>
      <w:r>
        <w:rPr>
          <w:rFonts w:cs="ProximaNovaA-Light"/>
          <w:color w:val="231F20"/>
        </w:rPr>
        <w:t xml:space="preserve"> </w:t>
      </w:r>
      <w:r w:rsidRPr="00E2777E">
        <w:rPr>
          <w:rFonts w:cs="ProximaNovaA-Light"/>
          <w:color w:val="231F20"/>
        </w:rPr>
        <w:t>for impairment whenever an indication</w:t>
      </w:r>
      <w:r>
        <w:rPr>
          <w:rFonts w:cs="ProximaNovaA-Light"/>
          <w:color w:val="231F20"/>
        </w:rPr>
        <w:t xml:space="preserve"> </w:t>
      </w:r>
      <w:r w:rsidRPr="00E2777E">
        <w:rPr>
          <w:rFonts w:cs="ProximaNovaA-Light"/>
          <w:color w:val="231F20"/>
        </w:rPr>
        <w:t>of impairment is identified.</w:t>
      </w:r>
    </w:p>
    <w:p w:rsidR="00E2777E" w:rsidRDefault="00E2777E" w:rsidP="00E2777E">
      <w:pPr>
        <w:autoSpaceDE w:val="0"/>
        <w:autoSpaceDN w:val="0"/>
        <w:adjustRightInd w:val="0"/>
        <w:spacing w:after="0" w:line="240" w:lineRule="auto"/>
        <w:rPr>
          <w:rFonts w:cs="ProximaNovaA-Light"/>
          <w:color w:val="231F20"/>
        </w:rPr>
      </w:pPr>
    </w:p>
    <w:p w:rsidR="00E2777E" w:rsidRPr="00E2777E" w:rsidRDefault="00E2777E" w:rsidP="00E2777E">
      <w:pPr>
        <w:autoSpaceDE w:val="0"/>
        <w:autoSpaceDN w:val="0"/>
        <w:adjustRightInd w:val="0"/>
        <w:spacing w:after="0" w:line="240" w:lineRule="auto"/>
      </w:pPr>
      <w:r w:rsidRPr="00E2777E">
        <w:rPr>
          <w:rFonts w:cs="ProximaNovaA-Light"/>
          <w:color w:val="231F20"/>
        </w:rPr>
        <w:t>If there is an indication of impairment,</w:t>
      </w:r>
      <w:r>
        <w:rPr>
          <w:rFonts w:cs="ProximaNovaA-Light"/>
          <w:color w:val="231F20"/>
        </w:rPr>
        <w:t xml:space="preserve"> </w:t>
      </w:r>
      <w:r w:rsidRPr="00E2777E">
        <w:rPr>
          <w:rFonts w:cs="ProximaNovaA-Light"/>
          <w:color w:val="231F20"/>
        </w:rPr>
        <w:t>the assets concerned are tested as to</w:t>
      </w:r>
      <w:r>
        <w:rPr>
          <w:rFonts w:cs="ProximaNovaA-Light"/>
          <w:color w:val="231F20"/>
        </w:rPr>
        <w:t xml:space="preserve"> </w:t>
      </w:r>
      <w:r w:rsidRPr="00E2777E">
        <w:rPr>
          <w:rFonts w:cs="ProximaNovaA-Light"/>
          <w:color w:val="231F20"/>
        </w:rPr>
        <w:t>whether their carrying value exceeds</w:t>
      </w:r>
      <w:r>
        <w:rPr>
          <w:rFonts w:cs="ProximaNovaA-Light"/>
          <w:color w:val="231F20"/>
        </w:rPr>
        <w:t xml:space="preserve"> </w:t>
      </w:r>
      <w:r w:rsidRPr="00E2777E">
        <w:rPr>
          <w:rFonts w:cs="ProximaNovaA-Light"/>
          <w:color w:val="231F20"/>
        </w:rPr>
        <w:t>their possible recoverable amount.</w:t>
      </w:r>
      <w:r>
        <w:rPr>
          <w:rFonts w:cs="ProximaNovaA-Light"/>
          <w:color w:val="231F20"/>
        </w:rPr>
        <w:t xml:space="preserve"> </w:t>
      </w:r>
      <w:r w:rsidRPr="00E2777E">
        <w:rPr>
          <w:rFonts w:cs="ProximaNovaA-Light"/>
          <w:color w:val="231F20"/>
        </w:rPr>
        <w:t>Where an asset’s carrying value</w:t>
      </w:r>
      <w:r>
        <w:rPr>
          <w:rFonts w:cs="ProximaNovaA-Light"/>
          <w:color w:val="231F20"/>
        </w:rPr>
        <w:t xml:space="preserve"> </w:t>
      </w:r>
      <w:r w:rsidRPr="00E2777E">
        <w:rPr>
          <w:rFonts w:cs="ProximaNovaA-Light"/>
          <w:color w:val="231F20"/>
        </w:rPr>
        <w:t>exceeds its recoverable amount, the</w:t>
      </w:r>
      <w:r>
        <w:rPr>
          <w:rFonts w:cs="ProximaNovaA-Light"/>
          <w:color w:val="231F20"/>
        </w:rPr>
        <w:t xml:space="preserve"> </w:t>
      </w:r>
      <w:r w:rsidRPr="00E2777E">
        <w:rPr>
          <w:rFonts w:cs="ProximaNovaA-Light"/>
          <w:color w:val="231F20"/>
        </w:rPr>
        <w:t>difference is written off by a charge</w:t>
      </w:r>
      <w:r>
        <w:rPr>
          <w:rFonts w:cs="ProximaNovaA-Light"/>
          <w:color w:val="231F20"/>
        </w:rPr>
        <w:t xml:space="preserve"> </w:t>
      </w:r>
      <w:r w:rsidRPr="00E2777E">
        <w:rPr>
          <w:rFonts w:cs="ProximaNovaA-Light"/>
          <w:color w:val="231F20"/>
        </w:rPr>
        <w:t>to the Comprehensive Operating</w:t>
      </w:r>
      <w:r>
        <w:rPr>
          <w:rFonts w:cs="ProximaNovaA-Light"/>
          <w:color w:val="231F20"/>
        </w:rPr>
        <w:t xml:space="preserve"> </w:t>
      </w:r>
      <w:r w:rsidRPr="00E2777E">
        <w:rPr>
          <w:rFonts w:cs="ProximaNovaA-Light"/>
          <w:color w:val="231F20"/>
        </w:rPr>
        <w:t>Statement. Impairment of goodwill is not</w:t>
      </w:r>
      <w:r>
        <w:rPr>
          <w:rFonts w:cs="ProximaNovaA-Light"/>
          <w:color w:val="231F20"/>
        </w:rPr>
        <w:t xml:space="preserve"> </w:t>
      </w:r>
      <w:r w:rsidRPr="00E2777E">
        <w:rPr>
          <w:rFonts w:cs="ProximaNovaA-Light"/>
          <w:color w:val="231F20"/>
        </w:rPr>
        <w:t>reversed.</w:t>
      </w:r>
    </w:p>
    <w:p w:rsidR="00E2777E" w:rsidRDefault="00E2777E" w:rsidP="00F02D69">
      <w:pPr>
        <w:pStyle w:val="NoSpacing"/>
      </w:pPr>
    </w:p>
    <w:p w:rsidR="00E2777E" w:rsidRDefault="00E2777E" w:rsidP="00406A46">
      <w:pPr>
        <w:pStyle w:val="Heading3"/>
      </w:pPr>
      <w:r>
        <w:t>4.3 Depreciation and amortisation</w:t>
      </w:r>
    </w:p>
    <w:p w:rsidR="00646BEC" w:rsidRPr="00646BEC" w:rsidRDefault="00646BEC" w:rsidP="00646BEC">
      <w:pPr>
        <w:autoSpaceDE w:val="0"/>
        <w:autoSpaceDN w:val="0"/>
        <w:adjustRightInd w:val="0"/>
        <w:spacing w:after="0" w:line="240" w:lineRule="auto"/>
        <w:rPr>
          <w:rFonts w:cs="ProximaNovaA-Light"/>
          <w:color w:val="231F20"/>
        </w:rPr>
      </w:pPr>
      <w:r w:rsidRPr="00646BEC">
        <w:rPr>
          <w:rFonts w:cs="ProximaNovaA-Light"/>
          <w:color w:val="231F20"/>
        </w:rPr>
        <w:t>Depreciation and amortisation is</w:t>
      </w:r>
      <w:r>
        <w:rPr>
          <w:rFonts w:cs="ProximaNovaA-Light"/>
          <w:color w:val="231F20"/>
        </w:rPr>
        <w:t xml:space="preserve"> </w:t>
      </w:r>
      <w:r w:rsidRPr="00646BEC">
        <w:rPr>
          <w:rFonts w:cs="ProximaNovaA-Light"/>
          <w:color w:val="231F20"/>
        </w:rPr>
        <w:t>provided on software, property, plant</w:t>
      </w:r>
      <w:r>
        <w:rPr>
          <w:rFonts w:cs="ProximaNovaA-Light"/>
          <w:color w:val="231F20"/>
        </w:rPr>
        <w:t xml:space="preserve"> </w:t>
      </w:r>
      <w:r w:rsidRPr="00646BEC">
        <w:rPr>
          <w:rFonts w:cs="ProximaNovaA-Light"/>
          <w:color w:val="231F20"/>
        </w:rPr>
        <w:t>and equipment, and freehold buildings.</w:t>
      </w:r>
    </w:p>
    <w:p w:rsidR="00646BEC" w:rsidRDefault="00646BEC" w:rsidP="00646BEC">
      <w:pPr>
        <w:autoSpaceDE w:val="0"/>
        <w:autoSpaceDN w:val="0"/>
        <w:adjustRightInd w:val="0"/>
        <w:spacing w:after="0" w:line="240" w:lineRule="auto"/>
        <w:rPr>
          <w:rFonts w:cs="ProximaNovaA-Light"/>
          <w:color w:val="231F20"/>
        </w:rPr>
      </w:pPr>
    </w:p>
    <w:p w:rsidR="00E2777E" w:rsidRDefault="00646BEC" w:rsidP="00646BEC">
      <w:pPr>
        <w:autoSpaceDE w:val="0"/>
        <w:autoSpaceDN w:val="0"/>
        <w:adjustRightInd w:val="0"/>
        <w:spacing w:after="0" w:line="240" w:lineRule="auto"/>
      </w:pPr>
      <w:r w:rsidRPr="00646BEC">
        <w:rPr>
          <w:rFonts w:cs="ProximaNovaA-Light"/>
          <w:color w:val="231F20"/>
        </w:rPr>
        <w:t>Depreciation and amortisation is</w:t>
      </w:r>
      <w:r>
        <w:rPr>
          <w:rFonts w:cs="ProximaNovaA-Light"/>
          <w:color w:val="231F20"/>
        </w:rPr>
        <w:t xml:space="preserve"> </w:t>
      </w:r>
      <w:r w:rsidRPr="00646BEC">
        <w:rPr>
          <w:rFonts w:cs="ProximaNovaA-Light"/>
          <w:color w:val="231F20"/>
        </w:rPr>
        <w:t>generally calculated on a straight-line</w:t>
      </w:r>
      <w:r>
        <w:rPr>
          <w:rFonts w:cs="ProximaNovaA-Light"/>
          <w:color w:val="231F20"/>
        </w:rPr>
        <w:t xml:space="preserve"> </w:t>
      </w:r>
      <w:r w:rsidRPr="00646BEC">
        <w:rPr>
          <w:rFonts w:cs="ProximaNovaA-Light"/>
          <w:color w:val="231F20"/>
        </w:rPr>
        <w:t>basis, at rates that allocate the asset’s</w:t>
      </w:r>
      <w:r>
        <w:rPr>
          <w:rFonts w:cs="ProximaNovaA-Light"/>
          <w:color w:val="231F20"/>
        </w:rPr>
        <w:t xml:space="preserve"> </w:t>
      </w:r>
      <w:r w:rsidRPr="00646BEC">
        <w:rPr>
          <w:rFonts w:cs="ProximaNovaA-Light"/>
          <w:color w:val="231F20"/>
        </w:rPr>
        <w:t>value, less any estimated residual value,</w:t>
      </w:r>
      <w:r>
        <w:rPr>
          <w:rFonts w:cs="ProximaNovaA-Light"/>
          <w:color w:val="231F20"/>
        </w:rPr>
        <w:t xml:space="preserve"> </w:t>
      </w:r>
      <w:r w:rsidRPr="00646BEC">
        <w:rPr>
          <w:rFonts w:cs="ProximaNovaA-Light"/>
          <w:color w:val="231F20"/>
        </w:rPr>
        <w:t>over its estimated useful life. Leasehold</w:t>
      </w:r>
      <w:r>
        <w:rPr>
          <w:rFonts w:cs="ProximaNovaA-Light"/>
          <w:color w:val="231F20"/>
        </w:rPr>
        <w:t xml:space="preserve"> </w:t>
      </w:r>
      <w:r w:rsidRPr="00646BEC">
        <w:rPr>
          <w:rFonts w:cs="ProximaNovaA-Light"/>
          <w:color w:val="231F20"/>
        </w:rPr>
        <w:t>improvements are depreciated over the</w:t>
      </w:r>
      <w:r>
        <w:rPr>
          <w:rFonts w:cs="ProximaNovaA-Light"/>
          <w:color w:val="231F20"/>
        </w:rPr>
        <w:t xml:space="preserve"> </w:t>
      </w:r>
      <w:r w:rsidRPr="00646BEC">
        <w:rPr>
          <w:rFonts w:cs="ProximaNovaA-Light"/>
          <w:color w:val="231F20"/>
        </w:rPr>
        <w:t>period of the lease or estimated useful</w:t>
      </w:r>
      <w:r>
        <w:rPr>
          <w:rFonts w:cs="ProximaNovaA-Light"/>
          <w:color w:val="231F20"/>
        </w:rPr>
        <w:t xml:space="preserve"> </w:t>
      </w:r>
      <w:r w:rsidRPr="00646BEC">
        <w:rPr>
          <w:rFonts w:cs="ProximaNovaA-Light"/>
          <w:color w:val="231F20"/>
        </w:rPr>
        <w:t>life, whichever is shorter, using the</w:t>
      </w:r>
      <w:r>
        <w:rPr>
          <w:rFonts w:cs="ProximaNovaA-Light"/>
          <w:color w:val="231F20"/>
        </w:rPr>
        <w:t xml:space="preserve"> </w:t>
      </w:r>
      <w:r w:rsidRPr="00646BEC">
        <w:rPr>
          <w:rFonts w:cs="ProximaNovaA-Light"/>
          <w:color w:val="231F20"/>
        </w:rPr>
        <w:t>straight-line method.</w:t>
      </w:r>
    </w:p>
    <w:p w:rsidR="00E2777E" w:rsidRDefault="00E2777E" w:rsidP="00F02D69">
      <w:pPr>
        <w:pStyle w:val="NoSpacing"/>
      </w:pPr>
    </w:p>
    <w:p w:rsidR="00646BEC" w:rsidRDefault="004B3B10" w:rsidP="00F02D69">
      <w:pPr>
        <w:pStyle w:val="NoSpacing"/>
      </w:pPr>
      <w:r>
        <w:t>Depreciation and amortisation methods and rates used for each class of depreciable assets are:</w:t>
      </w:r>
    </w:p>
    <w:p w:rsidR="004B3B10" w:rsidRDefault="004B3B10" w:rsidP="00F02D69">
      <w:pPr>
        <w:pStyle w:val="NoSpacing"/>
      </w:pPr>
    </w:p>
    <w:tbl>
      <w:tblPr>
        <w:tblStyle w:val="TableGrid"/>
        <w:tblW w:w="10490" w:type="dxa"/>
        <w:tblInd w:w="-714" w:type="dxa"/>
        <w:tblLook w:val="04A0" w:firstRow="1" w:lastRow="0" w:firstColumn="1" w:lastColumn="0" w:noHBand="0" w:noVBand="1"/>
      </w:tblPr>
      <w:tblGrid>
        <w:gridCol w:w="5222"/>
        <w:gridCol w:w="5268"/>
      </w:tblGrid>
      <w:tr w:rsidR="004B3B10" w:rsidTr="004B3B10">
        <w:tc>
          <w:tcPr>
            <w:tcW w:w="5222" w:type="dxa"/>
          </w:tcPr>
          <w:p w:rsidR="004B3B10" w:rsidRDefault="004B3B10" w:rsidP="00F02D69">
            <w:pPr>
              <w:pStyle w:val="NoSpacing"/>
            </w:pPr>
            <w:r>
              <w:t>Class of assets</w:t>
            </w:r>
          </w:p>
        </w:tc>
        <w:tc>
          <w:tcPr>
            <w:tcW w:w="5268" w:type="dxa"/>
          </w:tcPr>
          <w:p w:rsidR="004B3B10" w:rsidRDefault="004B3B10" w:rsidP="00F02D69">
            <w:pPr>
              <w:pStyle w:val="NoSpacing"/>
            </w:pPr>
            <w:r>
              <w:t>Useful life</w:t>
            </w:r>
          </w:p>
        </w:tc>
      </w:tr>
      <w:tr w:rsidR="004B3B10" w:rsidTr="004B3B10">
        <w:tc>
          <w:tcPr>
            <w:tcW w:w="5222" w:type="dxa"/>
          </w:tcPr>
          <w:p w:rsidR="004B3B10" w:rsidRDefault="004B3B10" w:rsidP="00F02D69">
            <w:pPr>
              <w:pStyle w:val="NoSpacing"/>
            </w:pPr>
            <w:r>
              <w:t>Buildings</w:t>
            </w:r>
          </w:p>
        </w:tc>
        <w:tc>
          <w:tcPr>
            <w:tcW w:w="5268" w:type="dxa"/>
          </w:tcPr>
          <w:p w:rsidR="004B3B10" w:rsidRPr="004B3B10" w:rsidRDefault="004B3B10" w:rsidP="00F02D69">
            <w:pPr>
              <w:pStyle w:val="NoSpacing"/>
              <w:rPr>
                <w:rFonts w:cstheme="minorHAnsi"/>
              </w:rPr>
            </w:pPr>
            <w:r w:rsidRPr="004B3B10">
              <w:rPr>
                <w:rFonts w:cstheme="minorHAnsi"/>
                <w:color w:val="231F20"/>
              </w:rPr>
              <w:t>5 – 80 years (2018: 5 – 60 years)</w:t>
            </w:r>
          </w:p>
        </w:tc>
      </w:tr>
      <w:tr w:rsidR="004B3B10" w:rsidTr="004B3B10">
        <w:tc>
          <w:tcPr>
            <w:tcW w:w="5222" w:type="dxa"/>
          </w:tcPr>
          <w:p w:rsidR="004B3B10" w:rsidRDefault="004B3B10" w:rsidP="00F02D69">
            <w:pPr>
              <w:pStyle w:val="NoSpacing"/>
            </w:pPr>
            <w:r>
              <w:t>Plant and equipment</w:t>
            </w:r>
          </w:p>
        </w:tc>
        <w:tc>
          <w:tcPr>
            <w:tcW w:w="5268" w:type="dxa"/>
          </w:tcPr>
          <w:p w:rsidR="004B3B10" w:rsidRPr="004B3B10" w:rsidRDefault="004B3B10" w:rsidP="00F02D69">
            <w:pPr>
              <w:pStyle w:val="NoSpacing"/>
              <w:rPr>
                <w:rFonts w:cstheme="minorHAnsi"/>
              </w:rPr>
            </w:pPr>
            <w:r w:rsidRPr="004B3B10">
              <w:rPr>
                <w:rFonts w:cstheme="minorHAnsi"/>
                <w:color w:val="231F20"/>
              </w:rPr>
              <w:t>3 – 13 years (2018: 3 – 10 years)</w:t>
            </w:r>
          </w:p>
        </w:tc>
      </w:tr>
      <w:tr w:rsidR="004B3B10" w:rsidTr="004B3B10">
        <w:tc>
          <w:tcPr>
            <w:tcW w:w="5222" w:type="dxa"/>
          </w:tcPr>
          <w:p w:rsidR="004B3B10" w:rsidRDefault="004B3B10" w:rsidP="00F02D69">
            <w:pPr>
              <w:pStyle w:val="NoSpacing"/>
            </w:pPr>
            <w:r>
              <w:t>Motor vehicles</w:t>
            </w:r>
          </w:p>
        </w:tc>
        <w:tc>
          <w:tcPr>
            <w:tcW w:w="5268" w:type="dxa"/>
          </w:tcPr>
          <w:p w:rsidR="004B3B10" w:rsidRPr="004B3B10" w:rsidRDefault="004B3B10" w:rsidP="00F02D69">
            <w:pPr>
              <w:pStyle w:val="NoSpacing"/>
              <w:rPr>
                <w:rFonts w:cstheme="minorHAnsi"/>
              </w:rPr>
            </w:pPr>
            <w:r w:rsidRPr="004B3B10">
              <w:rPr>
                <w:rFonts w:cstheme="minorHAnsi"/>
                <w:color w:val="231F20"/>
              </w:rPr>
              <w:t>6 – 10 years (2018: 6.6 years)</w:t>
            </w:r>
          </w:p>
        </w:tc>
      </w:tr>
      <w:tr w:rsidR="004B3B10" w:rsidTr="004B3B10">
        <w:tc>
          <w:tcPr>
            <w:tcW w:w="5222" w:type="dxa"/>
          </w:tcPr>
          <w:p w:rsidR="004B3B10" w:rsidRDefault="004B3B10" w:rsidP="00F02D69">
            <w:pPr>
              <w:pStyle w:val="NoSpacing"/>
            </w:pPr>
            <w:r>
              <w:t>Leasehold improvements</w:t>
            </w:r>
          </w:p>
        </w:tc>
        <w:tc>
          <w:tcPr>
            <w:tcW w:w="5268" w:type="dxa"/>
          </w:tcPr>
          <w:p w:rsidR="004B3B10" w:rsidRPr="004B3B10" w:rsidRDefault="004B3B10" w:rsidP="00F02D69">
            <w:pPr>
              <w:pStyle w:val="NoSpacing"/>
              <w:rPr>
                <w:rFonts w:cstheme="minorHAnsi"/>
              </w:rPr>
            </w:pPr>
            <w:r w:rsidRPr="004B3B10">
              <w:rPr>
                <w:rFonts w:cstheme="minorHAnsi"/>
                <w:color w:val="231F20"/>
              </w:rPr>
              <w:t>3 – 6 years (2018: 5 – 6 years)</w:t>
            </w:r>
          </w:p>
        </w:tc>
      </w:tr>
      <w:tr w:rsidR="004B3B10" w:rsidTr="004B3B10">
        <w:tc>
          <w:tcPr>
            <w:tcW w:w="5222" w:type="dxa"/>
          </w:tcPr>
          <w:p w:rsidR="004B3B10" w:rsidRDefault="004B3B10" w:rsidP="00F02D69">
            <w:pPr>
              <w:pStyle w:val="NoSpacing"/>
            </w:pPr>
            <w:r>
              <w:t xml:space="preserve">Land improvements </w:t>
            </w:r>
          </w:p>
        </w:tc>
        <w:tc>
          <w:tcPr>
            <w:tcW w:w="5268" w:type="dxa"/>
          </w:tcPr>
          <w:p w:rsidR="004B3B10" w:rsidRPr="004B3B10" w:rsidRDefault="004B3B10" w:rsidP="004B3B10">
            <w:pPr>
              <w:pStyle w:val="NoSpacing"/>
              <w:tabs>
                <w:tab w:val="left" w:pos="1184"/>
              </w:tabs>
              <w:rPr>
                <w:rFonts w:cstheme="minorHAnsi"/>
              </w:rPr>
            </w:pPr>
            <w:r w:rsidRPr="004B3B10">
              <w:rPr>
                <w:rFonts w:cstheme="minorHAnsi"/>
                <w:color w:val="231F20"/>
              </w:rPr>
              <w:t>10 – 40 years (2018: 15 – 40 years)</w:t>
            </w:r>
          </w:p>
        </w:tc>
      </w:tr>
      <w:tr w:rsidR="004B3B10" w:rsidTr="004B3B10">
        <w:tc>
          <w:tcPr>
            <w:tcW w:w="5222" w:type="dxa"/>
          </w:tcPr>
          <w:p w:rsidR="004B3B10" w:rsidRDefault="004B3B10" w:rsidP="00F02D69">
            <w:pPr>
              <w:pStyle w:val="NoSpacing"/>
            </w:pPr>
            <w:r>
              <w:t>Right of use assets</w:t>
            </w:r>
          </w:p>
        </w:tc>
        <w:tc>
          <w:tcPr>
            <w:tcW w:w="5268" w:type="dxa"/>
          </w:tcPr>
          <w:p w:rsidR="004B3B10" w:rsidRPr="004B3B10" w:rsidRDefault="004B3B10" w:rsidP="00F02D69">
            <w:pPr>
              <w:pStyle w:val="NoSpacing"/>
              <w:rPr>
                <w:rFonts w:cstheme="minorHAnsi"/>
              </w:rPr>
            </w:pPr>
            <w:r w:rsidRPr="004B3B10">
              <w:rPr>
                <w:rFonts w:cstheme="minorHAnsi"/>
                <w:color w:val="231F20"/>
              </w:rPr>
              <w:t>Lease term (2018: N/A)</w:t>
            </w:r>
          </w:p>
        </w:tc>
      </w:tr>
      <w:tr w:rsidR="004B3B10" w:rsidTr="004B3B10">
        <w:tc>
          <w:tcPr>
            <w:tcW w:w="5222" w:type="dxa"/>
          </w:tcPr>
          <w:p w:rsidR="004B3B10" w:rsidRDefault="004B3B10" w:rsidP="00F02D69">
            <w:pPr>
              <w:pStyle w:val="NoSpacing"/>
            </w:pPr>
            <w:r>
              <w:t>Software</w:t>
            </w:r>
          </w:p>
        </w:tc>
        <w:tc>
          <w:tcPr>
            <w:tcW w:w="5268" w:type="dxa"/>
          </w:tcPr>
          <w:p w:rsidR="004B3B10" w:rsidRPr="004B3B10" w:rsidRDefault="004B3B10" w:rsidP="00F02D69">
            <w:pPr>
              <w:pStyle w:val="NoSpacing"/>
              <w:rPr>
                <w:rFonts w:cstheme="minorHAnsi"/>
              </w:rPr>
            </w:pPr>
            <w:r w:rsidRPr="004B3B10">
              <w:rPr>
                <w:rFonts w:cstheme="minorHAnsi"/>
                <w:color w:val="231F20"/>
              </w:rPr>
              <w:t>3 – 4 years (2018: 3 – 4 years)</w:t>
            </w:r>
          </w:p>
        </w:tc>
      </w:tr>
    </w:tbl>
    <w:p w:rsidR="004B3B10" w:rsidRDefault="004B3B10" w:rsidP="00F02D69">
      <w:pPr>
        <w:pStyle w:val="NoSpacing"/>
      </w:pPr>
    </w:p>
    <w:p w:rsidR="00646BEC" w:rsidRDefault="004B3B10" w:rsidP="00F02D69">
      <w:pPr>
        <w:pStyle w:val="NoSpacing"/>
      </w:pPr>
      <w:r>
        <w:t>The estimated useful lives, residual values and depreciation method are reviewed at the end of each annual reporting period, and adjustments made where appropriate.</w:t>
      </w:r>
    </w:p>
    <w:p w:rsidR="004B3B10" w:rsidRDefault="004B3B10" w:rsidP="00F02D69">
      <w:pPr>
        <w:pStyle w:val="NoSpacing"/>
      </w:pPr>
      <w:r>
        <w:t>Leasehold improvements are depreciated over the shorter of the lease term and there useful lives.</w:t>
      </w:r>
    </w:p>
    <w:p w:rsidR="00646BEC" w:rsidRDefault="00646BEC" w:rsidP="00F02D69">
      <w:pPr>
        <w:pStyle w:val="NoSpacing"/>
      </w:pPr>
    </w:p>
    <w:p w:rsidR="00646BEC" w:rsidRDefault="004B3B10" w:rsidP="00F02D69">
      <w:pPr>
        <w:pStyle w:val="NoSpacing"/>
      </w:pPr>
      <w:r>
        <w:t>&lt;page 71&gt;</w:t>
      </w:r>
    </w:p>
    <w:p w:rsidR="004B3B10" w:rsidRDefault="004B3B10" w:rsidP="00F02D69">
      <w:pPr>
        <w:pStyle w:val="NoSpacing"/>
      </w:pPr>
    </w:p>
    <w:p w:rsidR="004B3B10" w:rsidRDefault="004B3B10" w:rsidP="00F02D69">
      <w:pPr>
        <w:pStyle w:val="NoSpacing"/>
      </w:pPr>
    </w:p>
    <w:p w:rsidR="00646BEC" w:rsidRDefault="002B0D48" w:rsidP="00406A46">
      <w:pPr>
        <w:pStyle w:val="Heading2"/>
      </w:pPr>
      <w:r>
        <w:t>4. The assets we invested in (continued)</w:t>
      </w:r>
    </w:p>
    <w:p w:rsidR="00406A46" w:rsidRDefault="00406A46" w:rsidP="00406A46">
      <w:pPr>
        <w:pStyle w:val="NoSpacing"/>
      </w:pPr>
    </w:p>
    <w:p w:rsidR="00646BEC" w:rsidRDefault="002B0D48" w:rsidP="00406A46">
      <w:pPr>
        <w:pStyle w:val="Heading3"/>
      </w:pPr>
      <w:r>
        <w:t xml:space="preserve">4.4 Investments and other financial assets </w:t>
      </w: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2B0D48" w:rsidTr="00C760CE">
        <w:trPr>
          <w:gridBefore w:val="1"/>
          <w:wBefore w:w="5529" w:type="dxa"/>
        </w:trPr>
        <w:tc>
          <w:tcPr>
            <w:tcW w:w="2552" w:type="dxa"/>
            <w:gridSpan w:val="2"/>
          </w:tcPr>
          <w:p w:rsidR="002B0D48" w:rsidRDefault="002B0D48" w:rsidP="00C760CE">
            <w:pPr>
              <w:pStyle w:val="NoSpacing"/>
              <w:jc w:val="right"/>
            </w:pPr>
            <w:r>
              <w:t>Consolidated</w:t>
            </w:r>
          </w:p>
        </w:tc>
        <w:tc>
          <w:tcPr>
            <w:tcW w:w="2551" w:type="dxa"/>
            <w:gridSpan w:val="2"/>
          </w:tcPr>
          <w:p w:rsidR="002B0D48" w:rsidRDefault="002B0D48" w:rsidP="00C760CE">
            <w:pPr>
              <w:pStyle w:val="NoSpacing"/>
              <w:jc w:val="right"/>
            </w:pPr>
            <w:r>
              <w:t>Chisholm</w:t>
            </w:r>
          </w:p>
        </w:tc>
      </w:tr>
      <w:tr w:rsidR="002B0D48" w:rsidTr="00C760CE">
        <w:trPr>
          <w:gridBefore w:val="1"/>
          <w:wBefore w:w="5529" w:type="dxa"/>
        </w:trPr>
        <w:tc>
          <w:tcPr>
            <w:tcW w:w="1276" w:type="dxa"/>
          </w:tcPr>
          <w:p w:rsidR="002B0D48" w:rsidRDefault="002B0D48" w:rsidP="00C760CE">
            <w:pPr>
              <w:pStyle w:val="NoSpacing"/>
              <w:jc w:val="right"/>
            </w:pPr>
            <w:r>
              <w:t>2019</w:t>
            </w:r>
          </w:p>
        </w:tc>
        <w:tc>
          <w:tcPr>
            <w:tcW w:w="1276" w:type="dxa"/>
          </w:tcPr>
          <w:p w:rsidR="002B0D48" w:rsidRDefault="002B0D48" w:rsidP="00C760CE">
            <w:pPr>
              <w:pStyle w:val="NoSpacing"/>
              <w:jc w:val="right"/>
            </w:pPr>
            <w:r>
              <w:t>2018</w:t>
            </w:r>
          </w:p>
        </w:tc>
        <w:tc>
          <w:tcPr>
            <w:tcW w:w="1275" w:type="dxa"/>
          </w:tcPr>
          <w:p w:rsidR="002B0D48" w:rsidRDefault="002B0D48" w:rsidP="00C760CE">
            <w:pPr>
              <w:pStyle w:val="NoSpacing"/>
              <w:jc w:val="right"/>
            </w:pPr>
            <w:r>
              <w:t>2019</w:t>
            </w:r>
          </w:p>
        </w:tc>
        <w:tc>
          <w:tcPr>
            <w:tcW w:w="1276" w:type="dxa"/>
          </w:tcPr>
          <w:p w:rsidR="002B0D48" w:rsidRDefault="002B0D48" w:rsidP="00C760CE">
            <w:pPr>
              <w:pStyle w:val="NoSpacing"/>
              <w:jc w:val="right"/>
            </w:pPr>
            <w:r>
              <w:t>2018</w:t>
            </w:r>
          </w:p>
        </w:tc>
      </w:tr>
      <w:tr w:rsidR="002B0D48" w:rsidTr="00C760CE">
        <w:trPr>
          <w:gridBefore w:val="1"/>
          <w:wBefore w:w="5529" w:type="dxa"/>
        </w:trPr>
        <w:tc>
          <w:tcPr>
            <w:tcW w:w="1276" w:type="dxa"/>
          </w:tcPr>
          <w:p w:rsidR="002B0D48" w:rsidRDefault="002B0D48" w:rsidP="00C760CE">
            <w:pPr>
              <w:pStyle w:val="NoSpacing"/>
              <w:jc w:val="right"/>
            </w:pPr>
            <w:r>
              <w:t>$’000</w:t>
            </w:r>
          </w:p>
        </w:tc>
        <w:tc>
          <w:tcPr>
            <w:tcW w:w="1276" w:type="dxa"/>
          </w:tcPr>
          <w:p w:rsidR="002B0D48" w:rsidRDefault="002B0D48" w:rsidP="00C760CE">
            <w:pPr>
              <w:jc w:val="right"/>
            </w:pPr>
            <w:r w:rsidRPr="00105D59">
              <w:t>$’000</w:t>
            </w:r>
          </w:p>
        </w:tc>
        <w:tc>
          <w:tcPr>
            <w:tcW w:w="1275" w:type="dxa"/>
          </w:tcPr>
          <w:p w:rsidR="002B0D48" w:rsidRDefault="002B0D48" w:rsidP="00C760CE">
            <w:pPr>
              <w:jc w:val="right"/>
            </w:pPr>
            <w:r w:rsidRPr="00105D59">
              <w:t>$’000</w:t>
            </w:r>
          </w:p>
        </w:tc>
        <w:tc>
          <w:tcPr>
            <w:tcW w:w="1276" w:type="dxa"/>
          </w:tcPr>
          <w:p w:rsidR="002B0D48" w:rsidRDefault="002B0D48" w:rsidP="00C760CE">
            <w:pPr>
              <w:jc w:val="right"/>
            </w:pPr>
            <w:r w:rsidRPr="00105D59">
              <w:t>$’000</w:t>
            </w:r>
          </w:p>
        </w:tc>
      </w:tr>
      <w:tr w:rsidR="002B0D48" w:rsidTr="00C760CE">
        <w:tc>
          <w:tcPr>
            <w:tcW w:w="10632" w:type="dxa"/>
            <w:gridSpan w:val="5"/>
          </w:tcPr>
          <w:p w:rsidR="002B0D48" w:rsidRDefault="002B0D48" w:rsidP="00C760CE">
            <w:pPr>
              <w:pStyle w:val="NoSpacing"/>
            </w:pPr>
            <w:r>
              <w:t>Current investments and other financial assets</w:t>
            </w:r>
          </w:p>
        </w:tc>
      </w:tr>
      <w:tr w:rsidR="002B0D48" w:rsidTr="00C760CE">
        <w:tc>
          <w:tcPr>
            <w:tcW w:w="5529" w:type="dxa"/>
          </w:tcPr>
          <w:p w:rsidR="002B0D48" w:rsidRDefault="002B0D48" w:rsidP="00C760CE">
            <w:pPr>
              <w:pStyle w:val="NoSpacing"/>
            </w:pPr>
            <w:r>
              <w:t>Term deposits &gt; three months</w:t>
            </w:r>
          </w:p>
        </w:tc>
        <w:tc>
          <w:tcPr>
            <w:tcW w:w="1276" w:type="dxa"/>
          </w:tcPr>
          <w:p w:rsidR="002B0D48" w:rsidRDefault="002B0D48" w:rsidP="00C760CE">
            <w:pPr>
              <w:pStyle w:val="NoSpacing"/>
              <w:jc w:val="right"/>
            </w:pPr>
            <w:r>
              <w:t>516</w:t>
            </w:r>
          </w:p>
        </w:tc>
        <w:tc>
          <w:tcPr>
            <w:tcW w:w="1276" w:type="dxa"/>
          </w:tcPr>
          <w:p w:rsidR="002B0D48" w:rsidRDefault="002B0D48" w:rsidP="00C760CE">
            <w:pPr>
              <w:pStyle w:val="NoSpacing"/>
              <w:jc w:val="right"/>
            </w:pPr>
            <w:r>
              <w:t>26,387</w:t>
            </w:r>
          </w:p>
        </w:tc>
        <w:tc>
          <w:tcPr>
            <w:tcW w:w="1275" w:type="dxa"/>
          </w:tcPr>
          <w:p w:rsidR="002B0D48" w:rsidRDefault="002B0D48" w:rsidP="00C760CE">
            <w:pPr>
              <w:pStyle w:val="NoSpacing"/>
              <w:jc w:val="right"/>
            </w:pPr>
            <w:r>
              <w:t>-</w:t>
            </w:r>
          </w:p>
        </w:tc>
        <w:tc>
          <w:tcPr>
            <w:tcW w:w="1276" w:type="dxa"/>
          </w:tcPr>
          <w:p w:rsidR="002B0D48" w:rsidRDefault="002B0D48" w:rsidP="00C760CE">
            <w:pPr>
              <w:pStyle w:val="NoSpacing"/>
              <w:jc w:val="right"/>
            </w:pPr>
            <w:r>
              <w:t>25,000</w:t>
            </w:r>
          </w:p>
        </w:tc>
      </w:tr>
    </w:tbl>
    <w:p w:rsidR="002B0D48" w:rsidRDefault="002B0D48" w:rsidP="00F02D69">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2B0D48" w:rsidTr="00C760CE">
        <w:tc>
          <w:tcPr>
            <w:tcW w:w="10632" w:type="dxa"/>
            <w:gridSpan w:val="5"/>
          </w:tcPr>
          <w:p w:rsidR="002B0D48" w:rsidRDefault="002B0D48" w:rsidP="00C760CE">
            <w:pPr>
              <w:pStyle w:val="NoSpacing"/>
            </w:pPr>
            <w:r>
              <w:t>Non-current investments and other financial assets</w:t>
            </w:r>
          </w:p>
        </w:tc>
      </w:tr>
      <w:tr w:rsidR="002B0D48" w:rsidTr="00C760CE">
        <w:tc>
          <w:tcPr>
            <w:tcW w:w="5529" w:type="dxa"/>
          </w:tcPr>
          <w:p w:rsidR="002B0D48" w:rsidRDefault="002B0D48" w:rsidP="00C760CE">
            <w:pPr>
              <w:pStyle w:val="NoSpacing"/>
            </w:pPr>
            <w:r>
              <w:t>Unlisted shares in subsidiary – TAFE Online Pty Ltd</w:t>
            </w:r>
          </w:p>
        </w:tc>
        <w:tc>
          <w:tcPr>
            <w:tcW w:w="1276" w:type="dxa"/>
          </w:tcPr>
          <w:p w:rsidR="002B0D48" w:rsidRDefault="002B0D48" w:rsidP="00C760CE">
            <w:pPr>
              <w:pStyle w:val="NoSpacing"/>
              <w:jc w:val="right"/>
            </w:pPr>
            <w:r>
              <w:t>-</w:t>
            </w:r>
          </w:p>
        </w:tc>
        <w:tc>
          <w:tcPr>
            <w:tcW w:w="1276" w:type="dxa"/>
          </w:tcPr>
          <w:p w:rsidR="002B0D48" w:rsidRDefault="002B0D48" w:rsidP="00C760CE">
            <w:pPr>
              <w:pStyle w:val="NoSpacing"/>
              <w:jc w:val="right"/>
            </w:pPr>
            <w:r>
              <w:t>-</w:t>
            </w:r>
          </w:p>
        </w:tc>
        <w:tc>
          <w:tcPr>
            <w:tcW w:w="1275" w:type="dxa"/>
          </w:tcPr>
          <w:p w:rsidR="002B0D48" w:rsidRDefault="002B0D48" w:rsidP="00C760CE">
            <w:pPr>
              <w:pStyle w:val="NoSpacing"/>
              <w:jc w:val="right"/>
            </w:pPr>
            <w:r>
              <w:t>6,000</w:t>
            </w:r>
          </w:p>
        </w:tc>
        <w:tc>
          <w:tcPr>
            <w:tcW w:w="1276" w:type="dxa"/>
          </w:tcPr>
          <w:p w:rsidR="002B0D48" w:rsidRDefault="002B0D48" w:rsidP="00C760CE">
            <w:pPr>
              <w:pStyle w:val="NoSpacing"/>
              <w:jc w:val="right"/>
            </w:pPr>
            <w:r>
              <w:t>6,000</w:t>
            </w:r>
          </w:p>
        </w:tc>
      </w:tr>
      <w:tr w:rsidR="002B0D48" w:rsidTr="00C760CE">
        <w:tc>
          <w:tcPr>
            <w:tcW w:w="5529" w:type="dxa"/>
          </w:tcPr>
          <w:p w:rsidR="002B0D48" w:rsidRDefault="002B0D48" w:rsidP="00C760CE">
            <w:pPr>
              <w:pStyle w:val="NoSpacing"/>
            </w:pPr>
            <w:r>
              <w:t>Total investments and other financial assets</w:t>
            </w:r>
          </w:p>
        </w:tc>
        <w:tc>
          <w:tcPr>
            <w:tcW w:w="1276" w:type="dxa"/>
          </w:tcPr>
          <w:p w:rsidR="002B0D48" w:rsidRDefault="002B0D48" w:rsidP="00C760CE">
            <w:pPr>
              <w:pStyle w:val="NoSpacing"/>
              <w:jc w:val="right"/>
            </w:pPr>
            <w:r>
              <w:t>516</w:t>
            </w:r>
          </w:p>
        </w:tc>
        <w:tc>
          <w:tcPr>
            <w:tcW w:w="1276" w:type="dxa"/>
          </w:tcPr>
          <w:p w:rsidR="002B0D48" w:rsidRDefault="002B0D48" w:rsidP="00C760CE">
            <w:pPr>
              <w:pStyle w:val="NoSpacing"/>
              <w:jc w:val="right"/>
            </w:pPr>
            <w:r>
              <w:t>26,387</w:t>
            </w:r>
          </w:p>
        </w:tc>
        <w:tc>
          <w:tcPr>
            <w:tcW w:w="1275" w:type="dxa"/>
          </w:tcPr>
          <w:p w:rsidR="002B0D48" w:rsidRDefault="002B0D48" w:rsidP="00C760CE">
            <w:pPr>
              <w:pStyle w:val="NoSpacing"/>
              <w:jc w:val="right"/>
            </w:pPr>
            <w:r>
              <w:t>6,000</w:t>
            </w:r>
          </w:p>
        </w:tc>
        <w:tc>
          <w:tcPr>
            <w:tcW w:w="1276" w:type="dxa"/>
          </w:tcPr>
          <w:p w:rsidR="002B0D48" w:rsidRDefault="002B0D48" w:rsidP="00C760CE">
            <w:pPr>
              <w:pStyle w:val="NoSpacing"/>
              <w:jc w:val="right"/>
            </w:pPr>
            <w:r>
              <w:t>31,000</w:t>
            </w:r>
          </w:p>
        </w:tc>
      </w:tr>
    </w:tbl>
    <w:p w:rsidR="002B0D48" w:rsidRDefault="002B0D48" w:rsidP="00F02D69">
      <w:pPr>
        <w:pStyle w:val="NoSpacing"/>
      </w:pPr>
      <w:r>
        <w:lastRenderedPageBreak/>
        <w:t>In 2018, the Treasurer approved the establishment of a Central Banking System (CBS) to enable working capital held by agencies across the State’s balance sheet to be managed more efficiently, providing significant gains for the State.</w:t>
      </w:r>
    </w:p>
    <w:p w:rsidR="002B0D48" w:rsidRDefault="002B0D48" w:rsidP="00F02D69">
      <w:pPr>
        <w:pStyle w:val="NoSpacing"/>
      </w:pPr>
    </w:p>
    <w:p w:rsidR="002B0D48" w:rsidRDefault="002B0D48" w:rsidP="00F02D69">
      <w:pPr>
        <w:pStyle w:val="NoSpacing"/>
      </w:pPr>
      <w:r>
        <w:t>In 2019, Chisholm Institute moved its term deposits from Treasury Corporation Victoria (TCV) into the CBS. This resulted in a significant reduction in reported term deposits between 2018 and 2019, with a corresponding increase in deposits at call (refer to Note 6.1).</w:t>
      </w:r>
    </w:p>
    <w:p w:rsidR="002B0D48" w:rsidRDefault="002B0D48" w:rsidP="00F02D69">
      <w:pPr>
        <w:pStyle w:val="NoSpacing"/>
      </w:pPr>
    </w:p>
    <w:p w:rsidR="002B0D48" w:rsidRDefault="002B0D48" w:rsidP="00F02D69">
      <w:pPr>
        <w:pStyle w:val="NoSpacing"/>
      </w:pPr>
      <w:r>
        <w:t>The remaining balance of term deposits in the consolidated accounts relates to an amount of money invested outside of the CBS on behalf of the Caroline Chisholm Education Foundation.</w:t>
      </w:r>
    </w:p>
    <w:p w:rsidR="002B0D48" w:rsidRDefault="002B0D48" w:rsidP="00F02D69">
      <w:pPr>
        <w:pStyle w:val="NoSpacing"/>
      </w:pPr>
    </w:p>
    <w:p w:rsidR="002B0D48" w:rsidRDefault="002B0D48" w:rsidP="00406A46">
      <w:pPr>
        <w:pStyle w:val="Heading4"/>
      </w:pPr>
      <w:r>
        <w:t>Ageing analysis of investments and other financial assets</w:t>
      </w:r>
    </w:p>
    <w:p w:rsidR="002B0D48" w:rsidRDefault="002B0D48" w:rsidP="00F02D69">
      <w:pPr>
        <w:pStyle w:val="NoSpacing"/>
      </w:pPr>
    </w:p>
    <w:p w:rsidR="002B0D48" w:rsidRDefault="002B0D48" w:rsidP="002B0D48">
      <w:pPr>
        <w:pStyle w:val="NoSpacing"/>
      </w:pPr>
    </w:p>
    <w:tbl>
      <w:tblPr>
        <w:tblStyle w:val="TableGrid"/>
        <w:tblW w:w="10632" w:type="dxa"/>
        <w:tblInd w:w="-856" w:type="dxa"/>
        <w:tblLook w:val="04A0" w:firstRow="1" w:lastRow="0" w:firstColumn="1" w:lastColumn="0" w:noHBand="0" w:noVBand="1"/>
      </w:tblPr>
      <w:tblGrid>
        <w:gridCol w:w="2836"/>
        <w:gridCol w:w="1276"/>
        <w:gridCol w:w="1559"/>
        <w:gridCol w:w="1134"/>
        <w:gridCol w:w="1276"/>
        <w:gridCol w:w="1275"/>
        <w:gridCol w:w="1276"/>
      </w:tblGrid>
      <w:tr w:rsidR="002B0D48" w:rsidTr="00C760CE">
        <w:trPr>
          <w:gridBefore w:val="1"/>
          <w:wBefore w:w="2836" w:type="dxa"/>
        </w:trPr>
        <w:tc>
          <w:tcPr>
            <w:tcW w:w="1276" w:type="dxa"/>
          </w:tcPr>
          <w:p w:rsidR="002B0D48" w:rsidRDefault="002B0D48" w:rsidP="00C760CE">
            <w:pPr>
              <w:pStyle w:val="NoSpacing"/>
              <w:jc w:val="right"/>
            </w:pPr>
            <w:r>
              <w:t>Carrying amount</w:t>
            </w:r>
          </w:p>
        </w:tc>
        <w:tc>
          <w:tcPr>
            <w:tcW w:w="1559" w:type="dxa"/>
          </w:tcPr>
          <w:p w:rsidR="002B0D48" w:rsidRDefault="002B0D48" w:rsidP="00C760CE">
            <w:pPr>
              <w:pStyle w:val="NoSpacing"/>
              <w:jc w:val="right"/>
            </w:pPr>
            <w:r>
              <w:t>Not past due and not impaired</w:t>
            </w:r>
          </w:p>
        </w:tc>
        <w:tc>
          <w:tcPr>
            <w:tcW w:w="1134" w:type="dxa"/>
          </w:tcPr>
          <w:p w:rsidR="002B0D48" w:rsidRDefault="002B0D48" w:rsidP="00C760CE">
            <w:pPr>
              <w:pStyle w:val="NoSpacing"/>
              <w:jc w:val="right"/>
            </w:pPr>
            <w:r>
              <w:t>Less than 1 month</w:t>
            </w:r>
          </w:p>
        </w:tc>
        <w:tc>
          <w:tcPr>
            <w:tcW w:w="1276" w:type="dxa"/>
          </w:tcPr>
          <w:p w:rsidR="002B0D48" w:rsidRDefault="002B0D48" w:rsidP="00C760CE">
            <w:pPr>
              <w:pStyle w:val="NoSpacing"/>
              <w:jc w:val="right"/>
            </w:pPr>
            <w:r>
              <w:t>1-3 months</w:t>
            </w:r>
          </w:p>
        </w:tc>
        <w:tc>
          <w:tcPr>
            <w:tcW w:w="1275" w:type="dxa"/>
          </w:tcPr>
          <w:p w:rsidR="002B0D48" w:rsidRDefault="002B0D48" w:rsidP="00C760CE">
            <w:pPr>
              <w:pStyle w:val="NoSpacing"/>
              <w:jc w:val="right"/>
            </w:pPr>
            <w:r>
              <w:t>3 months – 1 year</w:t>
            </w:r>
          </w:p>
        </w:tc>
        <w:tc>
          <w:tcPr>
            <w:tcW w:w="1276" w:type="dxa"/>
          </w:tcPr>
          <w:p w:rsidR="002B0D48" w:rsidRDefault="002B0D48" w:rsidP="00C760CE">
            <w:pPr>
              <w:pStyle w:val="NoSpacing"/>
              <w:jc w:val="right"/>
            </w:pPr>
            <w:r>
              <w:t>1-5 years</w:t>
            </w:r>
          </w:p>
        </w:tc>
      </w:tr>
      <w:tr w:rsidR="002B0D48" w:rsidTr="00C760CE">
        <w:trPr>
          <w:gridBefore w:val="1"/>
          <w:wBefore w:w="2836" w:type="dxa"/>
        </w:trPr>
        <w:tc>
          <w:tcPr>
            <w:tcW w:w="1276" w:type="dxa"/>
          </w:tcPr>
          <w:p w:rsidR="002B0D48" w:rsidRDefault="002B0D48" w:rsidP="00C760CE">
            <w:pPr>
              <w:pStyle w:val="NoSpacing"/>
              <w:jc w:val="right"/>
            </w:pPr>
            <w:r>
              <w:t>$’000</w:t>
            </w:r>
          </w:p>
        </w:tc>
        <w:tc>
          <w:tcPr>
            <w:tcW w:w="1559" w:type="dxa"/>
          </w:tcPr>
          <w:p w:rsidR="002B0D48" w:rsidRDefault="002B0D48" w:rsidP="00C760CE">
            <w:pPr>
              <w:jc w:val="right"/>
            </w:pPr>
            <w:r w:rsidRPr="00A96DE0">
              <w:t>$’000</w:t>
            </w:r>
          </w:p>
        </w:tc>
        <w:tc>
          <w:tcPr>
            <w:tcW w:w="1134" w:type="dxa"/>
          </w:tcPr>
          <w:p w:rsidR="002B0D48" w:rsidRDefault="002B0D48" w:rsidP="00C760CE">
            <w:pPr>
              <w:jc w:val="right"/>
            </w:pPr>
            <w:r w:rsidRPr="00A96DE0">
              <w:t>$’000</w:t>
            </w:r>
          </w:p>
        </w:tc>
        <w:tc>
          <w:tcPr>
            <w:tcW w:w="1276" w:type="dxa"/>
          </w:tcPr>
          <w:p w:rsidR="002B0D48" w:rsidRDefault="002B0D48" w:rsidP="00C760CE">
            <w:pPr>
              <w:jc w:val="right"/>
            </w:pPr>
            <w:r w:rsidRPr="00A96DE0">
              <w:t>$’000</w:t>
            </w:r>
          </w:p>
        </w:tc>
        <w:tc>
          <w:tcPr>
            <w:tcW w:w="1275" w:type="dxa"/>
          </w:tcPr>
          <w:p w:rsidR="002B0D48" w:rsidRDefault="002B0D48" w:rsidP="00C760CE">
            <w:pPr>
              <w:jc w:val="right"/>
            </w:pPr>
            <w:r w:rsidRPr="00A96DE0">
              <w:t>$’000</w:t>
            </w:r>
          </w:p>
        </w:tc>
        <w:tc>
          <w:tcPr>
            <w:tcW w:w="1276" w:type="dxa"/>
          </w:tcPr>
          <w:p w:rsidR="002B0D48" w:rsidRDefault="002B0D48" w:rsidP="00C760CE">
            <w:pPr>
              <w:jc w:val="right"/>
            </w:pPr>
            <w:r w:rsidRPr="00A96DE0">
              <w:t>$’000</w:t>
            </w:r>
          </w:p>
        </w:tc>
      </w:tr>
      <w:tr w:rsidR="002B0D48" w:rsidTr="00C760CE">
        <w:tc>
          <w:tcPr>
            <w:tcW w:w="10632" w:type="dxa"/>
            <w:gridSpan w:val="7"/>
          </w:tcPr>
          <w:p w:rsidR="002B0D48" w:rsidRDefault="002B0D48" w:rsidP="00C760CE">
            <w:pPr>
              <w:pStyle w:val="NoSpacing"/>
            </w:pPr>
            <w:r>
              <w:t>Consolidated 2019</w:t>
            </w:r>
          </w:p>
        </w:tc>
      </w:tr>
      <w:tr w:rsidR="002B0D48" w:rsidTr="00C760CE">
        <w:tc>
          <w:tcPr>
            <w:tcW w:w="2836" w:type="dxa"/>
          </w:tcPr>
          <w:p w:rsidR="002B0D48" w:rsidRDefault="00D075F7" w:rsidP="00C760CE">
            <w:pPr>
              <w:pStyle w:val="NoSpacing"/>
            </w:pPr>
            <w:r>
              <w:t>2019 – Term deposits</w:t>
            </w:r>
          </w:p>
        </w:tc>
        <w:tc>
          <w:tcPr>
            <w:tcW w:w="1276" w:type="dxa"/>
          </w:tcPr>
          <w:p w:rsidR="002B0D48" w:rsidRDefault="00D075F7" w:rsidP="00D075F7">
            <w:pPr>
              <w:pStyle w:val="NoSpacing"/>
              <w:jc w:val="right"/>
            </w:pPr>
            <w:r>
              <w:t>516</w:t>
            </w:r>
          </w:p>
        </w:tc>
        <w:tc>
          <w:tcPr>
            <w:tcW w:w="1559" w:type="dxa"/>
          </w:tcPr>
          <w:p w:rsidR="002B0D48" w:rsidRDefault="00D075F7" w:rsidP="00D075F7">
            <w:pPr>
              <w:pStyle w:val="NoSpacing"/>
              <w:jc w:val="right"/>
            </w:pPr>
            <w:r>
              <w:t>516</w:t>
            </w:r>
          </w:p>
        </w:tc>
        <w:tc>
          <w:tcPr>
            <w:tcW w:w="1134" w:type="dxa"/>
          </w:tcPr>
          <w:p w:rsidR="002B0D48" w:rsidRDefault="00D075F7" w:rsidP="00D075F7">
            <w:pPr>
              <w:pStyle w:val="NoSpacing"/>
              <w:jc w:val="right"/>
            </w:pPr>
            <w:r>
              <w:t>-</w:t>
            </w:r>
          </w:p>
        </w:tc>
        <w:tc>
          <w:tcPr>
            <w:tcW w:w="1276" w:type="dxa"/>
          </w:tcPr>
          <w:p w:rsidR="002B0D48" w:rsidRDefault="00D075F7" w:rsidP="00D075F7">
            <w:pPr>
              <w:pStyle w:val="NoSpacing"/>
              <w:jc w:val="right"/>
            </w:pPr>
            <w:r>
              <w:t>-</w:t>
            </w:r>
          </w:p>
        </w:tc>
        <w:tc>
          <w:tcPr>
            <w:tcW w:w="1275" w:type="dxa"/>
          </w:tcPr>
          <w:p w:rsidR="002B0D48" w:rsidRDefault="00D075F7" w:rsidP="00D075F7">
            <w:pPr>
              <w:pStyle w:val="NoSpacing"/>
              <w:jc w:val="right"/>
            </w:pPr>
            <w:r>
              <w:t>-</w:t>
            </w:r>
          </w:p>
        </w:tc>
        <w:tc>
          <w:tcPr>
            <w:tcW w:w="1276" w:type="dxa"/>
          </w:tcPr>
          <w:p w:rsidR="002B0D48" w:rsidRDefault="00D075F7" w:rsidP="00D075F7">
            <w:pPr>
              <w:pStyle w:val="NoSpacing"/>
              <w:jc w:val="right"/>
            </w:pPr>
            <w:r>
              <w:t>-</w:t>
            </w:r>
          </w:p>
        </w:tc>
      </w:tr>
      <w:tr w:rsidR="002B0D48" w:rsidTr="00C760CE">
        <w:tc>
          <w:tcPr>
            <w:tcW w:w="2836" w:type="dxa"/>
          </w:tcPr>
          <w:p w:rsidR="002B0D48" w:rsidRDefault="00D075F7" w:rsidP="00C760CE">
            <w:pPr>
              <w:pStyle w:val="NoSpacing"/>
            </w:pPr>
            <w:r>
              <w:t xml:space="preserve">Total </w:t>
            </w:r>
          </w:p>
        </w:tc>
        <w:tc>
          <w:tcPr>
            <w:tcW w:w="1276" w:type="dxa"/>
          </w:tcPr>
          <w:p w:rsidR="002B0D48" w:rsidRDefault="00D075F7" w:rsidP="00D075F7">
            <w:pPr>
              <w:pStyle w:val="NoSpacing"/>
              <w:jc w:val="right"/>
            </w:pPr>
            <w:r>
              <w:t>516</w:t>
            </w:r>
          </w:p>
        </w:tc>
        <w:tc>
          <w:tcPr>
            <w:tcW w:w="1559" w:type="dxa"/>
          </w:tcPr>
          <w:p w:rsidR="002B0D48" w:rsidRDefault="00D075F7" w:rsidP="00D075F7">
            <w:pPr>
              <w:pStyle w:val="NoSpacing"/>
              <w:jc w:val="right"/>
            </w:pPr>
            <w:r>
              <w:t>516</w:t>
            </w:r>
          </w:p>
        </w:tc>
        <w:tc>
          <w:tcPr>
            <w:tcW w:w="1134" w:type="dxa"/>
          </w:tcPr>
          <w:p w:rsidR="002B0D48" w:rsidRDefault="00D075F7" w:rsidP="00D075F7">
            <w:pPr>
              <w:pStyle w:val="NoSpacing"/>
              <w:jc w:val="right"/>
            </w:pPr>
            <w:r>
              <w:t>-</w:t>
            </w:r>
          </w:p>
        </w:tc>
        <w:tc>
          <w:tcPr>
            <w:tcW w:w="1276" w:type="dxa"/>
          </w:tcPr>
          <w:p w:rsidR="002B0D48" w:rsidRDefault="00D075F7" w:rsidP="00D075F7">
            <w:pPr>
              <w:pStyle w:val="NoSpacing"/>
              <w:jc w:val="right"/>
            </w:pPr>
            <w:r>
              <w:t>-</w:t>
            </w:r>
          </w:p>
        </w:tc>
        <w:tc>
          <w:tcPr>
            <w:tcW w:w="1275" w:type="dxa"/>
          </w:tcPr>
          <w:p w:rsidR="002B0D48" w:rsidRDefault="00D075F7" w:rsidP="00D075F7">
            <w:pPr>
              <w:pStyle w:val="NoSpacing"/>
              <w:jc w:val="right"/>
            </w:pPr>
            <w:r>
              <w:t>-</w:t>
            </w:r>
          </w:p>
        </w:tc>
        <w:tc>
          <w:tcPr>
            <w:tcW w:w="1276" w:type="dxa"/>
          </w:tcPr>
          <w:p w:rsidR="002B0D48" w:rsidRDefault="00D075F7" w:rsidP="00D075F7">
            <w:pPr>
              <w:pStyle w:val="NoSpacing"/>
              <w:jc w:val="right"/>
            </w:pPr>
            <w:r>
              <w:t>-</w:t>
            </w:r>
          </w:p>
        </w:tc>
      </w:tr>
    </w:tbl>
    <w:p w:rsidR="002B0D48" w:rsidRDefault="002B0D48" w:rsidP="002B0D48">
      <w:pPr>
        <w:pStyle w:val="NoSpacing"/>
      </w:pPr>
    </w:p>
    <w:tbl>
      <w:tblPr>
        <w:tblStyle w:val="TableGrid"/>
        <w:tblW w:w="10632" w:type="dxa"/>
        <w:tblInd w:w="-856" w:type="dxa"/>
        <w:tblLook w:val="04A0" w:firstRow="1" w:lastRow="0" w:firstColumn="1" w:lastColumn="0" w:noHBand="0" w:noVBand="1"/>
      </w:tblPr>
      <w:tblGrid>
        <w:gridCol w:w="2836"/>
        <w:gridCol w:w="1276"/>
        <w:gridCol w:w="1559"/>
        <w:gridCol w:w="1134"/>
        <w:gridCol w:w="1276"/>
        <w:gridCol w:w="1275"/>
        <w:gridCol w:w="1276"/>
      </w:tblGrid>
      <w:tr w:rsidR="002B0D48" w:rsidTr="00C760CE">
        <w:tc>
          <w:tcPr>
            <w:tcW w:w="10632" w:type="dxa"/>
            <w:gridSpan w:val="7"/>
          </w:tcPr>
          <w:p w:rsidR="002B0D48" w:rsidRDefault="002B0D48" w:rsidP="00C760CE">
            <w:pPr>
              <w:pStyle w:val="NoSpacing"/>
            </w:pPr>
            <w:r>
              <w:t>Consolidated 2018</w:t>
            </w:r>
          </w:p>
        </w:tc>
      </w:tr>
      <w:tr w:rsidR="002B0D48" w:rsidTr="00D075F7">
        <w:tc>
          <w:tcPr>
            <w:tcW w:w="2836" w:type="dxa"/>
          </w:tcPr>
          <w:p w:rsidR="002B0D48" w:rsidRDefault="00D075F7" w:rsidP="00C760CE">
            <w:pPr>
              <w:pStyle w:val="NoSpacing"/>
            </w:pPr>
            <w:r>
              <w:t>2018 – Term deposits</w:t>
            </w:r>
          </w:p>
        </w:tc>
        <w:tc>
          <w:tcPr>
            <w:tcW w:w="1276" w:type="dxa"/>
          </w:tcPr>
          <w:p w:rsidR="002B0D48" w:rsidRDefault="00D075F7" w:rsidP="00D075F7">
            <w:pPr>
              <w:pStyle w:val="NoSpacing"/>
              <w:jc w:val="right"/>
            </w:pPr>
            <w:r>
              <w:t>26,387</w:t>
            </w:r>
          </w:p>
        </w:tc>
        <w:tc>
          <w:tcPr>
            <w:tcW w:w="1559" w:type="dxa"/>
          </w:tcPr>
          <w:p w:rsidR="002B0D48" w:rsidRDefault="00D075F7" w:rsidP="00D075F7">
            <w:pPr>
              <w:pStyle w:val="NoSpacing"/>
              <w:jc w:val="right"/>
            </w:pPr>
            <w:r>
              <w:t>26,387</w:t>
            </w:r>
          </w:p>
        </w:tc>
        <w:tc>
          <w:tcPr>
            <w:tcW w:w="1134" w:type="dxa"/>
          </w:tcPr>
          <w:p w:rsidR="002B0D48" w:rsidRDefault="00D075F7" w:rsidP="00D075F7">
            <w:pPr>
              <w:pStyle w:val="NoSpacing"/>
              <w:jc w:val="right"/>
            </w:pPr>
            <w:r>
              <w:t>-</w:t>
            </w:r>
          </w:p>
        </w:tc>
        <w:tc>
          <w:tcPr>
            <w:tcW w:w="1276" w:type="dxa"/>
          </w:tcPr>
          <w:p w:rsidR="002B0D48" w:rsidRDefault="00D075F7" w:rsidP="00D075F7">
            <w:pPr>
              <w:pStyle w:val="NoSpacing"/>
              <w:jc w:val="right"/>
            </w:pPr>
            <w:r>
              <w:t>-</w:t>
            </w:r>
          </w:p>
        </w:tc>
        <w:tc>
          <w:tcPr>
            <w:tcW w:w="1275" w:type="dxa"/>
          </w:tcPr>
          <w:p w:rsidR="002B0D48" w:rsidRDefault="00D075F7" w:rsidP="00D075F7">
            <w:pPr>
              <w:pStyle w:val="NoSpacing"/>
              <w:jc w:val="right"/>
            </w:pPr>
            <w:r>
              <w:t>-</w:t>
            </w:r>
          </w:p>
        </w:tc>
        <w:tc>
          <w:tcPr>
            <w:tcW w:w="1276" w:type="dxa"/>
          </w:tcPr>
          <w:p w:rsidR="002B0D48" w:rsidRDefault="00D075F7" w:rsidP="00D075F7">
            <w:pPr>
              <w:pStyle w:val="NoSpacing"/>
              <w:jc w:val="right"/>
            </w:pPr>
            <w:r>
              <w:t>-</w:t>
            </w:r>
          </w:p>
        </w:tc>
      </w:tr>
      <w:tr w:rsidR="002B0D48" w:rsidTr="00D075F7">
        <w:tc>
          <w:tcPr>
            <w:tcW w:w="2836" w:type="dxa"/>
          </w:tcPr>
          <w:p w:rsidR="002B0D48" w:rsidRDefault="00D075F7" w:rsidP="00C760CE">
            <w:pPr>
              <w:pStyle w:val="NoSpacing"/>
            </w:pPr>
            <w:r>
              <w:t xml:space="preserve">Total </w:t>
            </w:r>
          </w:p>
        </w:tc>
        <w:tc>
          <w:tcPr>
            <w:tcW w:w="1276" w:type="dxa"/>
          </w:tcPr>
          <w:p w:rsidR="002B0D48" w:rsidRDefault="00D075F7" w:rsidP="00D075F7">
            <w:pPr>
              <w:pStyle w:val="NoSpacing"/>
              <w:jc w:val="right"/>
            </w:pPr>
            <w:r>
              <w:t>26,387</w:t>
            </w:r>
          </w:p>
        </w:tc>
        <w:tc>
          <w:tcPr>
            <w:tcW w:w="1559" w:type="dxa"/>
          </w:tcPr>
          <w:p w:rsidR="002B0D48" w:rsidRDefault="00D075F7" w:rsidP="00D075F7">
            <w:pPr>
              <w:pStyle w:val="NoSpacing"/>
              <w:jc w:val="right"/>
            </w:pPr>
            <w:r>
              <w:t>26,387</w:t>
            </w:r>
          </w:p>
        </w:tc>
        <w:tc>
          <w:tcPr>
            <w:tcW w:w="1134" w:type="dxa"/>
          </w:tcPr>
          <w:p w:rsidR="002B0D48" w:rsidRDefault="00D075F7" w:rsidP="00D075F7">
            <w:pPr>
              <w:pStyle w:val="NoSpacing"/>
              <w:jc w:val="right"/>
            </w:pPr>
            <w:r>
              <w:t>-</w:t>
            </w:r>
          </w:p>
        </w:tc>
        <w:tc>
          <w:tcPr>
            <w:tcW w:w="1276" w:type="dxa"/>
          </w:tcPr>
          <w:p w:rsidR="002B0D48" w:rsidRDefault="00D075F7" w:rsidP="00D075F7">
            <w:pPr>
              <w:pStyle w:val="NoSpacing"/>
              <w:jc w:val="right"/>
            </w:pPr>
            <w:r>
              <w:t>-</w:t>
            </w:r>
          </w:p>
        </w:tc>
        <w:tc>
          <w:tcPr>
            <w:tcW w:w="1275" w:type="dxa"/>
          </w:tcPr>
          <w:p w:rsidR="002B0D48" w:rsidRDefault="00D075F7" w:rsidP="00D075F7">
            <w:pPr>
              <w:pStyle w:val="NoSpacing"/>
              <w:jc w:val="right"/>
            </w:pPr>
            <w:r>
              <w:t>-</w:t>
            </w:r>
          </w:p>
        </w:tc>
        <w:tc>
          <w:tcPr>
            <w:tcW w:w="1276" w:type="dxa"/>
          </w:tcPr>
          <w:p w:rsidR="002B0D48" w:rsidRDefault="00D075F7" w:rsidP="00D075F7">
            <w:pPr>
              <w:pStyle w:val="NoSpacing"/>
              <w:jc w:val="right"/>
            </w:pPr>
            <w:r>
              <w:t>-</w:t>
            </w:r>
          </w:p>
        </w:tc>
      </w:tr>
    </w:tbl>
    <w:p w:rsidR="002B0D48" w:rsidRDefault="002B0D48" w:rsidP="002B0D48">
      <w:pPr>
        <w:pStyle w:val="NoSpacing"/>
      </w:pPr>
    </w:p>
    <w:tbl>
      <w:tblPr>
        <w:tblStyle w:val="TableGrid"/>
        <w:tblW w:w="10632" w:type="dxa"/>
        <w:tblInd w:w="-856" w:type="dxa"/>
        <w:tblLook w:val="04A0" w:firstRow="1" w:lastRow="0" w:firstColumn="1" w:lastColumn="0" w:noHBand="0" w:noVBand="1"/>
      </w:tblPr>
      <w:tblGrid>
        <w:gridCol w:w="2836"/>
        <w:gridCol w:w="1276"/>
        <w:gridCol w:w="1559"/>
        <w:gridCol w:w="1134"/>
        <w:gridCol w:w="1276"/>
        <w:gridCol w:w="1275"/>
        <w:gridCol w:w="1276"/>
      </w:tblGrid>
      <w:tr w:rsidR="002B0D48" w:rsidTr="00C760CE">
        <w:tc>
          <w:tcPr>
            <w:tcW w:w="10632" w:type="dxa"/>
            <w:gridSpan w:val="7"/>
          </w:tcPr>
          <w:p w:rsidR="002B0D48" w:rsidRDefault="002B0D48" w:rsidP="00C760CE">
            <w:pPr>
              <w:pStyle w:val="NoSpacing"/>
            </w:pPr>
            <w:r>
              <w:t>Chisholm 2019</w:t>
            </w:r>
          </w:p>
        </w:tc>
      </w:tr>
      <w:tr w:rsidR="002B0D48" w:rsidTr="00D075F7">
        <w:tc>
          <w:tcPr>
            <w:tcW w:w="2836" w:type="dxa"/>
          </w:tcPr>
          <w:p w:rsidR="002B0D48" w:rsidRDefault="00D075F7" w:rsidP="00C760CE">
            <w:pPr>
              <w:pStyle w:val="NoSpacing"/>
            </w:pPr>
            <w:r>
              <w:t>Investments in subsidiary</w:t>
            </w:r>
          </w:p>
        </w:tc>
        <w:tc>
          <w:tcPr>
            <w:tcW w:w="1276" w:type="dxa"/>
          </w:tcPr>
          <w:p w:rsidR="002B0D48" w:rsidRDefault="00D075F7" w:rsidP="00D075F7">
            <w:pPr>
              <w:pStyle w:val="NoSpacing"/>
              <w:jc w:val="right"/>
            </w:pPr>
            <w:r>
              <w:t>6,000</w:t>
            </w:r>
          </w:p>
        </w:tc>
        <w:tc>
          <w:tcPr>
            <w:tcW w:w="1559" w:type="dxa"/>
          </w:tcPr>
          <w:p w:rsidR="002B0D48" w:rsidRDefault="00D075F7" w:rsidP="00D075F7">
            <w:pPr>
              <w:pStyle w:val="NoSpacing"/>
              <w:jc w:val="right"/>
            </w:pPr>
            <w:r>
              <w:t>6,000</w:t>
            </w:r>
          </w:p>
        </w:tc>
        <w:tc>
          <w:tcPr>
            <w:tcW w:w="1134" w:type="dxa"/>
          </w:tcPr>
          <w:p w:rsidR="002B0D48" w:rsidRDefault="00D075F7" w:rsidP="00D075F7">
            <w:pPr>
              <w:pStyle w:val="NoSpacing"/>
              <w:jc w:val="right"/>
            </w:pPr>
            <w:r>
              <w:t>-</w:t>
            </w:r>
          </w:p>
        </w:tc>
        <w:tc>
          <w:tcPr>
            <w:tcW w:w="1276" w:type="dxa"/>
          </w:tcPr>
          <w:p w:rsidR="002B0D48" w:rsidRDefault="00D075F7" w:rsidP="00D075F7">
            <w:pPr>
              <w:pStyle w:val="NoSpacing"/>
              <w:jc w:val="right"/>
            </w:pPr>
            <w:r>
              <w:t>-</w:t>
            </w:r>
          </w:p>
        </w:tc>
        <w:tc>
          <w:tcPr>
            <w:tcW w:w="1275" w:type="dxa"/>
          </w:tcPr>
          <w:p w:rsidR="002B0D48" w:rsidRDefault="00D075F7" w:rsidP="00D075F7">
            <w:pPr>
              <w:pStyle w:val="NoSpacing"/>
              <w:jc w:val="right"/>
            </w:pPr>
            <w:r>
              <w:t>-</w:t>
            </w:r>
          </w:p>
        </w:tc>
        <w:tc>
          <w:tcPr>
            <w:tcW w:w="1276" w:type="dxa"/>
          </w:tcPr>
          <w:p w:rsidR="002B0D48" w:rsidRDefault="00D075F7" w:rsidP="00D075F7">
            <w:pPr>
              <w:pStyle w:val="NoSpacing"/>
              <w:jc w:val="right"/>
            </w:pPr>
            <w:r>
              <w:t>-</w:t>
            </w:r>
          </w:p>
        </w:tc>
      </w:tr>
      <w:tr w:rsidR="002B0D48" w:rsidTr="00D075F7">
        <w:tc>
          <w:tcPr>
            <w:tcW w:w="2836" w:type="dxa"/>
          </w:tcPr>
          <w:p w:rsidR="002B0D48" w:rsidRDefault="00D075F7" w:rsidP="00C760CE">
            <w:pPr>
              <w:pStyle w:val="NoSpacing"/>
            </w:pPr>
            <w:r>
              <w:t xml:space="preserve">Total </w:t>
            </w:r>
          </w:p>
        </w:tc>
        <w:tc>
          <w:tcPr>
            <w:tcW w:w="1276" w:type="dxa"/>
          </w:tcPr>
          <w:p w:rsidR="002B0D48" w:rsidRDefault="00D075F7" w:rsidP="00D075F7">
            <w:pPr>
              <w:pStyle w:val="NoSpacing"/>
              <w:jc w:val="right"/>
            </w:pPr>
            <w:r>
              <w:t>6,000</w:t>
            </w:r>
          </w:p>
        </w:tc>
        <w:tc>
          <w:tcPr>
            <w:tcW w:w="1559" w:type="dxa"/>
          </w:tcPr>
          <w:p w:rsidR="002B0D48" w:rsidRDefault="00D075F7" w:rsidP="00D075F7">
            <w:pPr>
              <w:pStyle w:val="NoSpacing"/>
              <w:jc w:val="right"/>
            </w:pPr>
            <w:r>
              <w:t>6,000</w:t>
            </w:r>
          </w:p>
        </w:tc>
        <w:tc>
          <w:tcPr>
            <w:tcW w:w="1134" w:type="dxa"/>
          </w:tcPr>
          <w:p w:rsidR="002B0D48" w:rsidRDefault="00D075F7" w:rsidP="00D075F7">
            <w:pPr>
              <w:pStyle w:val="NoSpacing"/>
              <w:jc w:val="right"/>
            </w:pPr>
            <w:r>
              <w:t>-</w:t>
            </w:r>
          </w:p>
        </w:tc>
        <w:tc>
          <w:tcPr>
            <w:tcW w:w="1276" w:type="dxa"/>
          </w:tcPr>
          <w:p w:rsidR="002B0D48" w:rsidRDefault="00D075F7" w:rsidP="00D075F7">
            <w:pPr>
              <w:pStyle w:val="NoSpacing"/>
              <w:jc w:val="right"/>
            </w:pPr>
            <w:r>
              <w:t>-</w:t>
            </w:r>
          </w:p>
        </w:tc>
        <w:tc>
          <w:tcPr>
            <w:tcW w:w="1275" w:type="dxa"/>
          </w:tcPr>
          <w:p w:rsidR="002B0D48" w:rsidRDefault="00D075F7" w:rsidP="00D075F7">
            <w:pPr>
              <w:pStyle w:val="NoSpacing"/>
              <w:jc w:val="right"/>
            </w:pPr>
            <w:r>
              <w:t>-</w:t>
            </w:r>
          </w:p>
        </w:tc>
        <w:tc>
          <w:tcPr>
            <w:tcW w:w="1276" w:type="dxa"/>
          </w:tcPr>
          <w:p w:rsidR="002B0D48" w:rsidRDefault="00D075F7" w:rsidP="00D075F7">
            <w:pPr>
              <w:pStyle w:val="NoSpacing"/>
              <w:jc w:val="right"/>
            </w:pPr>
            <w:r>
              <w:t>-</w:t>
            </w:r>
          </w:p>
        </w:tc>
      </w:tr>
    </w:tbl>
    <w:p w:rsidR="002B0D48" w:rsidRDefault="002B0D48" w:rsidP="002B0D48">
      <w:pPr>
        <w:pStyle w:val="NoSpacing"/>
      </w:pPr>
    </w:p>
    <w:tbl>
      <w:tblPr>
        <w:tblStyle w:val="TableGrid"/>
        <w:tblW w:w="10632" w:type="dxa"/>
        <w:tblInd w:w="-856" w:type="dxa"/>
        <w:tblLook w:val="04A0" w:firstRow="1" w:lastRow="0" w:firstColumn="1" w:lastColumn="0" w:noHBand="0" w:noVBand="1"/>
      </w:tblPr>
      <w:tblGrid>
        <w:gridCol w:w="2836"/>
        <w:gridCol w:w="1276"/>
        <w:gridCol w:w="1559"/>
        <w:gridCol w:w="1134"/>
        <w:gridCol w:w="1276"/>
        <w:gridCol w:w="1275"/>
        <w:gridCol w:w="1276"/>
      </w:tblGrid>
      <w:tr w:rsidR="002B0D48" w:rsidTr="00C760CE">
        <w:tc>
          <w:tcPr>
            <w:tcW w:w="10632" w:type="dxa"/>
            <w:gridSpan w:val="7"/>
          </w:tcPr>
          <w:p w:rsidR="002B0D48" w:rsidRDefault="002B0D48" w:rsidP="00C760CE">
            <w:pPr>
              <w:pStyle w:val="NoSpacing"/>
            </w:pPr>
            <w:r>
              <w:t>Chisholm 2018</w:t>
            </w:r>
          </w:p>
        </w:tc>
      </w:tr>
      <w:tr w:rsidR="002B0D48" w:rsidTr="00D075F7">
        <w:tc>
          <w:tcPr>
            <w:tcW w:w="2836" w:type="dxa"/>
          </w:tcPr>
          <w:p w:rsidR="002B0D48" w:rsidRDefault="00D075F7" w:rsidP="00C760CE">
            <w:pPr>
              <w:pStyle w:val="NoSpacing"/>
            </w:pPr>
            <w:r>
              <w:t xml:space="preserve">2018 – Term deposits </w:t>
            </w:r>
          </w:p>
        </w:tc>
        <w:tc>
          <w:tcPr>
            <w:tcW w:w="1276" w:type="dxa"/>
          </w:tcPr>
          <w:p w:rsidR="002B0D48" w:rsidRDefault="00D075F7" w:rsidP="00D075F7">
            <w:pPr>
              <w:pStyle w:val="NoSpacing"/>
              <w:jc w:val="right"/>
            </w:pPr>
            <w:r>
              <w:t>25,000</w:t>
            </w:r>
          </w:p>
        </w:tc>
        <w:tc>
          <w:tcPr>
            <w:tcW w:w="1559" w:type="dxa"/>
          </w:tcPr>
          <w:p w:rsidR="002B0D48" w:rsidRDefault="00D075F7" w:rsidP="00D075F7">
            <w:pPr>
              <w:pStyle w:val="NoSpacing"/>
              <w:jc w:val="right"/>
            </w:pPr>
            <w:r>
              <w:t>25,000</w:t>
            </w:r>
          </w:p>
        </w:tc>
        <w:tc>
          <w:tcPr>
            <w:tcW w:w="1134" w:type="dxa"/>
          </w:tcPr>
          <w:p w:rsidR="002B0D48" w:rsidRDefault="00D075F7" w:rsidP="00D075F7">
            <w:pPr>
              <w:pStyle w:val="NoSpacing"/>
              <w:jc w:val="right"/>
            </w:pPr>
            <w:r>
              <w:t>-</w:t>
            </w:r>
          </w:p>
        </w:tc>
        <w:tc>
          <w:tcPr>
            <w:tcW w:w="1276" w:type="dxa"/>
          </w:tcPr>
          <w:p w:rsidR="002B0D48" w:rsidRDefault="00D075F7" w:rsidP="00D075F7">
            <w:pPr>
              <w:pStyle w:val="NoSpacing"/>
              <w:jc w:val="right"/>
            </w:pPr>
            <w:r>
              <w:t>-</w:t>
            </w:r>
          </w:p>
        </w:tc>
        <w:tc>
          <w:tcPr>
            <w:tcW w:w="1275" w:type="dxa"/>
          </w:tcPr>
          <w:p w:rsidR="002B0D48" w:rsidRDefault="00D075F7" w:rsidP="00D075F7">
            <w:pPr>
              <w:pStyle w:val="NoSpacing"/>
              <w:jc w:val="right"/>
            </w:pPr>
            <w:r>
              <w:t>-</w:t>
            </w:r>
          </w:p>
        </w:tc>
        <w:tc>
          <w:tcPr>
            <w:tcW w:w="1276" w:type="dxa"/>
          </w:tcPr>
          <w:p w:rsidR="002B0D48" w:rsidRDefault="00D075F7" w:rsidP="00D075F7">
            <w:pPr>
              <w:pStyle w:val="NoSpacing"/>
              <w:jc w:val="right"/>
            </w:pPr>
            <w:r>
              <w:t>-</w:t>
            </w:r>
          </w:p>
        </w:tc>
      </w:tr>
      <w:tr w:rsidR="002B0D48" w:rsidTr="00D075F7">
        <w:tc>
          <w:tcPr>
            <w:tcW w:w="2836" w:type="dxa"/>
          </w:tcPr>
          <w:p w:rsidR="002B0D48" w:rsidRDefault="00D075F7" w:rsidP="00C760CE">
            <w:pPr>
              <w:pStyle w:val="NoSpacing"/>
            </w:pPr>
            <w:r>
              <w:t xml:space="preserve">Investments is subsidiary </w:t>
            </w:r>
          </w:p>
        </w:tc>
        <w:tc>
          <w:tcPr>
            <w:tcW w:w="1276" w:type="dxa"/>
          </w:tcPr>
          <w:p w:rsidR="002B0D48" w:rsidRDefault="00D075F7" w:rsidP="00D075F7">
            <w:pPr>
              <w:pStyle w:val="NoSpacing"/>
              <w:jc w:val="right"/>
            </w:pPr>
            <w:r>
              <w:t>6,000</w:t>
            </w:r>
          </w:p>
        </w:tc>
        <w:tc>
          <w:tcPr>
            <w:tcW w:w="1559" w:type="dxa"/>
          </w:tcPr>
          <w:p w:rsidR="002B0D48" w:rsidRDefault="00D075F7" w:rsidP="00D075F7">
            <w:pPr>
              <w:pStyle w:val="NoSpacing"/>
              <w:jc w:val="right"/>
            </w:pPr>
            <w:r>
              <w:t>6,000</w:t>
            </w:r>
          </w:p>
        </w:tc>
        <w:tc>
          <w:tcPr>
            <w:tcW w:w="1134" w:type="dxa"/>
          </w:tcPr>
          <w:p w:rsidR="002B0D48" w:rsidRDefault="00D075F7" w:rsidP="00D075F7">
            <w:pPr>
              <w:pStyle w:val="NoSpacing"/>
              <w:jc w:val="right"/>
            </w:pPr>
            <w:r>
              <w:t>-</w:t>
            </w:r>
          </w:p>
        </w:tc>
        <w:tc>
          <w:tcPr>
            <w:tcW w:w="1276" w:type="dxa"/>
          </w:tcPr>
          <w:p w:rsidR="002B0D48" w:rsidRDefault="00D075F7" w:rsidP="00D075F7">
            <w:pPr>
              <w:pStyle w:val="NoSpacing"/>
              <w:jc w:val="right"/>
            </w:pPr>
            <w:r>
              <w:t>-</w:t>
            </w:r>
          </w:p>
        </w:tc>
        <w:tc>
          <w:tcPr>
            <w:tcW w:w="1275" w:type="dxa"/>
          </w:tcPr>
          <w:p w:rsidR="002B0D48" w:rsidRDefault="00D075F7" w:rsidP="00D075F7">
            <w:pPr>
              <w:pStyle w:val="NoSpacing"/>
              <w:jc w:val="right"/>
            </w:pPr>
            <w:r>
              <w:t>-</w:t>
            </w:r>
          </w:p>
        </w:tc>
        <w:tc>
          <w:tcPr>
            <w:tcW w:w="1276" w:type="dxa"/>
          </w:tcPr>
          <w:p w:rsidR="002B0D48" w:rsidRDefault="00D075F7" w:rsidP="00D075F7">
            <w:pPr>
              <w:pStyle w:val="NoSpacing"/>
              <w:jc w:val="right"/>
            </w:pPr>
            <w:r>
              <w:t>-</w:t>
            </w:r>
          </w:p>
        </w:tc>
      </w:tr>
      <w:tr w:rsidR="00D075F7" w:rsidTr="00D075F7">
        <w:tc>
          <w:tcPr>
            <w:tcW w:w="2836" w:type="dxa"/>
          </w:tcPr>
          <w:p w:rsidR="00D075F7" w:rsidRDefault="00D075F7" w:rsidP="00C760CE">
            <w:pPr>
              <w:pStyle w:val="NoSpacing"/>
            </w:pPr>
            <w:r>
              <w:t xml:space="preserve">Total </w:t>
            </w:r>
          </w:p>
        </w:tc>
        <w:tc>
          <w:tcPr>
            <w:tcW w:w="1276" w:type="dxa"/>
          </w:tcPr>
          <w:p w:rsidR="00D075F7" w:rsidRDefault="00D075F7" w:rsidP="00D075F7">
            <w:pPr>
              <w:pStyle w:val="NoSpacing"/>
              <w:jc w:val="right"/>
            </w:pPr>
            <w:r>
              <w:t>31,000</w:t>
            </w:r>
          </w:p>
        </w:tc>
        <w:tc>
          <w:tcPr>
            <w:tcW w:w="1559" w:type="dxa"/>
          </w:tcPr>
          <w:p w:rsidR="00D075F7" w:rsidRDefault="00D075F7" w:rsidP="00D075F7">
            <w:pPr>
              <w:pStyle w:val="NoSpacing"/>
              <w:jc w:val="right"/>
            </w:pPr>
            <w:r>
              <w:t>31,000</w:t>
            </w:r>
          </w:p>
        </w:tc>
        <w:tc>
          <w:tcPr>
            <w:tcW w:w="1134" w:type="dxa"/>
          </w:tcPr>
          <w:p w:rsidR="00D075F7" w:rsidRDefault="00D075F7" w:rsidP="00D075F7">
            <w:pPr>
              <w:pStyle w:val="NoSpacing"/>
              <w:jc w:val="right"/>
            </w:pPr>
            <w:r>
              <w:t>-</w:t>
            </w:r>
          </w:p>
        </w:tc>
        <w:tc>
          <w:tcPr>
            <w:tcW w:w="1276" w:type="dxa"/>
          </w:tcPr>
          <w:p w:rsidR="00D075F7" w:rsidRDefault="00D075F7" w:rsidP="00D075F7">
            <w:pPr>
              <w:pStyle w:val="NoSpacing"/>
              <w:jc w:val="right"/>
            </w:pPr>
            <w:r>
              <w:t>-</w:t>
            </w:r>
          </w:p>
        </w:tc>
        <w:tc>
          <w:tcPr>
            <w:tcW w:w="1275" w:type="dxa"/>
          </w:tcPr>
          <w:p w:rsidR="00D075F7" w:rsidRDefault="00D075F7" w:rsidP="00D075F7">
            <w:pPr>
              <w:pStyle w:val="NoSpacing"/>
              <w:jc w:val="right"/>
            </w:pPr>
            <w:r>
              <w:t>-</w:t>
            </w:r>
          </w:p>
        </w:tc>
        <w:tc>
          <w:tcPr>
            <w:tcW w:w="1276" w:type="dxa"/>
          </w:tcPr>
          <w:p w:rsidR="00D075F7" w:rsidRDefault="00D075F7" w:rsidP="00D075F7">
            <w:pPr>
              <w:pStyle w:val="NoSpacing"/>
              <w:jc w:val="right"/>
            </w:pPr>
            <w:r>
              <w:t>-</w:t>
            </w:r>
          </w:p>
        </w:tc>
      </w:tr>
    </w:tbl>
    <w:p w:rsidR="002B0D48" w:rsidRDefault="002B0D48" w:rsidP="002B0D48">
      <w:pPr>
        <w:pStyle w:val="NoSpacing"/>
      </w:pPr>
    </w:p>
    <w:p w:rsidR="002B0D48" w:rsidRDefault="00D075F7" w:rsidP="00F02D69">
      <w:pPr>
        <w:pStyle w:val="NoSpacing"/>
      </w:pPr>
      <w:r>
        <w:t>&lt;page 72&gt;</w:t>
      </w:r>
    </w:p>
    <w:p w:rsidR="00D075F7" w:rsidRDefault="00D075F7" w:rsidP="00F02D69">
      <w:pPr>
        <w:pStyle w:val="NoSpacing"/>
      </w:pPr>
    </w:p>
    <w:p w:rsidR="003B6CF1" w:rsidRDefault="003B6CF1" w:rsidP="00F02D69">
      <w:pPr>
        <w:pStyle w:val="NoSpacing"/>
      </w:pPr>
    </w:p>
    <w:p w:rsidR="00BE54A0" w:rsidRDefault="00BE54A0" w:rsidP="00BB3C82">
      <w:pPr>
        <w:pStyle w:val="Heading2"/>
      </w:pPr>
      <w:r>
        <w:t xml:space="preserve">5. Balances from operations </w:t>
      </w:r>
    </w:p>
    <w:p w:rsidR="00406A46" w:rsidRDefault="00406A46" w:rsidP="00406A46">
      <w:pPr>
        <w:pStyle w:val="NoSpacing"/>
      </w:pPr>
    </w:p>
    <w:p w:rsidR="00BE54A0" w:rsidRDefault="00BE54A0" w:rsidP="00406A46">
      <w:pPr>
        <w:pStyle w:val="Heading3"/>
      </w:pPr>
      <w:r>
        <w:t>5.1 Receivables</w:t>
      </w: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BE54A0" w:rsidTr="00831DE5">
        <w:trPr>
          <w:gridBefore w:val="1"/>
          <w:wBefore w:w="5529" w:type="dxa"/>
        </w:trPr>
        <w:tc>
          <w:tcPr>
            <w:tcW w:w="2552" w:type="dxa"/>
            <w:gridSpan w:val="2"/>
          </w:tcPr>
          <w:p w:rsidR="00BE54A0" w:rsidRDefault="00BE54A0" w:rsidP="00831DE5">
            <w:pPr>
              <w:pStyle w:val="NoSpacing"/>
              <w:jc w:val="right"/>
            </w:pPr>
            <w:r>
              <w:t>Consolidated</w:t>
            </w:r>
          </w:p>
        </w:tc>
        <w:tc>
          <w:tcPr>
            <w:tcW w:w="2551" w:type="dxa"/>
            <w:gridSpan w:val="2"/>
          </w:tcPr>
          <w:p w:rsidR="00BE54A0" w:rsidRDefault="00BE54A0" w:rsidP="00831DE5">
            <w:pPr>
              <w:pStyle w:val="NoSpacing"/>
              <w:jc w:val="right"/>
            </w:pPr>
            <w:r>
              <w:t>Chisholm</w:t>
            </w:r>
          </w:p>
        </w:tc>
      </w:tr>
      <w:tr w:rsidR="00BE54A0" w:rsidTr="00831DE5">
        <w:trPr>
          <w:gridBefore w:val="1"/>
          <w:wBefore w:w="5529" w:type="dxa"/>
        </w:trPr>
        <w:tc>
          <w:tcPr>
            <w:tcW w:w="1276" w:type="dxa"/>
          </w:tcPr>
          <w:p w:rsidR="00BE54A0" w:rsidRDefault="00BE54A0" w:rsidP="00831DE5">
            <w:pPr>
              <w:pStyle w:val="NoSpacing"/>
              <w:jc w:val="right"/>
            </w:pPr>
            <w:r>
              <w:t>2019</w:t>
            </w:r>
          </w:p>
        </w:tc>
        <w:tc>
          <w:tcPr>
            <w:tcW w:w="1276" w:type="dxa"/>
          </w:tcPr>
          <w:p w:rsidR="00BE54A0" w:rsidRDefault="00BE54A0" w:rsidP="00831DE5">
            <w:pPr>
              <w:pStyle w:val="NoSpacing"/>
              <w:jc w:val="right"/>
            </w:pPr>
            <w:r>
              <w:t>2018</w:t>
            </w:r>
          </w:p>
        </w:tc>
        <w:tc>
          <w:tcPr>
            <w:tcW w:w="1275" w:type="dxa"/>
          </w:tcPr>
          <w:p w:rsidR="00BE54A0" w:rsidRDefault="00BE54A0" w:rsidP="00831DE5">
            <w:pPr>
              <w:pStyle w:val="NoSpacing"/>
              <w:jc w:val="right"/>
            </w:pPr>
            <w:r>
              <w:t>2019</w:t>
            </w:r>
          </w:p>
        </w:tc>
        <w:tc>
          <w:tcPr>
            <w:tcW w:w="1276" w:type="dxa"/>
          </w:tcPr>
          <w:p w:rsidR="00BE54A0" w:rsidRDefault="00BE54A0" w:rsidP="00831DE5">
            <w:pPr>
              <w:pStyle w:val="NoSpacing"/>
              <w:jc w:val="right"/>
            </w:pPr>
            <w:r>
              <w:t>2018</w:t>
            </w:r>
          </w:p>
        </w:tc>
      </w:tr>
      <w:tr w:rsidR="00BE54A0" w:rsidTr="00831DE5">
        <w:trPr>
          <w:gridBefore w:val="1"/>
          <w:wBefore w:w="5529" w:type="dxa"/>
        </w:trPr>
        <w:tc>
          <w:tcPr>
            <w:tcW w:w="1276" w:type="dxa"/>
          </w:tcPr>
          <w:p w:rsidR="00BE54A0" w:rsidRDefault="00BE54A0" w:rsidP="00831DE5">
            <w:pPr>
              <w:pStyle w:val="NoSpacing"/>
              <w:jc w:val="right"/>
            </w:pPr>
            <w:r>
              <w:t>$’000</w:t>
            </w:r>
          </w:p>
        </w:tc>
        <w:tc>
          <w:tcPr>
            <w:tcW w:w="1276" w:type="dxa"/>
          </w:tcPr>
          <w:p w:rsidR="00BE54A0" w:rsidRDefault="00BE54A0" w:rsidP="00831DE5">
            <w:pPr>
              <w:jc w:val="right"/>
            </w:pPr>
            <w:r w:rsidRPr="00105D59">
              <w:t>$’000</w:t>
            </w:r>
          </w:p>
        </w:tc>
        <w:tc>
          <w:tcPr>
            <w:tcW w:w="1275" w:type="dxa"/>
          </w:tcPr>
          <w:p w:rsidR="00BE54A0" w:rsidRDefault="00BE54A0" w:rsidP="00831DE5">
            <w:pPr>
              <w:jc w:val="right"/>
            </w:pPr>
            <w:r w:rsidRPr="00105D59">
              <w:t>$’000</w:t>
            </w:r>
          </w:p>
        </w:tc>
        <w:tc>
          <w:tcPr>
            <w:tcW w:w="1276" w:type="dxa"/>
          </w:tcPr>
          <w:p w:rsidR="00BE54A0" w:rsidRDefault="00BE54A0" w:rsidP="00831DE5">
            <w:pPr>
              <w:jc w:val="right"/>
            </w:pPr>
            <w:r w:rsidRPr="00105D59">
              <w:t>$’000</w:t>
            </w:r>
          </w:p>
        </w:tc>
      </w:tr>
      <w:tr w:rsidR="00BE54A0" w:rsidTr="00831DE5">
        <w:tc>
          <w:tcPr>
            <w:tcW w:w="10632" w:type="dxa"/>
            <w:gridSpan w:val="5"/>
          </w:tcPr>
          <w:p w:rsidR="00BE54A0" w:rsidRDefault="00BE54A0" w:rsidP="00831DE5">
            <w:pPr>
              <w:pStyle w:val="NoSpacing"/>
            </w:pPr>
            <w:r>
              <w:t>Current</w:t>
            </w:r>
          </w:p>
        </w:tc>
      </w:tr>
      <w:tr w:rsidR="00BE54A0" w:rsidTr="00831DE5">
        <w:tc>
          <w:tcPr>
            <w:tcW w:w="10632" w:type="dxa"/>
            <w:gridSpan w:val="5"/>
          </w:tcPr>
          <w:p w:rsidR="00BE54A0" w:rsidRDefault="00BE54A0" w:rsidP="00BE54A0">
            <w:pPr>
              <w:pStyle w:val="NoSpacing"/>
            </w:pPr>
            <w:r>
              <w:t>Contractual</w:t>
            </w:r>
          </w:p>
        </w:tc>
      </w:tr>
      <w:tr w:rsidR="00BE54A0" w:rsidTr="00831DE5">
        <w:tc>
          <w:tcPr>
            <w:tcW w:w="5529" w:type="dxa"/>
          </w:tcPr>
          <w:p w:rsidR="00BE54A0" w:rsidRDefault="00D075F7" w:rsidP="00831DE5">
            <w:pPr>
              <w:pStyle w:val="NoSpacing"/>
            </w:pPr>
            <w:r>
              <w:t>Trade receivables</w:t>
            </w:r>
          </w:p>
        </w:tc>
        <w:tc>
          <w:tcPr>
            <w:tcW w:w="1276" w:type="dxa"/>
          </w:tcPr>
          <w:p w:rsidR="00BE54A0" w:rsidRDefault="00D075F7" w:rsidP="00831DE5">
            <w:pPr>
              <w:pStyle w:val="NoSpacing"/>
              <w:jc w:val="right"/>
            </w:pPr>
            <w:r>
              <w:t>4,659</w:t>
            </w:r>
          </w:p>
        </w:tc>
        <w:tc>
          <w:tcPr>
            <w:tcW w:w="1276" w:type="dxa"/>
          </w:tcPr>
          <w:p w:rsidR="00BE54A0" w:rsidRDefault="00D075F7" w:rsidP="00831DE5">
            <w:pPr>
              <w:pStyle w:val="NoSpacing"/>
              <w:jc w:val="right"/>
            </w:pPr>
            <w:r>
              <w:t>5,907</w:t>
            </w:r>
          </w:p>
        </w:tc>
        <w:tc>
          <w:tcPr>
            <w:tcW w:w="1275" w:type="dxa"/>
          </w:tcPr>
          <w:p w:rsidR="00BE54A0" w:rsidRDefault="00D075F7" w:rsidP="00831DE5">
            <w:pPr>
              <w:pStyle w:val="NoSpacing"/>
              <w:jc w:val="right"/>
            </w:pPr>
            <w:r>
              <w:t>4,659</w:t>
            </w:r>
          </w:p>
        </w:tc>
        <w:tc>
          <w:tcPr>
            <w:tcW w:w="1276" w:type="dxa"/>
          </w:tcPr>
          <w:p w:rsidR="00BE54A0" w:rsidRDefault="00D075F7" w:rsidP="00831DE5">
            <w:pPr>
              <w:pStyle w:val="NoSpacing"/>
              <w:jc w:val="right"/>
            </w:pPr>
            <w:r>
              <w:t>5,907</w:t>
            </w:r>
          </w:p>
        </w:tc>
      </w:tr>
      <w:tr w:rsidR="00BE54A0" w:rsidTr="00831DE5">
        <w:tc>
          <w:tcPr>
            <w:tcW w:w="5529" w:type="dxa"/>
          </w:tcPr>
          <w:p w:rsidR="00BE54A0" w:rsidRDefault="00D075F7" w:rsidP="00831DE5">
            <w:pPr>
              <w:pStyle w:val="NoSpacing"/>
            </w:pPr>
            <w:r>
              <w:t>Allowance for credit losses</w:t>
            </w:r>
          </w:p>
        </w:tc>
        <w:tc>
          <w:tcPr>
            <w:tcW w:w="1276" w:type="dxa"/>
          </w:tcPr>
          <w:p w:rsidR="00BE54A0" w:rsidRDefault="00D075F7" w:rsidP="00831DE5">
            <w:pPr>
              <w:pStyle w:val="NoSpacing"/>
              <w:jc w:val="right"/>
            </w:pPr>
            <w:r>
              <w:t>(405)</w:t>
            </w:r>
          </w:p>
        </w:tc>
        <w:tc>
          <w:tcPr>
            <w:tcW w:w="1276" w:type="dxa"/>
          </w:tcPr>
          <w:p w:rsidR="00BE54A0" w:rsidRDefault="00D075F7" w:rsidP="00831DE5">
            <w:pPr>
              <w:pStyle w:val="NoSpacing"/>
              <w:jc w:val="right"/>
            </w:pPr>
            <w:r>
              <w:t>(165)</w:t>
            </w:r>
          </w:p>
        </w:tc>
        <w:tc>
          <w:tcPr>
            <w:tcW w:w="1275" w:type="dxa"/>
          </w:tcPr>
          <w:p w:rsidR="00BE54A0" w:rsidRDefault="00D075F7" w:rsidP="00831DE5">
            <w:pPr>
              <w:pStyle w:val="NoSpacing"/>
              <w:jc w:val="right"/>
            </w:pPr>
            <w:r>
              <w:t>(405)</w:t>
            </w:r>
          </w:p>
        </w:tc>
        <w:tc>
          <w:tcPr>
            <w:tcW w:w="1276" w:type="dxa"/>
          </w:tcPr>
          <w:p w:rsidR="00BE54A0" w:rsidRDefault="00D075F7" w:rsidP="00831DE5">
            <w:pPr>
              <w:pStyle w:val="NoSpacing"/>
              <w:jc w:val="right"/>
            </w:pPr>
            <w:r>
              <w:t>(165)</w:t>
            </w:r>
          </w:p>
        </w:tc>
      </w:tr>
      <w:tr w:rsidR="00BE54A0" w:rsidTr="00831DE5">
        <w:tc>
          <w:tcPr>
            <w:tcW w:w="5529" w:type="dxa"/>
          </w:tcPr>
          <w:p w:rsidR="00BE54A0" w:rsidRDefault="00D075F7" w:rsidP="00831DE5">
            <w:pPr>
              <w:pStyle w:val="NoSpacing"/>
            </w:pPr>
            <w:r>
              <w:t>Contract assets</w:t>
            </w:r>
          </w:p>
        </w:tc>
        <w:tc>
          <w:tcPr>
            <w:tcW w:w="1276" w:type="dxa"/>
          </w:tcPr>
          <w:p w:rsidR="00BE54A0" w:rsidRDefault="00D075F7" w:rsidP="00831DE5">
            <w:pPr>
              <w:pStyle w:val="NoSpacing"/>
              <w:jc w:val="right"/>
            </w:pPr>
            <w:r>
              <w:t>8,733</w:t>
            </w:r>
          </w:p>
        </w:tc>
        <w:tc>
          <w:tcPr>
            <w:tcW w:w="1276" w:type="dxa"/>
          </w:tcPr>
          <w:p w:rsidR="00BE54A0" w:rsidRDefault="00D075F7" w:rsidP="00831DE5">
            <w:pPr>
              <w:pStyle w:val="NoSpacing"/>
              <w:jc w:val="right"/>
            </w:pPr>
            <w:r>
              <w:t>7,158</w:t>
            </w:r>
          </w:p>
        </w:tc>
        <w:tc>
          <w:tcPr>
            <w:tcW w:w="1275" w:type="dxa"/>
          </w:tcPr>
          <w:p w:rsidR="00BE54A0" w:rsidRDefault="00D075F7" w:rsidP="00831DE5">
            <w:pPr>
              <w:pStyle w:val="NoSpacing"/>
              <w:jc w:val="right"/>
            </w:pPr>
            <w:r>
              <w:t>8,348</w:t>
            </w:r>
          </w:p>
        </w:tc>
        <w:tc>
          <w:tcPr>
            <w:tcW w:w="1276" w:type="dxa"/>
          </w:tcPr>
          <w:p w:rsidR="00BE54A0" w:rsidRDefault="00D075F7" w:rsidP="00831DE5">
            <w:pPr>
              <w:pStyle w:val="NoSpacing"/>
              <w:jc w:val="right"/>
            </w:pPr>
            <w:r>
              <w:t>6,993</w:t>
            </w:r>
          </w:p>
        </w:tc>
      </w:tr>
      <w:tr w:rsidR="00BE54A0" w:rsidTr="00831DE5">
        <w:tc>
          <w:tcPr>
            <w:tcW w:w="5529" w:type="dxa"/>
          </w:tcPr>
          <w:p w:rsidR="00BE54A0" w:rsidRDefault="00BE54A0" w:rsidP="00831DE5">
            <w:pPr>
              <w:pStyle w:val="NoSpacing"/>
            </w:pPr>
            <w:r>
              <w:lastRenderedPageBreak/>
              <w:t>Other receivables</w:t>
            </w:r>
          </w:p>
        </w:tc>
        <w:tc>
          <w:tcPr>
            <w:tcW w:w="1276" w:type="dxa"/>
          </w:tcPr>
          <w:p w:rsidR="00BE54A0" w:rsidRDefault="00D075F7" w:rsidP="00831DE5">
            <w:pPr>
              <w:pStyle w:val="NoSpacing"/>
              <w:jc w:val="right"/>
            </w:pPr>
            <w:r>
              <w:t>2,785</w:t>
            </w:r>
          </w:p>
        </w:tc>
        <w:tc>
          <w:tcPr>
            <w:tcW w:w="1276" w:type="dxa"/>
          </w:tcPr>
          <w:p w:rsidR="00BE54A0" w:rsidRDefault="00D075F7" w:rsidP="00831DE5">
            <w:pPr>
              <w:pStyle w:val="NoSpacing"/>
              <w:jc w:val="right"/>
            </w:pPr>
            <w:r>
              <w:t>3,675</w:t>
            </w:r>
          </w:p>
        </w:tc>
        <w:tc>
          <w:tcPr>
            <w:tcW w:w="1275" w:type="dxa"/>
          </w:tcPr>
          <w:p w:rsidR="00BE54A0" w:rsidRDefault="00D075F7" w:rsidP="00831DE5">
            <w:pPr>
              <w:pStyle w:val="NoSpacing"/>
              <w:jc w:val="right"/>
            </w:pPr>
            <w:r>
              <w:t>5,111</w:t>
            </w:r>
          </w:p>
        </w:tc>
        <w:tc>
          <w:tcPr>
            <w:tcW w:w="1276" w:type="dxa"/>
          </w:tcPr>
          <w:p w:rsidR="00BE54A0" w:rsidRDefault="00D075F7" w:rsidP="00831DE5">
            <w:pPr>
              <w:pStyle w:val="NoSpacing"/>
              <w:jc w:val="right"/>
            </w:pPr>
            <w:r>
              <w:t>6,720</w:t>
            </w:r>
          </w:p>
        </w:tc>
      </w:tr>
      <w:tr w:rsidR="00BE54A0" w:rsidTr="00831DE5">
        <w:tc>
          <w:tcPr>
            <w:tcW w:w="5529" w:type="dxa"/>
          </w:tcPr>
          <w:p w:rsidR="00BE54A0" w:rsidRDefault="00BE54A0" w:rsidP="00831DE5">
            <w:pPr>
              <w:pStyle w:val="NoSpacing"/>
            </w:pPr>
            <w:r>
              <w:t>Total contractual receivables</w:t>
            </w:r>
          </w:p>
        </w:tc>
        <w:tc>
          <w:tcPr>
            <w:tcW w:w="1276" w:type="dxa"/>
          </w:tcPr>
          <w:p w:rsidR="00BE54A0" w:rsidRDefault="00D075F7" w:rsidP="00831DE5">
            <w:pPr>
              <w:pStyle w:val="NoSpacing"/>
              <w:jc w:val="right"/>
            </w:pPr>
            <w:r>
              <w:t>15,772</w:t>
            </w:r>
          </w:p>
        </w:tc>
        <w:tc>
          <w:tcPr>
            <w:tcW w:w="1276" w:type="dxa"/>
          </w:tcPr>
          <w:p w:rsidR="00BE54A0" w:rsidRDefault="00D075F7" w:rsidP="00831DE5">
            <w:pPr>
              <w:pStyle w:val="NoSpacing"/>
              <w:jc w:val="right"/>
            </w:pPr>
            <w:r>
              <w:t>16,575</w:t>
            </w:r>
          </w:p>
        </w:tc>
        <w:tc>
          <w:tcPr>
            <w:tcW w:w="1275" w:type="dxa"/>
          </w:tcPr>
          <w:p w:rsidR="00BE54A0" w:rsidRDefault="00D075F7" w:rsidP="00831DE5">
            <w:pPr>
              <w:pStyle w:val="NoSpacing"/>
              <w:jc w:val="right"/>
            </w:pPr>
            <w:r>
              <w:t>17,713</w:t>
            </w:r>
          </w:p>
        </w:tc>
        <w:tc>
          <w:tcPr>
            <w:tcW w:w="1276" w:type="dxa"/>
          </w:tcPr>
          <w:p w:rsidR="00BE54A0" w:rsidRDefault="00D075F7" w:rsidP="00831DE5">
            <w:pPr>
              <w:pStyle w:val="NoSpacing"/>
              <w:jc w:val="right"/>
            </w:pPr>
            <w:r>
              <w:t>19,455</w:t>
            </w:r>
          </w:p>
        </w:tc>
      </w:tr>
    </w:tbl>
    <w:p w:rsidR="00BE54A0" w:rsidRDefault="00BE54A0" w:rsidP="00F02D69">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BE54A0" w:rsidTr="00831DE5">
        <w:tc>
          <w:tcPr>
            <w:tcW w:w="10632" w:type="dxa"/>
            <w:gridSpan w:val="5"/>
          </w:tcPr>
          <w:p w:rsidR="00BE54A0" w:rsidRDefault="00BE54A0" w:rsidP="00831DE5">
            <w:pPr>
              <w:pStyle w:val="NoSpacing"/>
            </w:pPr>
            <w:r>
              <w:t>Statutory</w:t>
            </w:r>
          </w:p>
        </w:tc>
      </w:tr>
      <w:tr w:rsidR="00BE54A0" w:rsidTr="00831DE5">
        <w:tc>
          <w:tcPr>
            <w:tcW w:w="5529" w:type="dxa"/>
          </w:tcPr>
          <w:p w:rsidR="00BE54A0" w:rsidRDefault="00BE54A0" w:rsidP="00D075F7">
            <w:pPr>
              <w:pStyle w:val="NoSpacing"/>
            </w:pPr>
            <w:r>
              <w:t xml:space="preserve">GST </w:t>
            </w:r>
            <w:r w:rsidR="00D075F7">
              <w:t>input tax credit recoverable</w:t>
            </w:r>
            <w:r>
              <w:t xml:space="preserve"> </w:t>
            </w:r>
          </w:p>
        </w:tc>
        <w:tc>
          <w:tcPr>
            <w:tcW w:w="1276" w:type="dxa"/>
          </w:tcPr>
          <w:p w:rsidR="00BE54A0" w:rsidRDefault="00BE54A0" w:rsidP="00831DE5">
            <w:pPr>
              <w:pStyle w:val="NoSpacing"/>
              <w:jc w:val="right"/>
            </w:pPr>
          </w:p>
        </w:tc>
        <w:tc>
          <w:tcPr>
            <w:tcW w:w="1276" w:type="dxa"/>
          </w:tcPr>
          <w:p w:rsidR="00BE54A0" w:rsidRDefault="00BE54A0" w:rsidP="00831DE5">
            <w:pPr>
              <w:pStyle w:val="NoSpacing"/>
              <w:jc w:val="right"/>
            </w:pPr>
          </w:p>
        </w:tc>
        <w:tc>
          <w:tcPr>
            <w:tcW w:w="1275" w:type="dxa"/>
          </w:tcPr>
          <w:p w:rsidR="00BE54A0" w:rsidRDefault="00BE54A0" w:rsidP="00831DE5">
            <w:pPr>
              <w:pStyle w:val="NoSpacing"/>
              <w:jc w:val="right"/>
            </w:pPr>
          </w:p>
        </w:tc>
        <w:tc>
          <w:tcPr>
            <w:tcW w:w="1276" w:type="dxa"/>
          </w:tcPr>
          <w:p w:rsidR="00BE54A0" w:rsidRDefault="00BE54A0" w:rsidP="00831DE5">
            <w:pPr>
              <w:pStyle w:val="NoSpacing"/>
              <w:jc w:val="right"/>
            </w:pPr>
          </w:p>
        </w:tc>
      </w:tr>
      <w:tr w:rsidR="00BE54A0" w:rsidTr="00831DE5">
        <w:tc>
          <w:tcPr>
            <w:tcW w:w="5529" w:type="dxa"/>
          </w:tcPr>
          <w:p w:rsidR="00BE54A0" w:rsidRDefault="00D075F7" w:rsidP="00831DE5">
            <w:pPr>
              <w:pStyle w:val="NoSpacing"/>
            </w:pPr>
            <w:r>
              <w:t xml:space="preserve">Total current receivables </w:t>
            </w:r>
          </w:p>
        </w:tc>
        <w:tc>
          <w:tcPr>
            <w:tcW w:w="1276" w:type="dxa"/>
          </w:tcPr>
          <w:p w:rsidR="00BE54A0" w:rsidRDefault="00BE54A0" w:rsidP="00831DE5">
            <w:pPr>
              <w:pStyle w:val="NoSpacing"/>
              <w:jc w:val="right"/>
            </w:pPr>
          </w:p>
        </w:tc>
        <w:tc>
          <w:tcPr>
            <w:tcW w:w="1276" w:type="dxa"/>
          </w:tcPr>
          <w:p w:rsidR="00BE54A0" w:rsidRDefault="00BE54A0" w:rsidP="00831DE5">
            <w:pPr>
              <w:pStyle w:val="NoSpacing"/>
              <w:jc w:val="right"/>
            </w:pPr>
          </w:p>
        </w:tc>
        <w:tc>
          <w:tcPr>
            <w:tcW w:w="1275" w:type="dxa"/>
          </w:tcPr>
          <w:p w:rsidR="00BE54A0" w:rsidRDefault="00BE54A0" w:rsidP="00831DE5">
            <w:pPr>
              <w:pStyle w:val="NoSpacing"/>
              <w:jc w:val="right"/>
            </w:pPr>
          </w:p>
        </w:tc>
        <w:tc>
          <w:tcPr>
            <w:tcW w:w="1276" w:type="dxa"/>
          </w:tcPr>
          <w:p w:rsidR="00BE54A0" w:rsidRDefault="00BE54A0" w:rsidP="00831DE5">
            <w:pPr>
              <w:pStyle w:val="NoSpacing"/>
              <w:jc w:val="right"/>
            </w:pPr>
          </w:p>
        </w:tc>
      </w:tr>
    </w:tbl>
    <w:p w:rsidR="00BE54A0" w:rsidRDefault="00BE54A0" w:rsidP="00F02D69">
      <w:pPr>
        <w:pStyle w:val="NoSpacing"/>
      </w:pPr>
    </w:p>
    <w:p w:rsidR="00BE54A0" w:rsidRDefault="00D075F7" w:rsidP="00F02D69">
      <w:pPr>
        <w:pStyle w:val="NoSpacing"/>
      </w:pPr>
      <w:r w:rsidRPr="00570620">
        <w:t>Receivables</w:t>
      </w:r>
      <w:r>
        <w:t xml:space="preserve"> consist of:</w:t>
      </w:r>
    </w:p>
    <w:p w:rsidR="00D075F7" w:rsidRDefault="00D075F7" w:rsidP="00925530">
      <w:pPr>
        <w:pStyle w:val="NoSpacing"/>
        <w:numPr>
          <w:ilvl w:val="0"/>
          <w:numId w:val="51"/>
        </w:numPr>
      </w:pPr>
      <w:r>
        <w:t xml:space="preserve">statutory receivables, which include predominantly amounts owing from the Government and GST input tax credits recoverable; and </w:t>
      </w:r>
    </w:p>
    <w:p w:rsidR="00D075F7" w:rsidRDefault="00D075F7" w:rsidP="00925530">
      <w:pPr>
        <w:pStyle w:val="NoSpacing"/>
        <w:numPr>
          <w:ilvl w:val="0"/>
          <w:numId w:val="51"/>
        </w:numPr>
      </w:pPr>
      <w:r>
        <w:t>contractual receivables, which include mainly debtors in relation to goods and services, loans to third parties, accrued investment income</w:t>
      </w:r>
      <w:r w:rsidR="00D93A82">
        <w:t>, and finance lease receivables.</w:t>
      </w:r>
    </w:p>
    <w:p w:rsidR="00D93A82" w:rsidRDefault="00D93A82" w:rsidP="00D93A82">
      <w:pPr>
        <w:pStyle w:val="NoSpacing"/>
      </w:pPr>
    </w:p>
    <w:p w:rsidR="00D93A82" w:rsidRDefault="00D93A82" w:rsidP="00D93A82">
      <w:pPr>
        <w:pStyle w:val="NoSpacing"/>
      </w:pPr>
      <w:r>
        <w:t>Receivables other than sale of goods and services are stated</w:t>
      </w:r>
      <w:r w:rsidR="00AB244A">
        <w:t xml:space="preserve"> exclusive of the amount of GST receivable. Receivables that are contractual are classified as financial instruments. Statutory receivables are not classified as financial instruments. </w:t>
      </w:r>
    </w:p>
    <w:p w:rsidR="00AB244A" w:rsidRDefault="00AB244A" w:rsidP="00D93A82">
      <w:pPr>
        <w:pStyle w:val="NoSpacing"/>
      </w:pPr>
    </w:p>
    <w:p w:rsidR="00AB244A" w:rsidRDefault="00AB244A" w:rsidP="00D93A82">
      <w:pPr>
        <w:pStyle w:val="NoSpacing"/>
      </w:pPr>
      <w:r>
        <w:t>Receivables are recognised initially at fair value and subsequently measured at amortised cost, using the effective interest method, less an allowance for any required impairments.</w:t>
      </w:r>
    </w:p>
    <w:p w:rsidR="00AB244A" w:rsidRDefault="00AB244A" w:rsidP="00D93A82">
      <w:pPr>
        <w:pStyle w:val="NoSpacing"/>
      </w:pPr>
    </w:p>
    <w:p w:rsidR="00C760CE" w:rsidRDefault="00AB244A" w:rsidP="00D93A82">
      <w:pPr>
        <w:pStyle w:val="NoSpacing"/>
      </w:pPr>
      <w:r>
        <w:t>Trade receivables are recognised initially at the amount of consideration that is unconditional unless they contain significant financing components</w:t>
      </w:r>
      <w:r w:rsidR="00C760CE">
        <w:t>, when they are recognised at fair value. Chisholm Group holds the trade receivables with the objective to collect the contractual cash flows and therefore measures them subsequently at amortised cost using the effective interest method.</w:t>
      </w:r>
    </w:p>
    <w:p w:rsidR="00C760CE" w:rsidRDefault="00C760CE" w:rsidP="00D93A82">
      <w:pPr>
        <w:pStyle w:val="NoSpacing"/>
      </w:pPr>
    </w:p>
    <w:p w:rsidR="00BB3C82" w:rsidRDefault="00C760CE" w:rsidP="00D93A82">
      <w:pPr>
        <w:pStyle w:val="NoSpacing"/>
      </w:pPr>
      <w:r>
        <w:t xml:space="preserve">Due to the short-term nature of current </w:t>
      </w:r>
      <w:r w:rsidR="00BB3C82">
        <w:t>receivables, their carrying amount is considered to be the same as their fair value.</w:t>
      </w:r>
    </w:p>
    <w:p w:rsidR="00BB3C82" w:rsidRDefault="00BB3C82" w:rsidP="00D93A82">
      <w:pPr>
        <w:pStyle w:val="NoSpacing"/>
      </w:pPr>
    </w:p>
    <w:p w:rsidR="00BB3C82" w:rsidRDefault="00BB3C82" w:rsidP="00406A46">
      <w:pPr>
        <w:pStyle w:val="Heading4"/>
      </w:pPr>
      <w:r>
        <w:t>Impairment</w:t>
      </w:r>
    </w:p>
    <w:p w:rsidR="00BB3C82" w:rsidRDefault="00BB3C82" w:rsidP="00D93A82">
      <w:pPr>
        <w:pStyle w:val="NoSpacing"/>
      </w:pPr>
      <w:r>
        <w:t>Chisholm Group measures loss allowances at an amount equal to lifetime Expected Credit Losses (ECLs). Lifetime ECLs are the ECLs that result from all possible default events over the expected life of a financial instrument. ECLs are a probability-weighted estimate of credit-losses. Credit losses are measured as the present value of all cash shortfalls.</w:t>
      </w:r>
    </w:p>
    <w:p w:rsidR="00BB3C82" w:rsidRDefault="00BB3C82" w:rsidP="00D93A82">
      <w:pPr>
        <w:pStyle w:val="NoSpacing"/>
      </w:pPr>
    </w:p>
    <w:p w:rsidR="00BB3C82" w:rsidRDefault="00BB3C82" w:rsidP="00D93A82">
      <w:pPr>
        <w:pStyle w:val="NoSpacing"/>
      </w:pPr>
      <w:r>
        <w:t>The movement in the allowance for impairment in respect of trade receivables during the year is shown in the following table.</w:t>
      </w:r>
    </w:p>
    <w:p w:rsidR="00BB3C82" w:rsidRDefault="00BB3C82" w:rsidP="00D93A82">
      <w:pPr>
        <w:pStyle w:val="NoSpacing"/>
      </w:pPr>
    </w:p>
    <w:p w:rsidR="00BB3C82" w:rsidRDefault="00BB3C82" w:rsidP="00D93A82">
      <w:pPr>
        <w:pStyle w:val="NoSpacing"/>
      </w:pPr>
      <w:r>
        <w:t>&lt;page 73&gt;</w:t>
      </w:r>
    </w:p>
    <w:p w:rsidR="00BB3C82" w:rsidRDefault="00BB3C82" w:rsidP="00D93A82">
      <w:pPr>
        <w:pStyle w:val="NoSpacing"/>
      </w:pPr>
    </w:p>
    <w:p w:rsidR="00BB3C82" w:rsidRDefault="00BB3C82" w:rsidP="00BB3C82">
      <w:pPr>
        <w:pStyle w:val="Heading2"/>
      </w:pPr>
      <w:r>
        <w:t xml:space="preserve">5. Balances from operations </w:t>
      </w:r>
    </w:p>
    <w:p w:rsidR="00406A46" w:rsidRDefault="00406A46" w:rsidP="00406A46">
      <w:pPr>
        <w:pStyle w:val="NoSpacing"/>
      </w:pPr>
    </w:p>
    <w:p w:rsidR="00BB3C82" w:rsidRDefault="00BB3C82" w:rsidP="00406A46">
      <w:pPr>
        <w:pStyle w:val="Heading3"/>
      </w:pPr>
      <w:r>
        <w:t>5.1 Receivables</w:t>
      </w: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BB3C82" w:rsidTr="001B06EE">
        <w:trPr>
          <w:gridBefore w:val="1"/>
          <w:wBefore w:w="5529" w:type="dxa"/>
        </w:trPr>
        <w:tc>
          <w:tcPr>
            <w:tcW w:w="2552" w:type="dxa"/>
            <w:gridSpan w:val="2"/>
          </w:tcPr>
          <w:p w:rsidR="00BB3C82" w:rsidRDefault="00BB3C82" w:rsidP="001B06EE">
            <w:pPr>
              <w:pStyle w:val="NoSpacing"/>
              <w:jc w:val="right"/>
            </w:pPr>
            <w:r>
              <w:t>Consolidated</w:t>
            </w:r>
          </w:p>
        </w:tc>
        <w:tc>
          <w:tcPr>
            <w:tcW w:w="2551" w:type="dxa"/>
            <w:gridSpan w:val="2"/>
          </w:tcPr>
          <w:p w:rsidR="00BB3C82" w:rsidRDefault="00BB3C82" w:rsidP="001B06EE">
            <w:pPr>
              <w:pStyle w:val="NoSpacing"/>
              <w:jc w:val="right"/>
            </w:pPr>
            <w:r>
              <w:t>Chisholm</w:t>
            </w:r>
          </w:p>
        </w:tc>
      </w:tr>
      <w:tr w:rsidR="00BB3C82" w:rsidTr="001B06EE">
        <w:trPr>
          <w:gridBefore w:val="1"/>
          <w:wBefore w:w="5529" w:type="dxa"/>
        </w:trPr>
        <w:tc>
          <w:tcPr>
            <w:tcW w:w="1276" w:type="dxa"/>
          </w:tcPr>
          <w:p w:rsidR="00BB3C82" w:rsidRDefault="00BB3C82" w:rsidP="001B06EE">
            <w:pPr>
              <w:pStyle w:val="NoSpacing"/>
              <w:jc w:val="right"/>
            </w:pPr>
            <w:r>
              <w:t>2019</w:t>
            </w:r>
          </w:p>
        </w:tc>
        <w:tc>
          <w:tcPr>
            <w:tcW w:w="1276" w:type="dxa"/>
          </w:tcPr>
          <w:p w:rsidR="00BB3C82" w:rsidRDefault="00BB3C82" w:rsidP="001B06EE">
            <w:pPr>
              <w:pStyle w:val="NoSpacing"/>
              <w:jc w:val="right"/>
            </w:pPr>
            <w:r>
              <w:t>2018</w:t>
            </w:r>
          </w:p>
        </w:tc>
        <w:tc>
          <w:tcPr>
            <w:tcW w:w="1275" w:type="dxa"/>
          </w:tcPr>
          <w:p w:rsidR="00BB3C82" w:rsidRDefault="00BB3C82" w:rsidP="001B06EE">
            <w:pPr>
              <w:pStyle w:val="NoSpacing"/>
              <w:jc w:val="right"/>
            </w:pPr>
            <w:r>
              <w:t>2019</w:t>
            </w:r>
          </w:p>
        </w:tc>
        <w:tc>
          <w:tcPr>
            <w:tcW w:w="1276" w:type="dxa"/>
          </w:tcPr>
          <w:p w:rsidR="00BB3C82" w:rsidRDefault="00BB3C82" w:rsidP="001B06EE">
            <w:pPr>
              <w:pStyle w:val="NoSpacing"/>
              <w:jc w:val="right"/>
            </w:pPr>
            <w:r>
              <w:t>2018</w:t>
            </w:r>
          </w:p>
        </w:tc>
      </w:tr>
      <w:tr w:rsidR="00BB3C82" w:rsidTr="001B06EE">
        <w:trPr>
          <w:gridBefore w:val="1"/>
          <w:wBefore w:w="5529" w:type="dxa"/>
        </w:trPr>
        <w:tc>
          <w:tcPr>
            <w:tcW w:w="1276" w:type="dxa"/>
          </w:tcPr>
          <w:p w:rsidR="00BB3C82" w:rsidRDefault="00BB3C82" w:rsidP="001B06EE">
            <w:pPr>
              <w:pStyle w:val="NoSpacing"/>
              <w:jc w:val="right"/>
            </w:pPr>
            <w:r>
              <w:t>$’000</w:t>
            </w:r>
          </w:p>
        </w:tc>
        <w:tc>
          <w:tcPr>
            <w:tcW w:w="1276" w:type="dxa"/>
          </w:tcPr>
          <w:p w:rsidR="00BB3C82" w:rsidRDefault="00BB3C82" w:rsidP="001B06EE">
            <w:pPr>
              <w:jc w:val="right"/>
            </w:pPr>
            <w:r w:rsidRPr="00105D59">
              <w:t>$’000</w:t>
            </w:r>
          </w:p>
        </w:tc>
        <w:tc>
          <w:tcPr>
            <w:tcW w:w="1275" w:type="dxa"/>
          </w:tcPr>
          <w:p w:rsidR="00BB3C82" w:rsidRDefault="00BB3C82" w:rsidP="001B06EE">
            <w:pPr>
              <w:jc w:val="right"/>
            </w:pPr>
            <w:r w:rsidRPr="00105D59">
              <w:t>$’000</w:t>
            </w:r>
          </w:p>
        </w:tc>
        <w:tc>
          <w:tcPr>
            <w:tcW w:w="1276" w:type="dxa"/>
          </w:tcPr>
          <w:p w:rsidR="00BB3C82" w:rsidRDefault="00BB3C82" w:rsidP="001B06EE">
            <w:pPr>
              <w:jc w:val="right"/>
            </w:pPr>
            <w:r w:rsidRPr="00105D59">
              <w:t>$’000</w:t>
            </w:r>
          </w:p>
        </w:tc>
      </w:tr>
      <w:tr w:rsidR="00BB3C82" w:rsidTr="001B06EE">
        <w:tc>
          <w:tcPr>
            <w:tcW w:w="10632" w:type="dxa"/>
            <w:gridSpan w:val="5"/>
          </w:tcPr>
          <w:p w:rsidR="00BB3C82" w:rsidRDefault="00BB3C82" w:rsidP="001B06EE">
            <w:pPr>
              <w:pStyle w:val="NoSpacing"/>
            </w:pPr>
            <w:r>
              <w:t>Movement in loss allowance for contractual receivables</w:t>
            </w:r>
          </w:p>
        </w:tc>
      </w:tr>
      <w:tr w:rsidR="00BB3C82" w:rsidTr="001B06EE">
        <w:tc>
          <w:tcPr>
            <w:tcW w:w="5529" w:type="dxa"/>
          </w:tcPr>
          <w:p w:rsidR="00BB3C82" w:rsidRDefault="00C559AD" w:rsidP="001B06EE">
            <w:pPr>
              <w:pStyle w:val="NoSpacing"/>
            </w:pPr>
            <w:r>
              <w:t>Balance at the beginning of the year</w:t>
            </w:r>
          </w:p>
        </w:tc>
        <w:tc>
          <w:tcPr>
            <w:tcW w:w="1276" w:type="dxa"/>
          </w:tcPr>
          <w:p w:rsidR="00BB3C82" w:rsidRDefault="00C559AD" w:rsidP="001B06EE">
            <w:pPr>
              <w:pStyle w:val="NoSpacing"/>
              <w:jc w:val="right"/>
            </w:pPr>
            <w:r>
              <w:t>(165)</w:t>
            </w:r>
          </w:p>
        </w:tc>
        <w:tc>
          <w:tcPr>
            <w:tcW w:w="1276" w:type="dxa"/>
          </w:tcPr>
          <w:p w:rsidR="00BB3C82" w:rsidRDefault="00C559AD" w:rsidP="001B06EE">
            <w:pPr>
              <w:pStyle w:val="NoSpacing"/>
              <w:jc w:val="right"/>
            </w:pPr>
            <w:r>
              <w:t>(353)</w:t>
            </w:r>
          </w:p>
        </w:tc>
        <w:tc>
          <w:tcPr>
            <w:tcW w:w="1275" w:type="dxa"/>
          </w:tcPr>
          <w:p w:rsidR="00BB3C82" w:rsidRDefault="00C559AD" w:rsidP="001B06EE">
            <w:pPr>
              <w:pStyle w:val="NoSpacing"/>
              <w:jc w:val="right"/>
            </w:pPr>
            <w:r>
              <w:t>(165)</w:t>
            </w:r>
          </w:p>
        </w:tc>
        <w:tc>
          <w:tcPr>
            <w:tcW w:w="1276" w:type="dxa"/>
          </w:tcPr>
          <w:p w:rsidR="00BB3C82" w:rsidRDefault="00C559AD" w:rsidP="001B06EE">
            <w:pPr>
              <w:pStyle w:val="NoSpacing"/>
              <w:jc w:val="right"/>
            </w:pPr>
            <w:r>
              <w:t>(353)</w:t>
            </w:r>
          </w:p>
        </w:tc>
      </w:tr>
      <w:tr w:rsidR="00BB3C82" w:rsidTr="001B06EE">
        <w:tc>
          <w:tcPr>
            <w:tcW w:w="5529" w:type="dxa"/>
          </w:tcPr>
          <w:p w:rsidR="00BB3C82" w:rsidRDefault="00C559AD" w:rsidP="001B06EE">
            <w:pPr>
              <w:pStyle w:val="NoSpacing"/>
            </w:pPr>
            <w:r>
              <w:t>Adjustment on initial application of AASB 9</w:t>
            </w:r>
          </w:p>
        </w:tc>
        <w:tc>
          <w:tcPr>
            <w:tcW w:w="1276" w:type="dxa"/>
          </w:tcPr>
          <w:p w:rsidR="00BB3C82" w:rsidRDefault="00C559AD" w:rsidP="001B06EE">
            <w:pPr>
              <w:pStyle w:val="NoSpacing"/>
              <w:jc w:val="right"/>
            </w:pPr>
            <w:r>
              <w:t>-</w:t>
            </w:r>
          </w:p>
        </w:tc>
        <w:tc>
          <w:tcPr>
            <w:tcW w:w="1276" w:type="dxa"/>
          </w:tcPr>
          <w:p w:rsidR="00BB3C82" w:rsidRDefault="00C559AD" w:rsidP="001B06EE">
            <w:pPr>
              <w:pStyle w:val="NoSpacing"/>
              <w:jc w:val="right"/>
            </w:pPr>
            <w:r>
              <w:t>-</w:t>
            </w:r>
          </w:p>
        </w:tc>
        <w:tc>
          <w:tcPr>
            <w:tcW w:w="1275" w:type="dxa"/>
          </w:tcPr>
          <w:p w:rsidR="00BB3C82" w:rsidRDefault="00C559AD" w:rsidP="001B06EE">
            <w:pPr>
              <w:pStyle w:val="NoSpacing"/>
              <w:jc w:val="right"/>
            </w:pPr>
            <w:r>
              <w:t>-</w:t>
            </w:r>
          </w:p>
        </w:tc>
        <w:tc>
          <w:tcPr>
            <w:tcW w:w="1276" w:type="dxa"/>
          </w:tcPr>
          <w:p w:rsidR="00BB3C82" w:rsidRDefault="00C559AD" w:rsidP="001B06EE">
            <w:pPr>
              <w:pStyle w:val="NoSpacing"/>
              <w:jc w:val="right"/>
            </w:pPr>
            <w:r>
              <w:t>-</w:t>
            </w:r>
          </w:p>
        </w:tc>
      </w:tr>
      <w:tr w:rsidR="00BB3C82" w:rsidTr="001B06EE">
        <w:tc>
          <w:tcPr>
            <w:tcW w:w="5529" w:type="dxa"/>
          </w:tcPr>
          <w:p w:rsidR="00BB3C82" w:rsidRDefault="00C559AD" w:rsidP="001B06EE">
            <w:pPr>
              <w:pStyle w:val="NoSpacing"/>
            </w:pPr>
            <w:r>
              <w:t>Balance at the beginning of the year under AASB 9</w:t>
            </w:r>
          </w:p>
        </w:tc>
        <w:tc>
          <w:tcPr>
            <w:tcW w:w="1276" w:type="dxa"/>
          </w:tcPr>
          <w:p w:rsidR="00BB3C82" w:rsidRDefault="00C559AD" w:rsidP="001B06EE">
            <w:pPr>
              <w:pStyle w:val="NoSpacing"/>
              <w:jc w:val="right"/>
            </w:pPr>
            <w:r>
              <w:t>(165)</w:t>
            </w:r>
          </w:p>
        </w:tc>
        <w:tc>
          <w:tcPr>
            <w:tcW w:w="1276" w:type="dxa"/>
          </w:tcPr>
          <w:p w:rsidR="00BB3C82" w:rsidRDefault="00C559AD" w:rsidP="001B06EE">
            <w:pPr>
              <w:pStyle w:val="NoSpacing"/>
              <w:jc w:val="right"/>
            </w:pPr>
            <w:r>
              <w:t>(353)</w:t>
            </w:r>
          </w:p>
        </w:tc>
        <w:tc>
          <w:tcPr>
            <w:tcW w:w="1275" w:type="dxa"/>
          </w:tcPr>
          <w:p w:rsidR="00BB3C82" w:rsidRDefault="00C559AD" w:rsidP="001B06EE">
            <w:pPr>
              <w:pStyle w:val="NoSpacing"/>
              <w:jc w:val="right"/>
            </w:pPr>
            <w:r>
              <w:t>(165)</w:t>
            </w:r>
          </w:p>
        </w:tc>
        <w:tc>
          <w:tcPr>
            <w:tcW w:w="1276" w:type="dxa"/>
          </w:tcPr>
          <w:p w:rsidR="00BB3C82" w:rsidRDefault="00C559AD" w:rsidP="001B06EE">
            <w:pPr>
              <w:pStyle w:val="NoSpacing"/>
              <w:jc w:val="right"/>
            </w:pPr>
            <w:r>
              <w:t>(353)</w:t>
            </w:r>
          </w:p>
        </w:tc>
      </w:tr>
      <w:tr w:rsidR="00BB3C82" w:rsidTr="001B06EE">
        <w:tc>
          <w:tcPr>
            <w:tcW w:w="5529" w:type="dxa"/>
          </w:tcPr>
          <w:p w:rsidR="00BB3C82" w:rsidRDefault="00C559AD" w:rsidP="001B06EE">
            <w:pPr>
              <w:pStyle w:val="NoSpacing"/>
            </w:pPr>
            <w:r>
              <w:t>Amounts written off</w:t>
            </w:r>
          </w:p>
        </w:tc>
        <w:tc>
          <w:tcPr>
            <w:tcW w:w="1276" w:type="dxa"/>
          </w:tcPr>
          <w:p w:rsidR="00BB3C82" w:rsidRDefault="00C559AD" w:rsidP="001B06EE">
            <w:pPr>
              <w:pStyle w:val="NoSpacing"/>
              <w:jc w:val="right"/>
            </w:pPr>
            <w:r>
              <w:t>-</w:t>
            </w:r>
          </w:p>
        </w:tc>
        <w:tc>
          <w:tcPr>
            <w:tcW w:w="1276" w:type="dxa"/>
          </w:tcPr>
          <w:p w:rsidR="00BB3C82" w:rsidRDefault="00C559AD" w:rsidP="001B06EE">
            <w:pPr>
              <w:pStyle w:val="NoSpacing"/>
              <w:jc w:val="right"/>
            </w:pPr>
            <w:r>
              <w:t>-</w:t>
            </w:r>
          </w:p>
        </w:tc>
        <w:tc>
          <w:tcPr>
            <w:tcW w:w="1275" w:type="dxa"/>
          </w:tcPr>
          <w:p w:rsidR="00BB3C82" w:rsidRDefault="00C559AD" w:rsidP="001B06EE">
            <w:pPr>
              <w:pStyle w:val="NoSpacing"/>
              <w:jc w:val="right"/>
            </w:pPr>
            <w:r>
              <w:t>-</w:t>
            </w:r>
          </w:p>
        </w:tc>
        <w:tc>
          <w:tcPr>
            <w:tcW w:w="1276" w:type="dxa"/>
          </w:tcPr>
          <w:p w:rsidR="00BB3C82" w:rsidRDefault="00C559AD" w:rsidP="001B06EE">
            <w:pPr>
              <w:pStyle w:val="NoSpacing"/>
              <w:jc w:val="right"/>
            </w:pPr>
            <w:r>
              <w:t>-</w:t>
            </w:r>
          </w:p>
        </w:tc>
      </w:tr>
      <w:tr w:rsidR="00BB3C82" w:rsidTr="001B06EE">
        <w:tc>
          <w:tcPr>
            <w:tcW w:w="5529" w:type="dxa"/>
          </w:tcPr>
          <w:p w:rsidR="00BB3C82" w:rsidRDefault="00C559AD" w:rsidP="001B06EE">
            <w:pPr>
              <w:pStyle w:val="NoSpacing"/>
            </w:pPr>
            <w:r>
              <w:lastRenderedPageBreak/>
              <w:t>Net remeasurement of loss allowance</w:t>
            </w:r>
          </w:p>
        </w:tc>
        <w:tc>
          <w:tcPr>
            <w:tcW w:w="1276" w:type="dxa"/>
          </w:tcPr>
          <w:p w:rsidR="00BB3C82" w:rsidRDefault="00C559AD" w:rsidP="001B06EE">
            <w:pPr>
              <w:pStyle w:val="NoSpacing"/>
              <w:jc w:val="right"/>
            </w:pPr>
            <w:r>
              <w:t>-</w:t>
            </w:r>
          </w:p>
        </w:tc>
        <w:tc>
          <w:tcPr>
            <w:tcW w:w="1276" w:type="dxa"/>
          </w:tcPr>
          <w:p w:rsidR="00BB3C82" w:rsidRDefault="00C559AD" w:rsidP="001B06EE">
            <w:pPr>
              <w:pStyle w:val="NoSpacing"/>
              <w:jc w:val="right"/>
            </w:pPr>
            <w:r>
              <w:t>-</w:t>
            </w:r>
          </w:p>
        </w:tc>
        <w:tc>
          <w:tcPr>
            <w:tcW w:w="1275" w:type="dxa"/>
          </w:tcPr>
          <w:p w:rsidR="00BB3C82" w:rsidRDefault="00C559AD" w:rsidP="001B06EE">
            <w:pPr>
              <w:pStyle w:val="NoSpacing"/>
              <w:jc w:val="right"/>
            </w:pPr>
            <w:r>
              <w:t>-</w:t>
            </w:r>
          </w:p>
        </w:tc>
        <w:tc>
          <w:tcPr>
            <w:tcW w:w="1276" w:type="dxa"/>
          </w:tcPr>
          <w:p w:rsidR="00BB3C82" w:rsidRDefault="00C559AD" w:rsidP="001B06EE">
            <w:pPr>
              <w:pStyle w:val="NoSpacing"/>
              <w:jc w:val="right"/>
            </w:pPr>
            <w:r>
              <w:t>-</w:t>
            </w:r>
          </w:p>
        </w:tc>
      </w:tr>
      <w:tr w:rsidR="00C559AD" w:rsidTr="001B06EE">
        <w:tc>
          <w:tcPr>
            <w:tcW w:w="5529" w:type="dxa"/>
          </w:tcPr>
          <w:p w:rsidR="00C559AD" w:rsidRDefault="00C559AD" w:rsidP="001B06EE">
            <w:pPr>
              <w:pStyle w:val="NoSpacing"/>
            </w:pPr>
            <w:r>
              <w:t>Reversal of unused loss allowance recognised in net result</w:t>
            </w:r>
          </w:p>
        </w:tc>
        <w:tc>
          <w:tcPr>
            <w:tcW w:w="1276" w:type="dxa"/>
          </w:tcPr>
          <w:p w:rsidR="00C559AD" w:rsidRDefault="00C559AD" w:rsidP="001B06EE">
            <w:pPr>
              <w:pStyle w:val="NoSpacing"/>
              <w:jc w:val="right"/>
            </w:pPr>
            <w:r>
              <w:t>12</w:t>
            </w:r>
          </w:p>
        </w:tc>
        <w:tc>
          <w:tcPr>
            <w:tcW w:w="1276" w:type="dxa"/>
          </w:tcPr>
          <w:p w:rsidR="00C559AD" w:rsidRDefault="00C559AD" w:rsidP="001B06EE">
            <w:pPr>
              <w:pStyle w:val="NoSpacing"/>
              <w:jc w:val="right"/>
            </w:pPr>
            <w:r>
              <w:t>282</w:t>
            </w:r>
          </w:p>
        </w:tc>
        <w:tc>
          <w:tcPr>
            <w:tcW w:w="1275" w:type="dxa"/>
          </w:tcPr>
          <w:p w:rsidR="00C559AD" w:rsidRDefault="00C559AD" w:rsidP="001B06EE">
            <w:pPr>
              <w:pStyle w:val="NoSpacing"/>
              <w:jc w:val="right"/>
            </w:pPr>
            <w:r>
              <w:t>12</w:t>
            </w:r>
          </w:p>
        </w:tc>
        <w:tc>
          <w:tcPr>
            <w:tcW w:w="1276" w:type="dxa"/>
          </w:tcPr>
          <w:p w:rsidR="00C559AD" w:rsidRDefault="00C559AD" w:rsidP="001B06EE">
            <w:pPr>
              <w:pStyle w:val="NoSpacing"/>
              <w:jc w:val="right"/>
            </w:pPr>
            <w:r>
              <w:t>282</w:t>
            </w:r>
          </w:p>
        </w:tc>
      </w:tr>
      <w:tr w:rsidR="00C559AD" w:rsidTr="001B06EE">
        <w:tc>
          <w:tcPr>
            <w:tcW w:w="5529" w:type="dxa"/>
          </w:tcPr>
          <w:p w:rsidR="00C559AD" w:rsidRDefault="00C559AD" w:rsidP="001B06EE">
            <w:pPr>
              <w:pStyle w:val="NoSpacing"/>
            </w:pPr>
            <w:r>
              <w:t>Increase in loss allowance recognised in net result</w:t>
            </w:r>
          </w:p>
        </w:tc>
        <w:tc>
          <w:tcPr>
            <w:tcW w:w="1276" w:type="dxa"/>
          </w:tcPr>
          <w:p w:rsidR="00C559AD" w:rsidRDefault="00C559AD" w:rsidP="001B06EE">
            <w:pPr>
              <w:pStyle w:val="NoSpacing"/>
              <w:jc w:val="right"/>
            </w:pPr>
            <w:r>
              <w:t>(251)</w:t>
            </w:r>
          </w:p>
        </w:tc>
        <w:tc>
          <w:tcPr>
            <w:tcW w:w="1276" w:type="dxa"/>
          </w:tcPr>
          <w:p w:rsidR="00C559AD" w:rsidRDefault="00C559AD" w:rsidP="001B06EE">
            <w:pPr>
              <w:pStyle w:val="NoSpacing"/>
              <w:jc w:val="right"/>
            </w:pPr>
            <w:r>
              <w:t>(110)</w:t>
            </w:r>
          </w:p>
        </w:tc>
        <w:tc>
          <w:tcPr>
            <w:tcW w:w="1275" w:type="dxa"/>
          </w:tcPr>
          <w:p w:rsidR="00C559AD" w:rsidRDefault="00C559AD" w:rsidP="001B06EE">
            <w:pPr>
              <w:pStyle w:val="NoSpacing"/>
              <w:jc w:val="right"/>
            </w:pPr>
            <w:r>
              <w:t>(251)</w:t>
            </w:r>
          </w:p>
        </w:tc>
        <w:tc>
          <w:tcPr>
            <w:tcW w:w="1276" w:type="dxa"/>
          </w:tcPr>
          <w:p w:rsidR="00C559AD" w:rsidRDefault="00C559AD" w:rsidP="001B06EE">
            <w:pPr>
              <w:pStyle w:val="NoSpacing"/>
              <w:jc w:val="right"/>
            </w:pPr>
            <w:r>
              <w:t>(110)</w:t>
            </w:r>
          </w:p>
        </w:tc>
      </w:tr>
      <w:tr w:rsidR="00C559AD" w:rsidTr="001B06EE">
        <w:tc>
          <w:tcPr>
            <w:tcW w:w="5529" w:type="dxa"/>
          </w:tcPr>
          <w:p w:rsidR="00C559AD" w:rsidRDefault="00C559AD" w:rsidP="001B06EE">
            <w:pPr>
              <w:pStyle w:val="NoSpacing"/>
            </w:pPr>
            <w:r>
              <w:t>Reversal of loss allowance for uncollectable receivables written off during the year</w:t>
            </w:r>
          </w:p>
        </w:tc>
        <w:tc>
          <w:tcPr>
            <w:tcW w:w="1276" w:type="dxa"/>
          </w:tcPr>
          <w:p w:rsidR="00C559AD" w:rsidRDefault="00C559AD" w:rsidP="001B06EE">
            <w:pPr>
              <w:pStyle w:val="NoSpacing"/>
              <w:jc w:val="right"/>
            </w:pPr>
            <w:r>
              <w:t>-</w:t>
            </w:r>
          </w:p>
        </w:tc>
        <w:tc>
          <w:tcPr>
            <w:tcW w:w="1276" w:type="dxa"/>
          </w:tcPr>
          <w:p w:rsidR="00C559AD" w:rsidRDefault="00C559AD" w:rsidP="001B06EE">
            <w:pPr>
              <w:pStyle w:val="NoSpacing"/>
              <w:jc w:val="right"/>
            </w:pPr>
            <w:r>
              <w:t>16</w:t>
            </w:r>
          </w:p>
        </w:tc>
        <w:tc>
          <w:tcPr>
            <w:tcW w:w="1275" w:type="dxa"/>
          </w:tcPr>
          <w:p w:rsidR="00C559AD" w:rsidRDefault="00C559AD" w:rsidP="001B06EE">
            <w:pPr>
              <w:pStyle w:val="NoSpacing"/>
              <w:jc w:val="right"/>
            </w:pPr>
            <w:r>
              <w:t>-</w:t>
            </w:r>
          </w:p>
        </w:tc>
        <w:tc>
          <w:tcPr>
            <w:tcW w:w="1276" w:type="dxa"/>
          </w:tcPr>
          <w:p w:rsidR="00C559AD" w:rsidRDefault="00C559AD" w:rsidP="001B06EE">
            <w:pPr>
              <w:pStyle w:val="NoSpacing"/>
              <w:jc w:val="right"/>
            </w:pPr>
            <w:r>
              <w:t>16</w:t>
            </w:r>
          </w:p>
        </w:tc>
      </w:tr>
      <w:tr w:rsidR="00C559AD" w:rsidTr="001B06EE">
        <w:tc>
          <w:tcPr>
            <w:tcW w:w="5529" w:type="dxa"/>
          </w:tcPr>
          <w:p w:rsidR="00C559AD" w:rsidRDefault="00C559AD" w:rsidP="001B06EE">
            <w:pPr>
              <w:pStyle w:val="NoSpacing"/>
            </w:pPr>
            <w:r>
              <w:t>Balance at the end of the year</w:t>
            </w:r>
          </w:p>
        </w:tc>
        <w:tc>
          <w:tcPr>
            <w:tcW w:w="1276" w:type="dxa"/>
          </w:tcPr>
          <w:p w:rsidR="00C559AD" w:rsidRDefault="00C559AD" w:rsidP="001B06EE">
            <w:pPr>
              <w:pStyle w:val="NoSpacing"/>
              <w:jc w:val="right"/>
            </w:pPr>
            <w:r>
              <w:t>(404)</w:t>
            </w:r>
          </w:p>
        </w:tc>
        <w:tc>
          <w:tcPr>
            <w:tcW w:w="1276" w:type="dxa"/>
          </w:tcPr>
          <w:p w:rsidR="00C559AD" w:rsidRDefault="00C559AD" w:rsidP="001B06EE">
            <w:pPr>
              <w:pStyle w:val="NoSpacing"/>
              <w:jc w:val="right"/>
            </w:pPr>
            <w:r>
              <w:t>(165)</w:t>
            </w:r>
          </w:p>
        </w:tc>
        <w:tc>
          <w:tcPr>
            <w:tcW w:w="1275" w:type="dxa"/>
          </w:tcPr>
          <w:p w:rsidR="00C559AD" w:rsidRDefault="00C559AD" w:rsidP="001B06EE">
            <w:pPr>
              <w:pStyle w:val="NoSpacing"/>
              <w:jc w:val="right"/>
            </w:pPr>
            <w:r>
              <w:t>(404)</w:t>
            </w:r>
          </w:p>
        </w:tc>
        <w:tc>
          <w:tcPr>
            <w:tcW w:w="1276" w:type="dxa"/>
          </w:tcPr>
          <w:p w:rsidR="00C559AD" w:rsidRDefault="00C559AD" w:rsidP="001B06EE">
            <w:pPr>
              <w:pStyle w:val="NoSpacing"/>
              <w:jc w:val="right"/>
            </w:pPr>
            <w:r>
              <w:t>(165)</w:t>
            </w:r>
          </w:p>
        </w:tc>
      </w:tr>
    </w:tbl>
    <w:p w:rsidR="00AB244A" w:rsidRDefault="00AB244A" w:rsidP="00D93A82">
      <w:pPr>
        <w:pStyle w:val="NoSpacing"/>
      </w:pPr>
      <w:r>
        <w:t xml:space="preserve"> </w:t>
      </w:r>
    </w:p>
    <w:p w:rsidR="00D075F7" w:rsidRDefault="00C559AD" w:rsidP="00F02D69">
      <w:pPr>
        <w:pStyle w:val="NoSpacing"/>
      </w:pPr>
      <w:r>
        <w:t>In respect of trade and other receivables, Chisholm Group is not exposed to any significant credit risk exposure to any single counterparty of any group of counterparties having similar characteristics. Trade receivables consist of a large number of customers in various industries and geographical areas. Based on historical information about customer default rates, management considers the credit quality of trade receivables that are not past due or impaired to be good.</w:t>
      </w:r>
    </w:p>
    <w:p w:rsidR="00D075F7" w:rsidRDefault="00D075F7" w:rsidP="00F02D69">
      <w:pPr>
        <w:pStyle w:val="NoSpacing"/>
      </w:pPr>
    </w:p>
    <w:p w:rsidR="00C559AD" w:rsidRDefault="00C559AD" w:rsidP="00406A46">
      <w:pPr>
        <w:pStyle w:val="Heading4"/>
      </w:pPr>
      <w:r>
        <w:t>Ageing analysis of contractual receivables</w:t>
      </w:r>
    </w:p>
    <w:p w:rsidR="00786C5E" w:rsidRDefault="00786C5E" w:rsidP="00786C5E">
      <w:pPr>
        <w:pStyle w:val="NoSpacing"/>
      </w:pPr>
    </w:p>
    <w:tbl>
      <w:tblPr>
        <w:tblStyle w:val="TableGrid"/>
        <w:tblW w:w="10632" w:type="dxa"/>
        <w:tblInd w:w="-856" w:type="dxa"/>
        <w:tblLook w:val="04A0" w:firstRow="1" w:lastRow="0" w:firstColumn="1" w:lastColumn="0" w:noHBand="0" w:noVBand="1"/>
      </w:tblPr>
      <w:tblGrid>
        <w:gridCol w:w="2836"/>
        <w:gridCol w:w="1276"/>
        <w:gridCol w:w="1559"/>
        <w:gridCol w:w="1134"/>
        <w:gridCol w:w="1276"/>
        <w:gridCol w:w="1275"/>
        <w:gridCol w:w="1276"/>
      </w:tblGrid>
      <w:tr w:rsidR="00786C5E" w:rsidTr="00831DE5">
        <w:trPr>
          <w:gridBefore w:val="1"/>
          <w:wBefore w:w="2836" w:type="dxa"/>
        </w:trPr>
        <w:tc>
          <w:tcPr>
            <w:tcW w:w="1276" w:type="dxa"/>
          </w:tcPr>
          <w:p w:rsidR="00786C5E" w:rsidRDefault="00786C5E" w:rsidP="00831DE5">
            <w:pPr>
              <w:pStyle w:val="NoSpacing"/>
              <w:jc w:val="right"/>
            </w:pPr>
            <w:r>
              <w:t>Carrying amount</w:t>
            </w:r>
          </w:p>
        </w:tc>
        <w:tc>
          <w:tcPr>
            <w:tcW w:w="1559" w:type="dxa"/>
          </w:tcPr>
          <w:p w:rsidR="00786C5E" w:rsidRDefault="00786C5E" w:rsidP="00831DE5">
            <w:pPr>
              <w:pStyle w:val="NoSpacing"/>
              <w:jc w:val="right"/>
            </w:pPr>
            <w:r>
              <w:t>Not past due and not impaired</w:t>
            </w:r>
          </w:p>
        </w:tc>
        <w:tc>
          <w:tcPr>
            <w:tcW w:w="1134" w:type="dxa"/>
          </w:tcPr>
          <w:p w:rsidR="00786C5E" w:rsidRDefault="00786C5E" w:rsidP="00831DE5">
            <w:pPr>
              <w:pStyle w:val="NoSpacing"/>
              <w:jc w:val="right"/>
            </w:pPr>
            <w:r>
              <w:t>Less than 1 month</w:t>
            </w:r>
          </w:p>
        </w:tc>
        <w:tc>
          <w:tcPr>
            <w:tcW w:w="1276" w:type="dxa"/>
          </w:tcPr>
          <w:p w:rsidR="00786C5E" w:rsidRDefault="00786C5E" w:rsidP="00831DE5">
            <w:pPr>
              <w:pStyle w:val="NoSpacing"/>
              <w:jc w:val="right"/>
            </w:pPr>
            <w:r>
              <w:t>1-3 months</w:t>
            </w:r>
          </w:p>
        </w:tc>
        <w:tc>
          <w:tcPr>
            <w:tcW w:w="1275" w:type="dxa"/>
          </w:tcPr>
          <w:p w:rsidR="00786C5E" w:rsidRDefault="00786C5E" w:rsidP="00831DE5">
            <w:pPr>
              <w:pStyle w:val="NoSpacing"/>
              <w:jc w:val="right"/>
            </w:pPr>
            <w:r>
              <w:t>3 months – 1 year</w:t>
            </w:r>
          </w:p>
        </w:tc>
        <w:tc>
          <w:tcPr>
            <w:tcW w:w="1276" w:type="dxa"/>
          </w:tcPr>
          <w:p w:rsidR="00786C5E" w:rsidRDefault="00786C5E" w:rsidP="00831DE5">
            <w:pPr>
              <w:pStyle w:val="NoSpacing"/>
              <w:jc w:val="right"/>
            </w:pPr>
            <w:r>
              <w:t>1-5 years</w:t>
            </w:r>
          </w:p>
        </w:tc>
      </w:tr>
      <w:tr w:rsidR="00786C5E" w:rsidTr="00831DE5">
        <w:trPr>
          <w:gridBefore w:val="1"/>
          <w:wBefore w:w="2836" w:type="dxa"/>
        </w:trPr>
        <w:tc>
          <w:tcPr>
            <w:tcW w:w="1276" w:type="dxa"/>
          </w:tcPr>
          <w:p w:rsidR="00786C5E" w:rsidRDefault="00786C5E" w:rsidP="00831DE5">
            <w:pPr>
              <w:pStyle w:val="NoSpacing"/>
              <w:jc w:val="right"/>
            </w:pPr>
            <w:r>
              <w:t>$’000</w:t>
            </w:r>
          </w:p>
        </w:tc>
        <w:tc>
          <w:tcPr>
            <w:tcW w:w="1559" w:type="dxa"/>
          </w:tcPr>
          <w:p w:rsidR="00786C5E" w:rsidRDefault="00786C5E" w:rsidP="00831DE5">
            <w:pPr>
              <w:jc w:val="right"/>
            </w:pPr>
            <w:r w:rsidRPr="00A96DE0">
              <w:t>$’000</w:t>
            </w:r>
          </w:p>
        </w:tc>
        <w:tc>
          <w:tcPr>
            <w:tcW w:w="1134" w:type="dxa"/>
          </w:tcPr>
          <w:p w:rsidR="00786C5E" w:rsidRDefault="00786C5E" w:rsidP="00831DE5">
            <w:pPr>
              <w:jc w:val="right"/>
            </w:pPr>
            <w:r w:rsidRPr="00A96DE0">
              <w:t>$’000</w:t>
            </w:r>
          </w:p>
        </w:tc>
        <w:tc>
          <w:tcPr>
            <w:tcW w:w="1276" w:type="dxa"/>
          </w:tcPr>
          <w:p w:rsidR="00786C5E" w:rsidRDefault="00786C5E" w:rsidP="00831DE5">
            <w:pPr>
              <w:jc w:val="right"/>
            </w:pPr>
            <w:r w:rsidRPr="00A96DE0">
              <w:t>$’000</w:t>
            </w:r>
          </w:p>
        </w:tc>
        <w:tc>
          <w:tcPr>
            <w:tcW w:w="1275" w:type="dxa"/>
          </w:tcPr>
          <w:p w:rsidR="00786C5E" w:rsidRDefault="00786C5E" w:rsidP="00831DE5">
            <w:pPr>
              <w:jc w:val="right"/>
            </w:pPr>
            <w:r w:rsidRPr="00A96DE0">
              <w:t>$’000</w:t>
            </w:r>
          </w:p>
        </w:tc>
        <w:tc>
          <w:tcPr>
            <w:tcW w:w="1276" w:type="dxa"/>
          </w:tcPr>
          <w:p w:rsidR="00786C5E" w:rsidRDefault="00786C5E" w:rsidP="00831DE5">
            <w:pPr>
              <w:jc w:val="right"/>
            </w:pPr>
            <w:r w:rsidRPr="00A96DE0">
              <w:t>$’000</w:t>
            </w:r>
          </w:p>
        </w:tc>
      </w:tr>
      <w:tr w:rsidR="00786C5E" w:rsidTr="00831DE5">
        <w:tc>
          <w:tcPr>
            <w:tcW w:w="10632" w:type="dxa"/>
            <w:gridSpan w:val="7"/>
          </w:tcPr>
          <w:p w:rsidR="00786C5E" w:rsidRDefault="00786C5E" w:rsidP="00831DE5">
            <w:pPr>
              <w:pStyle w:val="NoSpacing"/>
            </w:pPr>
            <w:r>
              <w:t>Consolidated 2019</w:t>
            </w:r>
          </w:p>
        </w:tc>
      </w:tr>
      <w:tr w:rsidR="00786C5E" w:rsidTr="00831DE5">
        <w:tc>
          <w:tcPr>
            <w:tcW w:w="2836" w:type="dxa"/>
          </w:tcPr>
          <w:p w:rsidR="00786C5E" w:rsidRDefault="00786C5E" w:rsidP="00831DE5">
            <w:pPr>
              <w:pStyle w:val="NoSpacing"/>
            </w:pPr>
            <w:r>
              <w:t>Trade receivables</w:t>
            </w:r>
          </w:p>
        </w:tc>
        <w:tc>
          <w:tcPr>
            <w:tcW w:w="1276" w:type="dxa"/>
          </w:tcPr>
          <w:p w:rsidR="00786C5E" w:rsidRDefault="006959A3" w:rsidP="006959A3">
            <w:pPr>
              <w:pStyle w:val="NoSpacing"/>
              <w:jc w:val="right"/>
            </w:pPr>
            <w:r>
              <w:t>4,254</w:t>
            </w:r>
          </w:p>
        </w:tc>
        <w:tc>
          <w:tcPr>
            <w:tcW w:w="1559" w:type="dxa"/>
          </w:tcPr>
          <w:p w:rsidR="00786C5E" w:rsidRDefault="006959A3" w:rsidP="006959A3">
            <w:pPr>
              <w:pStyle w:val="NoSpacing"/>
              <w:jc w:val="right"/>
            </w:pPr>
            <w:r>
              <w:t>783</w:t>
            </w:r>
          </w:p>
        </w:tc>
        <w:tc>
          <w:tcPr>
            <w:tcW w:w="1134" w:type="dxa"/>
          </w:tcPr>
          <w:p w:rsidR="00786C5E" w:rsidRDefault="006959A3" w:rsidP="006959A3">
            <w:pPr>
              <w:pStyle w:val="NoSpacing"/>
              <w:jc w:val="right"/>
            </w:pPr>
            <w:r>
              <w:t>1,785</w:t>
            </w:r>
          </w:p>
        </w:tc>
        <w:tc>
          <w:tcPr>
            <w:tcW w:w="1276" w:type="dxa"/>
          </w:tcPr>
          <w:p w:rsidR="00786C5E" w:rsidRDefault="006959A3" w:rsidP="006959A3">
            <w:pPr>
              <w:pStyle w:val="NoSpacing"/>
              <w:jc w:val="right"/>
            </w:pPr>
            <w:r>
              <w:t>559</w:t>
            </w:r>
          </w:p>
        </w:tc>
        <w:tc>
          <w:tcPr>
            <w:tcW w:w="1275" w:type="dxa"/>
          </w:tcPr>
          <w:p w:rsidR="00786C5E" w:rsidRDefault="006959A3" w:rsidP="006959A3">
            <w:pPr>
              <w:pStyle w:val="NoSpacing"/>
              <w:jc w:val="right"/>
            </w:pPr>
            <w:r>
              <w:t>1,127</w:t>
            </w:r>
          </w:p>
        </w:tc>
        <w:tc>
          <w:tcPr>
            <w:tcW w:w="1276" w:type="dxa"/>
          </w:tcPr>
          <w:p w:rsidR="00786C5E" w:rsidRDefault="006959A3" w:rsidP="006959A3">
            <w:pPr>
              <w:pStyle w:val="NoSpacing"/>
              <w:jc w:val="right"/>
            </w:pPr>
            <w:r>
              <w:t>-</w:t>
            </w:r>
          </w:p>
        </w:tc>
      </w:tr>
      <w:tr w:rsidR="00786C5E" w:rsidTr="00831DE5">
        <w:tc>
          <w:tcPr>
            <w:tcW w:w="2836" w:type="dxa"/>
          </w:tcPr>
          <w:p w:rsidR="00786C5E" w:rsidRDefault="006959A3" w:rsidP="00831DE5">
            <w:pPr>
              <w:pStyle w:val="NoSpacing"/>
            </w:pPr>
            <w:r>
              <w:t>Contract assets</w:t>
            </w:r>
          </w:p>
        </w:tc>
        <w:tc>
          <w:tcPr>
            <w:tcW w:w="1276" w:type="dxa"/>
          </w:tcPr>
          <w:p w:rsidR="00786C5E" w:rsidRDefault="006959A3" w:rsidP="006959A3">
            <w:pPr>
              <w:pStyle w:val="NoSpacing"/>
              <w:jc w:val="right"/>
            </w:pPr>
            <w:r>
              <w:t>8,733</w:t>
            </w:r>
          </w:p>
        </w:tc>
        <w:tc>
          <w:tcPr>
            <w:tcW w:w="1559" w:type="dxa"/>
          </w:tcPr>
          <w:p w:rsidR="00786C5E" w:rsidRDefault="006959A3" w:rsidP="006959A3">
            <w:pPr>
              <w:pStyle w:val="NoSpacing"/>
              <w:jc w:val="right"/>
            </w:pPr>
            <w:r>
              <w:t>8,733</w:t>
            </w:r>
          </w:p>
        </w:tc>
        <w:tc>
          <w:tcPr>
            <w:tcW w:w="1134" w:type="dxa"/>
          </w:tcPr>
          <w:p w:rsidR="00786C5E" w:rsidRDefault="006959A3" w:rsidP="006959A3">
            <w:pPr>
              <w:pStyle w:val="NoSpacing"/>
              <w:jc w:val="right"/>
            </w:pPr>
            <w:r>
              <w:t>-</w:t>
            </w:r>
          </w:p>
        </w:tc>
        <w:tc>
          <w:tcPr>
            <w:tcW w:w="1276" w:type="dxa"/>
          </w:tcPr>
          <w:p w:rsidR="00786C5E" w:rsidRDefault="006959A3" w:rsidP="006959A3">
            <w:pPr>
              <w:pStyle w:val="NoSpacing"/>
              <w:jc w:val="right"/>
            </w:pPr>
            <w:r>
              <w:t>-</w:t>
            </w:r>
          </w:p>
        </w:tc>
        <w:tc>
          <w:tcPr>
            <w:tcW w:w="1275" w:type="dxa"/>
          </w:tcPr>
          <w:p w:rsidR="00786C5E" w:rsidRDefault="006959A3" w:rsidP="006959A3">
            <w:pPr>
              <w:pStyle w:val="NoSpacing"/>
              <w:jc w:val="right"/>
            </w:pPr>
            <w:r>
              <w:t>-</w:t>
            </w:r>
          </w:p>
        </w:tc>
        <w:tc>
          <w:tcPr>
            <w:tcW w:w="1276" w:type="dxa"/>
          </w:tcPr>
          <w:p w:rsidR="00786C5E" w:rsidRDefault="006959A3" w:rsidP="006959A3">
            <w:pPr>
              <w:pStyle w:val="NoSpacing"/>
              <w:jc w:val="right"/>
            </w:pPr>
            <w:r>
              <w:t>-</w:t>
            </w:r>
          </w:p>
        </w:tc>
      </w:tr>
      <w:tr w:rsidR="00786C5E" w:rsidTr="00831DE5">
        <w:tc>
          <w:tcPr>
            <w:tcW w:w="2836" w:type="dxa"/>
          </w:tcPr>
          <w:p w:rsidR="00786C5E" w:rsidRDefault="00786C5E" w:rsidP="00831DE5">
            <w:pPr>
              <w:pStyle w:val="NoSpacing"/>
            </w:pPr>
            <w:r>
              <w:t>Other receivables</w:t>
            </w:r>
          </w:p>
        </w:tc>
        <w:tc>
          <w:tcPr>
            <w:tcW w:w="1276" w:type="dxa"/>
          </w:tcPr>
          <w:p w:rsidR="00786C5E" w:rsidRDefault="006959A3" w:rsidP="006959A3">
            <w:pPr>
              <w:pStyle w:val="NoSpacing"/>
              <w:jc w:val="right"/>
            </w:pPr>
            <w:r>
              <w:t>2,785</w:t>
            </w:r>
          </w:p>
        </w:tc>
        <w:tc>
          <w:tcPr>
            <w:tcW w:w="1559" w:type="dxa"/>
          </w:tcPr>
          <w:p w:rsidR="00786C5E" w:rsidRDefault="006959A3" w:rsidP="006959A3">
            <w:pPr>
              <w:pStyle w:val="NoSpacing"/>
              <w:jc w:val="right"/>
            </w:pPr>
            <w:r>
              <w:t>2,785</w:t>
            </w:r>
          </w:p>
        </w:tc>
        <w:tc>
          <w:tcPr>
            <w:tcW w:w="1134" w:type="dxa"/>
          </w:tcPr>
          <w:p w:rsidR="00786C5E" w:rsidRDefault="006959A3" w:rsidP="006959A3">
            <w:pPr>
              <w:pStyle w:val="NoSpacing"/>
              <w:jc w:val="right"/>
            </w:pPr>
            <w:r>
              <w:t>-</w:t>
            </w:r>
          </w:p>
        </w:tc>
        <w:tc>
          <w:tcPr>
            <w:tcW w:w="1276" w:type="dxa"/>
          </w:tcPr>
          <w:p w:rsidR="00786C5E" w:rsidRDefault="006959A3" w:rsidP="006959A3">
            <w:pPr>
              <w:pStyle w:val="NoSpacing"/>
              <w:jc w:val="right"/>
            </w:pPr>
            <w:r>
              <w:t>-</w:t>
            </w:r>
          </w:p>
        </w:tc>
        <w:tc>
          <w:tcPr>
            <w:tcW w:w="1275" w:type="dxa"/>
          </w:tcPr>
          <w:p w:rsidR="00786C5E" w:rsidRDefault="006959A3" w:rsidP="006959A3">
            <w:pPr>
              <w:pStyle w:val="NoSpacing"/>
              <w:jc w:val="right"/>
            </w:pPr>
            <w:r>
              <w:t>-</w:t>
            </w:r>
          </w:p>
        </w:tc>
        <w:tc>
          <w:tcPr>
            <w:tcW w:w="1276" w:type="dxa"/>
          </w:tcPr>
          <w:p w:rsidR="00786C5E" w:rsidRDefault="006959A3" w:rsidP="006959A3">
            <w:pPr>
              <w:pStyle w:val="NoSpacing"/>
              <w:jc w:val="right"/>
            </w:pPr>
            <w:r>
              <w:t>-</w:t>
            </w:r>
          </w:p>
        </w:tc>
      </w:tr>
      <w:tr w:rsidR="00786C5E" w:rsidTr="00831DE5">
        <w:tc>
          <w:tcPr>
            <w:tcW w:w="2836" w:type="dxa"/>
          </w:tcPr>
          <w:p w:rsidR="00786C5E" w:rsidRDefault="00786C5E" w:rsidP="00831DE5">
            <w:pPr>
              <w:pStyle w:val="NoSpacing"/>
            </w:pPr>
            <w:r>
              <w:t>Total</w:t>
            </w:r>
          </w:p>
        </w:tc>
        <w:tc>
          <w:tcPr>
            <w:tcW w:w="1276" w:type="dxa"/>
          </w:tcPr>
          <w:p w:rsidR="00786C5E" w:rsidRDefault="006959A3" w:rsidP="006959A3">
            <w:pPr>
              <w:pStyle w:val="NoSpacing"/>
              <w:jc w:val="right"/>
            </w:pPr>
            <w:r>
              <w:t>15,772</w:t>
            </w:r>
          </w:p>
        </w:tc>
        <w:tc>
          <w:tcPr>
            <w:tcW w:w="1559" w:type="dxa"/>
          </w:tcPr>
          <w:p w:rsidR="00786C5E" w:rsidRDefault="006959A3" w:rsidP="006959A3">
            <w:pPr>
              <w:pStyle w:val="NoSpacing"/>
              <w:jc w:val="right"/>
            </w:pPr>
            <w:r>
              <w:t>12,301</w:t>
            </w:r>
          </w:p>
        </w:tc>
        <w:tc>
          <w:tcPr>
            <w:tcW w:w="1134" w:type="dxa"/>
          </w:tcPr>
          <w:p w:rsidR="00786C5E" w:rsidRDefault="006959A3" w:rsidP="006959A3">
            <w:pPr>
              <w:pStyle w:val="NoSpacing"/>
              <w:jc w:val="right"/>
            </w:pPr>
            <w:r>
              <w:t>1,785</w:t>
            </w:r>
          </w:p>
        </w:tc>
        <w:tc>
          <w:tcPr>
            <w:tcW w:w="1276" w:type="dxa"/>
          </w:tcPr>
          <w:p w:rsidR="00786C5E" w:rsidRDefault="006959A3" w:rsidP="006959A3">
            <w:pPr>
              <w:pStyle w:val="NoSpacing"/>
              <w:jc w:val="right"/>
            </w:pPr>
            <w:r>
              <w:t>559</w:t>
            </w:r>
          </w:p>
        </w:tc>
        <w:tc>
          <w:tcPr>
            <w:tcW w:w="1275" w:type="dxa"/>
          </w:tcPr>
          <w:p w:rsidR="00786C5E" w:rsidRDefault="006959A3" w:rsidP="006959A3">
            <w:pPr>
              <w:pStyle w:val="NoSpacing"/>
              <w:jc w:val="right"/>
            </w:pPr>
            <w:r>
              <w:t>1,127</w:t>
            </w:r>
          </w:p>
        </w:tc>
        <w:tc>
          <w:tcPr>
            <w:tcW w:w="1276" w:type="dxa"/>
          </w:tcPr>
          <w:p w:rsidR="00786C5E" w:rsidRDefault="006959A3" w:rsidP="006959A3">
            <w:pPr>
              <w:pStyle w:val="NoSpacing"/>
              <w:jc w:val="right"/>
            </w:pPr>
            <w:r>
              <w:t>-</w:t>
            </w:r>
          </w:p>
        </w:tc>
      </w:tr>
    </w:tbl>
    <w:p w:rsidR="00786C5E" w:rsidRDefault="00786C5E" w:rsidP="00786C5E">
      <w:pPr>
        <w:pStyle w:val="NoSpacing"/>
      </w:pPr>
    </w:p>
    <w:tbl>
      <w:tblPr>
        <w:tblStyle w:val="TableGrid"/>
        <w:tblW w:w="10632" w:type="dxa"/>
        <w:tblInd w:w="-856" w:type="dxa"/>
        <w:tblLook w:val="04A0" w:firstRow="1" w:lastRow="0" w:firstColumn="1" w:lastColumn="0" w:noHBand="0" w:noVBand="1"/>
      </w:tblPr>
      <w:tblGrid>
        <w:gridCol w:w="2836"/>
        <w:gridCol w:w="1276"/>
        <w:gridCol w:w="1417"/>
        <w:gridCol w:w="1276"/>
        <w:gridCol w:w="1276"/>
        <w:gridCol w:w="1275"/>
        <w:gridCol w:w="1276"/>
      </w:tblGrid>
      <w:tr w:rsidR="00786C5E" w:rsidTr="00831DE5">
        <w:tc>
          <w:tcPr>
            <w:tcW w:w="10632" w:type="dxa"/>
            <w:gridSpan w:val="7"/>
          </w:tcPr>
          <w:p w:rsidR="00786C5E" w:rsidRDefault="00786C5E" w:rsidP="00831DE5">
            <w:pPr>
              <w:pStyle w:val="NoSpacing"/>
            </w:pPr>
            <w:r>
              <w:t>Consolidated 2018</w:t>
            </w:r>
          </w:p>
        </w:tc>
      </w:tr>
      <w:tr w:rsidR="00786C5E" w:rsidTr="00831DE5">
        <w:tc>
          <w:tcPr>
            <w:tcW w:w="2836" w:type="dxa"/>
          </w:tcPr>
          <w:p w:rsidR="00786C5E" w:rsidRDefault="00786C5E" w:rsidP="00831DE5">
            <w:pPr>
              <w:pStyle w:val="NoSpacing"/>
            </w:pPr>
            <w:r>
              <w:t>Trade receivables</w:t>
            </w:r>
          </w:p>
        </w:tc>
        <w:tc>
          <w:tcPr>
            <w:tcW w:w="1276" w:type="dxa"/>
          </w:tcPr>
          <w:p w:rsidR="00786C5E" w:rsidRDefault="006959A3" w:rsidP="006959A3">
            <w:pPr>
              <w:pStyle w:val="NoSpacing"/>
              <w:jc w:val="right"/>
            </w:pPr>
            <w:r>
              <w:t>5,742</w:t>
            </w:r>
          </w:p>
        </w:tc>
        <w:tc>
          <w:tcPr>
            <w:tcW w:w="1417" w:type="dxa"/>
          </w:tcPr>
          <w:p w:rsidR="00786C5E" w:rsidRDefault="006959A3" w:rsidP="006959A3">
            <w:pPr>
              <w:pStyle w:val="NoSpacing"/>
              <w:jc w:val="right"/>
            </w:pPr>
            <w:r>
              <w:t>521</w:t>
            </w:r>
          </w:p>
        </w:tc>
        <w:tc>
          <w:tcPr>
            <w:tcW w:w="1276" w:type="dxa"/>
          </w:tcPr>
          <w:p w:rsidR="00786C5E" w:rsidRDefault="006959A3" w:rsidP="006959A3">
            <w:pPr>
              <w:pStyle w:val="NoSpacing"/>
              <w:jc w:val="right"/>
            </w:pPr>
            <w:r>
              <w:t>3,450</w:t>
            </w:r>
          </w:p>
        </w:tc>
        <w:tc>
          <w:tcPr>
            <w:tcW w:w="1276" w:type="dxa"/>
          </w:tcPr>
          <w:p w:rsidR="00786C5E" w:rsidRDefault="006959A3" w:rsidP="006959A3">
            <w:pPr>
              <w:pStyle w:val="NoSpacing"/>
              <w:jc w:val="right"/>
            </w:pPr>
            <w:r>
              <w:t>916</w:t>
            </w:r>
          </w:p>
        </w:tc>
        <w:tc>
          <w:tcPr>
            <w:tcW w:w="1275" w:type="dxa"/>
          </w:tcPr>
          <w:p w:rsidR="00786C5E" w:rsidRDefault="006959A3" w:rsidP="006959A3">
            <w:pPr>
              <w:pStyle w:val="NoSpacing"/>
              <w:jc w:val="right"/>
            </w:pPr>
            <w:r>
              <w:t>855</w:t>
            </w:r>
          </w:p>
        </w:tc>
        <w:tc>
          <w:tcPr>
            <w:tcW w:w="1276" w:type="dxa"/>
          </w:tcPr>
          <w:p w:rsidR="00786C5E" w:rsidRDefault="006959A3" w:rsidP="006959A3">
            <w:pPr>
              <w:pStyle w:val="NoSpacing"/>
              <w:jc w:val="right"/>
            </w:pPr>
            <w:r>
              <w:t>-</w:t>
            </w:r>
          </w:p>
        </w:tc>
      </w:tr>
      <w:tr w:rsidR="00786C5E" w:rsidTr="00831DE5">
        <w:tc>
          <w:tcPr>
            <w:tcW w:w="2836" w:type="dxa"/>
          </w:tcPr>
          <w:p w:rsidR="00786C5E" w:rsidRDefault="006959A3" w:rsidP="00831DE5">
            <w:pPr>
              <w:pStyle w:val="NoSpacing"/>
            </w:pPr>
            <w:r>
              <w:t>Contract assets</w:t>
            </w:r>
          </w:p>
        </w:tc>
        <w:tc>
          <w:tcPr>
            <w:tcW w:w="1276" w:type="dxa"/>
          </w:tcPr>
          <w:p w:rsidR="00786C5E" w:rsidRDefault="006959A3" w:rsidP="006959A3">
            <w:pPr>
              <w:pStyle w:val="NoSpacing"/>
              <w:jc w:val="right"/>
            </w:pPr>
            <w:r>
              <w:t>7,158</w:t>
            </w:r>
          </w:p>
        </w:tc>
        <w:tc>
          <w:tcPr>
            <w:tcW w:w="1417" w:type="dxa"/>
          </w:tcPr>
          <w:p w:rsidR="00786C5E" w:rsidRDefault="006959A3" w:rsidP="006959A3">
            <w:pPr>
              <w:pStyle w:val="NoSpacing"/>
              <w:jc w:val="right"/>
            </w:pPr>
            <w:r>
              <w:t>7,158</w:t>
            </w:r>
          </w:p>
        </w:tc>
        <w:tc>
          <w:tcPr>
            <w:tcW w:w="1276" w:type="dxa"/>
          </w:tcPr>
          <w:p w:rsidR="00786C5E" w:rsidRDefault="006959A3" w:rsidP="006959A3">
            <w:pPr>
              <w:pStyle w:val="NoSpacing"/>
              <w:jc w:val="right"/>
            </w:pPr>
            <w:r>
              <w:t>-</w:t>
            </w:r>
          </w:p>
        </w:tc>
        <w:tc>
          <w:tcPr>
            <w:tcW w:w="1276" w:type="dxa"/>
          </w:tcPr>
          <w:p w:rsidR="00786C5E" w:rsidRDefault="006959A3" w:rsidP="006959A3">
            <w:pPr>
              <w:pStyle w:val="NoSpacing"/>
              <w:jc w:val="right"/>
            </w:pPr>
            <w:r>
              <w:t>-</w:t>
            </w:r>
          </w:p>
        </w:tc>
        <w:tc>
          <w:tcPr>
            <w:tcW w:w="1275" w:type="dxa"/>
          </w:tcPr>
          <w:p w:rsidR="00786C5E" w:rsidRDefault="006959A3" w:rsidP="006959A3">
            <w:pPr>
              <w:pStyle w:val="NoSpacing"/>
              <w:jc w:val="right"/>
            </w:pPr>
            <w:r>
              <w:t>-</w:t>
            </w:r>
          </w:p>
        </w:tc>
        <w:tc>
          <w:tcPr>
            <w:tcW w:w="1276" w:type="dxa"/>
          </w:tcPr>
          <w:p w:rsidR="00786C5E" w:rsidRDefault="006959A3" w:rsidP="006959A3">
            <w:pPr>
              <w:pStyle w:val="NoSpacing"/>
              <w:jc w:val="right"/>
            </w:pPr>
            <w:r>
              <w:t>-</w:t>
            </w:r>
          </w:p>
        </w:tc>
      </w:tr>
      <w:tr w:rsidR="00786C5E" w:rsidTr="00831DE5">
        <w:tc>
          <w:tcPr>
            <w:tcW w:w="2836" w:type="dxa"/>
          </w:tcPr>
          <w:p w:rsidR="00786C5E" w:rsidRDefault="00786C5E" w:rsidP="00831DE5">
            <w:pPr>
              <w:pStyle w:val="NoSpacing"/>
            </w:pPr>
            <w:r>
              <w:t>Other receivables</w:t>
            </w:r>
          </w:p>
        </w:tc>
        <w:tc>
          <w:tcPr>
            <w:tcW w:w="1276" w:type="dxa"/>
          </w:tcPr>
          <w:p w:rsidR="00786C5E" w:rsidRDefault="006959A3" w:rsidP="006959A3">
            <w:pPr>
              <w:pStyle w:val="NoSpacing"/>
              <w:jc w:val="right"/>
            </w:pPr>
            <w:r>
              <w:t>3,675</w:t>
            </w:r>
          </w:p>
        </w:tc>
        <w:tc>
          <w:tcPr>
            <w:tcW w:w="1417" w:type="dxa"/>
          </w:tcPr>
          <w:p w:rsidR="00786C5E" w:rsidRDefault="006959A3" w:rsidP="006959A3">
            <w:pPr>
              <w:pStyle w:val="NoSpacing"/>
              <w:jc w:val="right"/>
            </w:pPr>
            <w:r>
              <w:t>3,675</w:t>
            </w:r>
          </w:p>
        </w:tc>
        <w:tc>
          <w:tcPr>
            <w:tcW w:w="1276" w:type="dxa"/>
          </w:tcPr>
          <w:p w:rsidR="00786C5E" w:rsidRDefault="006959A3" w:rsidP="006959A3">
            <w:pPr>
              <w:pStyle w:val="NoSpacing"/>
              <w:jc w:val="right"/>
            </w:pPr>
            <w:r>
              <w:t>-</w:t>
            </w:r>
          </w:p>
        </w:tc>
        <w:tc>
          <w:tcPr>
            <w:tcW w:w="1276" w:type="dxa"/>
          </w:tcPr>
          <w:p w:rsidR="00786C5E" w:rsidRDefault="006959A3" w:rsidP="006959A3">
            <w:pPr>
              <w:pStyle w:val="NoSpacing"/>
              <w:jc w:val="right"/>
            </w:pPr>
            <w:r>
              <w:t>-</w:t>
            </w:r>
          </w:p>
        </w:tc>
        <w:tc>
          <w:tcPr>
            <w:tcW w:w="1275" w:type="dxa"/>
          </w:tcPr>
          <w:p w:rsidR="00786C5E" w:rsidRDefault="006959A3" w:rsidP="006959A3">
            <w:pPr>
              <w:pStyle w:val="NoSpacing"/>
              <w:jc w:val="right"/>
            </w:pPr>
            <w:r>
              <w:t>-</w:t>
            </w:r>
          </w:p>
        </w:tc>
        <w:tc>
          <w:tcPr>
            <w:tcW w:w="1276" w:type="dxa"/>
          </w:tcPr>
          <w:p w:rsidR="00786C5E" w:rsidRDefault="006959A3" w:rsidP="006959A3">
            <w:pPr>
              <w:pStyle w:val="NoSpacing"/>
              <w:jc w:val="right"/>
            </w:pPr>
            <w:r>
              <w:t>-</w:t>
            </w:r>
          </w:p>
        </w:tc>
      </w:tr>
      <w:tr w:rsidR="00786C5E" w:rsidTr="00831DE5">
        <w:tc>
          <w:tcPr>
            <w:tcW w:w="2836" w:type="dxa"/>
          </w:tcPr>
          <w:p w:rsidR="00786C5E" w:rsidRDefault="00786C5E" w:rsidP="00831DE5">
            <w:pPr>
              <w:pStyle w:val="NoSpacing"/>
            </w:pPr>
            <w:r>
              <w:t>Total</w:t>
            </w:r>
          </w:p>
        </w:tc>
        <w:tc>
          <w:tcPr>
            <w:tcW w:w="1276" w:type="dxa"/>
          </w:tcPr>
          <w:p w:rsidR="00786C5E" w:rsidRDefault="006959A3" w:rsidP="006959A3">
            <w:pPr>
              <w:pStyle w:val="NoSpacing"/>
              <w:jc w:val="right"/>
            </w:pPr>
            <w:r>
              <w:t>16,575</w:t>
            </w:r>
          </w:p>
        </w:tc>
        <w:tc>
          <w:tcPr>
            <w:tcW w:w="1417" w:type="dxa"/>
          </w:tcPr>
          <w:p w:rsidR="00786C5E" w:rsidRDefault="006959A3" w:rsidP="006959A3">
            <w:pPr>
              <w:pStyle w:val="NoSpacing"/>
              <w:jc w:val="right"/>
            </w:pPr>
            <w:r>
              <w:t>11,354</w:t>
            </w:r>
          </w:p>
        </w:tc>
        <w:tc>
          <w:tcPr>
            <w:tcW w:w="1276" w:type="dxa"/>
          </w:tcPr>
          <w:p w:rsidR="00786C5E" w:rsidRDefault="006959A3" w:rsidP="006959A3">
            <w:pPr>
              <w:pStyle w:val="NoSpacing"/>
              <w:jc w:val="right"/>
            </w:pPr>
            <w:r>
              <w:t>3,450</w:t>
            </w:r>
          </w:p>
        </w:tc>
        <w:tc>
          <w:tcPr>
            <w:tcW w:w="1276" w:type="dxa"/>
          </w:tcPr>
          <w:p w:rsidR="00786C5E" w:rsidRDefault="006959A3" w:rsidP="006959A3">
            <w:pPr>
              <w:pStyle w:val="NoSpacing"/>
              <w:jc w:val="right"/>
            </w:pPr>
            <w:r>
              <w:t>916</w:t>
            </w:r>
          </w:p>
        </w:tc>
        <w:tc>
          <w:tcPr>
            <w:tcW w:w="1275" w:type="dxa"/>
          </w:tcPr>
          <w:p w:rsidR="00786C5E" w:rsidRDefault="006959A3" w:rsidP="006959A3">
            <w:pPr>
              <w:pStyle w:val="NoSpacing"/>
              <w:jc w:val="right"/>
            </w:pPr>
            <w:r>
              <w:t>855</w:t>
            </w:r>
          </w:p>
        </w:tc>
        <w:tc>
          <w:tcPr>
            <w:tcW w:w="1276" w:type="dxa"/>
          </w:tcPr>
          <w:p w:rsidR="00786C5E" w:rsidRDefault="006959A3" w:rsidP="006959A3">
            <w:pPr>
              <w:pStyle w:val="NoSpacing"/>
              <w:jc w:val="right"/>
            </w:pPr>
            <w:r>
              <w:t>-</w:t>
            </w:r>
          </w:p>
        </w:tc>
      </w:tr>
    </w:tbl>
    <w:p w:rsidR="00786C5E" w:rsidRDefault="00786C5E" w:rsidP="00786C5E">
      <w:pPr>
        <w:pStyle w:val="NoSpacing"/>
      </w:pPr>
    </w:p>
    <w:p w:rsidR="006959A3" w:rsidRDefault="006959A3" w:rsidP="00786C5E">
      <w:pPr>
        <w:pStyle w:val="NoSpacing"/>
      </w:pPr>
      <w:r>
        <w:t>&lt;page 74&gt;</w:t>
      </w:r>
    </w:p>
    <w:p w:rsidR="006959A3" w:rsidRDefault="006959A3" w:rsidP="00786C5E">
      <w:pPr>
        <w:pStyle w:val="NoSpacing"/>
      </w:pPr>
    </w:p>
    <w:p w:rsidR="006959A3" w:rsidRDefault="006959A3" w:rsidP="006959A3">
      <w:pPr>
        <w:pStyle w:val="Heading2"/>
      </w:pPr>
      <w:r>
        <w:t xml:space="preserve">5. Balances from operations </w:t>
      </w:r>
    </w:p>
    <w:p w:rsidR="00406A46" w:rsidRDefault="00406A46" w:rsidP="00406A46">
      <w:pPr>
        <w:pStyle w:val="NoSpacing"/>
      </w:pPr>
    </w:p>
    <w:p w:rsidR="006959A3" w:rsidRDefault="006959A3" w:rsidP="00406A46">
      <w:pPr>
        <w:pStyle w:val="Heading3"/>
      </w:pPr>
      <w:r>
        <w:t>5.1 Receivables (continued)</w:t>
      </w:r>
    </w:p>
    <w:p w:rsidR="00406A46" w:rsidRDefault="00406A46" w:rsidP="00406A46">
      <w:pPr>
        <w:pStyle w:val="NoSpacing"/>
      </w:pPr>
    </w:p>
    <w:p w:rsidR="006959A3" w:rsidRDefault="006959A3" w:rsidP="00406A46">
      <w:pPr>
        <w:pStyle w:val="Heading4"/>
      </w:pPr>
      <w:r>
        <w:t>Ageing analysis of contractual receivables (continued)</w:t>
      </w:r>
    </w:p>
    <w:p w:rsidR="006959A3" w:rsidRDefault="006959A3" w:rsidP="00786C5E">
      <w:pPr>
        <w:pStyle w:val="NoSpacing"/>
      </w:pPr>
    </w:p>
    <w:tbl>
      <w:tblPr>
        <w:tblStyle w:val="TableGrid"/>
        <w:tblW w:w="10632" w:type="dxa"/>
        <w:tblInd w:w="-856" w:type="dxa"/>
        <w:tblLook w:val="04A0" w:firstRow="1" w:lastRow="0" w:firstColumn="1" w:lastColumn="0" w:noHBand="0" w:noVBand="1"/>
      </w:tblPr>
      <w:tblGrid>
        <w:gridCol w:w="2836"/>
        <w:gridCol w:w="1276"/>
        <w:gridCol w:w="1417"/>
        <w:gridCol w:w="1276"/>
        <w:gridCol w:w="1276"/>
        <w:gridCol w:w="1275"/>
        <w:gridCol w:w="1276"/>
      </w:tblGrid>
      <w:tr w:rsidR="00786C5E" w:rsidTr="00831DE5">
        <w:tc>
          <w:tcPr>
            <w:tcW w:w="10632" w:type="dxa"/>
            <w:gridSpan w:val="7"/>
          </w:tcPr>
          <w:p w:rsidR="00786C5E" w:rsidRDefault="00786C5E" w:rsidP="00831DE5">
            <w:pPr>
              <w:pStyle w:val="NoSpacing"/>
            </w:pPr>
            <w:r>
              <w:t>Chisholm 2019</w:t>
            </w:r>
          </w:p>
        </w:tc>
      </w:tr>
      <w:tr w:rsidR="00786C5E" w:rsidTr="00831DE5">
        <w:tc>
          <w:tcPr>
            <w:tcW w:w="2836" w:type="dxa"/>
          </w:tcPr>
          <w:p w:rsidR="00786C5E" w:rsidRDefault="00786C5E" w:rsidP="00786C5E">
            <w:pPr>
              <w:pStyle w:val="NoSpacing"/>
            </w:pPr>
            <w:r>
              <w:t>Trade receivables</w:t>
            </w:r>
          </w:p>
        </w:tc>
        <w:tc>
          <w:tcPr>
            <w:tcW w:w="1276" w:type="dxa"/>
          </w:tcPr>
          <w:p w:rsidR="00786C5E" w:rsidRDefault="006959A3" w:rsidP="006959A3">
            <w:pPr>
              <w:pStyle w:val="NoSpacing"/>
              <w:jc w:val="right"/>
            </w:pPr>
            <w:r>
              <w:t>4,254</w:t>
            </w:r>
          </w:p>
        </w:tc>
        <w:tc>
          <w:tcPr>
            <w:tcW w:w="1417" w:type="dxa"/>
          </w:tcPr>
          <w:p w:rsidR="00786C5E" w:rsidRDefault="006959A3" w:rsidP="006959A3">
            <w:pPr>
              <w:pStyle w:val="NoSpacing"/>
              <w:jc w:val="right"/>
            </w:pPr>
            <w:r>
              <w:t>783</w:t>
            </w:r>
          </w:p>
        </w:tc>
        <w:tc>
          <w:tcPr>
            <w:tcW w:w="1276" w:type="dxa"/>
          </w:tcPr>
          <w:p w:rsidR="00786C5E" w:rsidRDefault="006959A3" w:rsidP="006959A3">
            <w:pPr>
              <w:pStyle w:val="NoSpacing"/>
              <w:jc w:val="right"/>
            </w:pPr>
            <w:r>
              <w:t>1,785</w:t>
            </w:r>
          </w:p>
        </w:tc>
        <w:tc>
          <w:tcPr>
            <w:tcW w:w="1276" w:type="dxa"/>
          </w:tcPr>
          <w:p w:rsidR="00786C5E" w:rsidRDefault="006959A3" w:rsidP="006959A3">
            <w:pPr>
              <w:pStyle w:val="NoSpacing"/>
              <w:jc w:val="right"/>
            </w:pPr>
            <w:r>
              <w:t>559</w:t>
            </w:r>
          </w:p>
        </w:tc>
        <w:tc>
          <w:tcPr>
            <w:tcW w:w="1275" w:type="dxa"/>
          </w:tcPr>
          <w:p w:rsidR="00786C5E" w:rsidRDefault="006959A3" w:rsidP="006959A3">
            <w:pPr>
              <w:pStyle w:val="NoSpacing"/>
              <w:jc w:val="right"/>
            </w:pPr>
            <w:r>
              <w:t>1,127</w:t>
            </w:r>
          </w:p>
        </w:tc>
        <w:tc>
          <w:tcPr>
            <w:tcW w:w="1276" w:type="dxa"/>
          </w:tcPr>
          <w:p w:rsidR="00786C5E" w:rsidRDefault="006959A3" w:rsidP="006959A3">
            <w:pPr>
              <w:pStyle w:val="NoSpacing"/>
              <w:jc w:val="right"/>
            </w:pPr>
            <w:r>
              <w:t>-</w:t>
            </w:r>
          </w:p>
        </w:tc>
      </w:tr>
      <w:tr w:rsidR="00786C5E" w:rsidTr="00831DE5">
        <w:tc>
          <w:tcPr>
            <w:tcW w:w="2836" w:type="dxa"/>
          </w:tcPr>
          <w:p w:rsidR="00786C5E" w:rsidRDefault="006959A3" w:rsidP="00786C5E">
            <w:pPr>
              <w:pStyle w:val="NoSpacing"/>
            </w:pPr>
            <w:r>
              <w:t>Contract assets</w:t>
            </w:r>
          </w:p>
        </w:tc>
        <w:tc>
          <w:tcPr>
            <w:tcW w:w="1276" w:type="dxa"/>
          </w:tcPr>
          <w:p w:rsidR="00786C5E" w:rsidRDefault="006959A3" w:rsidP="006959A3">
            <w:pPr>
              <w:pStyle w:val="NoSpacing"/>
              <w:jc w:val="right"/>
            </w:pPr>
            <w:r>
              <w:t>8,348</w:t>
            </w:r>
          </w:p>
        </w:tc>
        <w:tc>
          <w:tcPr>
            <w:tcW w:w="1417" w:type="dxa"/>
          </w:tcPr>
          <w:p w:rsidR="00786C5E" w:rsidRDefault="006959A3" w:rsidP="006959A3">
            <w:pPr>
              <w:pStyle w:val="NoSpacing"/>
              <w:jc w:val="right"/>
            </w:pPr>
            <w:r>
              <w:t>8,348</w:t>
            </w:r>
          </w:p>
        </w:tc>
        <w:tc>
          <w:tcPr>
            <w:tcW w:w="1276" w:type="dxa"/>
          </w:tcPr>
          <w:p w:rsidR="00786C5E" w:rsidRDefault="006959A3" w:rsidP="006959A3">
            <w:pPr>
              <w:pStyle w:val="NoSpacing"/>
              <w:jc w:val="right"/>
            </w:pPr>
            <w:r>
              <w:t>-</w:t>
            </w:r>
          </w:p>
        </w:tc>
        <w:tc>
          <w:tcPr>
            <w:tcW w:w="1276" w:type="dxa"/>
          </w:tcPr>
          <w:p w:rsidR="00786C5E" w:rsidRDefault="006959A3" w:rsidP="006959A3">
            <w:pPr>
              <w:pStyle w:val="NoSpacing"/>
              <w:jc w:val="right"/>
            </w:pPr>
            <w:r>
              <w:t>-</w:t>
            </w:r>
          </w:p>
        </w:tc>
        <w:tc>
          <w:tcPr>
            <w:tcW w:w="1275" w:type="dxa"/>
          </w:tcPr>
          <w:p w:rsidR="00786C5E" w:rsidRDefault="006959A3" w:rsidP="006959A3">
            <w:pPr>
              <w:pStyle w:val="NoSpacing"/>
              <w:jc w:val="right"/>
            </w:pPr>
            <w:r>
              <w:t>-</w:t>
            </w:r>
          </w:p>
        </w:tc>
        <w:tc>
          <w:tcPr>
            <w:tcW w:w="1276" w:type="dxa"/>
          </w:tcPr>
          <w:p w:rsidR="00786C5E" w:rsidRDefault="006959A3" w:rsidP="006959A3">
            <w:pPr>
              <w:pStyle w:val="NoSpacing"/>
              <w:jc w:val="right"/>
            </w:pPr>
            <w:r>
              <w:t>-</w:t>
            </w:r>
          </w:p>
        </w:tc>
      </w:tr>
      <w:tr w:rsidR="00786C5E" w:rsidTr="00831DE5">
        <w:tc>
          <w:tcPr>
            <w:tcW w:w="2836" w:type="dxa"/>
          </w:tcPr>
          <w:p w:rsidR="00786C5E" w:rsidRDefault="00786C5E" w:rsidP="00786C5E">
            <w:pPr>
              <w:pStyle w:val="NoSpacing"/>
            </w:pPr>
            <w:r>
              <w:t>Other receivables</w:t>
            </w:r>
          </w:p>
        </w:tc>
        <w:tc>
          <w:tcPr>
            <w:tcW w:w="1276" w:type="dxa"/>
          </w:tcPr>
          <w:p w:rsidR="00786C5E" w:rsidRDefault="006959A3" w:rsidP="006959A3">
            <w:pPr>
              <w:pStyle w:val="NoSpacing"/>
              <w:jc w:val="right"/>
            </w:pPr>
            <w:r>
              <w:t>5,111</w:t>
            </w:r>
          </w:p>
        </w:tc>
        <w:tc>
          <w:tcPr>
            <w:tcW w:w="1417" w:type="dxa"/>
          </w:tcPr>
          <w:p w:rsidR="00786C5E" w:rsidRDefault="006959A3" w:rsidP="006959A3">
            <w:pPr>
              <w:pStyle w:val="NoSpacing"/>
              <w:jc w:val="right"/>
            </w:pPr>
            <w:r>
              <w:t>5,111</w:t>
            </w:r>
          </w:p>
        </w:tc>
        <w:tc>
          <w:tcPr>
            <w:tcW w:w="1276" w:type="dxa"/>
          </w:tcPr>
          <w:p w:rsidR="00786C5E" w:rsidRDefault="006959A3" w:rsidP="006959A3">
            <w:pPr>
              <w:pStyle w:val="NoSpacing"/>
              <w:jc w:val="right"/>
            </w:pPr>
            <w:r>
              <w:t>-</w:t>
            </w:r>
          </w:p>
        </w:tc>
        <w:tc>
          <w:tcPr>
            <w:tcW w:w="1276" w:type="dxa"/>
          </w:tcPr>
          <w:p w:rsidR="00786C5E" w:rsidRDefault="006959A3" w:rsidP="006959A3">
            <w:pPr>
              <w:pStyle w:val="NoSpacing"/>
              <w:jc w:val="right"/>
            </w:pPr>
            <w:r>
              <w:t>-</w:t>
            </w:r>
          </w:p>
        </w:tc>
        <w:tc>
          <w:tcPr>
            <w:tcW w:w="1275" w:type="dxa"/>
          </w:tcPr>
          <w:p w:rsidR="00786C5E" w:rsidRDefault="006959A3" w:rsidP="006959A3">
            <w:pPr>
              <w:pStyle w:val="NoSpacing"/>
              <w:jc w:val="right"/>
            </w:pPr>
            <w:r>
              <w:t>-</w:t>
            </w:r>
          </w:p>
        </w:tc>
        <w:tc>
          <w:tcPr>
            <w:tcW w:w="1276" w:type="dxa"/>
          </w:tcPr>
          <w:p w:rsidR="00786C5E" w:rsidRDefault="006959A3" w:rsidP="006959A3">
            <w:pPr>
              <w:pStyle w:val="NoSpacing"/>
              <w:jc w:val="right"/>
            </w:pPr>
            <w:r>
              <w:t>-</w:t>
            </w:r>
          </w:p>
        </w:tc>
      </w:tr>
      <w:tr w:rsidR="00786C5E" w:rsidTr="00831DE5">
        <w:tc>
          <w:tcPr>
            <w:tcW w:w="2836" w:type="dxa"/>
          </w:tcPr>
          <w:p w:rsidR="00786C5E" w:rsidRDefault="00786C5E" w:rsidP="00786C5E">
            <w:pPr>
              <w:pStyle w:val="NoSpacing"/>
            </w:pPr>
            <w:r>
              <w:t>Total</w:t>
            </w:r>
          </w:p>
        </w:tc>
        <w:tc>
          <w:tcPr>
            <w:tcW w:w="1276" w:type="dxa"/>
          </w:tcPr>
          <w:p w:rsidR="00786C5E" w:rsidRDefault="006959A3" w:rsidP="006959A3">
            <w:pPr>
              <w:pStyle w:val="NoSpacing"/>
              <w:jc w:val="right"/>
            </w:pPr>
            <w:r>
              <w:t>17,713</w:t>
            </w:r>
          </w:p>
        </w:tc>
        <w:tc>
          <w:tcPr>
            <w:tcW w:w="1417" w:type="dxa"/>
          </w:tcPr>
          <w:p w:rsidR="00786C5E" w:rsidRDefault="006959A3" w:rsidP="006959A3">
            <w:pPr>
              <w:pStyle w:val="NoSpacing"/>
              <w:jc w:val="right"/>
            </w:pPr>
            <w:r>
              <w:t>14,242</w:t>
            </w:r>
          </w:p>
        </w:tc>
        <w:tc>
          <w:tcPr>
            <w:tcW w:w="1276" w:type="dxa"/>
          </w:tcPr>
          <w:p w:rsidR="00786C5E" w:rsidRDefault="006959A3" w:rsidP="006959A3">
            <w:pPr>
              <w:pStyle w:val="NoSpacing"/>
              <w:jc w:val="right"/>
            </w:pPr>
            <w:r>
              <w:t>1,785</w:t>
            </w:r>
          </w:p>
        </w:tc>
        <w:tc>
          <w:tcPr>
            <w:tcW w:w="1276" w:type="dxa"/>
          </w:tcPr>
          <w:p w:rsidR="00786C5E" w:rsidRDefault="006959A3" w:rsidP="006959A3">
            <w:pPr>
              <w:pStyle w:val="NoSpacing"/>
              <w:jc w:val="right"/>
            </w:pPr>
            <w:r>
              <w:t>559</w:t>
            </w:r>
          </w:p>
        </w:tc>
        <w:tc>
          <w:tcPr>
            <w:tcW w:w="1275" w:type="dxa"/>
          </w:tcPr>
          <w:p w:rsidR="00786C5E" w:rsidRDefault="006959A3" w:rsidP="006959A3">
            <w:pPr>
              <w:pStyle w:val="NoSpacing"/>
              <w:jc w:val="right"/>
            </w:pPr>
            <w:r>
              <w:t>1,127</w:t>
            </w:r>
          </w:p>
        </w:tc>
        <w:tc>
          <w:tcPr>
            <w:tcW w:w="1276" w:type="dxa"/>
          </w:tcPr>
          <w:p w:rsidR="00786C5E" w:rsidRDefault="006959A3" w:rsidP="006959A3">
            <w:pPr>
              <w:pStyle w:val="NoSpacing"/>
              <w:jc w:val="right"/>
            </w:pPr>
            <w:r>
              <w:t>-</w:t>
            </w:r>
          </w:p>
        </w:tc>
      </w:tr>
    </w:tbl>
    <w:p w:rsidR="00786C5E" w:rsidRDefault="00786C5E" w:rsidP="00786C5E">
      <w:pPr>
        <w:pStyle w:val="NoSpacing"/>
      </w:pPr>
    </w:p>
    <w:tbl>
      <w:tblPr>
        <w:tblStyle w:val="TableGrid"/>
        <w:tblW w:w="10632" w:type="dxa"/>
        <w:tblInd w:w="-856" w:type="dxa"/>
        <w:tblLook w:val="04A0" w:firstRow="1" w:lastRow="0" w:firstColumn="1" w:lastColumn="0" w:noHBand="0" w:noVBand="1"/>
      </w:tblPr>
      <w:tblGrid>
        <w:gridCol w:w="2836"/>
        <w:gridCol w:w="1276"/>
        <w:gridCol w:w="1417"/>
        <w:gridCol w:w="1276"/>
        <w:gridCol w:w="1276"/>
        <w:gridCol w:w="1275"/>
        <w:gridCol w:w="1276"/>
      </w:tblGrid>
      <w:tr w:rsidR="00786C5E" w:rsidTr="00831DE5">
        <w:tc>
          <w:tcPr>
            <w:tcW w:w="10632" w:type="dxa"/>
            <w:gridSpan w:val="7"/>
          </w:tcPr>
          <w:p w:rsidR="00786C5E" w:rsidRDefault="00786C5E" w:rsidP="00831DE5">
            <w:pPr>
              <w:pStyle w:val="NoSpacing"/>
            </w:pPr>
            <w:r>
              <w:t>Chisholm 2018</w:t>
            </w:r>
          </w:p>
        </w:tc>
      </w:tr>
      <w:tr w:rsidR="00786C5E" w:rsidTr="00831DE5">
        <w:tc>
          <w:tcPr>
            <w:tcW w:w="2836" w:type="dxa"/>
          </w:tcPr>
          <w:p w:rsidR="00786C5E" w:rsidRDefault="00786C5E" w:rsidP="00786C5E">
            <w:pPr>
              <w:pStyle w:val="NoSpacing"/>
            </w:pPr>
            <w:r>
              <w:t>Trade receivables</w:t>
            </w:r>
          </w:p>
        </w:tc>
        <w:tc>
          <w:tcPr>
            <w:tcW w:w="1276" w:type="dxa"/>
          </w:tcPr>
          <w:p w:rsidR="00786C5E" w:rsidRDefault="006959A3" w:rsidP="006959A3">
            <w:pPr>
              <w:pStyle w:val="NoSpacing"/>
              <w:jc w:val="right"/>
            </w:pPr>
            <w:r>
              <w:t>5,742</w:t>
            </w:r>
          </w:p>
        </w:tc>
        <w:tc>
          <w:tcPr>
            <w:tcW w:w="1417" w:type="dxa"/>
          </w:tcPr>
          <w:p w:rsidR="00786C5E" w:rsidRDefault="006959A3" w:rsidP="006959A3">
            <w:pPr>
              <w:pStyle w:val="NoSpacing"/>
              <w:jc w:val="right"/>
            </w:pPr>
            <w:r>
              <w:t>521</w:t>
            </w:r>
          </w:p>
        </w:tc>
        <w:tc>
          <w:tcPr>
            <w:tcW w:w="1276" w:type="dxa"/>
          </w:tcPr>
          <w:p w:rsidR="00786C5E" w:rsidRDefault="006959A3" w:rsidP="006959A3">
            <w:pPr>
              <w:pStyle w:val="NoSpacing"/>
              <w:jc w:val="right"/>
            </w:pPr>
            <w:r>
              <w:t>3,450</w:t>
            </w:r>
          </w:p>
        </w:tc>
        <w:tc>
          <w:tcPr>
            <w:tcW w:w="1276" w:type="dxa"/>
          </w:tcPr>
          <w:p w:rsidR="00786C5E" w:rsidRDefault="006959A3" w:rsidP="006959A3">
            <w:pPr>
              <w:pStyle w:val="NoSpacing"/>
              <w:jc w:val="right"/>
            </w:pPr>
            <w:r>
              <w:t>916</w:t>
            </w:r>
          </w:p>
        </w:tc>
        <w:tc>
          <w:tcPr>
            <w:tcW w:w="1275" w:type="dxa"/>
          </w:tcPr>
          <w:p w:rsidR="00786C5E" w:rsidRDefault="006959A3" w:rsidP="006959A3">
            <w:pPr>
              <w:pStyle w:val="NoSpacing"/>
              <w:jc w:val="right"/>
            </w:pPr>
            <w:r>
              <w:t>855</w:t>
            </w:r>
          </w:p>
        </w:tc>
        <w:tc>
          <w:tcPr>
            <w:tcW w:w="1276" w:type="dxa"/>
          </w:tcPr>
          <w:p w:rsidR="00786C5E" w:rsidRDefault="006959A3" w:rsidP="006959A3">
            <w:pPr>
              <w:pStyle w:val="NoSpacing"/>
              <w:jc w:val="right"/>
            </w:pPr>
            <w:r>
              <w:t>-</w:t>
            </w:r>
          </w:p>
        </w:tc>
      </w:tr>
      <w:tr w:rsidR="00786C5E" w:rsidTr="00831DE5">
        <w:tc>
          <w:tcPr>
            <w:tcW w:w="2836" w:type="dxa"/>
          </w:tcPr>
          <w:p w:rsidR="00786C5E" w:rsidRDefault="006959A3" w:rsidP="00786C5E">
            <w:pPr>
              <w:pStyle w:val="NoSpacing"/>
            </w:pPr>
            <w:r>
              <w:t>Contract assets</w:t>
            </w:r>
          </w:p>
        </w:tc>
        <w:tc>
          <w:tcPr>
            <w:tcW w:w="1276" w:type="dxa"/>
          </w:tcPr>
          <w:p w:rsidR="00786C5E" w:rsidRDefault="006959A3" w:rsidP="006959A3">
            <w:pPr>
              <w:pStyle w:val="NoSpacing"/>
              <w:jc w:val="right"/>
            </w:pPr>
            <w:r>
              <w:t>6,993</w:t>
            </w:r>
          </w:p>
        </w:tc>
        <w:tc>
          <w:tcPr>
            <w:tcW w:w="1417" w:type="dxa"/>
          </w:tcPr>
          <w:p w:rsidR="00786C5E" w:rsidRDefault="006959A3" w:rsidP="006959A3">
            <w:pPr>
              <w:pStyle w:val="NoSpacing"/>
              <w:jc w:val="right"/>
            </w:pPr>
            <w:r>
              <w:t>6,993</w:t>
            </w:r>
          </w:p>
        </w:tc>
        <w:tc>
          <w:tcPr>
            <w:tcW w:w="1276" w:type="dxa"/>
          </w:tcPr>
          <w:p w:rsidR="00786C5E" w:rsidRDefault="006959A3" w:rsidP="006959A3">
            <w:pPr>
              <w:pStyle w:val="NoSpacing"/>
              <w:jc w:val="right"/>
            </w:pPr>
            <w:r>
              <w:t>-</w:t>
            </w:r>
          </w:p>
        </w:tc>
        <w:tc>
          <w:tcPr>
            <w:tcW w:w="1276" w:type="dxa"/>
          </w:tcPr>
          <w:p w:rsidR="00786C5E" w:rsidRDefault="006959A3" w:rsidP="006959A3">
            <w:pPr>
              <w:pStyle w:val="NoSpacing"/>
              <w:jc w:val="right"/>
            </w:pPr>
            <w:r>
              <w:t>-</w:t>
            </w:r>
          </w:p>
        </w:tc>
        <w:tc>
          <w:tcPr>
            <w:tcW w:w="1275" w:type="dxa"/>
          </w:tcPr>
          <w:p w:rsidR="00786C5E" w:rsidRDefault="006959A3" w:rsidP="006959A3">
            <w:pPr>
              <w:pStyle w:val="NoSpacing"/>
              <w:jc w:val="right"/>
            </w:pPr>
            <w:r>
              <w:t>-</w:t>
            </w:r>
          </w:p>
        </w:tc>
        <w:tc>
          <w:tcPr>
            <w:tcW w:w="1276" w:type="dxa"/>
          </w:tcPr>
          <w:p w:rsidR="00786C5E" w:rsidRDefault="006959A3" w:rsidP="006959A3">
            <w:pPr>
              <w:pStyle w:val="NoSpacing"/>
              <w:jc w:val="right"/>
            </w:pPr>
            <w:r>
              <w:t>-</w:t>
            </w:r>
          </w:p>
        </w:tc>
      </w:tr>
      <w:tr w:rsidR="00786C5E" w:rsidTr="00831DE5">
        <w:tc>
          <w:tcPr>
            <w:tcW w:w="2836" w:type="dxa"/>
          </w:tcPr>
          <w:p w:rsidR="00786C5E" w:rsidRDefault="00786C5E" w:rsidP="00786C5E">
            <w:pPr>
              <w:pStyle w:val="NoSpacing"/>
            </w:pPr>
            <w:r>
              <w:t>Other receivables</w:t>
            </w:r>
          </w:p>
        </w:tc>
        <w:tc>
          <w:tcPr>
            <w:tcW w:w="1276" w:type="dxa"/>
          </w:tcPr>
          <w:p w:rsidR="00786C5E" w:rsidRDefault="006959A3" w:rsidP="006959A3">
            <w:pPr>
              <w:pStyle w:val="NoSpacing"/>
              <w:jc w:val="right"/>
            </w:pPr>
            <w:r>
              <w:t>6,720</w:t>
            </w:r>
          </w:p>
        </w:tc>
        <w:tc>
          <w:tcPr>
            <w:tcW w:w="1417" w:type="dxa"/>
          </w:tcPr>
          <w:p w:rsidR="00786C5E" w:rsidRDefault="006959A3" w:rsidP="006959A3">
            <w:pPr>
              <w:pStyle w:val="NoSpacing"/>
              <w:jc w:val="right"/>
            </w:pPr>
            <w:r>
              <w:t>6,720</w:t>
            </w:r>
          </w:p>
        </w:tc>
        <w:tc>
          <w:tcPr>
            <w:tcW w:w="1276" w:type="dxa"/>
          </w:tcPr>
          <w:p w:rsidR="00786C5E" w:rsidRDefault="006959A3" w:rsidP="006959A3">
            <w:pPr>
              <w:pStyle w:val="NoSpacing"/>
              <w:jc w:val="right"/>
            </w:pPr>
            <w:r>
              <w:t>-</w:t>
            </w:r>
          </w:p>
        </w:tc>
        <w:tc>
          <w:tcPr>
            <w:tcW w:w="1276" w:type="dxa"/>
          </w:tcPr>
          <w:p w:rsidR="00786C5E" w:rsidRDefault="006959A3" w:rsidP="006959A3">
            <w:pPr>
              <w:pStyle w:val="NoSpacing"/>
              <w:jc w:val="right"/>
            </w:pPr>
            <w:r>
              <w:t>-</w:t>
            </w:r>
          </w:p>
        </w:tc>
        <w:tc>
          <w:tcPr>
            <w:tcW w:w="1275" w:type="dxa"/>
          </w:tcPr>
          <w:p w:rsidR="00786C5E" w:rsidRDefault="006959A3" w:rsidP="006959A3">
            <w:pPr>
              <w:pStyle w:val="NoSpacing"/>
              <w:jc w:val="right"/>
            </w:pPr>
            <w:r>
              <w:t>-</w:t>
            </w:r>
          </w:p>
        </w:tc>
        <w:tc>
          <w:tcPr>
            <w:tcW w:w="1276" w:type="dxa"/>
          </w:tcPr>
          <w:p w:rsidR="00786C5E" w:rsidRDefault="006959A3" w:rsidP="006959A3">
            <w:pPr>
              <w:pStyle w:val="NoSpacing"/>
              <w:jc w:val="right"/>
            </w:pPr>
            <w:r>
              <w:t>-</w:t>
            </w:r>
          </w:p>
        </w:tc>
      </w:tr>
      <w:tr w:rsidR="00786C5E" w:rsidTr="00831DE5">
        <w:tc>
          <w:tcPr>
            <w:tcW w:w="2836" w:type="dxa"/>
          </w:tcPr>
          <w:p w:rsidR="00786C5E" w:rsidRDefault="00786C5E" w:rsidP="00786C5E">
            <w:pPr>
              <w:pStyle w:val="NoSpacing"/>
            </w:pPr>
            <w:r>
              <w:lastRenderedPageBreak/>
              <w:t>Total</w:t>
            </w:r>
          </w:p>
        </w:tc>
        <w:tc>
          <w:tcPr>
            <w:tcW w:w="1276" w:type="dxa"/>
          </w:tcPr>
          <w:p w:rsidR="00786C5E" w:rsidRDefault="006959A3" w:rsidP="006959A3">
            <w:pPr>
              <w:pStyle w:val="NoSpacing"/>
              <w:jc w:val="right"/>
            </w:pPr>
            <w:r>
              <w:t>19,455</w:t>
            </w:r>
          </w:p>
        </w:tc>
        <w:tc>
          <w:tcPr>
            <w:tcW w:w="1417" w:type="dxa"/>
          </w:tcPr>
          <w:p w:rsidR="00786C5E" w:rsidRDefault="006959A3" w:rsidP="006959A3">
            <w:pPr>
              <w:pStyle w:val="NoSpacing"/>
              <w:jc w:val="right"/>
            </w:pPr>
            <w:r>
              <w:t>14,234</w:t>
            </w:r>
          </w:p>
        </w:tc>
        <w:tc>
          <w:tcPr>
            <w:tcW w:w="1276" w:type="dxa"/>
          </w:tcPr>
          <w:p w:rsidR="00786C5E" w:rsidRDefault="006959A3" w:rsidP="006959A3">
            <w:pPr>
              <w:pStyle w:val="NoSpacing"/>
              <w:jc w:val="right"/>
            </w:pPr>
            <w:r>
              <w:t>3,450</w:t>
            </w:r>
          </w:p>
        </w:tc>
        <w:tc>
          <w:tcPr>
            <w:tcW w:w="1276" w:type="dxa"/>
          </w:tcPr>
          <w:p w:rsidR="00786C5E" w:rsidRDefault="006959A3" w:rsidP="006959A3">
            <w:pPr>
              <w:pStyle w:val="NoSpacing"/>
              <w:jc w:val="right"/>
            </w:pPr>
            <w:r>
              <w:t>916</w:t>
            </w:r>
          </w:p>
        </w:tc>
        <w:tc>
          <w:tcPr>
            <w:tcW w:w="1275" w:type="dxa"/>
          </w:tcPr>
          <w:p w:rsidR="00786C5E" w:rsidRDefault="006959A3" w:rsidP="006959A3">
            <w:pPr>
              <w:pStyle w:val="NoSpacing"/>
              <w:jc w:val="right"/>
            </w:pPr>
            <w:r>
              <w:t>855</w:t>
            </w:r>
          </w:p>
        </w:tc>
        <w:tc>
          <w:tcPr>
            <w:tcW w:w="1276" w:type="dxa"/>
          </w:tcPr>
          <w:p w:rsidR="00786C5E" w:rsidRDefault="006959A3" w:rsidP="006959A3">
            <w:pPr>
              <w:pStyle w:val="NoSpacing"/>
              <w:jc w:val="right"/>
            </w:pPr>
            <w:r>
              <w:t>-</w:t>
            </w:r>
          </w:p>
        </w:tc>
      </w:tr>
    </w:tbl>
    <w:p w:rsidR="00786C5E" w:rsidRDefault="006959A3" w:rsidP="00786C5E">
      <w:pPr>
        <w:pStyle w:val="NoSpacing"/>
      </w:pPr>
      <w:r>
        <w:t>Note: The disclosures above exclude statutory receivables (e.g. amounts arising from Victorian Government and GST input credits).</w:t>
      </w:r>
    </w:p>
    <w:p w:rsidR="006959A3" w:rsidRDefault="006959A3" w:rsidP="00786C5E">
      <w:pPr>
        <w:pStyle w:val="NoSpacing"/>
      </w:pPr>
    </w:p>
    <w:p w:rsidR="006959A3" w:rsidRDefault="00570620" w:rsidP="00786C5E">
      <w:pPr>
        <w:pStyle w:val="NoSpacing"/>
      </w:pPr>
      <w:r>
        <w:t>The average credit period on sales of goods is 21 days.</w:t>
      </w:r>
    </w:p>
    <w:p w:rsidR="00570620" w:rsidRDefault="00570620" w:rsidP="00786C5E">
      <w:pPr>
        <w:pStyle w:val="NoSpacing"/>
      </w:pPr>
    </w:p>
    <w:p w:rsidR="00570620" w:rsidRDefault="00570620" w:rsidP="00786C5E">
      <w:pPr>
        <w:pStyle w:val="NoSpacing"/>
      </w:pPr>
      <w:r>
        <w:t>There are no financial assets that have their terms renegotiated so as to prevent them from being past due or impaired, and they are stated at the carrying amounts as indicated.</w:t>
      </w:r>
    </w:p>
    <w:p w:rsidR="00875CBF" w:rsidRDefault="00875CBF" w:rsidP="00F02D69">
      <w:pPr>
        <w:pStyle w:val="NoSpacing"/>
      </w:pPr>
    </w:p>
    <w:p w:rsidR="00EA424C" w:rsidRDefault="00786C5E" w:rsidP="00406A46">
      <w:pPr>
        <w:pStyle w:val="Heading3"/>
      </w:pPr>
      <w:r>
        <w:t>5.2 Payables</w:t>
      </w:r>
    </w:p>
    <w:p w:rsidR="00EA424C" w:rsidRDefault="00EA424C" w:rsidP="00EA424C">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EA424C" w:rsidTr="00831DE5">
        <w:trPr>
          <w:gridBefore w:val="1"/>
          <w:wBefore w:w="5529" w:type="dxa"/>
        </w:trPr>
        <w:tc>
          <w:tcPr>
            <w:tcW w:w="2552" w:type="dxa"/>
            <w:gridSpan w:val="2"/>
          </w:tcPr>
          <w:p w:rsidR="00EA424C" w:rsidRDefault="00EA424C" w:rsidP="00831DE5">
            <w:pPr>
              <w:pStyle w:val="NoSpacing"/>
              <w:jc w:val="right"/>
            </w:pPr>
            <w:r>
              <w:t>Consolidated</w:t>
            </w:r>
          </w:p>
        </w:tc>
        <w:tc>
          <w:tcPr>
            <w:tcW w:w="2551" w:type="dxa"/>
            <w:gridSpan w:val="2"/>
          </w:tcPr>
          <w:p w:rsidR="00EA424C" w:rsidRDefault="00EA424C" w:rsidP="00831DE5">
            <w:pPr>
              <w:pStyle w:val="NoSpacing"/>
              <w:jc w:val="right"/>
            </w:pPr>
            <w:r>
              <w:t>Chisholm</w:t>
            </w:r>
          </w:p>
        </w:tc>
      </w:tr>
      <w:tr w:rsidR="00EA424C" w:rsidTr="00831DE5">
        <w:trPr>
          <w:gridBefore w:val="1"/>
          <w:wBefore w:w="5529" w:type="dxa"/>
        </w:trPr>
        <w:tc>
          <w:tcPr>
            <w:tcW w:w="1276" w:type="dxa"/>
          </w:tcPr>
          <w:p w:rsidR="00EA424C" w:rsidRDefault="00EA424C" w:rsidP="00831DE5">
            <w:pPr>
              <w:pStyle w:val="NoSpacing"/>
              <w:jc w:val="right"/>
            </w:pPr>
            <w:r>
              <w:t>2019</w:t>
            </w:r>
          </w:p>
        </w:tc>
        <w:tc>
          <w:tcPr>
            <w:tcW w:w="1276" w:type="dxa"/>
          </w:tcPr>
          <w:p w:rsidR="00EA424C" w:rsidRDefault="00EA424C" w:rsidP="00831DE5">
            <w:pPr>
              <w:pStyle w:val="NoSpacing"/>
              <w:jc w:val="right"/>
            </w:pPr>
            <w:r>
              <w:t>2018</w:t>
            </w:r>
          </w:p>
        </w:tc>
        <w:tc>
          <w:tcPr>
            <w:tcW w:w="1275" w:type="dxa"/>
          </w:tcPr>
          <w:p w:rsidR="00EA424C" w:rsidRDefault="00EA424C" w:rsidP="00831DE5">
            <w:pPr>
              <w:pStyle w:val="NoSpacing"/>
              <w:jc w:val="right"/>
            </w:pPr>
            <w:r>
              <w:t>2019</w:t>
            </w:r>
          </w:p>
        </w:tc>
        <w:tc>
          <w:tcPr>
            <w:tcW w:w="1276" w:type="dxa"/>
          </w:tcPr>
          <w:p w:rsidR="00EA424C" w:rsidRDefault="00EA424C" w:rsidP="00831DE5">
            <w:pPr>
              <w:pStyle w:val="NoSpacing"/>
              <w:jc w:val="right"/>
            </w:pPr>
            <w:r>
              <w:t>2018</w:t>
            </w:r>
          </w:p>
        </w:tc>
      </w:tr>
      <w:tr w:rsidR="00EA424C" w:rsidTr="00831DE5">
        <w:trPr>
          <w:gridBefore w:val="1"/>
          <w:wBefore w:w="5529" w:type="dxa"/>
        </w:trPr>
        <w:tc>
          <w:tcPr>
            <w:tcW w:w="1276" w:type="dxa"/>
          </w:tcPr>
          <w:p w:rsidR="00EA424C" w:rsidRDefault="00EA424C" w:rsidP="00831DE5">
            <w:pPr>
              <w:pStyle w:val="NoSpacing"/>
              <w:jc w:val="right"/>
            </w:pPr>
            <w:r>
              <w:t>$’000</w:t>
            </w:r>
          </w:p>
        </w:tc>
        <w:tc>
          <w:tcPr>
            <w:tcW w:w="1276" w:type="dxa"/>
          </w:tcPr>
          <w:p w:rsidR="00EA424C" w:rsidRDefault="00EA424C" w:rsidP="00831DE5">
            <w:pPr>
              <w:jc w:val="right"/>
            </w:pPr>
            <w:r w:rsidRPr="00105D59">
              <w:t>$’000</w:t>
            </w:r>
          </w:p>
        </w:tc>
        <w:tc>
          <w:tcPr>
            <w:tcW w:w="1275" w:type="dxa"/>
          </w:tcPr>
          <w:p w:rsidR="00EA424C" w:rsidRDefault="00EA424C" w:rsidP="00831DE5">
            <w:pPr>
              <w:jc w:val="right"/>
            </w:pPr>
            <w:r w:rsidRPr="00105D59">
              <w:t>$’000</w:t>
            </w:r>
          </w:p>
        </w:tc>
        <w:tc>
          <w:tcPr>
            <w:tcW w:w="1276" w:type="dxa"/>
          </w:tcPr>
          <w:p w:rsidR="00EA424C" w:rsidRDefault="00EA424C" w:rsidP="00831DE5">
            <w:pPr>
              <w:jc w:val="right"/>
            </w:pPr>
            <w:r w:rsidRPr="00105D59">
              <w:t>$’000</w:t>
            </w:r>
          </w:p>
        </w:tc>
      </w:tr>
      <w:tr w:rsidR="00EA424C" w:rsidTr="00831DE5">
        <w:tc>
          <w:tcPr>
            <w:tcW w:w="10632" w:type="dxa"/>
            <w:gridSpan w:val="5"/>
          </w:tcPr>
          <w:p w:rsidR="00EA424C" w:rsidRDefault="00EA424C" w:rsidP="00831DE5">
            <w:pPr>
              <w:pStyle w:val="NoSpacing"/>
            </w:pPr>
            <w:r>
              <w:t xml:space="preserve">Current </w:t>
            </w:r>
          </w:p>
        </w:tc>
      </w:tr>
      <w:tr w:rsidR="00EA424C" w:rsidTr="00831DE5">
        <w:tc>
          <w:tcPr>
            <w:tcW w:w="10632" w:type="dxa"/>
            <w:gridSpan w:val="5"/>
          </w:tcPr>
          <w:p w:rsidR="00EA424C" w:rsidRDefault="00EA424C" w:rsidP="00EA424C">
            <w:pPr>
              <w:pStyle w:val="NoSpacing"/>
            </w:pPr>
            <w:r>
              <w:t xml:space="preserve">Contractual </w:t>
            </w:r>
          </w:p>
        </w:tc>
      </w:tr>
      <w:tr w:rsidR="00EA424C" w:rsidTr="00831DE5">
        <w:tc>
          <w:tcPr>
            <w:tcW w:w="5529" w:type="dxa"/>
          </w:tcPr>
          <w:p w:rsidR="00EA424C" w:rsidRDefault="00EA424C" w:rsidP="00831DE5">
            <w:pPr>
              <w:pStyle w:val="NoSpacing"/>
            </w:pPr>
            <w:r>
              <w:t xml:space="preserve">Supplies and services </w:t>
            </w:r>
          </w:p>
        </w:tc>
        <w:tc>
          <w:tcPr>
            <w:tcW w:w="1276" w:type="dxa"/>
          </w:tcPr>
          <w:p w:rsidR="00EA424C" w:rsidRDefault="00570620" w:rsidP="00831DE5">
            <w:pPr>
              <w:pStyle w:val="NoSpacing"/>
              <w:jc w:val="right"/>
            </w:pPr>
            <w:r>
              <w:t>7,560</w:t>
            </w:r>
          </w:p>
        </w:tc>
        <w:tc>
          <w:tcPr>
            <w:tcW w:w="1276" w:type="dxa"/>
          </w:tcPr>
          <w:p w:rsidR="00EA424C" w:rsidRDefault="00570620" w:rsidP="00831DE5">
            <w:pPr>
              <w:pStyle w:val="NoSpacing"/>
              <w:jc w:val="right"/>
            </w:pPr>
            <w:r>
              <w:t>9,915</w:t>
            </w:r>
          </w:p>
        </w:tc>
        <w:tc>
          <w:tcPr>
            <w:tcW w:w="1275" w:type="dxa"/>
          </w:tcPr>
          <w:p w:rsidR="00EA424C" w:rsidRDefault="00570620" w:rsidP="00831DE5">
            <w:pPr>
              <w:pStyle w:val="NoSpacing"/>
              <w:jc w:val="right"/>
            </w:pPr>
            <w:r>
              <w:t>8,721</w:t>
            </w:r>
          </w:p>
        </w:tc>
        <w:tc>
          <w:tcPr>
            <w:tcW w:w="1276" w:type="dxa"/>
          </w:tcPr>
          <w:p w:rsidR="00EA424C" w:rsidRDefault="00570620" w:rsidP="00831DE5">
            <w:pPr>
              <w:pStyle w:val="NoSpacing"/>
              <w:jc w:val="right"/>
            </w:pPr>
            <w:r>
              <w:t>10,005</w:t>
            </w:r>
          </w:p>
        </w:tc>
      </w:tr>
      <w:tr w:rsidR="00EA424C" w:rsidTr="00831DE5">
        <w:tc>
          <w:tcPr>
            <w:tcW w:w="5529" w:type="dxa"/>
          </w:tcPr>
          <w:p w:rsidR="00EA424C" w:rsidRDefault="00EA424C" w:rsidP="00831DE5">
            <w:pPr>
              <w:pStyle w:val="NoSpacing"/>
            </w:pPr>
            <w:r>
              <w:t>Total contractual payables</w:t>
            </w:r>
          </w:p>
        </w:tc>
        <w:tc>
          <w:tcPr>
            <w:tcW w:w="1276" w:type="dxa"/>
          </w:tcPr>
          <w:p w:rsidR="00EA424C" w:rsidRDefault="00570620" w:rsidP="00831DE5">
            <w:pPr>
              <w:pStyle w:val="NoSpacing"/>
              <w:jc w:val="right"/>
            </w:pPr>
            <w:r>
              <w:t>7,560</w:t>
            </w:r>
          </w:p>
        </w:tc>
        <w:tc>
          <w:tcPr>
            <w:tcW w:w="1276" w:type="dxa"/>
          </w:tcPr>
          <w:p w:rsidR="00EA424C" w:rsidRDefault="00570620" w:rsidP="00831DE5">
            <w:pPr>
              <w:pStyle w:val="NoSpacing"/>
              <w:jc w:val="right"/>
            </w:pPr>
            <w:r>
              <w:t>9,915</w:t>
            </w:r>
          </w:p>
        </w:tc>
        <w:tc>
          <w:tcPr>
            <w:tcW w:w="1275" w:type="dxa"/>
          </w:tcPr>
          <w:p w:rsidR="00EA424C" w:rsidRDefault="00570620" w:rsidP="00831DE5">
            <w:pPr>
              <w:pStyle w:val="NoSpacing"/>
              <w:jc w:val="right"/>
            </w:pPr>
            <w:r>
              <w:t>8,721</w:t>
            </w:r>
          </w:p>
        </w:tc>
        <w:tc>
          <w:tcPr>
            <w:tcW w:w="1276" w:type="dxa"/>
          </w:tcPr>
          <w:p w:rsidR="00EA424C" w:rsidRDefault="00570620" w:rsidP="00831DE5">
            <w:pPr>
              <w:pStyle w:val="NoSpacing"/>
              <w:jc w:val="right"/>
            </w:pPr>
            <w:r>
              <w:t>10,005</w:t>
            </w:r>
          </w:p>
        </w:tc>
      </w:tr>
    </w:tbl>
    <w:p w:rsidR="00786C5E" w:rsidRDefault="00EA424C" w:rsidP="00F02D69">
      <w:pPr>
        <w:pStyle w:val="NoSpacing"/>
      </w:pPr>
      <w:r>
        <w:t xml:space="preserve"> </w:t>
      </w: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EA424C" w:rsidTr="00831DE5">
        <w:tc>
          <w:tcPr>
            <w:tcW w:w="10632" w:type="dxa"/>
            <w:gridSpan w:val="5"/>
          </w:tcPr>
          <w:p w:rsidR="00EA424C" w:rsidRDefault="00EA424C" w:rsidP="00831DE5">
            <w:pPr>
              <w:pStyle w:val="NoSpacing"/>
            </w:pPr>
            <w:r>
              <w:t xml:space="preserve">Statutory </w:t>
            </w:r>
          </w:p>
        </w:tc>
      </w:tr>
      <w:tr w:rsidR="00570620" w:rsidTr="00831DE5">
        <w:tc>
          <w:tcPr>
            <w:tcW w:w="5529" w:type="dxa"/>
          </w:tcPr>
          <w:p w:rsidR="00570620" w:rsidRDefault="00570620" w:rsidP="00831DE5">
            <w:pPr>
              <w:pStyle w:val="NoSpacing"/>
            </w:pPr>
            <w:r>
              <w:t>GST payable</w:t>
            </w:r>
          </w:p>
        </w:tc>
        <w:tc>
          <w:tcPr>
            <w:tcW w:w="1276" w:type="dxa"/>
          </w:tcPr>
          <w:p w:rsidR="00570620" w:rsidRDefault="00570620" w:rsidP="00831DE5">
            <w:pPr>
              <w:pStyle w:val="NoSpacing"/>
              <w:jc w:val="right"/>
            </w:pPr>
            <w:r>
              <w:t>475</w:t>
            </w:r>
          </w:p>
        </w:tc>
        <w:tc>
          <w:tcPr>
            <w:tcW w:w="1276" w:type="dxa"/>
          </w:tcPr>
          <w:p w:rsidR="00570620" w:rsidRDefault="00570620" w:rsidP="00831DE5">
            <w:pPr>
              <w:pStyle w:val="NoSpacing"/>
              <w:jc w:val="right"/>
            </w:pPr>
            <w:r>
              <w:t>-</w:t>
            </w:r>
          </w:p>
        </w:tc>
        <w:tc>
          <w:tcPr>
            <w:tcW w:w="1275" w:type="dxa"/>
          </w:tcPr>
          <w:p w:rsidR="00570620" w:rsidRDefault="00570620" w:rsidP="00831DE5">
            <w:pPr>
              <w:pStyle w:val="NoSpacing"/>
              <w:jc w:val="right"/>
            </w:pPr>
            <w:r>
              <w:t>282</w:t>
            </w:r>
          </w:p>
        </w:tc>
        <w:tc>
          <w:tcPr>
            <w:tcW w:w="1276" w:type="dxa"/>
          </w:tcPr>
          <w:p w:rsidR="00570620" w:rsidRDefault="00570620" w:rsidP="00831DE5">
            <w:pPr>
              <w:pStyle w:val="NoSpacing"/>
              <w:jc w:val="right"/>
            </w:pPr>
            <w:r>
              <w:t>-</w:t>
            </w:r>
          </w:p>
        </w:tc>
      </w:tr>
      <w:tr w:rsidR="00EA424C" w:rsidTr="00831DE5">
        <w:tc>
          <w:tcPr>
            <w:tcW w:w="5529" w:type="dxa"/>
          </w:tcPr>
          <w:p w:rsidR="00EA424C" w:rsidRDefault="00EA424C" w:rsidP="00831DE5">
            <w:pPr>
              <w:pStyle w:val="NoSpacing"/>
            </w:pPr>
            <w:r>
              <w:t>FBT payable</w:t>
            </w:r>
          </w:p>
        </w:tc>
        <w:tc>
          <w:tcPr>
            <w:tcW w:w="1276" w:type="dxa"/>
          </w:tcPr>
          <w:p w:rsidR="00EA424C" w:rsidRDefault="00570620" w:rsidP="00831DE5">
            <w:pPr>
              <w:pStyle w:val="NoSpacing"/>
              <w:jc w:val="right"/>
            </w:pPr>
            <w:r>
              <w:t>41</w:t>
            </w:r>
          </w:p>
        </w:tc>
        <w:tc>
          <w:tcPr>
            <w:tcW w:w="1276" w:type="dxa"/>
          </w:tcPr>
          <w:p w:rsidR="00EA424C" w:rsidRDefault="00570620" w:rsidP="00831DE5">
            <w:pPr>
              <w:pStyle w:val="NoSpacing"/>
              <w:jc w:val="right"/>
            </w:pPr>
            <w:r>
              <w:t>33</w:t>
            </w:r>
          </w:p>
        </w:tc>
        <w:tc>
          <w:tcPr>
            <w:tcW w:w="1275" w:type="dxa"/>
          </w:tcPr>
          <w:p w:rsidR="00EA424C" w:rsidRDefault="00570620" w:rsidP="00831DE5">
            <w:pPr>
              <w:pStyle w:val="NoSpacing"/>
              <w:jc w:val="right"/>
            </w:pPr>
            <w:r>
              <w:t>41</w:t>
            </w:r>
          </w:p>
        </w:tc>
        <w:tc>
          <w:tcPr>
            <w:tcW w:w="1276" w:type="dxa"/>
          </w:tcPr>
          <w:p w:rsidR="00EA424C" w:rsidRDefault="00570620" w:rsidP="00831DE5">
            <w:pPr>
              <w:pStyle w:val="NoSpacing"/>
              <w:jc w:val="right"/>
            </w:pPr>
            <w:r>
              <w:t>33</w:t>
            </w:r>
          </w:p>
        </w:tc>
      </w:tr>
      <w:tr w:rsidR="00EA424C" w:rsidTr="00831DE5">
        <w:tc>
          <w:tcPr>
            <w:tcW w:w="5529" w:type="dxa"/>
          </w:tcPr>
          <w:p w:rsidR="00EA424C" w:rsidRDefault="00EA424C" w:rsidP="00831DE5">
            <w:pPr>
              <w:pStyle w:val="NoSpacing"/>
            </w:pPr>
            <w:r>
              <w:t>Other taxes payable</w:t>
            </w:r>
          </w:p>
        </w:tc>
        <w:tc>
          <w:tcPr>
            <w:tcW w:w="1276" w:type="dxa"/>
          </w:tcPr>
          <w:p w:rsidR="00EA424C" w:rsidRDefault="00570620" w:rsidP="00831DE5">
            <w:pPr>
              <w:pStyle w:val="NoSpacing"/>
              <w:jc w:val="right"/>
            </w:pPr>
            <w:r>
              <w:t>424</w:t>
            </w:r>
          </w:p>
        </w:tc>
        <w:tc>
          <w:tcPr>
            <w:tcW w:w="1276" w:type="dxa"/>
          </w:tcPr>
          <w:p w:rsidR="00EA424C" w:rsidRDefault="00570620" w:rsidP="00831DE5">
            <w:pPr>
              <w:pStyle w:val="NoSpacing"/>
              <w:jc w:val="right"/>
            </w:pPr>
            <w:r>
              <w:t>361</w:t>
            </w:r>
          </w:p>
        </w:tc>
        <w:tc>
          <w:tcPr>
            <w:tcW w:w="1275" w:type="dxa"/>
          </w:tcPr>
          <w:p w:rsidR="00EA424C" w:rsidRDefault="00570620" w:rsidP="00831DE5">
            <w:pPr>
              <w:pStyle w:val="NoSpacing"/>
              <w:jc w:val="right"/>
            </w:pPr>
            <w:r>
              <w:t>403</w:t>
            </w:r>
          </w:p>
        </w:tc>
        <w:tc>
          <w:tcPr>
            <w:tcW w:w="1276" w:type="dxa"/>
          </w:tcPr>
          <w:p w:rsidR="00EA424C" w:rsidRDefault="00570620" w:rsidP="00831DE5">
            <w:pPr>
              <w:pStyle w:val="NoSpacing"/>
              <w:jc w:val="right"/>
            </w:pPr>
            <w:r>
              <w:t>349</w:t>
            </w:r>
          </w:p>
        </w:tc>
      </w:tr>
      <w:tr w:rsidR="00EA424C" w:rsidTr="00831DE5">
        <w:tc>
          <w:tcPr>
            <w:tcW w:w="5529" w:type="dxa"/>
          </w:tcPr>
          <w:p w:rsidR="00EA424C" w:rsidRDefault="00EA424C" w:rsidP="00831DE5">
            <w:pPr>
              <w:pStyle w:val="NoSpacing"/>
            </w:pPr>
            <w:r>
              <w:t>Total statutory payables</w:t>
            </w:r>
          </w:p>
        </w:tc>
        <w:tc>
          <w:tcPr>
            <w:tcW w:w="1276" w:type="dxa"/>
          </w:tcPr>
          <w:p w:rsidR="00EA424C" w:rsidRDefault="00570620" w:rsidP="00831DE5">
            <w:pPr>
              <w:pStyle w:val="NoSpacing"/>
              <w:jc w:val="right"/>
            </w:pPr>
            <w:r>
              <w:t>940</w:t>
            </w:r>
          </w:p>
        </w:tc>
        <w:tc>
          <w:tcPr>
            <w:tcW w:w="1276" w:type="dxa"/>
          </w:tcPr>
          <w:p w:rsidR="00EA424C" w:rsidRDefault="00570620" w:rsidP="00831DE5">
            <w:pPr>
              <w:pStyle w:val="NoSpacing"/>
              <w:jc w:val="right"/>
            </w:pPr>
            <w:r>
              <w:t>394</w:t>
            </w:r>
          </w:p>
        </w:tc>
        <w:tc>
          <w:tcPr>
            <w:tcW w:w="1275" w:type="dxa"/>
          </w:tcPr>
          <w:p w:rsidR="00EA424C" w:rsidRDefault="00570620" w:rsidP="00831DE5">
            <w:pPr>
              <w:pStyle w:val="NoSpacing"/>
              <w:jc w:val="right"/>
            </w:pPr>
            <w:r>
              <w:t>726</w:t>
            </w:r>
          </w:p>
        </w:tc>
        <w:tc>
          <w:tcPr>
            <w:tcW w:w="1276" w:type="dxa"/>
          </w:tcPr>
          <w:p w:rsidR="00EA424C" w:rsidRDefault="00570620" w:rsidP="00831DE5">
            <w:pPr>
              <w:pStyle w:val="NoSpacing"/>
              <w:jc w:val="right"/>
            </w:pPr>
            <w:r>
              <w:t>382</w:t>
            </w:r>
          </w:p>
        </w:tc>
      </w:tr>
    </w:tbl>
    <w:p w:rsidR="00EA424C" w:rsidRDefault="00EA424C" w:rsidP="00F02D69">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EA424C" w:rsidTr="00831DE5">
        <w:tc>
          <w:tcPr>
            <w:tcW w:w="5529" w:type="dxa"/>
          </w:tcPr>
          <w:p w:rsidR="00EA424C" w:rsidRDefault="00EA424C" w:rsidP="00EA424C">
            <w:pPr>
              <w:pStyle w:val="NoSpacing"/>
            </w:pPr>
            <w:r>
              <w:t>Total current payables</w:t>
            </w:r>
          </w:p>
        </w:tc>
        <w:tc>
          <w:tcPr>
            <w:tcW w:w="1276" w:type="dxa"/>
          </w:tcPr>
          <w:p w:rsidR="00EA424C" w:rsidRDefault="00570620" w:rsidP="00831DE5">
            <w:pPr>
              <w:pStyle w:val="NoSpacing"/>
              <w:jc w:val="right"/>
            </w:pPr>
            <w:r>
              <w:t>8,500</w:t>
            </w:r>
          </w:p>
        </w:tc>
        <w:tc>
          <w:tcPr>
            <w:tcW w:w="1276" w:type="dxa"/>
          </w:tcPr>
          <w:p w:rsidR="00EA424C" w:rsidRDefault="00570620" w:rsidP="00831DE5">
            <w:pPr>
              <w:pStyle w:val="NoSpacing"/>
              <w:jc w:val="right"/>
            </w:pPr>
            <w:r>
              <w:t>10,309</w:t>
            </w:r>
          </w:p>
        </w:tc>
        <w:tc>
          <w:tcPr>
            <w:tcW w:w="1275" w:type="dxa"/>
          </w:tcPr>
          <w:p w:rsidR="00EA424C" w:rsidRDefault="00570620" w:rsidP="00831DE5">
            <w:pPr>
              <w:pStyle w:val="NoSpacing"/>
              <w:jc w:val="right"/>
            </w:pPr>
            <w:r>
              <w:t>9,447</w:t>
            </w:r>
          </w:p>
        </w:tc>
        <w:tc>
          <w:tcPr>
            <w:tcW w:w="1276" w:type="dxa"/>
          </w:tcPr>
          <w:p w:rsidR="00EA424C" w:rsidRDefault="00570620" w:rsidP="00831DE5">
            <w:pPr>
              <w:pStyle w:val="NoSpacing"/>
              <w:jc w:val="right"/>
            </w:pPr>
            <w:r>
              <w:t>10,387</w:t>
            </w:r>
          </w:p>
        </w:tc>
      </w:tr>
    </w:tbl>
    <w:p w:rsidR="00EA424C" w:rsidRDefault="00EA424C" w:rsidP="00F02D69">
      <w:pPr>
        <w:pStyle w:val="NoSpacing"/>
      </w:pPr>
    </w:p>
    <w:p w:rsidR="00570620" w:rsidRDefault="00570620" w:rsidP="00F02D69">
      <w:pPr>
        <w:pStyle w:val="NoSpacing"/>
      </w:pPr>
      <w:r>
        <w:t>&lt;page 75&gt;</w:t>
      </w:r>
    </w:p>
    <w:p w:rsidR="00570620" w:rsidRDefault="00570620" w:rsidP="00F02D69">
      <w:pPr>
        <w:pStyle w:val="NoSpacing"/>
      </w:pPr>
    </w:p>
    <w:p w:rsidR="00570620" w:rsidRDefault="00570620" w:rsidP="00570620">
      <w:pPr>
        <w:pStyle w:val="Heading2"/>
      </w:pPr>
      <w:r>
        <w:t xml:space="preserve">5. Balances from operations </w:t>
      </w:r>
    </w:p>
    <w:p w:rsidR="00406A46" w:rsidRDefault="00406A46" w:rsidP="00406A46">
      <w:pPr>
        <w:pStyle w:val="NoSpacing"/>
      </w:pPr>
    </w:p>
    <w:p w:rsidR="00EA424C" w:rsidRDefault="00EA424C" w:rsidP="00406A46">
      <w:pPr>
        <w:pStyle w:val="Heading3"/>
      </w:pPr>
      <w:r>
        <w:t>5.2 Payables (continued)</w:t>
      </w:r>
    </w:p>
    <w:p w:rsidR="00EA424C" w:rsidRDefault="00EA424C" w:rsidP="00F02D69">
      <w:pPr>
        <w:pStyle w:val="NoSpacing"/>
      </w:pPr>
    </w:p>
    <w:p w:rsidR="00570620" w:rsidRDefault="00570620" w:rsidP="00F02D69">
      <w:pPr>
        <w:pStyle w:val="NoSpacing"/>
      </w:pPr>
      <w:r>
        <w:t>Payables consist of:</w:t>
      </w:r>
    </w:p>
    <w:p w:rsidR="00570620" w:rsidRDefault="00570620" w:rsidP="00925530">
      <w:pPr>
        <w:pStyle w:val="NoSpacing"/>
        <w:numPr>
          <w:ilvl w:val="0"/>
          <w:numId w:val="52"/>
        </w:numPr>
      </w:pPr>
      <w:r>
        <w:t xml:space="preserve">contractual payables, such as accounts payable, and unearned income. Accounts payable represent liabilities for goods and services provided to Chisholm prior to the end of the financial year that are unpaid, and arise when Chisholm becomes obliged to make future payments in respect of the purchase of those goods and services; and </w:t>
      </w:r>
    </w:p>
    <w:p w:rsidR="00570620" w:rsidRDefault="00570620" w:rsidP="00925530">
      <w:pPr>
        <w:pStyle w:val="NoSpacing"/>
        <w:numPr>
          <w:ilvl w:val="0"/>
          <w:numId w:val="52"/>
        </w:numPr>
      </w:pPr>
      <w:r>
        <w:t>statutory payables, such as goods and services tax and fringe benefits tax payable.</w:t>
      </w:r>
    </w:p>
    <w:p w:rsidR="00570620" w:rsidRDefault="00570620" w:rsidP="00570620">
      <w:pPr>
        <w:pStyle w:val="NoSpacing"/>
      </w:pPr>
    </w:p>
    <w:p w:rsidR="00570620" w:rsidRDefault="00570620" w:rsidP="00570620">
      <w:pPr>
        <w:pStyle w:val="NoSpacing"/>
      </w:pPr>
      <w:r>
        <w:t>Contractual payables are classified as financial instruments and categorised as financial liabilities at amortised cost.</w:t>
      </w:r>
    </w:p>
    <w:p w:rsidR="00570620" w:rsidRDefault="00570620" w:rsidP="00570620">
      <w:pPr>
        <w:pStyle w:val="NoSpacing"/>
      </w:pPr>
    </w:p>
    <w:p w:rsidR="00570620" w:rsidRDefault="00570620" w:rsidP="00570620">
      <w:pPr>
        <w:pStyle w:val="NoSpacing"/>
      </w:pPr>
      <w:r>
        <w:t xml:space="preserve">Statutory payables are recognised and measured similarly to contractual payables, but are not classified as financial instruments and not included in the category of financial liabilities at amortised cost, because they do not arise from a contract. </w:t>
      </w:r>
    </w:p>
    <w:p w:rsidR="00570620" w:rsidRDefault="00570620" w:rsidP="00F02D69">
      <w:pPr>
        <w:pStyle w:val="NoSpacing"/>
      </w:pPr>
    </w:p>
    <w:p w:rsidR="00570620" w:rsidRDefault="00570620" w:rsidP="00F02D69">
      <w:pPr>
        <w:pStyle w:val="NoSpacing"/>
      </w:pPr>
    </w:p>
    <w:tbl>
      <w:tblPr>
        <w:tblStyle w:val="TableGrid"/>
        <w:tblW w:w="10632" w:type="dxa"/>
        <w:tblInd w:w="-856" w:type="dxa"/>
        <w:tblLook w:val="04A0" w:firstRow="1" w:lastRow="0" w:firstColumn="1" w:lastColumn="0" w:noHBand="0" w:noVBand="1"/>
      </w:tblPr>
      <w:tblGrid>
        <w:gridCol w:w="2836"/>
        <w:gridCol w:w="1276"/>
        <w:gridCol w:w="1559"/>
        <w:gridCol w:w="1134"/>
        <w:gridCol w:w="1276"/>
        <w:gridCol w:w="1275"/>
        <w:gridCol w:w="1276"/>
      </w:tblGrid>
      <w:tr w:rsidR="00EA424C" w:rsidTr="00831DE5">
        <w:trPr>
          <w:gridBefore w:val="1"/>
          <w:wBefore w:w="2836" w:type="dxa"/>
        </w:trPr>
        <w:tc>
          <w:tcPr>
            <w:tcW w:w="1276" w:type="dxa"/>
          </w:tcPr>
          <w:p w:rsidR="00EA424C" w:rsidRDefault="00EA424C" w:rsidP="00831DE5">
            <w:pPr>
              <w:pStyle w:val="NoSpacing"/>
              <w:jc w:val="right"/>
            </w:pPr>
            <w:r>
              <w:t>Carrying amount</w:t>
            </w:r>
          </w:p>
        </w:tc>
        <w:tc>
          <w:tcPr>
            <w:tcW w:w="1559" w:type="dxa"/>
          </w:tcPr>
          <w:p w:rsidR="00EA424C" w:rsidRDefault="00EA424C" w:rsidP="00831DE5">
            <w:pPr>
              <w:pStyle w:val="NoSpacing"/>
              <w:jc w:val="right"/>
            </w:pPr>
            <w:r>
              <w:t>Nominal amount</w:t>
            </w:r>
          </w:p>
        </w:tc>
        <w:tc>
          <w:tcPr>
            <w:tcW w:w="1134" w:type="dxa"/>
          </w:tcPr>
          <w:p w:rsidR="00EA424C" w:rsidRDefault="00EA424C" w:rsidP="00831DE5">
            <w:pPr>
              <w:pStyle w:val="NoSpacing"/>
              <w:jc w:val="right"/>
            </w:pPr>
            <w:r>
              <w:t>Less than 1 month</w:t>
            </w:r>
          </w:p>
        </w:tc>
        <w:tc>
          <w:tcPr>
            <w:tcW w:w="1276" w:type="dxa"/>
          </w:tcPr>
          <w:p w:rsidR="00EA424C" w:rsidRDefault="00EA424C" w:rsidP="00831DE5">
            <w:pPr>
              <w:pStyle w:val="NoSpacing"/>
              <w:jc w:val="right"/>
            </w:pPr>
            <w:r>
              <w:t>1-3 months</w:t>
            </w:r>
          </w:p>
        </w:tc>
        <w:tc>
          <w:tcPr>
            <w:tcW w:w="1275" w:type="dxa"/>
          </w:tcPr>
          <w:p w:rsidR="00EA424C" w:rsidRDefault="00EA424C" w:rsidP="00831DE5">
            <w:pPr>
              <w:pStyle w:val="NoSpacing"/>
              <w:jc w:val="right"/>
            </w:pPr>
            <w:r>
              <w:t>3 months – 1 year</w:t>
            </w:r>
          </w:p>
        </w:tc>
        <w:tc>
          <w:tcPr>
            <w:tcW w:w="1276" w:type="dxa"/>
          </w:tcPr>
          <w:p w:rsidR="00EA424C" w:rsidRDefault="00EA424C" w:rsidP="00831DE5">
            <w:pPr>
              <w:pStyle w:val="NoSpacing"/>
              <w:jc w:val="right"/>
            </w:pPr>
            <w:r>
              <w:t>1-5 years</w:t>
            </w:r>
          </w:p>
        </w:tc>
      </w:tr>
      <w:tr w:rsidR="00EA424C" w:rsidTr="00831DE5">
        <w:trPr>
          <w:gridBefore w:val="1"/>
          <w:wBefore w:w="2836" w:type="dxa"/>
        </w:trPr>
        <w:tc>
          <w:tcPr>
            <w:tcW w:w="1276" w:type="dxa"/>
          </w:tcPr>
          <w:p w:rsidR="00EA424C" w:rsidRDefault="00EA424C" w:rsidP="00831DE5">
            <w:pPr>
              <w:pStyle w:val="NoSpacing"/>
              <w:jc w:val="right"/>
            </w:pPr>
            <w:r>
              <w:lastRenderedPageBreak/>
              <w:t>$’000</w:t>
            </w:r>
          </w:p>
        </w:tc>
        <w:tc>
          <w:tcPr>
            <w:tcW w:w="1559" w:type="dxa"/>
          </w:tcPr>
          <w:p w:rsidR="00EA424C" w:rsidRDefault="00EA424C" w:rsidP="00831DE5">
            <w:pPr>
              <w:jc w:val="right"/>
            </w:pPr>
            <w:r w:rsidRPr="00A96DE0">
              <w:t>$’000</w:t>
            </w:r>
          </w:p>
        </w:tc>
        <w:tc>
          <w:tcPr>
            <w:tcW w:w="1134" w:type="dxa"/>
          </w:tcPr>
          <w:p w:rsidR="00EA424C" w:rsidRDefault="00EA424C" w:rsidP="00831DE5">
            <w:pPr>
              <w:jc w:val="right"/>
            </w:pPr>
            <w:r w:rsidRPr="00A96DE0">
              <w:t>$’000</w:t>
            </w:r>
          </w:p>
        </w:tc>
        <w:tc>
          <w:tcPr>
            <w:tcW w:w="1276" w:type="dxa"/>
          </w:tcPr>
          <w:p w:rsidR="00EA424C" w:rsidRDefault="00EA424C" w:rsidP="00831DE5">
            <w:pPr>
              <w:jc w:val="right"/>
            </w:pPr>
            <w:r w:rsidRPr="00A96DE0">
              <w:t>$’000</w:t>
            </w:r>
          </w:p>
        </w:tc>
        <w:tc>
          <w:tcPr>
            <w:tcW w:w="1275" w:type="dxa"/>
          </w:tcPr>
          <w:p w:rsidR="00EA424C" w:rsidRDefault="00EA424C" w:rsidP="00831DE5">
            <w:pPr>
              <w:jc w:val="right"/>
            </w:pPr>
            <w:r w:rsidRPr="00A96DE0">
              <w:t>$’000</w:t>
            </w:r>
          </w:p>
        </w:tc>
        <w:tc>
          <w:tcPr>
            <w:tcW w:w="1276" w:type="dxa"/>
          </w:tcPr>
          <w:p w:rsidR="00EA424C" w:rsidRDefault="00EA424C" w:rsidP="00831DE5">
            <w:pPr>
              <w:jc w:val="right"/>
            </w:pPr>
            <w:r w:rsidRPr="00A96DE0">
              <w:t>$’000</w:t>
            </w:r>
          </w:p>
        </w:tc>
      </w:tr>
      <w:tr w:rsidR="00EA424C" w:rsidTr="00831DE5">
        <w:tc>
          <w:tcPr>
            <w:tcW w:w="10632" w:type="dxa"/>
            <w:gridSpan w:val="7"/>
          </w:tcPr>
          <w:p w:rsidR="00EA424C" w:rsidRDefault="00EA424C" w:rsidP="00831DE5">
            <w:pPr>
              <w:pStyle w:val="NoSpacing"/>
            </w:pPr>
            <w:r>
              <w:t>Consolidated 2019</w:t>
            </w:r>
          </w:p>
        </w:tc>
      </w:tr>
      <w:tr w:rsidR="00EA424C" w:rsidTr="00831DE5">
        <w:tc>
          <w:tcPr>
            <w:tcW w:w="2836" w:type="dxa"/>
          </w:tcPr>
          <w:p w:rsidR="00EA424C" w:rsidRDefault="00EA424C" w:rsidP="00831DE5">
            <w:pPr>
              <w:pStyle w:val="NoSpacing"/>
            </w:pPr>
            <w:r>
              <w:t>Supplies and services</w:t>
            </w:r>
          </w:p>
        </w:tc>
        <w:tc>
          <w:tcPr>
            <w:tcW w:w="1276" w:type="dxa"/>
          </w:tcPr>
          <w:p w:rsidR="00EA424C" w:rsidRDefault="009252B4" w:rsidP="009252B4">
            <w:pPr>
              <w:pStyle w:val="NoSpacing"/>
              <w:jc w:val="right"/>
            </w:pPr>
            <w:r>
              <w:t>7,560</w:t>
            </w:r>
          </w:p>
        </w:tc>
        <w:tc>
          <w:tcPr>
            <w:tcW w:w="1559" w:type="dxa"/>
          </w:tcPr>
          <w:p w:rsidR="00EA424C" w:rsidRDefault="009252B4" w:rsidP="009252B4">
            <w:pPr>
              <w:pStyle w:val="NoSpacing"/>
              <w:jc w:val="right"/>
            </w:pPr>
            <w:r>
              <w:t>7,560</w:t>
            </w:r>
          </w:p>
        </w:tc>
        <w:tc>
          <w:tcPr>
            <w:tcW w:w="1134" w:type="dxa"/>
          </w:tcPr>
          <w:p w:rsidR="00EA424C" w:rsidRDefault="009252B4" w:rsidP="009252B4">
            <w:pPr>
              <w:pStyle w:val="NoSpacing"/>
              <w:jc w:val="right"/>
            </w:pPr>
            <w:r>
              <w:t>7,499</w:t>
            </w:r>
          </w:p>
        </w:tc>
        <w:tc>
          <w:tcPr>
            <w:tcW w:w="1276" w:type="dxa"/>
          </w:tcPr>
          <w:p w:rsidR="00EA424C" w:rsidRDefault="009252B4" w:rsidP="009252B4">
            <w:pPr>
              <w:pStyle w:val="NoSpacing"/>
              <w:jc w:val="right"/>
            </w:pPr>
            <w:r>
              <w:t>12</w:t>
            </w:r>
          </w:p>
        </w:tc>
        <w:tc>
          <w:tcPr>
            <w:tcW w:w="1275" w:type="dxa"/>
          </w:tcPr>
          <w:p w:rsidR="00EA424C" w:rsidRDefault="009252B4" w:rsidP="009252B4">
            <w:pPr>
              <w:pStyle w:val="NoSpacing"/>
              <w:jc w:val="right"/>
            </w:pPr>
            <w:r>
              <w:t>49</w:t>
            </w:r>
          </w:p>
        </w:tc>
        <w:tc>
          <w:tcPr>
            <w:tcW w:w="1276" w:type="dxa"/>
          </w:tcPr>
          <w:p w:rsidR="00EA424C" w:rsidRDefault="009252B4" w:rsidP="009252B4">
            <w:pPr>
              <w:pStyle w:val="NoSpacing"/>
              <w:jc w:val="right"/>
            </w:pPr>
            <w:r>
              <w:t>-</w:t>
            </w:r>
          </w:p>
        </w:tc>
      </w:tr>
      <w:tr w:rsidR="00EA424C" w:rsidTr="00831DE5">
        <w:tc>
          <w:tcPr>
            <w:tcW w:w="2836" w:type="dxa"/>
          </w:tcPr>
          <w:p w:rsidR="00EA424C" w:rsidRDefault="00EA424C" w:rsidP="00831DE5">
            <w:pPr>
              <w:pStyle w:val="NoSpacing"/>
            </w:pPr>
            <w:r>
              <w:t>Total</w:t>
            </w:r>
          </w:p>
        </w:tc>
        <w:tc>
          <w:tcPr>
            <w:tcW w:w="1276" w:type="dxa"/>
          </w:tcPr>
          <w:p w:rsidR="00EA424C" w:rsidRDefault="009252B4" w:rsidP="009252B4">
            <w:pPr>
              <w:pStyle w:val="NoSpacing"/>
              <w:jc w:val="right"/>
            </w:pPr>
            <w:r>
              <w:t>7,560</w:t>
            </w:r>
          </w:p>
        </w:tc>
        <w:tc>
          <w:tcPr>
            <w:tcW w:w="1559" w:type="dxa"/>
          </w:tcPr>
          <w:p w:rsidR="00EA424C" w:rsidRDefault="009252B4" w:rsidP="009252B4">
            <w:pPr>
              <w:pStyle w:val="NoSpacing"/>
              <w:jc w:val="right"/>
            </w:pPr>
            <w:r>
              <w:t>7,560</w:t>
            </w:r>
          </w:p>
        </w:tc>
        <w:tc>
          <w:tcPr>
            <w:tcW w:w="1134" w:type="dxa"/>
          </w:tcPr>
          <w:p w:rsidR="00EA424C" w:rsidRDefault="009252B4" w:rsidP="009252B4">
            <w:pPr>
              <w:pStyle w:val="NoSpacing"/>
              <w:jc w:val="right"/>
            </w:pPr>
            <w:r>
              <w:t>7,499</w:t>
            </w:r>
          </w:p>
        </w:tc>
        <w:tc>
          <w:tcPr>
            <w:tcW w:w="1276" w:type="dxa"/>
          </w:tcPr>
          <w:p w:rsidR="00EA424C" w:rsidRDefault="009252B4" w:rsidP="009252B4">
            <w:pPr>
              <w:pStyle w:val="NoSpacing"/>
              <w:jc w:val="right"/>
            </w:pPr>
            <w:r>
              <w:t>12</w:t>
            </w:r>
          </w:p>
        </w:tc>
        <w:tc>
          <w:tcPr>
            <w:tcW w:w="1275" w:type="dxa"/>
          </w:tcPr>
          <w:p w:rsidR="00EA424C" w:rsidRDefault="009252B4" w:rsidP="009252B4">
            <w:pPr>
              <w:pStyle w:val="NoSpacing"/>
              <w:jc w:val="right"/>
            </w:pPr>
            <w:r>
              <w:t>49</w:t>
            </w:r>
          </w:p>
        </w:tc>
        <w:tc>
          <w:tcPr>
            <w:tcW w:w="1276" w:type="dxa"/>
          </w:tcPr>
          <w:p w:rsidR="00EA424C" w:rsidRDefault="009252B4" w:rsidP="009252B4">
            <w:pPr>
              <w:pStyle w:val="NoSpacing"/>
              <w:jc w:val="right"/>
            </w:pPr>
            <w:r>
              <w:t>-</w:t>
            </w:r>
          </w:p>
        </w:tc>
      </w:tr>
    </w:tbl>
    <w:p w:rsidR="00EA424C" w:rsidRDefault="00EA424C" w:rsidP="00EA424C">
      <w:pPr>
        <w:pStyle w:val="NoSpacing"/>
      </w:pPr>
    </w:p>
    <w:tbl>
      <w:tblPr>
        <w:tblStyle w:val="TableGrid"/>
        <w:tblW w:w="10632" w:type="dxa"/>
        <w:tblInd w:w="-856" w:type="dxa"/>
        <w:tblLook w:val="04A0" w:firstRow="1" w:lastRow="0" w:firstColumn="1" w:lastColumn="0" w:noHBand="0" w:noVBand="1"/>
      </w:tblPr>
      <w:tblGrid>
        <w:gridCol w:w="2836"/>
        <w:gridCol w:w="1276"/>
        <w:gridCol w:w="1417"/>
        <w:gridCol w:w="1276"/>
        <w:gridCol w:w="1276"/>
        <w:gridCol w:w="1275"/>
        <w:gridCol w:w="1276"/>
      </w:tblGrid>
      <w:tr w:rsidR="00EA424C" w:rsidTr="00EA424C">
        <w:tc>
          <w:tcPr>
            <w:tcW w:w="10632" w:type="dxa"/>
            <w:gridSpan w:val="7"/>
          </w:tcPr>
          <w:p w:rsidR="00EA424C" w:rsidRDefault="00EA424C" w:rsidP="00831DE5">
            <w:pPr>
              <w:pStyle w:val="NoSpacing"/>
            </w:pPr>
            <w:r>
              <w:t>Consolidated 2018</w:t>
            </w:r>
          </w:p>
        </w:tc>
      </w:tr>
      <w:tr w:rsidR="00EA424C" w:rsidTr="00EA424C">
        <w:tc>
          <w:tcPr>
            <w:tcW w:w="2836" w:type="dxa"/>
          </w:tcPr>
          <w:p w:rsidR="00EA424C" w:rsidRDefault="00EA424C" w:rsidP="00831DE5">
            <w:pPr>
              <w:pStyle w:val="NoSpacing"/>
            </w:pPr>
            <w:r>
              <w:t xml:space="preserve">Supplies and services </w:t>
            </w:r>
          </w:p>
        </w:tc>
        <w:tc>
          <w:tcPr>
            <w:tcW w:w="1276" w:type="dxa"/>
          </w:tcPr>
          <w:p w:rsidR="00EA424C" w:rsidRDefault="009252B4" w:rsidP="009252B4">
            <w:pPr>
              <w:pStyle w:val="NoSpacing"/>
              <w:jc w:val="right"/>
            </w:pPr>
            <w:r>
              <w:t>9,915</w:t>
            </w:r>
          </w:p>
        </w:tc>
        <w:tc>
          <w:tcPr>
            <w:tcW w:w="1417" w:type="dxa"/>
          </w:tcPr>
          <w:p w:rsidR="00EA424C" w:rsidRDefault="009252B4" w:rsidP="009252B4">
            <w:pPr>
              <w:pStyle w:val="NoSpacing"/>
              <w:jc w:val="right"/>
            </w:pPr>
            <w:r>
              <w:t>9,915</w:t>
            </w:r>
          </w:p>
        </w:tc>
        <w:tc>
          <w:tcPr>
            <w:tcW w:w="1276" w:type="dxa"/>
          </w:tcPr>
          <w:p w:rsidR="00EA424C" w:rsidRDefault="009252B4" w:rsidP="009252B4">
            <w:pPr>
              <w:pStyle w:val="NoSpacing"/>
              <w:jc w:val="right"/>
            </w:pPr>
            <w:r>
              <w:t>9,764</w:t>
            </w:r>
          </w:p>
        </w:tc>
        <w:tc>
          <w:tcPr>
            <w:tcW w:w="1276" w:type="dxa"/>
          </w:tcPr>
          <w:p w:rsidR="00EA424C" w:rsidRDefault="009252B4" w:rsidP="009252B4">
            <w:pPr>
              <w:pStyle w:val="NoSpacing"/>
              <w:jc w:val="right"/>
            </w:pPr>
            <w:r>
              <w:t>113</w:t>
            </w:r>
          </w:p>
        </w:tc>
        <w:tc>
          <w:tcPr>
            <w:tcW w:w="1275" w:type="dxa"/>
          </w:tcPr>
          <w:p w:rsidR="00EA424C" w:rsidRDefault="009252B4" w:rsidP="009252B4">
            <w:pPr>
              <w:pStyle w:val="NoSpacing"/>
              <w:jc w:val="right"/>
            </w:pPr>
            <w:r>
              <w:t>38</w:t>
            </w:r>
          </w:p>
        </w:tc>
        <w:tc>
          <w:tcPr>
            <w:tcW w:w="1276" w:type="dxa"/>
          </w:tcPr>
          <w:p w:rsidR="00EA424C" w:rsidRDefault="009252B4" w:rsidP="009252B4">
            <w:pPr>
              <w:pStyle w:val="NoSpacing"/>
              <w:jc w:val="right"/>
            </w:pPr>
            <w:r>
              <w:t>-</w:t>
            </w:r>
          </w:p>
        </w:tc>
      </w:tr>
      <w:tr w:rsidR="00EA424C" w:rsidTr="00EA424C">
        <w:tc>
          <w:tcPr>
            <w:tcW w:w="2836" w:type="dxa"/>
          </w:tcPr>
          <w:p w:rsidR="00EA424C" w:rsidRDefault="00EA424C" w:rsidP="00831DE5">
            <w:pPr>
              <w:pStyle w:val="NoSpacing"/>
            </w:pPr>
            <w:r>
              <w:t>Total</w:t>
            </w:r>
          </w:p>
        </w:tc>
        <w:tc>
          <w:tcPr>
            <w:tcW w:w="1276" w:type="dxa"/>
          </w:tcPr>
          <w:p w:rsidR="00EA424C" w:rsidRDefault="009252B4" w:rsidP="009252B4">
            <w:pPr>
              <w:pStyle w:val="NoSpacing"/>
              <w:jc w:val="right"/>
            </w:pPr>
            <w:r>
              <w:t>9,915</w:t>
            </w:r>
          </w:p>
        </w:tc>
        <w:tc>
          <w:tcPr>
            <w:tcW w:w="1417" w:type="dxa"/>
          </w:tcPr>
          <w:p w:rsidR="00EA424C" w:rsidRDefault="009252B4" w:rsidP="009252B4">
            <w:pPr>
              <w:pStyle w:val="NoSpacing"/>
              <w:jc w:val="right"/>
            </w:pPr>
            <w:r>
              <w:t>9,915</w:t>
            </w:r>
          </w:p>
        </w:tc>
        <w:tc>
          <w:tcPr>
            <w:tcW w:w="1276" w:type="dxa"/>
          </w:tcPr>
          <w:p w:rsidR="00EA424C" w:rsidRDefault="009252B4" w:rsidP="009252B4">
            <w:pPr>
              <w:pStyle w:val="NoSpacing"/>
              <w:jc w:val="right"/>
            </w:pPr>
            <w:r>
              <w:t>9,764</w:t>
            </w:r>
          </w:p>
        </w:tc>
        <w:tc>
          <w:tcPr>
            <w:tcW w:w="1276" w:type="dxa"/>
          </w:tcPr>
          <w:p w:rsidR="00EA424C" w:rsidRDefault="009252B4" w:rsidP="009252B4">
            <w:pPr>
              <w:pStyle w:val="NoSpacing"/>
              <w:jc w:val="right"/>
            </w:pPr>
            <w:r>
              <w:t>113</w:t>
            </w:r>
          </w:p>
        </w:tc>
        <w:tc>
          <w:tcPr>
            <w:tcW w:w="1275" w:type="dxa"/>
          </w:tcPr>
          <w:p w:rsidR="00EA424C" w:rsidRDefault="009252B4" w:rsidP="009252B4">
            <w:pPr>
              <w:pStyle w:val="NoSpacing"/>
              <w:jc w:val="right"/>
            </w:pPr>
            <w:r>
              <w:t>38</w:t>
            </w:r>
          </w:p>
        </w:tc>
        <w:tc>
          <w:tcPr>
            <w:tcW w:w="1276" w:type="dxa"/>
          </w:tcPr>
          <w:p w:rsidR="00EA424C" w:rsidRDefault="009252B4" w:rsidP="009252B4">
            <w:pPr>
              <w:pStyle w:val="NoSpacing"/>
              <w:jc w:val="right"/>
            </w:pPr>
            <w:r>
              <w:t>-</w:t>
            </w:r>
          </w:p>
        </w:tc>
      </w:tr>
    </w:tbl>
    <w:p w:rsidR="00EA424C" w:rsidRDefault="00EA424C" w:rsidP="00EA424C">
      <w:pPr>
        <w:pStyle w:val="NoSpacing"/>
      </w:pPr>
    </w:p>
    <w:tbl>
      <w:tblPr>
        <w:tblStyle w:val="TableGrid"/>
        <w:tblW w:w="10632" w:type="dxa"/>
        <w:tblInd w:w="-856" w:type="dxa"/>
        <w:tblLook w:val="04A0" w:firstRow="1" w:lastRow="0" w:firstColumn="1" w:lastColumn="0" w:noHBand="0" w:noVBand="1"/>
      </w:tblPr>
      <w:tblGrid>
        <w:gridCol w:w="2836"/>
        <w:gridCol w:w="1276"/>
        <w:gridCol w:w="1417"/>
        <w:gridCol w:w="1276"/>
        <w:gridCol w:w="1276"/>
        <w:gridCol w:w="1275"/>
        <w:gridCol w:w="1276"/>
      </w:tblGrid>
      <w:tr w:rsidR="00EA424C" w:rsidTr="00831DE5">
        <w:tc>
          <w:tcPr>
            <w:tcW w:w="10632" w:type="dxa"/>
            <w:gridSpan w:val="7"/>
          </w:tcPr>
          <w:p w:rsidR="00EA424C" w:rsidRDefault="00EA424C" w:rsidP="00831DE5">
            <w:pPr>
              <w:pStyle w:val="NoSpacing"/>
            </w:pPr>
            <w:r>
              <w:t>Chisholm 2019</w:t>
            </w:r>
          </w:p>
        </w:tc>
      </w:tr>
      <w:tr w:rsidR="00EA424C" w:rsidTr="00831DE5">
        <w:tc>
          <w:tcPr>
            <w:tcW w:w="2836" w:type="dxa"/>
          </w:tcPr>
          <w:p w:rsidR="00EA424C" w:rsidRDefault="00EA424C" w:rsidP="00831DE5">
            <w:pPr>
              <w:pStyle w:val="NoSpacing"/>
            </w:pPr>
            <w:r>
              <w:t>Supplies and services</w:t>
            </w:r>
          </w:p>
        </w:tc>
        <w:tc>
          <w:tcPr>
            <w:tcW w:w="1276" w:type="dxa"/>
          </w:tcPr>
          <w:p w:rsidR="00EA424C" w:rsidRDefault="009252B4" w:rsidP="009252B4">
            <w:pPr>
              <w:pStyle w:val="NoSpacing"/>
              <w:jc w:val="right"/>
            </w:pPr>
            <w:r>
              <w:t>8,721</w:t>
            </w:r>
          </w:p>
        </w:tc>
        <w:tc>
          <w:tcPr>
            <w:tcW w:w="1417" w:type="dxa"/>
          </w:tcPr>
          <w:p w:rsidR="00EA424C" w:rsidRDefault="009252B4" w:rsidP="009252B4">
            <w:pPr>
              <w:pStyle w:val="NoSpacing"/>
              <w:jc w:val="right"/>
            </w:pPr>
            <w:r>
              <w:t>8,721</w:t>
            </w:r>
          </w:p>
        </w:tc>
        <w:tc>
          <w:tcPr>
            <w:tcW w:w="1276" w:type="dxa"/>
          </w:tcPr>
          <w:p w:rsidR="00EA424C" w:rsidRDefault="009252B4" w:rsidP="009252B4">
            <w:pPr>
              <w:pStyle w:val="NoSpacing"/>
              <w:jc w:val="right"/>
            </w:pPr>
            <w:r>
              <w:t>8,660</w:t>
            </w:r>
          </w:p>
        </w:tc>
        <w:tc>
          <w:tcPr>
            <w:tcW w:w="1276" w:type="dxa"/>
          </w:tcPr>
          <w:p w:rsidR="00EA424C" w:rsidRDefault="009252B4" w:rsidP="009252B4">
            <w:pPr>
              <w:pStyle w:val="NoSpacing"/>
              <w:jc w:val="right"/>
            </w:pPr>
            <w:r>
              <w:t>12</w:t>
            </w:r>
          </w:p>
        </w:tc>
        <w:tc>
          <w:tcPr>
            <w:tcW w:w="1275" w:type="dxa"/>
          </w:tcPr>
          <w:p w:rsidR="00EA424C" w:rsidRDefault="009252B4" w:rsidP="009252B4">
            <w:pPr>
              <w:pStyle w:val="NoSpacing"/>
              <w:jc w:val="right"/>
            </w:pPr>
            <w:r>
              <w:t>49</w:t>
            </w:r>
          </w:p>
        </w:tc>
        <w:tc>
          <w:tcPr>
            <w:tcW w:w="1276" w:type="dxa"/>
          </w:tcPr>
          <w:p w:rsidR="00EA424C" w:rsidRDefault="009252B4" w:rsidP="009252B4">
            <w:pPr>
              <w:pStyle w:val="NoSpacing"/>
              <w:jc w:val="right"/>
            </w:pPr>
            <w:r>
              <w:t>-</w:t>
            </w:r>
          </w:p>
        </w:tc>
      </w:tr>
      <w:tr w:rsidR="00EA424C" w:rsidTr="00831DE5">
        <w:tc>
          <w:tcPr>
            <w:tcW w:w="2836" w:type="dxa"/>
          </w:tcPr>
          <w:p w:rsidR="00EA424C" w:rsidRDefault="00EA424C" w:rsidP="00831DE5">
            <w:pPr>
              <w:pStyle w:val="NoSpacing"/>
            </w:pPr>
            <w:r>
              <w:t>Total</w:t>
            </w:r>
          </w:p>
        </w:tc>
        <w:tc>
          <w:tcPr>
            <w:tcW w:w="1276" w:type="dxa"/>
          </w:tcPr>
          <w:p w:rsidR="00EA424C" w:rsidRDefault="009252B4" w:rsidP="009252B4">
            <w:pPr>
              <w:pStyle w:val="NoSpacing"/>
              <w:jc w:val="right"/>
            </w:pPr>
            <w:r>
              <w:t>8,721</w:t>
            </w:r>
          </w:p>
        </w:tc>
        <w:tc>
          <w:tcPr>
            <w:tcW w:w="1417" w:type="dxa"/>
          </w:tcPr>
          <w:p w:rsidR="00EA424C" w:rsidRDefault="009252B4" w:rsidP="009252B4">
            <w:pPr>
              <w:pStyle w:val="NoSpacing"/>
              <w:jc w:val="right"/>
            </w:pPr>
            <w:r>
              <w:t>8,721</w:t>
            </w:r>
          </w:p>
        </w:tc>
        <w:tc>
          <w:tcPr>
            <w:tcW w:w="1276" w:type="dxa"/>
          </w:tcPr>
          <w:p w:rsidR="00EA424C" w:rsidRDefault="009252B4" w:rsidP="009252B4">
            <w:pPr>
              <w:pStyle w:val="NoSpacing"/>
              <w:jc w:val="right"/>
            </w:pPr>
            <w:r>
              <w:t>8,660</w:t>
            </w:r>
          </w:p>
        </w:tc>
        <w:tc>
          <w:tcPr>
            <w:tcW w:w="1276" w:type="dxa"/>
          </w:tcPr>
          <w:p w:rsidR="00EA424C" w:rsidRDefault="009252B4" w:rsidP="009252B4">
            <w:pPr>
              <w:pStyle w:val="NoSpacing"/>
              <w:jc w:val="right"/>
            </w:pPr>
            <w:r>
              <w:t>12</w:t>
            </w:r>
          </w:p>
        </w:tc>
        <w:tc>
          <w:tcPr>
            <w:tcW w:w="1275" w:type="dxa"/>
          </w:tcPr>
          <w:p w:rsidR="00EA424C" w:rsidRDefault="009252B4" w:rsidP="009252B4">
            <w:pPr>
              <w:pStyle w:val="NoSpacing"/>
              <w:jc w:val="right"/>
            </w:pPr>
            <w:r>
              <w:t>49</w:t>
            </w:r>
          </w:p>
        </w:tc>
        <w:tc>
          <w:tcPr>
            <w:tcW w:w="1276" w:type="dxa"/>
          </w:tcPr>
          <w:p w:rsidR="00EA424C" w:rsidRDefault="009252B4" w:rsidP="009252B4">
            <w:pPr>
              <w:pStyle w:val="NoSpacing"/>
              <w:jc w:val="right"/>
            </w:pPr>
            <w:r>
              <w:t>-</w:t>
            </w:r>
          </w:p>
        </w:tc>
      </w:tr>
    </w:tbl>
    <w:p w:rsidR="00EA424C" w:rsidRDefault="00EA424C" w:rsidP="00EA424C">
      <w:pPr>
        <w:pStyle w:val="NoSpacing"/>
      </w:pPr>
    </w:p>
    <w:tbl>
      <w:tblPr>
        <w:tblStyle w:val="TableGrid"/>
        <w:tblW w:w="10632" w:type="dxa"/>
        <w:tblInd w:w="-856" w:type="dxa"/>
        <w:tblLook w:val="04A0" w:firstRow="1" w:lastRow="0" w:firstColumn="1" w:lastColumn="0" w:noHBand="0" w:noVBand="1"/>
      </w:tblPr>
      <w:tblGrid>
        <w:gridCol w:w="2836"/>
        <w:gridCol w:w="1276"/>
        <w:gridCol w:w="1417"/>
        <w:gridCol w:w="1276"/>
        <w:gridCol w:w="1276"/>
        <w:gridCol w:w="1275"/>
        <w:gridCol w:w="1276"/>
      </w:tblGrid>
      <w:tr w:rsidR="00EA424C" w:rsidTr="00831DE5">
        <w:tc>
          <w:tcPr>
            <w:tcW w:w="10632" w:type="dxa"/>
            <w:gridSpan w:val="7"/>
          </w:tcPr>
          <w:p w:rsidR="00EA424C" w:rsidRDefault="00EA424C" w:rsidP="00831DE5">
            <w:pPr>
              <w:pStyle w:val="NoSpacing"/>
            </w:pPr>
            <w:r>
              <w:t>Chisholm 2018</w:t>
            </w:r>
          </w:p>
        </w:tc>
      </w:tr>
      <w:tr w:rsidR="00EA424C" w:rsidTr="00831DE5">
        <w:tc>
          <w:tcPr>
            <w:tcW w:w="2836" w:type="dxa"/>
          </w:tcPr>
          <w:p w:rsidR="00EA424C" w:rsidRDefault="00EA424C" w:rsidP="00831DE5">
            <w:pPr>
              <w:pStyle w:val="NoSpacing"/>
            </w:pPr>
            <w:r>
              <w:t>Supplies and services</w:t>
            </w:r>
          </w:p>
        </w:tc>
        <w:tc>
          <w:tcPr>
            <w:tcW w:w="1276" w:type="dxa"/>
          </w:tcPr>
          <w:p w:rsidR="00EA424C" w:rsidRDefault="009252B4" w:rsidP="009252B4">
            <w:pPr>
              <w:pStyle w:val="NoSpacing"/>
              <w:jc w:val="right"/>
            </w:pPr>
            <w:r>
              <w:t>10,005</w:t>
            </w:r>
          </w:p>
        </w:tc>
        <w:tc>
          <w:tcPr>
            <w:tcW w:w="1417" w:type="dxa"/>
          </w:tcPr>
          <w:p w:rsidR="00EA424C" w:rsidRDefault="009252B4" w:rsidP="009252B4">
            <w:pPr>
              <w:pStyle w:val="NoSpacing"/>
              <w:jc w:val="right"/>
            </w:pPr>
            <w:r>
              <w:t>10,005</w:t>
            </w:r>
          </w:p>
        </w:tc>
        <w:tc>
          <w:tcPr>
            <w:tcW w:w="1276" w:type="dxa"/>
          </w:tcPr>
          <w:p w:rsidR="00EA424C" w:rsidRDefault="009252B4" w:rsidP="009252B4">
            <w:pPr>
              <w:pStyle w:val="NoSpacing"/>
              <w:jc w:val="right"/>
            </w:pPr>
            <w:r>
              <w:t>9,854</w:t>
            </w:r>
          </w:p>
        </w:tc>
        <w:tc>
          <w:tcPr>
            <w:tcW w:w="1276" w:type="dxa"/>
          </w:tcPr>
          <w:p w:rsidR="00EA424C" w:rsidRDefault="009252B4" w:rsidP="009252B4">
            <w:pPr>
              <w:pStyle w:val="NoSpacing"/>
              <w:jc w:val="right"/>
            </w:pPr>
            <w:r>
              <w:t>113</w:t>
            </w:r>
          </w:p>
        </w:tc>
        <w:tc>
          <w:tcPr>
            <w:tcW w:w="1275" w:type="dxa"/>
          </w:tcPr>
          <w:p w:rsidR="00EA424C" w:rsidRDefault="009252B4" w:rsidP="009252B4">
            <w:pPr>
              <w:pStyle w:val="NoSpacing"/>
              <w:jc w:val="right"/>
            </w:pPr>
            <w:r>
              <w:t>38</w:t>
            </w:r>
          </w:p>
        </w:tc>
        <w:tc>
          <w:tcPr>
            <w:tcW w:w="1276" w:type="dxa"/>
          </w:tcPr>
          <w:p w:rsidR="00EA424C" w:rsidRDefault="009252B4" w:rsidP="009252B4">
            <w:pPr>
              <w:pStyle w:val="NoSpacing"/>
              <w:jc w:val="right"/>
            </w:pPr>
            <w:r>
              <w:t>-</w:t>
            </w:r>
          </w:p>
        </w:tc>
      </w:tr>
      <w:tr w:rsidR="00EA424C" w:rsidTr="00831DE5">
        <w:tc>
          <w:tcPr>
            <w:tcW w:w="2836" w:type="dxa"/>
          </w:tcPr>
          <w:p w:rsidR="00EA424C" w:rsidRDefault="00EA424C" w:rsidP="00831DE5">
            <w:pPr>
              <w:pStyle w:val="NoSpacing"/>
            </w:pPr>
            <w:r>
              <w:t>Total</w:t>
            </w:r>
          </w:p>
        </w:tc>
        <w:tc>
          <w:tcPr>
            <w:tcW w:w="1276" w:type="dxa"/>
          </w:tcPr>
          <w:p w:rsidR="00EA424C" w:rsidRDefault="009252B4" w:rsidP="009252B4">
            <w:pPr>
              <w:pStyle w:val="NoSpacing"/>
              <w:jc w:val="right"/>
            </w:pPr>
            <w:r>
              <w:t>10,005</w:t>
            </w:r>
          </w:p>
        </w:tc>
        <w:tc>
          <w:tcPr>
            <w:tcW w:w="1417" w:type="dxa"/>
          </w:tcPr>
          <w:p w:rsidR="00EA424C" w:rsidRDefault="009252B4" w:rsidP="009252B4">
            <w:pPr>
              <w:pStyle w:val="NoSpacing"/>
              <w:jc w:val="right"/>
            </w:pPr>
            <w:r>
              <w:t>10,005</w:t>
            </w:r>
          </w:p>
        </w:tc>
        <w:tc>
          <w:tcPr>
            <w:tcW w:w="1276" w:type="dxa"/>
          </w:tcPr>
          <w:p w:rsidR="00EA424C" w:rsidRDefault="009252B4" w:rsidP="009252B4">
            <w:pPr>
              <w:pStyle w:val="NoSpacing"/>
              <w:jc w:val="right"/>
            </w:pPr>
            <w:r>
              <w:t>9,854</w:t>
            </w:r>
          </w:p>
        </w:tc>
        <w:tc>
          <w:tcPr>
            <w:tcW w:w="1276" w:type="dxa"/>
          </w:tcPr>
          <w:p w:rsidR="00EA424C" w:rsidRDefault="009252B4" w:rsidP="009252B4">
            <w:pPr>
              <w:pStyle w:val="NoSpacing"/>
              <w:jc w:val="right"/>
            </w:pPr>
            <w:r>
              <w:t>113</w:t>
            </w:r>
          </w:p>
        </w:tc>
        <w:tc>
          <w:tcPr>
            <w:tcW w:w="1275" w:type="dxa"/>
          </w:tcPr>
          <w:p w:rsidR="00EA424C" w:rsidRDefault="009252B4" w:rsidP="009252B4">
            <w:pPr>
              <w:pStyle w:val="NoSpacing"/>
              <w:jc w:val="right"/>
            </w:pPr>
            <w:r>
              <w:t>38</w:t>
            </w:r>
          </w:p>
        </w:tc>
        <w:tc>
          <w:tcPr>
            <w:tcW w:w="1276" w:type="dxa"/>
          </w:tcPr>
          <w:p w:rsidR="00EA424C" w:rsidRDefault="009252B4" w:rsidP="009252B4">
            <w:pPr>
              <w:pStyle w:val="NoSpacing"/>
              <w:jc w:val="right"/>
            </w:pPr>
            <w:r>
              <w:t>-</w:t>
            </w:r>
          </w:p>
        </w:tc>
      </w:tr>
    </w:tbl>
    <w:p w:rsidR="00EA424C" w:rsidRDefault="009252B4" w:rsidP="00F02D69">
      <w:pPr>
        <w:pStyle w:val="NoSpacing"/>
      </w:pPr>
      <w:r>
        <w:t>Note: The disclosures above exclude statutory payables (e.g. amounts arising to Victorian Government and GST payable).</w:t>
      </w:r>
    </w:p>
    <w:p w:rsidR="009252B4" w:rsidRDefault="009252B4" w:rsidP="00F02D69">
      <w:pPr>
        <w:pStyle w:val="NoSpacing"/>
      </w:pPr>
    </w:p>
    <w:p w:rsidR="009252B4" w:rsidRDefault="009252B4" w:rsidP="00F02D69">
      <w:pPr>
        <w:pStyle w:val="NoSpacing"/>
      </w:pPr>
      <w:r>
        <w:t>The average credit period is 30 days. No interest is charged on the other payables.</w:t>
      </w:r>
    </w:p>
    <w:p w:rsidR="009252B4" w:rsidRDefault="009252B4" w:rsidP="00F02D69">
      <w:pPr>
        <w:pStyle w:val="NoSpacing"/>
      </w:pPr>
    </w:p>
    <w:p w:rsidR="009252B4" w:rsidRDefault="009252B4" w:rsidP="00F02D69">
      <w:pPr>
        <w:pStyle w:val="NoSpacing"/>
      </w:pPr>
      <w:r>
        <w:t>Terms and conditions of amounts payable to other government agencies vary according to a particular agreement with that agency.</w:t>
      </w:r>
    </w:p>
    <w:p w:rsidR="009252B4" w:rsidRDefault="009252B4" w:rsidP="00F02D69">
      <w:pPr>
        <w:pStyle w:val="NoSpacing"/>
      </w:pPr>
    </w:p>
    <w:p w:rsidR="009252B4" w:rsidRDefault="009252B4" w:rsidP="00F02D69">
      <w:pPr>
        <w:pStyle w:val="NoSpacing"/>
      </w:pPr>
      <w:r>
        <w:t>Due to their short-term nature, the carrying amounts of trade and other payables are considered to be the same as their fair values.</w:t>
      </w:r>
    </w:p>
    <w:p w:rsidR="009252B4" w:rsidRDefault="009252B4" w:rsidP="00F02D69">
      <w:pPr>
        <w:pStyle w:val="NoSpacing"/>
      </w:pPr>
    </w:p>
    <w:p w:rsidR="009252B4" w:rsidRDefault="009252B4" w:rsidP="00F02D69">
      <w:pPr>
        <w:pStyle w:val="NoSpacing"/>
      </w:pPr>
      <w:r>
        <w:t>&lt;page 76&gt;</w:t>
      </w:r>
    </w:p>
    <w:p w:rsidR="009252B4" w:rsidRDefault="009252B4" w:rsidP="00F02D69">
      <w:pPr>
        <w:pStyle w:val="NoSpacing"/>
      </w:pPr>
    </w:p>
    <w:p w:rsidR="009252B4" w:rsidRDefault="009252B4" w:rsidP="009252B4">
      <w:pPr>
        <w:pStyle w:val="Heading2"/>
      </w:pPr>
      <w:r>
        <w:t>5. Balances from operations (continued)</w:t>
      </w:r>
    </w:p>
    <w:p w:rsidR="0028573F" w:rsidRDefault="0028573F" w:rsidP="0028573F">
      <w:pPr>
        <w:pStyle w:val="NoSpacing"/>
      </w:pPr>
    </w:p>
    <w:p w:rsidR="00EA424C" w:rsidRDefault="00EA424C" w:rsidP="009252B4">
      <w:pPr>
        <w:pStyle w:val="Heading3"/>
      </w:pPr>
      <w:r>
        <w:t>5.3 Other liabilities</w:t>
      </w: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EA424C" w:rsidTr="00831DE5">
        <w:trPr>
          <w:gridBefore w:val="1"/>
          <w:wBefore w:w="5529" w:type="dxa"/>
        </w:trPr>
        <w:tc>
          <w:tcPr>
            <w:tcW w:w="2552" w:type="dxa"/>
            <w:gridSpan w:val="2"/>
          </w:tcPr>
          <w:p w:rsidR="00EA424C" w:rsidRDefault="00EA424C" w:rsidP="00831DE5">
            <w:pPr>
              <w:pStyle w:val="NoSpacing"/>
              <w:jc w:val="right"/>
            </w:pPr>
            <w:r>
              <w:t>Consolidated</w:t>
            </w:r>
          </w:p>
        </w:tc>
        <w:tc>
          <w:tcPr>
            <w:tcW w:w="2551" w:type="dxa"/>
            <w:gridSpan w:val="2"/>
          </w:tcPr>
          <w:p w:rsidR="00EA424C" w:rsidRDefault="00EA424C" w:rsidP="00831DE5">
            <w:pPr>
              <w:pStyle w:val="NoSpacing"/>
              <w:jc w:val="right"/>
            </w:pPr>
            <w:r>
              <w:t>Chisholm</w:t>
            </w:r>
          </w:p>
        </w:tc>
      </w:tr>
      <w:tr w:rsidR="00EA424C" w:rsidTr="00831DE5">
        <w:trPr>
          <w:gridBefore w:val="1"/>
          <w:wBefore w:w="5529" w:type="dxa"/>
        </w:trPr>
        <w:tc>
          <w:tcPr>
            <w:tcW w:w="1276" w:type="dxa"/>
          </w:tcPr>
          <w:p w:rsidR="00EA424C" w:rsidRDefault="00EA424C" w:rsidP="00831DE5">
            <w:pPr>
              <w:pStyle w:val="NoSpacing"/>
              <w:jc w:val="right"/>
            </w:pPr>
            <w:r>
              <w:t>2019</w:t>
            </w:r>
          </w:p>
        </w:tc>
        <w:tc>
          <w:tcPr>
            <w:tcW w:w="1276" w:type="dxa"/>
          </w:tcPr>
          <w:p w:rsidR="00EA424C" w:rsidRDefault="00EA424C" w:rsidP="00831DE5">
            <w:pPr>
              <w:pStyle w:val="NoSpacing"/>
              <w:jc w:val="right"/>
            </w:pPr>
            <w:r>
              <w:t>2018</w:t>
            </w:r>
          </w:p>
        </w:tc>
        <w:tc>
          <w:tcPr>
            <w:tcW w:w="1275" w:type="dxa"/>
          </w:tcPr>
          <w:p w:rsidR="00EA424C" w:rsidRDefault="00EA424C" w:rsidP="00831DE5">
            <w:pPr>
              <w:pStyle w:val="NoSpacing"/>
              <w:jc w:val="right"/>
            </w:pPr>
            <w:r>
              <w:t>2019</w:t>
            </w:r>
          </w:p>
        </w:tc>
        <w:tc>
          <w:tcPr>
            <w:tcW w:w="1276" w:type="dxa"/>
          </w:tcPr>
          <w:p w:rsidR="00EA424C" w:rsidRDefault="00EA424C" w:rsidP="00831DE5">
            <w:pPr>
              <w:pStyle w:val="NoSpacing"/>
              <w:jc w:val="right"/>
            </w:pPr>
            <w:r>
              <w:t>2018</w:t>
            </w:r>
          </w:p>
        </w:tc>
      </w:tr>
      <w:tr w:rsidR="00EA424C" w:rsidTr="00831DE5">
        <w:trPr>
          <w:gridBefore w:val="1"/>
          <w:wBefore w:w="5529" w:type="dxa"/>
        </w:trPr>
        <w:tc>
          <w:tcPr>
            <w:tcW w:w="1276" w:type="dxa"/>
          </w:tcPr>
          <w:p w:rsidR="00EA424C" w:rsidRDefault="00EA424C" w:rsidP="00831DE5">
            <w:pPr>
              <w:pStyle w:val="NoSpacing"/>
              <w:jc w:val="right"/>
            </w:pPr>
            <w:r>
              <w:t>$’000</w:t>
            </w:r>
          </w:p>
        </w:tc>
        <w:tc>
          <w:tcPr>
            <w:tcW w:w="1276" w:type="dxa"/>
          </w:tcPr>
          <w:p w:rsidR="00EA424C" w:rsidRDefault="00EA424C" w:rsidP="00831DE5">
            <w:pPr>
              <w:jc w:val="right"/>
            </w:pPr>
            <w:r w:rsidRPr="00105D59">
              <w:t>$’000</w:t>
            </w:r>
          </w:p>
        </w:tc>
        <w:tc>
          <w:tcPr>
            <w:tcW w:w="1275" w:type="dxa"/>
          </w:tcPr>
          <w:p w:rsidR="00EA424C" w:rsidRDefault="00EA424C" w:rsidP="00831DE5">
            <w:pPr>
              <w:jc w:val="right"/>
            </w:pPr>
            <w:r w:rsidRPr="00105D59">
              <w:t>$’000</w:t>
            </w:r>
          </w:p>
        </w:tc>
        <w:tc>
          <w:tcPr>
            <w:tcW w:w="1276" w:type="dxa"/>
          </w:tcPr>
          <w:p w:rsidR="00EA424C" w:rsidRDefault="00EA424C" w:rsidP="00831DE5">
            <w:pPr>
              <w:jc w:val="right"/>
            </w:pPr>
            <w:r w:rsidRPr="00105D59">
              <w:t>$’000</w:t>
            </w:r>
          </w:p>
        </w:tc>
      </w:tr>
      <w:tr w:rsidR="00EA424C" w:rsidTr="00831DE5">
        <w:tc>
          <w:tcPr>
            <w:tcW w:w="10632" w:type="dxa"/>
            <w:gridSpan w:val="5"/>
          </w:tcPr>
          <w:p w:rsidR="00EA424C" w:rsidRDefault="00EA424C" w:rsidP="00831DE5">
            <w:pPr>
              <w:pStyle w:val="NoSpacing"/>
            </w:pPr>
            <w:r>
              <w:t xml:space="preserve">Current </w:t>
            </w:r>
          </w:p>
        </w:tc>
      </w:tr>
      <w:tr w:rsidR="00036585" w:rsidTr="00831DE5">
        <w:tc>
          <w:tcPr>
            <w:tcW w:w="5529" w:type="dxa"/>
          </w:tcPr>
          <w:p w:rsidR="00036585" w:rsidRDefault="00036585" w:rsidP="00036585">
            <w:pPr>
              <w:pStyle w:val="NoSpacing"/>
            </w:pPr>
            <w:r>
              <w:t>Revenue received in advance</w:t>
            </w:r>
          </w:p>
        </w:tc>
        <w:tc>
          <w:tcPr>
            <w:tcW w:w="1276" w:type="dxa"/>
          </w:tcPr>
          <w:p w:rsidR="00036585" w:rsidRDefault="009252B4" w:rsidP="00036585">
            <w:pPr>
              <w:pStyle w:val="NoSpacing"/>
              <w:jc w:val="right"/>
            </w:pPr>
            <w:r>
              <w:t>17,839</w:t>
            </w:r>
          </w:p>
        </w:tc>
        <w:tc>
          <w:tcPr>
            <w:tcW w:w="1276" w:type="dxa"/>
          </w:tcPr>
          <w:p w:rsidR="00036585" w:rsidRDefault="009252B4" w:rsidP="00036585">
            <w:pPr>
              <w:pStyle w:val="NoSpacing"/>
              <w:jc w:val="right"/>
            </w:pPr>
            <w:r>
              <w:t>9,055</w:t>
            </w:r>
          </w:p>
        </w:tc>
        <w:tc>
          <w:tcPr>
            <w:tcW w:w="1275" w:type="dxa"/>
          </w:tcPr>
          <w:p w:rsidR="00036585" w:rsidRDefault="009252B4" w:rsidP="00036585">
            <w:pPr>
              <w:pStyle w:val="NoSpacing"/>
              <w:jc w:val="right"/>
            </w:pPr>
            <w:r>
              <w:t>17,768</w:t>
            </w:r>
          </w:p>
        </w:tc>
        <w:tc>
          <w:tcPr>
            <w:tcW w:w="1276" w:type="dxa"/>
          </w:tcPr>
          <w:p w:rsidR="00036585" w:rsidRDefault="009252B4" w:rsidP="00036585">
            <w:pPr>
              <w:pStyle w:val="NoSpacing"/>
              <w:jc w:val="right"/>
            </w:pPr>
            <w:r>
              <w:t>9,001</w:t>
            </w:r>
          </w:p>
        </w:tc>
      </w:tr>
      <w:tr w:rsidR="00036585" w:rsidTr="00831DE5">
        <w:tc>
          <w:tcPr>
            <w:tcW w:w="5529" w:type="dxa"/>
          </w:tcPr>
          <w:p w:rsidR="00036585" w:rsidRDefault="00036585" w:rsidP="00036585">
            <w:pPr>
              <w:pStyle w:val="NoSpacing"/>
            </w:pPr>
            <w:r>
              <w:t xml:space="preserve">Total current liabilities </w:t>
            </w:r>
          </w:p>
        </w:tc>
        <w:tc>
          <w:tcPr>
            <w:tcW w:w="1276" w:type="dxa"/>
          </w:tcPr>
          <w:p w:rsidR="00036585" w:rsidRDefault="009252B4" w:rsidP="00036585">
            <w:pPr>
              <w:pStyle w:val="NoSpacing"/>
              <w:jc w:val="right"/>
            </w:pPr>
            <w:r>
              <w:t>17,839</w:t>
            </w:r>
          </w:p>
        </w:tc>
        <w:tc>
          <w:tcPr>
            <w:tcW w:w="1276" w:type="dxa"/>
          </w:tcPr>
          <w:p w:rsidR="00036585" w:rsidRDefault="009252B4" w:rsidP="00036585">
            <w:pPr>
              <w:pStyle w:val="NoSpacing"/>
              <w:jc w:val="right"/>
            </w:pPr>
            <w:r>
              <w:t>9,055</w:t>
            </w:r>
          </w:p>
        </w:tc>
        <w:tc>
          <w:tcPr>
            <w:tcW w:w="1275" w:type="dxa"/>
          </w:tcPr>
          <w:p w:rsidR="00036585" w:rsidRDefault="009252B4" w:rsidP="00036585">
            <w:pPr>
              <w:pStyle w:val="NoSpacing"/>
              <w:jc w:val="right"/>
            </w:pPr>
            <w:r>
              <w:t>17,768</w:t>
            </w:r>
          </w:p>
        </w:tc>
        <w:tc>
          <w:tcPr>
            <w:tcW w:w="1276" w:type="dxa"/>
          </w:tcPr>
          <w:p w:rsidR="00036585" w:rsidRDefault="009252B4" w:rsidP="00036585">
            <w:pPr>
              <w:pStyle w:val="NoSpacing"/>
              <w:jc w:val="right"/>
            </w:pPr>
            <w:r>
              <w:t>9,001</w:t>
            </w:r>
          </w:p>
        </w:tc>
      </w:tr>
    </w:tbl>
    <w:p w:rsidR="00EA424C" w:rsidRDefault="00EA424C" w:rsidP="00F02D69">
      <w:pPr>
        <w:pStyle w:val="NoSpacing"/>
      </w:pPr>
    </w:p>
    <w:p w:rsidR="009252B4" w:rsidRDefault="009252B4" w:rsidP="00F02D69">
      <w:pPr>
        <w:pStyle w:val="NoSpacing"/>
      </w:pPr>
      <w:r>
        <w:t>Revenue received in advance</w:t>
      </w:r>
    </w:p>
    <w:p w:rsidR="009252B4" w:rsidRDefault="009252B4" w:rsidP="00F02D69">
      <w:pPr>
        <w:pStyle w:val="NoSpacing"/>
      </w:pPr>
      <w:r>
        <w:t>Any fees received by Chisholm during the current financial year in respect of services to be provided in the following financial year are classified as a lability and recognised as revenue received in advance.</w:t>
      </w:r>
    </w:p>
    <w:p w:rsidR="009252B4" w:rsidRDefault="009252B4" w:rsidP="00F02D69">
      <w:pPr>
        <w:pStyle w:val="NoSpacing"/>
      </w:pPr>
    </w:p>
    <w:p w:rsidR="00006319" w:rsidRDefault="00006319" w:rsidP="00E22F40">
      <w:pPr>
        <w:pStyle w:val="Heading2"/>
      </w:pPr>
      <w:r>
        <w:t>6. How we financed our operations</w:t>
      </w:r>
    </w:p>
    <w:p w:rsidR="0028573F" w:rsidRDefault="0028573F" w:rsidP="0028573F">
      <w:pPr>
        <w:pStyle w:val="NoSpacing"/>
      </w:pPr>
    </w:p>
    <w:p w:rsidR="00006319" w:rsidRDefault="00006319" w:rsidP="00E22F40">
      <w:pPr>
        <w:pStyle w:val="Heading3"/>
      </w:pPr>
      <w:r>
        <w:t>6.1 Cash and deposits</w:t>
      </w:r>
    </w:p>
    <w:p w:rsidR="00006319" w:rsidRDefault="00006319" w:rsidP="00F02D69">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831DE5" w:rsidTr="00831DE5">
        <w:trPr>
          <w:gridBefore w:val="1"/>
          <w:wBefore w:w="5529" w:type="dxa"/>
        </w:trPr>
        <w:tc>
          <w:tcPr>
            <w:tcW w:w="2552" w:type="dxa"/>
            <w:gridSpan w:val="2"/>
          </w:tcPr>
          <w:p w:rsidR="00831DE5" w:rsidRDefault="00831DE5" w:rsidP="00831DE5">
            <w:pPr>
              <w:pStyle w:val="NoSpacing"/>
              <w:jc w:val="right"/>
            </w:pPr>
            <w:r>
              <w:t>Consolidated</w:t>
            </w:r>
          </w:p>
        </w:tc>
        <w:tc>
          <w:tcPr>
            <w:tcW w:w="2551" w:type="dxa"/>
            <w:gridSpan w:val="2"/>
          </w:tcPr>
          <w:p w:rsidR="00831DE5" w:rsidRDefault="00831DE5" w:rsidP="00831DE5">
            <w:pPr>
              <w:pStyle w:val="NoSpacing"/>
              <w:jc w:val="right"/>
            </w:pPr>
            <w:r>
              <w:t>Chisholm</w:t>
            </w:r>
          </w:p>
        </w:tc>
      </w:tr>
      <w:tr w:rsidR="00831DE5" w:rsidTr="00831DE5">
        <w:trPr>
          <w:gridBefore w:val="1"/>
          <w:wBefore w:w="5529" w:type="dxa"/>
        </w:trPr>
        <w:tc>
          <w:tcPr>
            <w:tcW w:w="1276" w:type="dxa"/>
          </w:tcPr>
          <w:p w:rsidR="00831DE5" w:rsidRDefault="00831DE5" w:rsidP="00831DE5">
            <w:pPr>
              <w:pStyle w:val="NoSpacing"/>
              <w:jc w:val="right"/>
            </w:pPr>
            <w:r>
              <w:lastRenderedPageBreak/>
              <w:t>2019</w:t>
            </w:r>
          </w:p>
        </w:tc>
        <w:tc>
          <w:tcPr>
            <w:tcW w:w="1276" w:type="dxa"/>
          </w:tcPr>
          <w:p w:rsidR="00831DE5" w:rsidRDefault="00831DE5" w:rsidP="00831DE5">
            <w:pPr>
              <w:pStyle w:val="NoSpacing"/>
              <w:jc w:val="right"/>
            </w:pPr>
            <w:r>
              <w:t>2018</w:t>
            </w:r>
          </w:p>
        </w:tc>
        <w:tc>
          <w:tcPr>
            <w:tcW w:w="1275" w:type="dxa"/>
          </w:tcPr>
          <w:p w:rsidR="00831DE5" w:rsidRDefault="00831DE5" w:rsidP="00831DE5">
            <w:pPr>
              <w:pStyle w:val="NoSpacing"/>
              <w:jc w:val="right"/>
            </w:pPr>
            <w:r>
              <w:t>2019</w:t>
            </w:r>
          </w:p>
        </w:tc>
        <w:tc>
          <w:tcPr>
            <w:tcW w:w="1276" w:type="dxa"/>
          </w:tcPr>
          <w:p w:rsidR="00831DE5" w:rsidRDefault="00831DE5" w:rsidP="00831DE5">
            <w:pPr>
              <w:pStyle w:val="NoSpacing"/>
              <w:jc w:val="right"/>
            </w:pPr>
            <w:r>
              <w:t>2018</w:t>
            </w:r>
          </w:p>
        </w:tc>
      </w:tr>
      <w:tr w:rsidR="00831DE5" w:rsidTr="00831DE5">
        <w:trPr>
          <w:gridBefore w:val="1"/>
          <w:wBefore w:w="5529" w:type="dxa"/>
        </w:trPr>
        <w:tc>
          <w:tcPr>
            <w:tcW w:w="1276" w:type="dxa"/>
          </w:tcPr>
          <w:p w:rsidR="00831DE5" w:rsidRDefault="00831DE5" w:rsidP="00831DE5">
            <w:pPr>
              <w:pStyle w:val="NoSpacing"/>
              <w:jc w:val="right"/>
            </w:pPr>
            <w:r>
              <w:t>$’000</w:t>
            </w:r>
          </w:p>
        </w:tc>
        <w:tc>
          <w:tcPr>
            <w:tcW w:w="1276" w:type="dxa"/>
          </w:tcPr>
          <w:p w:rsidR="00831DE5" w:rsidRDefault="00831DE5" w:rsidP="00831DE5">
            <w:pPr>
              <w:jc w:val="right"/>
            </w:pPr>
            <w:r w:rsidRPr="00105D59">
              <w:t>$’000</w:t>
            </w:r>
          </w:p>
        </w:tc>
        <w:tc>
          <w:tcPr>
            <w:tcW w:w="1275" w:type="dxa"/>
          </w:tcPr>
          <w:p w:rsidR="00831DE5" w:rsidRDefault="00831DE5" w:rsidP="00831DE5">
            <w:pPr>
              <w:jc w:val="right"/>
            </w:pPr>
            <w:r w:rsidRPr="00105D59">
              <w:t>$’000</w:t>
            </w:r>
          </w:p>
        </w:tc>
        <w:tc>
          <w:tcPr>
            <w:tcW w:w="1276" w:type="dxa"/>
          </w:tcPr>
          <w:p w:rsidR="00831DE5" w:rsidRDefault="00831DE5" w:rsidP="00831DE5">
            <w:pPr>
              <w:jc w:val="right"/>
            </w:pPr>
            <w:r w:rsidRPr="00105D59">
              <w:t>$’000</w:t>
            </w:r>
          </w:p>
        </w:tc>
      </w:tr>
      <w:tr w:rsidR="00831DE5" w:rsidTr="00831DE5">
        <w:tc>
          <w:tcPr>
            <w:tcW w:w="5529" w:type="dxa"/>
          </w:tcPr>
          <w:p w:rsidR="00831DE5" w:rsidRDefault="00831DE5" w:rsidP="00831DE5">
            <w:pPr>
              <w:pStyle w:val="NoSpacing"/>
            </w:pPr>
            <w:r>
              <w:t>Cash at bank and on hand</w:t>
            </w:r>
          </w:p>
        </w:tc>
        <w:tc>
          <w:tcPr>
            <w:tcW w:w="1276" w:type="dxa"/>
          </w:tcPr>
          <w:p w:rsidR="00831DE5" w:rsidRDefault="00E22F40" w:rsidP="00831DE5">
            <w:pPr>
              <w:pStyle w:val="NoSpacing"/>
              <w:jc w:val="right"/>
            </w:pPr>
            <w:r>
              <w:t>5,725</w:t>
            </w:r>
          </w:p>
        </w:tc>
        <w:tc>
          <w:tcPr>
            <w:tcW w:w="1276" w:type="dxa"/>
          </w:tcPr>
          <w:p w:rsidR="00831DE5" w:rsidRDefault="00E22F40" w:rsidP="00831DE5">
            <w:pPr>
              <w:pStyle w:val="NoSpacing"/>
              <w:jc w:val="right"/>
            </w:pPr>
            <w:r>
              <w:t>5,505</w:t>
            </w:r>
          </w:p>
        </w:tc>
        <w:tc>
          <w:tcPr>
            <w:tcW w:w="1275" w:type="dxa"/>
          </w:tcPr>
          <w:p w:rsidR="00831DE5" w:rsidRDefault="00E22F40" w:rsidP="00831DE5">
            <w:pPr>
              <w:pStyle w:val="NoSpacing"/>
              <w:jc w:val="right"/>
            </w:pPr>
            <w:r>
              <w:t>4,917</w:t>
            </w:r>
          </w:p>
        </w:tc>
        <w:tc>
          <w:tcPr>
            <w:tcW w:w="1276" w:type="dxa"/>
          </w:tcPr>
          <w:p w:rsidR="00831DE5" w:rsidRDefault="00E22F40" w:rsidP="00831DE5">
            <w:pPr>
              <w:pStyle w:val="NoSpacing"/>
              <w:jc w:val="right"/>
            </w:pPr>
            <w:r>
              <w:t>4,526</w:t>
            </w:r>
          </w:p>
        </w:tc>
      </w:tr>
      <w:tr w:rsidR="00831DE5" w:rsidTr="00831DE5">
        <w:tc>
          <w:tcPr>
            <w:tcW w:w="5529" w:type="dxa"/>
          </w:tcPr>
          <w:p w:rsidR="00831DE5" w:rsidRDefault="00831DE5" w:rsidP="00831DE5">
            <w:pPr>
              <w:pStyle w:val="NoSpacing"/>
            </w:pPr>
            <w:r>
              <w:t xml:space="preserve">Deposits at call </w:t>
            </w:r>
          </w:p>
        </w:tc>
        <w:tc>
          <w:tcPr>
            <w:tcW w:w="1276" w:type="dxa"/>
          </w:tcPr>
          <w:p w:rsidR="00831DE5" w:rsidRDefault="00E22F40" w:rsidP="00831DE5">
            <w:pPr>
              <w:pStyle w:val="NoSpacing"/>
              <w:jc w:val="right"/>
            </w:pPr>
            <w:r>
              <w:t>49,183</w:t>
            </w:r>
          </w:p>
        </w:tc>
        <w:tc>
          <w:tcPr>
            <w:tcW w:w="1276" w:type="dxa"/>
          </w:tcPr>
          <w:p w:rsidR="00831DE5" w:rsidRDefault="00E22F40" w:rsidP="00831DE5">
            <w:pPr>
              <w:pStyle w:val="NoSpacing"/>
              <w:jc w:val="right"/>
            </w:pPr>
            <w:r>
              <w:t>30,833</w:t>
            </w:r>
          </w:p>
        </w:tc>
        <w:tc>
          <w:tcPr>
            <w:tcW w:w="1275" w:type="dxa"/>
          </w:tcPr>
          <w:p w:rsidR="00831DE5" w:rsidRDefault="00E22F40" w:rsidP="00831DE5">
            <w:pPr>
              <w:pStyle w:val="NoSpacing"/>
              <w:jc w:val="right"/>
            </w:pPr>
            <w:r>
              <w:t>49,182</w:t>
            </w:r>
          </w:p>
        </w:tc>
        <w:tc>
          <w:tcPr>
            <w:tcW w:w="1276" w:type="dxa"/>
          </w:tcPr>
          <w:p w:rsidR="00831DE5" w:rsidRDefault="00E22F40" w:rsidP="00831DE5">
            <w:pPr>
              <w:pStyle w:val="NoSpacing"/>
              <w:jc w:val="right"/>
            </w:pPr>
            <w:r>
              <w:t>30,833</w:t>
            </w:r>
          </w:p>
        </w:tc>
      </w:tr>
      <w:tr w:rsidR="00831DE5" w:rsidTr="00831DE5">
        <w:tc>
          <w:tcPr>
            <w:tcW w:w="5529" w:type="dxa"/>
          </w:tcPr>
          <w:p w:rsidR="00831DE5" w:rsidRDefault="00831DE5" w:rsidP="00831DE5">
            <w:pPr>
              <w:pStyle w:val="NoSpacing"/>
            </w:pPr>
            <w:r>
              <w:t xml:space="preserve">Total cash and deposits </w:t>
            </w:r>
          </w:p>
        </w:tc>
        <w:tc>
          <w:tcPr>
            <w:tcW w:w="1276" w:type="dxa"/>
          </w:tcPr>
          <w:p w:rsidR="00831DE5" w:rsidRDefault="00E22F40" w:rsidP="00831DE5">
            <w:pPr>
              <w:pStyle w:val="NoSpacing"/>
              <w:jc w:val="right"/>
            </w:pPr>
            <w:r>
              <w:t>54,908</w:t>
            </w:r>
          </w:p>
        </w:tc>
        <w:tc>
          <w:tcPr>
            <w:tcW w:w="1276" w:type="dxa"/>
          </w:tcPr>
          <w:p w:rsidR="00831DE5" w:rsidRDefault="00E22F40" w:rsidP="00831DE5">
            <w:pPr>
              <w:pStyle w:val="NoSpacing"/>
              <w:jc w:val="right"/>
            </w:pPr>
            <w:r>
              <w:t>36,338</w:t>
            </w:r>
          </w:p>
        </w:tc>
        <w:tc>
          <w:tcPr>
            <w:tcW w:w="1275" w:type="dxa"/>
          </w:tcPr>
          <w:p w:rsidR="00831DE5" w:rsidRDefault="00E22F40" w:rsidP="00831DE5">
            <w:pPr>
              <w:pStyle w:val="NoSpacing"/>
              <w:jc w:val="right"/>
            </w:pPr>
            <w:r>
              <w:t>54,099</w:t>
            </w:r>
          </w:p>
        </w:tc>
        <w:tc>
          <w:tcPr>
            <w:tcW w:w="1276" w:type="dxa"/>
          </w:tcPr>
          <w:p w:rsidR="00831DE5" w:rsidRDefault="00E22F40" w:rsidP="00831DE5">
            <w:pPr>
              <w:pStyle w:val="NoSpacing"/>
              <w:jc w:val="right"/>
            </w:pPr>
            <w:r>
              <w:t>35,359</w:t>
            </w:r>
          </w:p>
        </w:tc>
      </w:tr>
    </w:tbl>
    <w:p w:rsidR="00006319" w:rsidRDefault="00006319" w:rsidP="00F02D69">
      <w:pPr>
        <w:pStyle w:val="NoSpacing"/>
      </w:pPr>
    </w:p>
    <w:p w:rsidR="00E22F40" w:rsidRDefault="00E22F40" w:rsidP="00F02D69">
      <w:pPr>
        <w:pStyle w:val="NoSpacing"/>
      </w:pPr>
    </w:p>
    <w:p w:rsidR="00E22F40" w:rsidRDefault="00E22F40" w:rsidP="00F02D69">
      <w:pPr>
        <w:pStyle w:val="NoSpacing"/>
      </w:pPr>
      <w:r>
        <w:t xml:space="preserve">Cash and deposits, including cash equivalents, comprise cash on hand and cash at bank, deposits at call and those highly liquid investments with an original maturity of three months or less, which are held for the purpose of meeting short term cash commitments rather than for investment purposes, and which are readily convertible to known amounts of cash and are subject to an insignificant risk of changes in value. </w:t>
      </w:r>
    </w:p>
    <w:p w:rsidR="00E22F40" w:rsidRDefault="00E22F40" w:rsidP="00F02D69">
      <w:pPr>
        <w:pStyle w:val="NoSpacing"/>
      </w:pPr>
    </w:p>
    <w:p w:rsidR="00E22F40" w:rsidRDefault="00E22F40" w:rsidP="00F02D69">
      <w:pPr>
        <w:pStyle w:val="NoSpacing"/>
      </w:pPr>
      <w:r>
        <w:t>As discussed in Note 4.4, the increase in deposits at call is a result of the newly implemented Central Banking System (CBS). Funds that were previously invested in term deposit accounts are now held at call as a result of this new government policy.</w:t>
      </w:r>
    </w:p>
    <w:p w:rsidR="00E22F40" w:rsidRDefault="00E22F40" w:rsidP="00F02D69">
      <w:pPr>
        <w:pStyle w:val="NoSpacing"/>
      </w:pPr>
    </w:p>
    <w:p w:rsidR="00E22F40" w:rsidRDefault="00E22F40" w:rsidP="00E22F40">
      <w:pPr>
        <w:pStyle w:val="Heading4"/>
      </w:pPr>
      <w:r>
        <w:t>6.1.1 Reconciliation of operating result to net cash flows from operating activities</w:t>
      </w:r>
    </w:p>
    <w:p w:rsidR="00E22F40" w:rsidRDefault="00E22F40" w:rsidP="00F02D69">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831DE5" w:rsidTr="00831DE5">
        <w:trPr>
          <w:gridBefore w:val="1"/>
          <w:wBefore w:w="5529" w:type="dxa"/>
        </w:trPr>
        <w:tc>
          <w:tcPr>
            <w:tcW w:w="2552" w:type="dxa"/>
            <w:gridSpan w:val="2"/>
          </w:tcPr>
          <w:p w:rsidR="00831DE5" w:rsidRDefault="00831DE5" w:rsidP="00831DE5">
            <w:pPr>
              <w:pStyle w:val="NoSpacing"/>
              <w:jc w:val="right"/>
            </w:pPr>
            <w:r>
              <w:t>Consolidated</w:t>
            </w:r>
          </w:p>
        </w:tc>
        <w:tc>
          <w:tcPr>
            <w:tcW w:w="2551" w:type="dxa"/>
            <w:gridSpan w:val="2"/>
          </w:tcPr>
          <w:p w:rsidR="00831DE5" w:rsidRDefault="00831DE5" w:rsidP="00831DE5">
            <w:pPr>
              <w:pStyle w:val="NoSpacing"/>
              <w:jc w:val="right"/>
            </w:pPr>
            <w:r>
              <w:t>Chisholm</w:t>
            </w:r>
          </w:p>
        </w:tc>
      </w:tr>
      <w:tr w:rsidR="00831DE5" w:rsidTr="00831DE5">
        <w:trPr>
          <w:gridBefore w:val="1"/>
          <w:wBefore w:w="5529" w:type="dxa"/>
        </w:trPr>
        <w:tc>
          <w:tcPr>
            <w:tcW w:w="1276" w:type="dxa"/>
          </w:tcPr>
          <w:p w:rsidR="00831DE5" w:rsidRDefault="00831DE5" w:rsidP="00831DE5">
            <w:pPr>
              <w:pStyle w:val="NoSpacing"/>
              <w:jc w:val="right"/>
            </w:pPr>
            <w:r>
              <w:t>2019</w:t>
            </w:r>
          </w:p>
        </w:tc>
        <w:tc>
          <w:tcPr>
            <w:tcW w:w="1276" w:type="dxa"/>
          </w:tcPr>
          <w:p w:rsidR="00831DE5" w:rsidRDefault="00831DE5" w:rsidP="00831DE5">
            <w:pPr>
              <w:pStyle w:val="NoSpacing"/>
              <w:jc w:val="right"/>
            </w:pPr>
            <w:r>
              <w:t>2018</w:t>
            </w:r>
          </w:p>
        </w:tc>
        <w:tc>
          <w:tcPr>
            <w:tcW w:w="1275" w:type="dxa"/>
          </w:tcPr>
          <w:p w:rsidR="00831DE5" w:rsidRDefault="00831DE5" w:rsidP="00831DE5">
            <w:pPr>
              <w:pStyle w:val="NoSpacing"/>
              <w:jc w:val="right"/>
            </w:pPr>
            <w:r>
              <w:t>2019</w:t>
            </w:r>
          </w:p>
        </w:tc>
        <w:tc>
          <w:tcPr>
            <w:tcW w:w="1276" w:type="dxa"/>
          </w:tcPr>
          <w:p w:rsidR="00831DE5" w:rsidRDefault="00831DE5" w:rsidP="00831DE5">
            <w:pPr>
              <w:pStyle w:val="NoSpacing"/>
              <w:jc w:val="right"/>
            </w:pPr>
            <w:r>
              <w:t>2018</w:t>
            </w:r>
          </w:p>
        </w:tc>
      </w:tr>
      <w:tr w:rsidR="00831DE5" w:rsidTr="00831DE5">
        <w:trPr>
          <w:gridBefore w:val="1"/>
          <w:wBefore w:w="5529" w:type="dxa"/>
        </w:trPr>
        <w:tc>
          <w:tcPr>
            <w:tcW w:w="1276" w:type="dxa"/>
          </w:tcPr>
          <w:p w:rsidR="00831DE5" w:rsidRDefault="00831DE5" w:rsidP="00831DE5">
            <w:pPr>
              <w:pStyle w:val="NoSpacing"/>
              <w:jc w:val="right"/>
            </w:pPr>
            <w:r>
              <w:t>$’000</w:t>
            </w:r>
          </w:p>
        </w:tc>
        <w:tc>
          <w:tcPr>
            <w:tcW w:w="1276" w:type="dxa"/>
          </w:tcPr>
          <w:p w:rsidR="00831DE5" w:rsidRDefault="00831DE5" w:rsidP="00831DE5">
            <w:pPr>
              <w:jc w:val="right"/>
            </w:pPr>
            <w:r w:rsidRPr="00105D59">
              <w:t>$’000</w:t>
            </w:r>
          </w:p>
        </w:tc>
        <w:tc>
          <w:tcPr>
            <w:tcW w:w="1275" w:type="dxa"/>
          </w:tcPr>
          <w:p w:rsidR="00831DE5" w:rsidRDefault="00831DE5" w:rsidP="00831DE5">
            <w:pPr>
              <w:jc w:val="right"/>
            </w:pPr>
            <w:r w:rsidRPr="00105D59">
              <w:t>$’000</w:t>
            </w:r>
          </w:p>
        </w:tc>
        <w:tc>
          <w:tcPr>
            <w:tcW w:w="1276" w:type="dxa"/>
          </w:tcPr>
          <w:p w:rsidR="00831DE5" w:rsidRDefault="00831DE5" w:rsidP="00831DE5">
            <w:pPr>
              <w:jc w:val="right"/>
            </w:pPr>
            <w:r w:rsidRPr="00105D59">
              <w:t>$’000</w:t>
            </w:r>
          </w:p>
        </w:tc>
      </w:tr>
      <w:tr w:rsidR="00831DE5" w:rsidTr="00831DE5">
        <w:tc>
          <w:tcPr>
            <w:tcW w:w="5529" w:type="dxa"/>
          </w:tcPr>
          <w:p w:rsidR="00831DE5" w:rsidRDefault="00831DE5" w:rsidP="00831DE5">
            <w:pPr>
              <w:pStyle w:val="NoSpacing"/>
            </w:pPr>
            <w:r>
              <w:t>Net result for the year</w:t>
            </w:r>
          </w:p>
        </w:tc>
        <w:tc>
          <w:tcPr>
            <w:tcW w:w="1276" w:type="dxa"/>
          </w:tcPr>
          <w:p w:rsidR="00831DE5" w:rsidRDefault="00E22F40" w:rsidP="00831DE5">
            <w:pPr>
              <w:pStyle w:val="NoSpacing"/>
              <w:jc w:val="right"/>
            </w:pPr>
            <w:r>
              <w:t>900</w:t>
            </w:r>
          </w:p>
        </w:tc>
        <w:tc>
          <w:tcPr>
            <w:tcW w:w="1276" w:type="dxa"/>
          </w:tcPr>
          <w:p w:rsidR="00831DE5" w:rsidRDefault="00E22F40" w:rsidP="00831DE5">
            <w:pPr>
              <w:pStyle w:val="NoSpacing"/>
              <w:jc w:val="right"/>
            </w:pPr>
            <w:r>
              <w:t>25,507</w:t>
            </w:r>
          </w:p>
        </w:tc>
        <w:tc>
          <w:tcPr>
            <w:tcW w:w="1275" w:type="dxa"/>
          </w:tcPr>
          <w:p w:rsidR="00831DE5" w:rsidRDefault="00E22F40" w:rsidP="00831DE5">
            <w:pPr>
              <w:pStyle w:val="NoSpacing"/>
              <w:jc w:val="right"/>
            </w:pPr>
            <w:r>
              <w:t>(144)</w:t>
            </w:r>
          </w:p>
        </w:tc>
        <w:tc>
          <w:tcPr>
            <w:tcW w:w="1276" w:type="dxa"/>
          </w:tcPr>
          <w:p w:rsidR="00831DE5" w:rsidRDefault="00E22F40" w:rsidP="00831DE5">
            <w:pPr>
              <w:pStyle w:val="NoSpacing"/>
              <w:jc w:val="right"/>
            </w:pPr>
            <w:r>
              <w:t>26,361</w:t>
            </w:r>
          </w:p>
        </w:tc>
      </w:tr>
    </w:tbl>
    <w:p w:rsidR="00EA424C" w:rsidRDefault="00EA424C" w:rsidP="00F02D69">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831DE5" w:rsidTr="00831DE5">
        <w:tc>
          <w:tcPr>
            <w:tcW w:w="10632" w:type="dxa"/>
            <w:gridSpan w:val="5"/>
          </w:tcPr>
          <w:p w:rsidR="00831DE5" w:rsidRDefault="00831DE5" w:rsidP="00831DE5">
            <w:pPr>
              <w:pStyle w:val="NoSpacing"/>
            </w:pPr>
            <w:r>
              <w:t>Non-cash movements</w:t>
            </w:r>
          </w:p>
        </w:tc>
      </w:tr>
      <w:tr w:rsidR="00831DE5" w:rsidTr="00831DE5">
        <w:tc>
          <w:tcPr>
            <w:tcW w:w="5529" w:type="dxa"/>
          </w:tcPr>
          <w:p w:rsidR="00831DE5" w:rsidRDefault="00831DE5" w:rsidP="00831DE5">
            <w:pPr>
              <w:pStyle w:val="NoSpacing"/>
            </w:pPr>
            <w:r>
              <w:t>Depreciation and amortisation of non-financial assets</w:t>
            </w:r>
          </w:p>
        </w:tc>
        <w:tc>
          <w:tcPr>
            <w:tcW w:w="1276" w:type="dxa"/>
          </w:tcPr>
          <w:p w:rsidR="00831DE5" w:rsidRDefault="00E22F40" w:rsidP="00831DE5">
            <w:pPr>
              <w:pStyle w:val="NoSpacing"/>
              <w:jc w:val="right"/>
            </w:pPr>
            <w:r>
              <w:t>11,725</w:t>
            </w:r>
          </w:p>
        </w:tc>
        <w:tc>
          <w:tcPr>
            <w:tcW w:w="1276" w:type="dxa"/>
          </w:tcPr>
          <w:p w:rsidR="00831DE5" w:rsidRDefault="00E22F40" w:rsidP="00831DE5">
            <w:pPr>
              <w:pStyle w:val="NoSpacing"/>
              <w:jc w:val="right"/>
            </w:pPr>
            <w:r>
              <w:t>8,232</w:t>
            </w:r>
          </w:p>
        </w:tc>
        <w:tc>
          <w:tcPr>
            <w:tcW w:w="1275" w:type="dxa"/>
          </w:tcPr>
          <w:p w:rsidR="00831DE5" w:rsidRDefault="00E22F40" w:rsidP="00831DE5">
            <w:pPr>
              <w:pStyle w:val="NoSpacing"/>
              <w:jc w:val="right"/>
            </w:pPr>
            <w:r>
              <w:t>11,405</w:t>
            </w:r>
          </w:p>
        </w:tc>
        <w:tc>
          <w:tcPr>
            <w:tcW w:w="1276" w:type="dxa"/>
          </w:tcPr>
          <w:p w:rsidR="00831DE5" w:rsidRDefault="00E22F40" w:rsidP="00831DE5">
            <w:pPr>
              <w:pStyle w:val="NoSpacing"/>
              <w:jc w:val="right"/>
            </w:pPr>
            <w:r>
              <w:t>7,949</w:t>
            </w:r>
          </w:p>
        </w:tc>
      </w:tr>
      <w:tr w:rsidR="00831DE5" w:rsidTr="00831DE5">
        <w:tc>
          <w:tcPr>
            <w:tcW w:w="5529" w:type="dxa"/>
          </w:tcPr>
          <w:p w:rsidR="00831DE5" w:rsidRDefault="00831DE5" w:rsidP="00831DE5">
            <w:pPr>
              <w:pStyle w:val="NoSpacing"/>
            </w:pPr>
            <w:r>
              <w:t>Written-down value of non-financial assets disposed</w:t>
            </w:r>
          </w:p>
        </w:tc>
        <w:tc>
          <w:tcPr>
            <w:tcW w:w="1276" w:type="dxa"/>
          </w:tcPr>
          <w:p w:rsidR="00831DE5" w:rsidRDefault="00E22F40" w:rsidP="00831DE5">
            <w:pPr>
              <w:pStyle w:val="NoSpacing"/>
              <w:jc w:val="right"/>
            </w:pPr>
            <w:r>
              <w:t>(7)</w:t>
            </w:r>
          </w:p>
        </w:tc>
        <w:tc>
          <w:tcPr>
            <w:tcW w:w="1276" w:type="dxa"/>
          </w:tcPr>
          <w:p w:rsidR="00831DE5" w:rsidRDefault="00E22F40" w:rsidP="00831DE5">
            <w:pPr>
              <w:pStyle w:val="NoSpacing"/>
              <w:jc w:val="right"/>
            </w:pPr>
            <w:r>
              <w:t>3</w:t>
            </w:r>
          </w:p>
        </w:tc>
        <w:tc>
          <w:tcPr>
            <w:tcW w:w="1275" w:type="dxa"/>
          </w:tcPr>
          <w:p w:rsidR="00831DE5" w:rsidRDefault="00E22F40" w:rsidP="00831DE5">
            <w:pPr>
              <w:pStyle w:val="NoSpacing"/>
              <w:jc w:val="right"/>
            </w:pPr>
            <w:r>
              <w:t>(7)</w:t>
            </w:r>
          </w:p>
        </w:tc>
        <w:tc>
          <w:tcPr>
            <w:tcW w:w="1276" w:type="dxa"/>
          </w:tcPr>
          <w:p w:rsidR="00831DE5" w:rsidRDefault="00E22F40" w:rsidP="00831DE5">
            <w:pPr>
              <w:pStyle w:val="NoSpacing"/>
              <w:jc w:val="right"/>
            </w:pPr>
            <w:r>
              <w:t>3</w:t>
            </w:r>
          </w:p>
        </w:tc>
      </w:tr>
      <w:tr w:rsidR="00831DE5" w:rsidTr="00831DE5">
        <w:tc>
          <w:tcPr>
            <w:tcW w:w="5529" w:type="dxa"/>
          </w:tcPr>
          <w:p w:rsidR="00831DE5" w:rsidRDefault="00831DE5" w:rsidP="00831DE5">
            <w:pPr>
              <w:pStyle w:val="NoSpacing"/>
            </w:pPr>
            <w:r>
              <w:t>Greener Government loan discount</w:t>
            </w:r>
          </w:p>
        </w:tc>
        <w:tc>
          <w:tcPr>
            <w:tcW w:w="1276" w:type="dxa"/>
          </w:tcPr>
          <w:p w:rsidR="00831DE5" w:rsidRDefault="00E22F40" w:rsidP="00831DE5">
            <w:pPr>
              <w:pStyle w:val="NoSpacing"/>
              <w:jc w:val="right"/>
            </w:pPr>
            <w:r>
              <w:t>36</w:t>
            </w:r>
          </w:p>
        </w:tc>
        <w:tc>
          <w:tcPr>
            <w:tcW w:w="1276" w:type="dxa"/>
          </w:tcPr>
          <w:p w:rsidR="00831DE5" w:rsidRDefault="00E22F40" w:rsidP="00831DE5">
            <w:pPr>
              <w:pStyle w:val="NoSpacing"/>
              <w:jc w:val="right"/>
            </w:pPr>
            <w:r>
              <w:t>46</w:t>
            </w:r>
          </w:p>
        </w:tc>
        <w:tc>
          <w:tcPr>
            <w:tcW w:w="1275" w:type="dxa"/>
          </w:tcPr>
          <w:p w:rsidR="00831DE5" w:rsidRDefault="00E22F40" w:rsidP="00831DE5">
            <w:pPr>
              <w:pStyle w:val="NoSpacing"/>
              <w:jc w:val="right"/>
            </w:pPr>
            <w:r>
              <w:t>36</w:t>
            </w:r>
          </w:p>
        </w:tc>
        <w:tc>
          <w:tcPr>
            <w:tcW w:w="1276" w:type="dxa"/>
          </w:tcPr>
          <w:p w:rsidR="00831DE5" w:rsidRDefault="00E22F40" w:rsidP="00831DE5">
            <w:pPr>
              <w:pStyle w:val="NoSpacing"/>
              <w:jc w:val="right"/>
            </w:pPr>
            <w:r>
              <w:t>46</w:t>
            </w:r>
          </w:p>
        </w:tc>
      </w:tr>
    </w:tbl>
    <w:p w:rsidR="00831DE5" w:rsidRDefault="00831DE5" w:rsidP="00F02D69">
      <w:pPr>
        <w:pStyle w:val="NoSpacing"/>
      </w:pPr>
    </w:p>
    <w:p w:rsidR="00E22F40" w:rsidRDefault="00E22F40" w:rsidP="00F02D69">
      <w:pPr>
        <w:pStyle w:val="NoSpacing"/>
      </w:pPr>
      <w:r>
        <w:t>&lt;page 77&gt;</w:t>
      </w:r>
    </w:p>
    <w:p w:rsidR="00E22F40" w:rsidRDefault="00E22F40" w:rsidP="00F02D69">
      <w:pPr>
        <w:pStyle w:val="NoSpacing"/>
      </w:pPr>
    </w:p>
    <w:p w:rsidR="00E22F40" w:rsidRDefault="00E22F40" w:rsidP="00E22F40">
      <w:pPr>
        <w:pStyle w:val="Heading2"/>
      </w:pPr>
      <w:r>
        <w:t>6. How we financed our operations</w:t>
      </w:r>
    </w:p>
    <w:p w:rsidR="0028573F" w:rsidRDefault="0028573F" w:rsidP="0028573F">
      <w:pPr>
        <w:pStyle w:val="NoSpacing"/>
      </w:pPr>
    </w:p>
    <w:p w:rsidR="00E22F40" w:rsidRDefault="00E22F40" w:rsidP="00E22F40">
      <w:pPr>
        <w:pStyle w:val="Heading3"/>
      </w:pPr>
      <w:r>
        <w:t>6.1 Cash and deposits (continued)</w:t>
      </w:r>
    </w:p>
    <w:p w:rsidR="0028573F" w:rsidRDefault="0028573F" w:rsidP="0028573F">
      <w:pPr>
        <w:pStyle w:val="NoSpacing"/>
      </w:pPr>
    </w:p>
    <w:p w:rsidR="00E22F40" w:rsidRPr="00E22F40" w:rsidRDefault="00E22F40" w:rsidP="00E22F40">
      <w:pPr>
        <w:pStyle w:val="Heading4"/>
      </w:pPr>
      <w:r>
        <w:t>6.1.1 Reconciliation of operating result to net cash flows from operating activities (continued)</w:t>
      </w:r>
    </w:p>
    <w:p w:rsidR="00E22F40" w:rsidRDefault="00E22F40" w:rsidP="00F02D69">
      <w:pPr>
        <w:pStyle w:val="NoSpacing"/>
      </w:pPr>
    </w:p>
    <w:p w:rsidR="00E22F40" w:rsidRDefault="00E22F40" w:rsidP="00F02D69">
      <w:pPr>
        <w:pStyle w:val="NoSpacing"/>
      </w:pPr>
    </w:p>
    <w:p w:rsidR="00E22F40" w:rsidRDefault="00E22F40" w:rsidP="00F02D69">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801F39" w:rsidTr="001B06EE">
        <w:trPr>
          <w:gridBefore w:val="1"/>
          <w:wBefore w:w="5529" w:type="dxa"/>
        </w:trPr>
        <w:tc>
          <w:tcPr>
            <w:tcW w:w="2552" w:type="dxa"/>
            <w:gridSpan w:val="2"/>
          </w:tcPr>
          <w:p w:rsidR="00801F39" w:rsidRDefault="00801F39" w:rsidP="001B06EE">
            <w:pPr>
              <w:pStyle w:val="NoSpacing"/>
              <w:jc w:val="right"/>
            </w:pPr>
            <w:r>
              <w:t>Consolidated</w:t>
            </w:r>
          </w:p>
        </w:tc>
        <w:tc>
          <w:tcPr>
            <w:tcW w:w="2551" w:type="dxa"/>
            <w:gridSpan w:val="2"/>
          </w:tcPr>
          <w:p w:rsidR="00801F39" w:rsidRDefault="00801F39" w:rsidP="001B06EE">
            <w:pPr>
              <w:pStyle w:val="NoSpacing"/>
              <w:jc w:val="right"/>
            </w:pPr>
            <w:r>
              <w:t>Chisholm</w:t>
            </w:r>
          </w:p>
        </w:tc>
      </w:tr>
      <w:tr w:rsidR="00801F39" w:rsidTr="001B06EE">
        <w:trPr>
          <w:gridBefore w:val="1"/>
          <w:wBefore w:w="5529" w:type="dxa"/>
        </w:trPr>
        <w:tc>
          <w:tcPr>
            <w:tcW w:w="1276" w:type="dxa"/>
          </w:tcPr>
          <w:p w:rsidR="00801F39" w:rsidRDefault="00801F39" w:rsidP="001B06EE">
            <w:pPr>
              <w:pStyle w:val="NoSpacing"/>
              <w:jc w:val="right"/>
            </w:pPr>
            <w:r>
              <w:t>2019</w:t>
            </w:r>
          </w:p>
        </w:tc>
        <w:tc>
          <w:tcPr>
            <w:tcW w:w="1276" w:type="dxa"/>
          </w:tcPr>
          <w:p w:rsidR="00801F39" w:rsidRDefault="00801F39" w:rsidP="001B06EE">
            <w:pPr>
              <w:pStyle w:val="NoSpacing"/>
              <w:jc w:val="right"/>
            </w:pPr>
            <w:r>
              <w:t>2018</w:t>
            </w:r>
          </w:p>
        </w:tc>
        <w:tc>
          <w:tcPr>
            <w:tcW w:w="1275" w:type="dxa"/>
          </w:tcPr>
          <w:p w:rsidR="00801F39" w:rsidRDefault="00801F39" w:rsidP="001B06EE">
            <w:pPr>
              <w:pStyle w:val="NoSpacing"/>
              <w:jc w:val="right"/>
            </w:pPr>
            <w:r>
              <w:t>2019</w:t>
            </w:r>
          </w:p>
        </w:tc>
        <w:tc>
          <w:tcPr>
            <w:tcW w:w="1276" w:type="dxa"/>
          </w:tcPr>
          <w:p w:rsidR="00801F39" w:rsidRDefault="00801F39" w:rsidP="001B06EE">
            <w:pPr>
              <w:pStyle w:val="NoSpacing"/>
              <w:jc w:val="right"/>
            </w:pPr>
            <w:r>
              <w:t>2018</w:t>
            </w:r>
          </w:p>
        </w:tc>
      </w:tr>
      <w:tr w:rsidR="00801F39" w:rsidTr="001B06EE">
        <w:trPr>
          <w:gridBefore w:val="1"/>
          <w:wBefore w:w="5529" w:type="dxa"/>
        </w:trPr>
        <w:tc>
          <w:tcPr>
            <w:tcW w:w="1276" w:type="dxa"/>
          </w:tcPr>
          <w:p w:rsidR="00801F39" w:rsidRDefault="00801F39" w:rsidP="001B06EE">
            <w:pPr>
              <w:pStyle w:val="NoSpacing"/>
              <w:jc w:val="right"/>
            </w:pPr>
            <w:r>
              <w:t>$’000</w:t>
            </w:r>
          </w:p>
        </w:tc>
        <w:tc>
          <w:tcPr>
            <w:tcW w:w="1276" w:type="dxa"/>
          </w:tcPr>
          <w:p w:rsidR="00801F39" w:rsidRDefault="00801F39" w:rsidP="001B06EE">
            <w:pPr>
              <w:jc w:val="right"/>
            </w:pPr>
            <w:r w:rsidRPr="00105D59">
              <w:t>$’000</w:t>
            </w:r>
          </w:p>
        </w:tc>
        <w:tc>
          <w:tcPr>
            <w:tcW w:w="1275" w:type="dxa"/>
          </w:tcPr>
          <w:p w:rsidR="00801F39" w:rsidRDefault="00801F39" w:rsidP="001B06EE">
            <w:pPr>
              <w:jc w:val="right"/>
            </w:pPr>
            <w:r w:rsidRPr="00105D59">
              <w:t>$’000</w:t>
            </w:r>
          </w:p>
        </w:tc>
        <w:tc>
          <w:tcPr>
            <w:tcW w:w="1276" w:type="dxa"/>
          </w:tcPr>
          <w:p w:rsidR="00801F39" w:rsidRDefault="00801F39" w:rsidP="001B06EE">
            <w:pPr>
              <w:jc w:val="right"/>
            </w:pPr>
            <w:r w:rsidRPr="00105D59">
              <w:t>$’000</w:t>
            </w:r>
          </w:p>
        </w:tc>
      </w:tr>
      <w:tr w:rsidR="00831DE5" w:rsidTr="00831DE5">
        <w:tc>
          <w:tcPr>
            <w:tcW w:w="10632" w:type="dxa"/>
            <w:gridSpan w:val="5"/>
          </w:tcPr>
          <w:p w:rsidR="00831DE5" w:rsidRDefault="002321BF" w:rsidP="00831DE5">
            <w:pPr>
              <w:pStyle w:val="NoSpacing"/>
            </w:pPr>
            <w:r>
              <w:t>Movements in assets and liabilities</w:t>
            </w:r>
          </w:p>
        </w:tc>
      </w:tr>
      <w:tr w:rsidR="00831DE5" w:rsidTr="00831DE5">
        <w:tc>
          <w:tcPr>
            <w:tcW w:w="5529" w:type="dxa"/>
          </w:tcPr>
          <w:p w:rsidR="00831DE5" w:rsidRDefault="002321BF" w:rsidP="00831DE5">
            <w:pPr>
              <w:pStyle w:val="NoSpacing"/>
            </w:pPr>
            <w:r>
              <w:t>Decrease/(increase) in receivables</w:t>
            </w:r>
          </w:p>
        </w:tc>
        <w:tc>
          <w:tcPr>
            <w:tcW w:w="1276" w:type="dxa"/>
          </w:tcPr>
          <w:p w:rsidR="00831DE5" w:rsidRDefault="00801F39" w:rsidP="00831DE5">
            <w:pPr>
              <w:pStyle w:val="NoSpacing"/>
              <w:jc w:val="right"/>
            </w:pPr>
            <w:r>
              <w:t>2,738</w:t>
            </w:r>
          </w:p>
        </w:tc>
        <w:tc>
          <w:tcPr>
            <w:tcW w:w="1276" w:type="dxa"/>
          </w:tcPr>
          <w:p w:rsidR="00831DE5" w:rsidRDefault="00801F39" w:rsidP="00831DE5">
            <w:pPr>
              <w:pStyle w:val="NoSpacing"/>
              <w:jc w:val="right"/>
            </w:pPr>
            <w:r>
              <w:t>(6,517)</w:t>
            </w:r>
          </w:p>
        </w:tc>
        <w:tc>
          <w:tcPr>
            <w:tcW w:w="1275" w:type="dxa"/>
          </w:tcPr>
          <w:p w:rsidR="00831DE5" w:rsidRDefault="00801F39" w:rsidP="00831DE5">
            <w:pPr>
              <w:pStyle w:val="NoSpacing"/>
              <w:jc w:val="right"/>
            </w:pPr>
            <w:r>
              <w:t>2,916</w:t>
            </w:r>
          </w:p>
        </w:tc>
        <w:tc>
          <w:tcPr>
            <w:tcW w:w="1276" w:type="dxa"/>
          </w:tcPr>
          <w:p w:rsidR="00831DE5" w:rsidRDefault="00801F39" w:rsidP="00831DE5">
            <w:pPr>
              <w:pStyle w:val="NoSpacing"/>
              <w:jc w:val="right"/>
            </w:pPr>
            <w:r>
              <w:t>(5,095)</w:t>
            </w:r>
          </w:p>
        </w:tc>
      </w:tr>
      <w:tr w:rsidR="002321BF" w:rsidTr="00831DE5">
        <w:tc>
          <w:tcPr>
            <w:tcW w:w="5529" w:type="dxa"/>
          </w:tcPr>
          <w:p w:rsidR="002321BF" w:rsidRDefault="002321BF" w:rsidP="002321BF">
            <w:r w:rsidRPr="00C83BC7">
              <w:t xml:space="preserve">Decrease/(increase) in </w:t>
            </w:r>
            <w:r>
              <w:t>other assets</w:t>
            </w:r>
          </w:p>
        </w:tc>
        <w:tc>
          <w:tcPr>
            <w:tcW w:w="1276" w:type="dxa"/>
          </w:tcPr>
          <w:p w:rsidR="002321BF" w:rsidRDefault="00801F39" w:rsidP="002321BF">
            <w:pPr>
              <w:pStyle w:val="NoSpacing"/>
              <w:jc w:val="right"/>
            </w:pPr>
            <w:r>
              <w:t>97</w:t>
            </w:r>
          </w:p>
        </w:tc>
        <w:tc>
          <w:tcPr>
            <w:tcW w:w="1276" w:type="dxa"/>
          </w:tcPr>
          <w:p w:rsidR="002321BF" w:rsidRDefault="00801F39" w:rsidP="002321BF">
            <w:pPr>
              <w:pStyle w:val="NoSpacing"/>
              <w:jc w:val="right"/>
            </w:pPr>
            <w:r>
              <w:t>(411)</w:t>
            </w:r>
          </w:p>
        </w:tc>
        <w:tc>
          <w:tcPr>
            <w:tcW w:w="1275" w:type="dxa"/>
          </w:tcPr>
          <w:p w:rsidR="002321BF" w:rsidRDefault="00801F39" w:rsidP="002321BF">
            <w:pPr>
              <w:pStyle w:val="NoSpacing"/>
              <w:jc w:val="right"/>
            </w:pPr>
            <w:r>
              <w:t>94</w:t>
            </w:r>
          </w:p>
        </w:tc>
        <w:tc>
          <w:tcPr>
            <w:tcW w:w="1276" w:type="dxa"/>
          </w:tcPr>
          <w:p w:rsidR="002321BF" w:rsidRDefault="00801F39" w:rsidP="002321BF">
            <w:pPr>
              <w:pStyle w:val="NoSpacing"/>
              <w:jc w:val="right"/>
            </w:pPr>
            <w:r>
              <w:t>(273)</w:t>
            </w:r>
          </w:p>
        </w:tc>
      </w:tr>
      <w:tr w:rsidR="002321BF" w:rsidTr="00831DE5">
        <w:tc>
          <w:tcPr>
            <w:tcW w:w="5529" w:type="dxa"/>
          </w:tcPr>
          <w:p w:rsidR="002321BF" w:rsidRDefault="00801F39" w:rsidP="002321BF">
            <w:r>
              <w:t>(Decrease)/increase</w:t>
            </w:r>
            <w:r w:rsidR="002321BF" w:rsidRPr="00C83BC7">
              <w:t xml:space="preserve"> in </w:t>
            </w:r>
            <w:r>
              <w:t xml:space="preserve">trade and other </w:t>
            </w:r>
            <w:r w:rsidR="002321BF">
              <w:t>payables</w:t>
            </w:r>
          </w:p>
        </w:tc>
        <w:tc>
          <w:tcPr>
            <w:tcW w:w="1276" w:type="dxa"/>
          </w:tcPr>
          <w:p w:rsidR="002321BF" w:rsidRDefault="00801F39" w:rsidP="002321BF">
            <w:pPr>
              <w:pStyle w:val="NoSpacing"/>
              <w:jc w:val="right"/>
            </w:pPr>
            <w:r>
              <w:t>(2,616)</w:t>
            </w:r>
          </w:p>
        </w:tc>
        <w:tc>
          <w:tcPr>
            <w:tcW w:w="1276" w:type="dxa"/>
          </w:tcPr>
          <w:p w:rsidR="002321BF" w:rsidRDefault="00801F39" w:rsidP="002321BF">
            <w:pPr>
              <w:pStyle w:val="NoSpacing"/>
              <w:jc w:val="right"/>
            </w:pPr>
            <w:r>
              <w:t>5,318</w:t>
            </w:r>
          </w:p>
        </w:tc>
        <w:tc>
          <w:tcPr>
            <w:tcW w:w="1275" w:type="dxa"/>
          </w:tcPr>
          <w:p w:rsidR="002321BF" w:rsidRDefault="00801F39" w:rsidP="002321BF">
            <w:pPr>
              <w:pStyle w:val="NoSpacing"/>
              <w:jc w:val="right"/>
            </w:pPr>
            <w:r>
              <w:t>(940)</w:t>
            </w:r>
          </w:p>
        </w:tc>
        <w:tc>
          <w:tcPr>
            <w:tcW w:w="1276" w:type="dxa"/>
          </w:tcPr>
          <w:p w:rsidR="002321BF" w:rsidRDefault="00801F39" w:rsidP="002321BF">
            <w:pPr>
              <w:pStyle w:val="NoSpacing"/>
              <w:jc w:val="right"/>
            </w:pPr>
            <w:r>
              <w:t>2,661</w:t>
            </w:r>
          </w:p>
        </w:tc>
      </w:tr>
      <w:tr w:rsidR="002321BF" w:rsidTr="00831DE5">
        <w:tc>
          <w:tcPr>
            <w:tcW w:w="5529" w:type="dxa"/>
          </w:tcPr>
          <w:p w:rsidR="002321BF" w:rsidRDefault="00801F39" w:rsidP="002321BF">
            <w:r>
              <w:t>(</w:t>
            </w:r>
            <w:r w:rsidR="002321BF" w:rsidRPr="00C83BC7">
              <w:t>Decrease</w:t>
            </w:r>
            <w:r>
              <w:t>)/increase</w:t>
            </w:r>
            <w:r w:rsidR="002321BF" w:rsidRPr="00C83BC7">
              <w:t xml:space="preserve"> in </w:t>
            </w:r>
            <w:r w:rsidR="002321BF">
              <w:t>provisions</w:t>
            </w:r>
          </w:p>
        </w:tc>
        <w:tc>
          <w:tcPr>
            <w:tcW w:w="1276" w:type="dxa"/>
          </w:tcPr>
          <w:p w:rsidR="002321BF" w:rsidRDefault="00801F39" w:rsidP="002321BF">
            <w:pPr>
              <w:pStyle w:val="NoSpacing"/>
              <w:jc w:val="right"/>
            </w:pPr>
            <w:r>
              <w:t>1,424</w:t>
            </w:r>
          </w:p>
        </w:tc>
        <w:tc>
          <w:tcPr>
            <w:tcW w:w="1276" w:type="dxa"/>
          </w:tcPr>
          <w:p w:rsidR="002321BF" w:rsidRDefault="00801F39" w:rsidP="002321BF">
            <w:pPr>
              <w:pStyle w:val="NoSpacing"/>
              <w:jc w:val="right"/>
            </w:pPr>
            <w:r>
              <w:t>1,692</w:t>
            </w:r>
          </w:p>
        </w:tc>
        <w:tc>
          <w:tcPr>
            <w:tcW w:w="1275" w:type="dxa"/>
          </w:tcPr>
          <w:p w:rsidR="002321BF" w:rsidRDefault="00801F39" w:rsidP="002321BF">
            <w:pPr>
              <w:pStyle w:val="NoSpacing"/>
              <w:jc w:val="right"/>
            </w:pPr>
            <w:r>
              <w:t>1,450</w:t>
            </w:r>
          </w:p>
        </w:tc>
        <w:tc>
          <w:tcPr>
            <w:tcW w:w="1276" w:type="dxa"/>
          </w:tcPr>
          <w:p w:rsidR="002321BF" w:rsidRDefault="00801F39" w:rsidP="002321BF">
            <w:pPr>
              <w:pStyle w:val="NoSpacing"/>
              <w:jc w:val="right"/>
            </w:pPr>
            <w:r>
              <w:t>1,619</w:t>
            </w:r>
          </w:p>
        </w:tc>
      </w:tr>
      <w:tr w:rsidR="002321BF" w:rsidTr="00831DE5">
        <w:tc>
          <w:tcPr>
            <w:tcW w:w="5529" w:type="dxa"/>
          </w:tcPr>
          <w:p w:rsidR="002321BF" w:rsidRDefault="00801F39" w:rsidP="002321BF">
            <w:r>
              <w:t>(Decrease)/increase</w:t>
            </w:r>
            <w:r w:rsidR="002321BF" w:rsidRPr="00C83BC7">
              <w:t xml:space="preserve"> in </w:t>
            </w:r>
            <w:r w:rsidR="002321BF">
              <w:t>other liabilities</w:t>
            </w:r>
          </w:p>
        </w:tc>
        <w:tc>
          <w:tcPr>
            <w:tcW w:w="1276" w:type="dxa"/>
          </w:tcPr>
          <w:p w:rsidR="002321BF" w:rsidRDefault="00801F39" w:rsidP="002321BF">
            <w:pPr>
              <w:pStyle w:val="NoSpacing"/>
              <w:jc w:val="right"/>
            </w:pPr>
            <w:r>
              <w:t>8,784</w:t>
            </w:r>
          </w:p>
        </w:tc>
        <w:tc>
          <w:tcPr>
            <w:tcW w:w="1276" w:type="dxa"/>
          </w:tcPr>
          <w:p w:rsidR="002321BF" w:rsidRDefault="00801F39" w:rsidP="002321BF">
            <w:pPr>
              <w:pStyle w:val="NoSpacing"/>
              <w:jc w:val="right"/>
            </w:pPr>
            <w:r>
              <w:t>5,956</w:t>
            </w:r>
          </w:p>
        </w:tc>
        <w:tc>
          <w:tcPr>
            <w:tcW w:w="1275" w:type="dxa"/>
          </w:tcPr>
          <w:p w:rsidR="002321BF" w:rsidRDefault="00801F39" w:rsidP="002321BF">
            <w:pPr>
              <w:pStyle w:val="NoSpacing"/>
              <w:jc w:val="right"/>
            </w:pPr>
            <w:r>
              <w:t>8,767</w:t>
            </w:r>
          </w:p>
        </w:tc>
        <w:tc>
          <w:tcPr>
            <w:tcW w:w="1276" w:type="dxa"/>
          </w:tcPr>
          <w:p w:rsidR="002321BF" w:rsidRDefault="00801F39" w:rsidP="002321BF">
            <w:pPr>
              <w:pStyle w:val="NoSpacing"/>
              <w:jc w:val="right"/>
            </w:pPr>
            <w:r>
              <w:t>5,957</w:t>
            </w:r>
          </w:p>
        </w:tc>
      </w:tr>
      <w:tr w:rsidR="002321BF" w:rsidTr="00831DE5">
        <w:tc>
          <w:tcPr>
            <w:tcW w:w="5529" w:type="dxa"/>
          </w:tcPr>
          <w:p w:rsidR="002321BF" w:rsidRDefault="002321BF" w:rsidP="002321BF">
            <w:r>
              <w:t>Net cash flows from/(used in) operating activities</w:t>
            </w:r>
          </w:p>
        </w:tc>
        <w:tc>
          <w:tcPr>
            <w:tcW w:w="1276" w:type="dxa"/>
          </w:tcPr>
          <w:p w:rsidR="002321BF" w:rsidRDefault="00801F39" w:rsidP="002321BF">
            <w:pPr>
              <w:pStyle w:val="NoSpacing"/>
              <w:jc w:val="right"/>
            </w:pPr>
            <w:r>
              <w:t>23,081</w:t>
            </w:r>
          </w:p>
        </w:tc>
        <w:tc>
          <w:tcPr>
            <w:tcW w:w="1276" w:type="dxa"/>
          </w:tcPr>
          <w:p w:rsidR="002321BF" w:rsidRDefault="00801F39" w:rsidP="002321BF">
            <w:pPr>
              <w:pStyle w:val="NoSpacing"/>
              <w:jc w:val="right"/>
            </w:pPr>
            <w:r>
              <w:t>39,826</w:t>
            </w:r>
          </w:p>
        </w:tc>
        <w:tc>
          <w:tcPr>
            <w:tcW w:w="1275" w:type="dxa"/>
          </w:tcPr>
          <w:p w:rsidR="002321BF" w:rsidRDefault="00801F39" w:rsidP="002321BF">
            <w:pPr>
              <w:pStyle w:val="NoSpacing"/>
              <w:jc w:val="right"/>
            </w:pPr>
            <w:r>
              <w:t>23,577</w:t>
            </w:r>
          </w:p>
        </w:tc>
        <w:tc>
          <w:tcPr>
            <w:tcW w:w="1276" w:type="dxa"/>
          </w:tcPr>
          <w:p w:rsidR="002321BF" w:rsidRDefault="00801F39" w:rsidP="002321BF">
            <w:pPr>
              <w:pStyle w:val="NoSpacing"/>
              <w:jc w:val="right"/>
            </w:pPr>
            <w:r>
              <w:t>39,228</w:t>
            </w:r>
          </w:p>
        </w:tc>
      </w:tr>
    </w:tbl>
    <w:p w:rsidR="00831DE5" w:rsidRDefault="00831DE5" w:rsidP="00F02D69">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831DE5" w:rsidTr="00831DE5">
        <w:tc>
          <w:tcPr>
            <w:tcW w:w="5529" w:type="dxa"/>
          </w:tcPr>
          <w:p w:rsidR="00831DE5" w:rsidRDefault="002321BF" w:rsidP="00831DE5">
            <w:pPr>
              <w:pStyle w:val="NoSpacing"/>
            </w:pPr>
            <w:r>
              <w:t>Per cash flow statement</w:t>
            </w:r>
          </w:p>
        </w:tc>
        <w:tc>
          <w:tcPr>
            <w:tcW w:w="1276" w:type="dxa"/>
          </w:tcPr>
          <w:p w:rsidR="00831DE5" w:rsidRDefault="00801F39" w:rsidP="00831DE5">
            <w:pPr>
              <w:pStyle w:val="NoSpacing"/>
              <w:jc w:val="right"/>
            </w:pPr>
            <w:r>
              <w:t>23,081</w:t>
            </w:r>
          </w:p>
        </w:tc>
        <w:tc>
          <w:tcPr>
            <w:tcW w:w="1276" w:type="dxa"/>
          </w:tcPr>
          <w:p w:rsidR="00831DE5" w:rsidRDefault="00801F39" w:rsidP="00831DE5">
            <w:pPr>
              <w:pStyle w:val="NoSpacing"/>
              <w:jc w:val="right"/>
            </w:pPr>
            <w:r>
              <w:t>39,826</w:t>
            </w:r>
          </w:p>
        </w:tc>
        <w:tc>
          <w:tcPr>
            <w:tcW w:w="1275" w:type="dxa"/>
          </w:tcPr>
          <w:p w:rsidR="00831DE5" w:rsidRDefault="00801F39" w:rsidP="00831DE5">
            <w:pPr>
              <w:pStyle w:val="NoSpacing"/>
              <w:jc w:val="right"/>
            </w:pPr>
            <w:r>
              <w:t>23,577</w:t>
            </w:r>
          </w:p>
        </w:tc>
        <w:tc>
          <w:tcPr>
            <w:tcW w:w="1276" w:type="dxa"/>
          </w:tcPr>
          <w:p w:rsidR="00831DE5" w:rsidRDefault="00801F39" w:rsidP="00831DE5">
            <w:pPr>
              <w:pStyle w:val="NoSpacing"/>
              <w:jc w:val="right"/>
            </w:pPr>
            <w:r>
              <w:t>39,228</w:t>
            </w:r>
          </w:p>
        </w:tc>
      </w:tr>
    </w:tbl>
    <w:p w:rsidR="00831DE5" w:rsidRDefault="00831DE5" w:rsidP="00F02D69">
      <w:pPr>
        <w:pStyle w:val="NoSpacing"/>
      </w:pPr>
    </w:p>
    <w:p w:rsidR="002321BF" w:rsidRDefault="00A8377B" w:rsidP="00F02D69">
      <w:pPr>
        <w:pStyle w:val="NoSpacing"/>
      </w:pPr>
      <w:r>
        <w:t>Cash flows are included in the cash flow statement on a gross basis. The GST component of cash flows arising from investing and financing activities which is recoverable from, or payable to, the taxation authority are presented as operating cash flows.</w:t>
      </w:r>
    </w:p>
    <w:p w:rsidR="00801F39" w:rsidRDefault="00801F39" w:rsidP="00F02D69">
      <w:pPr>
        <w:pStyle w:val="NoSpacing"/>
      </w:pPr>
    </w:p>
    <w:p w:rsidR="00801F39" w:rsidRDefault="001B06EE" w:rsidP="001B06EE">
      <w:pPr>
        <w:pStyle w:val="Heading3"/>
      </w:pPr>
      <w:r>
        <w:t>6.2 Borrowings</w:t>
      </w:r>
    </w:p>
    <w:p w:rsidR="001B06EE" w:rsidRDefault="001B06EE" w:rsidP="001B06EE">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1B06EE" w:rsidTr="001B06EE">
        <w:trPr>
          <w:gridBefore w:val="1"/>
          <w:wBefore w:w="5529" w:type="dxa"/>
        </w:trPr>
        <w:tc>
          <w:tcPr>
            <w:tcW w:w="2552" w:type="dxa"/>
            <w:gridSpan w:val="2"/>
          </w:tcPr>
          <w:p w:rsidR="001B06EE" w:rsidRDefault="001B06EE" w:rsidP="001B06EE">
            <w:pPr>
              <w:pStyle w:val="NoSpacing"/>
              <w:jc w:val="right"/>
            </w:pPr>
            <w:r>
              <w:t>Consolidated</w:t>
            </w:r>
          </w:p>
        </w:tc>
        <w:tc>
          <w:tcPr>
            <w:tcW w:w="2551" w:type="dxa"/>
            <w:gridSpan w:val="2"/>
          </w:tcPr>
          <w:p w:rsidR="001B06EE" w:rsidRDefault="001B06EE" w:rsidP="001B06EE">
            <w:pPr>
              <w:pStyle w:val="NoSpacing"/>
              <w:jc w:val="right"/>
            </w:pPr>
            <w:r>
              <w:t>Chisholm</w:t>
            </w:r>
          </w:p>
        </w:tc>
      </w:tr>
      <w:tr w:rsidR="001B06EE" w:rsidTr="001B06EE">
        <w:trPr>
          <w:gridBefore w:val="1"/>
          <w:wBefore w:w="5529" w:type="dxa"/>
        </w:trPr>
        <w:tc>
          <w:tcPr>
            <w:tcW w:w="1276" w:type="dxa"/>
          </w:tcPr>
          <w:p w:rsidR="001B06EE" w:rsidRDefault="001B06EE" w:rsidP="001B06EE">
            <w:pPr>
              <w:pStyle w:val="NoSpacing"/>
              <w:jc w:val="right"/>
            </w:pPr>
            <w:r>
              <w:t>2019</w:t>
            </w:r>
          </w:p>
        </w:tc>
        <w:tc>
          <w:tcPr>
            <w:tcW w:w="1276" w:type="dxa"/>
          </w:tcPr>
          <w:p w:rsidR="001B06EE" w:rsidRDefault="001B06EE" w:rsidP="001B06EE">
            <w:pPr>
              <w:pStyle w:val="NoSpacing"/>
              <w:jc w:val="right"/>
            </w:pPr>
            <w:r>
              <w:t>2018</w:t>
            </w:r>
          </w:p>
        </w:tc>
        <w:tc>
          <w:tcPr>
            <w:tcW w:w="1275" w:type="dxa"/>
          </w:tcPr>
          <w:p w:rsidR="001B06EE" w:rsidRDefault="001B06EE" w:rsidP="001B06EE">
            <w:pPr>
              <w:pStyle w:val="NoSpacing"/>
              <w:jc w:val="right"/>
            </w:pPr>
            <w:r>
              <w:t>2019</w:t>
            </w:r>
          </w:p>
        </w:tc>
        <w:tc>
          <w:tcPr>
            <w:tcW w:w="1276" w:type="dxa"/>
          </w:tcPr>
          <w:p w:rsidR="001B06EE" w:rsidRDefault="001B06EE" w:rsidP="001B06EE">
            <w:pPr>
              <w:pStyle w:val="NoSpacing"/>
              <w:jc w:val="right"/>
            </w:pPr>
            <w:r>
              <w:t>2018</w:t>
            </w:r>
          </w:p>
        </w:tc>
      </w:tr>
      <w:tr w:rsidR="001B06EE" w:rsidTr="001B06EE">
        <w:trPr>
          <w:gridBefore w:val="1"/>
          <w:wBefore w:w="5529" w:type="dxa"/>
        </w:trPr>
        <w:tc>
          <w:tcPr>
            <w:tcW w:w="1276" w:type="dxa"/>
          </w:tcPr>
          <w:p w:rsidR="001B06EE" w:rsidRDefault="001B06EE" w:rsidP="001B06EE">
            <w:pPr>
              <w:pStyle w:val="NoSpacing"/>
              <w:jc w:val="right"/>
            </w:pPr>
            <w:r>
              <w:t>$’000</w:t>
            </w:r>
          </w:p>
        </w:tc>
        <w:tc>
          <w:tcPr>
            <w:tcW w:w="1276" w:type="dxa"/>
          </w:tcPr>
          <w:p w:rsidR="001B06EE" w:rsidRDefault="001B06EE" w:rsidP="001B06EE">
            <w:pPr>
              <w:jc w:val="right"/>
            </w:pPr>
            <w:r w:rsidRPr="00105D59">
              <w:t>$’000</w:t>
            </w:r>
          </w:p>
        </w:tc>
        <w:tc>
          <w:tcPr>
            <w:tcW w:w="1275" w:type="dxa"/>
          </w:tcPr>
          <w:p w:rsidR="001B06EE" w:rsidRDefault="001B06EE" w:rsidP="001B06EE">
            <w:pPr>
              <w:jc w:val="right"/>
            </w:pPr>
            <w:r w:rsidRPr="00105D59">
              <w:t>$’000</w:t>
            </w:r>
          </w:p>
        </w:tc>
        <w:tc>
          <w:tcPr>
            <w:tcW w:w="1276" w:type="dxa"/>
          </w:tcPr>
          <w:p w:rsidR="001B06EE" w:rsidRDefault="001B06EE" w:rsidP="001B06EE">
            <w:pPr>
              <w:jc w:val="right"/>
            </w:pPr>
            <w:r w:rsidRPr="00105D59">
              <w:t>$’000</w:t>
            </w:r>
          </w:p>
        </w:tc>
      </w:tr>
      <w:tr w:rsidR="001B06EE" w:rsidTr="001B06EE">
        <w:tc>
          <w:tcPr>
            <w:tcW w:w="10632" w:type="dxa"/>
            <w:gridSpan w:val="5"/>
          </w:tcPr>
          <w:p w:rsidR="001B06EE" w:rsidRDefault="001B06EE" w:rsidP="001B06EE">
            <w:pPr>
              <w:pStyle w:val="NoSpacing"/>
            </w:pPr>
            <w:r>
              <w:t>Current</w:t>
            </w:r>
          </w:p>
        </w:tc>
      </w:tr>
      <w:tr w:rsidR="001B06EE" w:rsidTr="001B06EE">
        <w:tc>
          <w:tcPr>
            <w:tcW w:w="5529" w:type="dxa"/>
          </w:tcPr>
          <w:p w:rsidR="001B06EE" w:rsidRDefault="001B06EE" w:rsidP="001B06EE">
            <w:pPr>
              <w:pStyle w:val="NoSpacing"/>
            </w:pPr>
            <w:r>
              <w:t>Advances from Government</w:t>
            </w:r>
          </w:p>
        </w:tc>
        <w:tc>
          <w:tcPr>
            <w:tcW w:w="1276" w:type="dxa"/>
          </w:tcPr>
          <w:p w:rsidR="001B06EE" w:rsidRDefault="001B06EE" w:rsidP="001B06EE">
            <w:pPr>
              <w:pStyle w:val="NoSpacing"/>
              <w:jc w:val="right"/>
            </w:pPr>
            <w:r>
              <w:t>352</w:t>
            </w:r>
          </w:p>
        </w:tc>
        <w:tc>
          <w:tcPr>
            <w:tcW w:w="1276" w:type="dxa"/>
          </w:tcPr>
          <w:p w:rsidR="001B06EE" w:rsidRDefault="001B06EE" w:rsidP="001B06EE">
            <w:pPr>
              <w:pStyle w:val="NoSpacing"/>
              <w:jc w:val="right"/>
            </w:pPr>
            <w:r>
              <w:t>351</w:t>
            </w:r>
          </w:p>
        </w:tc>
        <w:tc>
          <w:tcPr>
            <w:tcW w:w="1275" w:type="dxa"/>
          </w:tcPr>
          <w:p w:rsidR="001B06EE" w:rsidRDefault="001B06EE" w:rsidP="001B06EE">
            <w:pPr>
              <w:pStyle w:val="NoSpacing"/>
              <w:jc w:val="right"/>
            </w:pPr>
            <w:r>
              <w:t>352</w:t>
            </w:r>
          </w:p>
        </w:tc>
        <w:tc>
          <w:tcPr>
            <w:tcW w:w="1276" w:type="dxa"/>
          </w:tcPr>
          <w:p w:rsidR="001B06EE" w:rsidRDefault="001B06EE" w:rsidP="001B06EE">
            <w:pPr>
              <w:pStyle w:val="NoSpacing"/>
              <w:jc w:val="right"/>
            </w:pPr>
            <w:r>
              <w:t>351</w:t>
            </w:r>
          </w:p>
        </w:tc>
      </w:tr>
    </w:tbl>
    <w:p w:rsidR="001B06EE" w:rsidRDefault="001B06EE" w:rsidP="001B06EE">
      <w:pPr>
        <w:pStyle w:val="NoSpacing"/>
      </w:pPr>
    </w:p>
    <w:p w:rsidR="002321BF" w:rsidRDefault="002321BF" w:rsidP="00F02D69">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2321BF" w:rsidTr="00730D00">
        <w:trPr>
          <w:gridBefore w:val="1"/>
          <w:wBefore w:w="5529" w:type="dxa"/>
        </w:trPr>
        <w:tc>
          <w:tcPr>
            <w:tcW w:w="2552" w:type="dxa"/>
            <w:gridSpan w:val="2"/>
          </w:tcPr>
          <w:p w:rsidR="002321BF" w:rsidRDefault="002321BF" w:rsidP="00730D00">
            <w:pPr>
              <w:pStyle w:val="NoSpacing"/>
              <w:jc w:val="right"/>
            </w:pPr>
            <w:r>
              <w:t>Consolidated</w:t>
            </w:r>
          </w:p>
        </w:tc>
        <w:tc>
          <w:tcPr>
            <w:tcW w:w="2551" w:type="dxa"/>
            <w:gridSpan w:val="2"/>
          </w:tcPr>
          <w:p w:rsidR="002321BF" w:rsidRDefault="002321BF" w:rsidP="00730D00">
            <w:pPr>
              <w:pStyle w:val="NoSpacing"/>
              <w:jc w:val="right"/>
            </w:pPr>
            <w:r>
              <w:t>Chisholm</w:t>
            </w:r>
          </w:p>
        </w:tc>
      </w:tr>
      <w:tr w:rsidR="002321BF" w:rsidTr="00730D00">
        <w:trPr>
          <w:gridBefore w:val="1"/>
          <w:wBefore w:w="5529" w:type="dxa"/>
        </w:trPr>
        <w:tc>
          <w:tcPr>
            <w:tcW w:w="1276" w:type="dxa"/>
          </w:tcPr>
          <w:p w:rsidR="002321BF" w:rsidRDefault="002321BF" w:rsidP="00730D00">
            <w:pPr>
              <w:pStyle w:val="NoSpacing"/>
              <w:jc w:val="right"/>
            </w:pPr>
            <w:r>
              <w:t>2019</w:t>
            </w:r>
          </w:p>
        </w:tc>
        <w:tc>
          <w:tcPr>
            <w:tcW w:w="1276" w:type="dxa"/>
          </w:tcPr>
          <w:p w:rsidR="002321BF" w:rsidRDefault="002321BF" w:rsidP="00730D00">
            <w:pPr>
              <w:pStyle w:val="NoSpacing"/>
              <w:jc w:val="right"/>
            </w:pPr>
            <w:r>
              <w:t>2018</w:t>
            </w:r>
          </w:p>
        </w:tc>
        <w:tc>
          <w:tcPr>
            <w:tcW w:w="1275" w:type="dxa"/>
          </w:tcPr>
          <w:p w:rsidR="002321BF" w:rsidRDefault="002321BF" w:rsidP="00730D00">
            <w:pPr>
              <w:pStyle w:val="NoSpacing"/>
              <w:jc w:val="right"/>
            </w:pPr>
            <w:r>
              <w:t>2019</w:t>
            </w:r>
          </w:p>
        </w:tc>
        <w:tc>
          <w:tcPr>
            <w:tcW w:w="1276" w:type="dxa"/>
          </w:tcPr>
          <w:p w:rsidR="002321BF" w:rsidRDefault="002321BF" w:rsidP="00730D00">
            <w:pPr>
              <w:pStyle w:val="NoSpacing"/>
              <w:jc w:val="right"/>
            </w:pPr>
            <w:r>
              <w:t>2018</w:t>
            </w:r>
          </w:p>
        </w:tc>
      </w:tr>
      <w:tr w:rsidR="002321BF" w:rsidTr="00730D00">
        <w:trPr>
          <w:gridBefore w:val="1"/>
          <w:wBefore w:w="5529" w:type="dxa"/>
        </w:trPr>
        <w:tc>
          <w:tcPr>
            <w:tcW w:w="1276" w:type="dxa"/>
          </w:tcPr>
          <w:p w:rsidR="002321BF" w:rsidRDefault="002321BF" w:rsidP="00730D00">
            <w:pPr>
              <w:pStyle w:val="NoSpacing"/>
              <w:jc w:val="right"/>
            </w:pPr>
            <w:r>
              <w:t>$’000</w:t>
            </w:r>
          </w:p>
        </w:tc>
        <w:tc>
          <w:tcPr>
            <w:tcW w:w="1276" w:type="dxa"/>
          </w:tcPr>
          <w:p w:rsidR="002321BF" w:rsidRDefault="002321BF" w:rsidP="00730D00">
            <w:pPr>
              <w:jc w:val="right"/>
            </w:pPr>
            <w:r w:rsidRPr="00105D59">
              <w:t>$’000</w:t>
            </w:r>
          </w:p>
        </w:tc>
        <w:tc>
          <w:tcPr>
            <w:tcW w:w="1275" w:type="dxa"/>
          </w:tcPr>
          <w:p w:rsidR="002321BF" w:rsidRDefault="002321BF" w:rsidP="00730D00">
            <w:pPr>
              <w:jc w:val="right"/>
            </w:pPr>
            <w:r w:rsidRPr="00105D59">
              <w:t>$’000</w:t>
            </w:r>
          </w:p>
        </w:tc>
        <w:tc>
          <w:tcPr>
            <w:tcW w:w="1276" w:type="dxa"/>
          </w:tcPr>
          <w:p w:rsidR="002321BF" w:rsidRDefault="002321BF" w:rsidP="00730D00">
            <w:pPr>
              <w:jc w:val="right"/>
            </w:pPr>
            <w:r w:rsidRPr="00105D59">
              <w:t>$’000</w:t>
            </w:r>
          </w:p>
        </w:tc>
      </w:tr>
      <w:tr w:rsidR="002321BF" w:rsidTr="00730D00">
        <w:tc>
          <w:tcPr>
            <w:tcW w:w="10632" w:type="dxa"/>
            <w:gridSpan w:val="5"/>
          </w:tcPr>
          <w:p w:rsidR="002321BF" w:rsidRDefault="001B06EE" w:rsidP="002321BF">
            <w:pPr>
              <w:pStyle w:val="NoSpacing"/>
            </w:pPr>
            <w:r>
              <w:t xml:space="preserve">Non-current </w:t>
            </w:r>
          </w:p>
        </w:tc>
      </w:tr>
      <w:tr w:rsidR="002321BF" w:rsidTr="00730D00">
        <w:tc>
          <w:tcPr>
            <w:tcW w:w="5529" w:type="dxa"/>
          </w:tcPr>
          <w:p w:rsidR="002321BF" w:rsidRDefault="001B06EE" w:rsidP="00730D00">
            <w:pPr>
              <w:pStyle w:val="NoSpacing"/>
            </w:pPr>
            <w:r>
              <w:t>Advances from Government</w:t>
            </w:r>
          </w:p>
        </w:tc>
        <w:tc>
          <w:tcPr>
            <w:tcW w:w="1276" w:type="dxa"/>
          </w:tcPr>
          <w:p w:rsidR="002321BF" w:rsidRDefault="001B06EE" w:rsidP="00730D00">
            <w:pPr>
              <w:pStyle w:val="NoSpacing"/>
              <w:jc w:val="right"/>
            </w:pPr>
            <w:r>
              <w:t>657</w:t>
            </w:r>
          </w:p>
        </w:tc>
        <w:tc>
          <w:tcPr>
            <w:tcW w:w="1276" w:type="dxa"/>
          </w:tcPr>
          <w:p w:rsidR="002321BF" w:rsidRDefault="001B06EE" w:rsidP="00730D00">
            <w:pPr>
              <w:pStyle w:val="NoSpacing"/>
              <w:jc w:val="right"/>
            </w:pPr>
            <w:r>
              <w:t>973</w:t>
            </w:r>
          </w:p>
        </w:tc>
        <w:tc>
          <w:tcPr>
            <w:tcW w:w="1275" w:type="dxa"/>
          </w:tcPr>
          <w:p w:rsidR="002321BF" w:rsidRDefault="001B06EE" w:rsidP="00730D00">
            <w:pPr>
              <w:pStyle w:val="NoSpacing"/>
              <w:jc w:val="right"/>
            </w:pPr>
            <w:r>
              <w:t>657</w:t>
            </w:r>
          </w:p>
        </w:tc>
        <w:tc>
          <w:tcPr>
            <w:tcW w:w="1276" w:type="dxa"/>
          </w:tcPr>
          <w:p w:rsidR="002321BF" w:rsidRDefault="001B06EE" w:rsidP="00730D00">
            <w:pPr>
              <w:pStyle w:val="NoSpacing"/>
              <w:jc w:val="right"/>
            </w:pPr>
            <w:r>
              <w:t>973</w:t>
            </w:r>
          </w:p>
        </w:tc>
      </w:tr>
      <w:tr w:rsidR="001B06EE" w:rsidTr="00730D00">
        <w:tc>
          <w:tcPr>
            <w:tcW w:w="5529" w:type="dxa"/>
          </w:tcPr>
          <w:p w:rsidR="001B06EE" w:rsidRDefault="001B06EE" w:rsidP="00730D00">
            <w:pPr>
              <w:pStyle w:val="NoSpacing"/>
            </w:pPr>
            <w:r>
              <w:t xml:space="preserve">Total borrowings </w:t>
            </w:r>
          </w:p>
        </w:tc>
        <w:tc>
          <w:tcPr>
            <w:tcW w:w="1276" w:type="dxa"/>
          </w:tcPr>
          <w:p w:rsidR="001B06EE" w:rsidRDefault="001B06EE" w:rsidP="00730D00">
            <w:pPr>
              <w:pStyle w:val="NoSpacing"/>
              <w:jc w:val="right"/>
            </w:pPr>
            <w:r>
              <w:t>1,009</w:t>
            </w:r>
          </w:p>
        </w:tc>
        <w:tc>
          <w:tcPr>
            <w:tcW w:w="1276" w:type="dxa"/>
          </w:tcPr>
          <w:p w:rsidR="001B06EE" w:rsidRDefault="001B06EE" w:rsidP="00730D00">
            <w:pPr>
              <w:pStyle w:val="NoSpacing"/>
              <w:jc w:val="right"/>
            </w:pPr>
            <w:r>
              <w:t>1,324</w:t>
            </w:r>
          </w:p>
        </w:tc>
        <w:tc>
          <w:tcPr>
            <w:tcW w:w="1275" w:type="dxa"/>
          </w:tcPr>
          <w:p w:rsidR="001B06EE" w:rsidRDefault="001B06EE" w:rsidP="00730D00">
            <w:pPr>
              <w:pStyle w:val="NoSpacing"/>
              <w:jc w:val="right"/>
            </w:pPr>
            <w:r>
              <w:t>1,009</w:t>
            </w:r>
          </w:p>
        </w:tc>
        <w:tc>
          <w:tcPr>
            <w:tcW w:w="1276" w:type="dxa"/>
          </w:tcPr>
          <w:p w:rsidR="001B06EE" w:rsidRDefault="001B06EE" w:rsidP="00730D00">
            <w:pPr>
              <w:pStyle w:val="NoSpacing"/>
              <w:jc w:val="right"/>
            </w:pPr>
            <w:r>
              <w:t>1,324</w:t>
            </w:r>
          </w:p>
        </w:tc>
      </w:tr>
    </w:tbl>
    <w:p w:rsidR="002321BF" w:rsidRDefault="002321BF" w:rsidP="00F02D69">
      <w:pPr>
        <w:pStyle w:val="NoSpacing"/>
      </w:pPr>
    </w:p>
    <w:p w:rsidR="002321BF" w:rsidRDefault="001B06EE" w:rsidP="00F02D69">
      <w:pPr>
        <w:pStyle w:val="NoSpacing"/>
      </w:pPr>
      <w:r>
        <w:t>Borrowings are initially measured at fair value, being the cost of the interest bearing liabilities, net of transaction costs.</w:t>
      </w:r>
    </w:p>
    <w:p w:rsidR="001B06EE" w:rsidRDefault="001B06EE" w:rsidP="00F02D69">
      <w:pPr>
        <w:pStyle w:val="NoSpacing"/>
      </w:pPr>
    </w:p>
    <w:p w:rsidR="001B06EE" w:rsidRDefault="001B06EE" w:rsidP="00F02D69">
      <w:pPr>
        <w:pStyle w:val="NoSpacing"/>
      </w:pPr>
      <w:r>
        <w:t>The measurement basis subsequent to initial recognition depends on whether the Institute has categorised its interest-bearing liabilities as either financial liabilities designated at fair value through the profit and loss, or financial liabilities at amortised cost.</w:t>
      </w:r>
    </w:p>
    <w:p w:rsidR="001B06EE" w:rsidRDefault="001B06EE" w:rsidP="00F02D69">
      <w:pPr>
        <w:pStyle w:val="NoSpacing"/>
      </w:pPr>
    </w:p>
    <w:p w:rsidR="001B06EE" w:rsidRDefault="001B06EE" w:rsidP="00F02D69">
      <w:pPr>
        <w:pStyle w:val="NoSpacing"/>
      </w:pPr>
      <w:r>
        <w:t>Any difference between the initial recognised amount and the redemption value is recognised in the net result over the period of the borrowing using the effective interest method.</w:t>
      </w:r>
    </w:p>
    <w:p w:rsidR="001B06EE" w:rsidRDefault="001B06EE" w:rsidP="00F02D69">
      <w:pPr>
        <w:pStyle w:val="NoSpacing"/>
      </w:pPr>
    </w:p>
    <w:p w:rsidR="001B06EE" w:rsidRDefault="001B06EE" w:rsidP="00F02D69">
      <w:pPr>
        <w:pStyle w:val="NoSpacing"/>
      </w:pPr>
      <w:r>
        <w:t>The classification depends on the nature and purpose of the interest bearing liabilities. The Institute determines the classification of its interest bearing liabilities at initial recognition.</w:t>
      </w:r>
    </w:p>
    <w:p w:rsidR="001B06EE" w:rsidRDefault="001B06EE" w:rsidP="00F02D69">
      <w:pPr>
        <w:pStyle w:val="NoSpacing"/>
      </w:pPr>
    </w:p>
    <w:p w:rsidR="001B06EE" w:rsidRDefault="001B06EE" w:rsidP="00F02D69">
      <w:pPr>
        <w:pStyle w:val="NoSpacing"/>
      </w:pPr>
      <w:r>
        <w:t>&lt;page 78&gt;</w:t>
      </w:r>
    </w:p>
    <w:p w:rsidR="001B06EE" w:rsidRDefault="001B06EE" w:rsidP="00F02D69">
      <w:pPr>
        <w:pStyle w:val="NoSpacing"/>
      </w:pPr>
    </w:p>
    <w:p w:rsidR="001B06EE" w:rsidRDefault="001B06EE" w:rsidP="001B06EE">
      <w:pPr>
        <w:pStyle w:val="Heading2"/>
      </w:pPr>
      <w:r>
        <w:t>6. How we financed our operations</w:t>
      </w:r>
    </w:p>
    <w:p w:rsidR="0028573F" w:rsidRDefault="0028573F" w:rsidP="0028573F">
      <w:pPr>
        <w:pStyle w:val="NoSpacing"/>
      </w:pPr>
    </w:p>
    <w:p w:rsidR="001B06EE" w:rsidRDefault="001B06EE" w:rsidP="001B06EE">
      <w:pPr>
        <w:pStyle w:val="Heading3"/>
      </w:pPr>
      <w:r>
        <w:t>6.2 Borrowings (continued)</w:t>
      </w:r>
    </w:p>
    <w:p w:rsidR="001B06EE" w:rsidRDefault="001B06EE" w:rsidP="00F02D69">
      <w:pPr>
        <w:pStyle w:val="NoSpacing"/>
      </w:pPr>
    </w:p>
    <w:p w:rsidR="001B06EE" w:rsidRDefault="001B06EE" w:rsidP="0028573F">
      <w:pPr>
        <w:pStyle w:val="Heading4"/>
      </w:pPr>
      <w:r>
        <w:t>Maturity analysis of borrowings</w:t>
      </w:r>
    </w:p>
    <w:p w:rsidR="001B06EE" w:rsidRDefault="001B06EE" w:rsidP="00F02D69">
      <w:pPr>
        <w:pStyle w:val="NoSpacing"/>
      </w:pPr>
    </w:p>
    <w:tbl>
      <w:tblPr>
        <w:tblStyle w:val="TableGrid"/>
        <w:tblW w:w="10632" w:type="dxa"/>
        <w:tblInd w:w="-856" w:type="dxa"/>
        <w:tblLook w:val="04A0" w:firstRow="1" w:lastRow="0" w:firstColumn="1" w:lastColumn="0" w:noHBand="0" w:noVBand="1"/>
      </w:tblPr>
      <w:tblGrid>
        <w:gridCol w:w="2836"/>
        <w:gridCol w:w="1276"/>
        <w:gridCol w:w="1559"/>
        <w:gridCol w:w="1134"/>
        <w:gridCol w:w="1276"/>
        <w:gridCol w:w="1275"/>
        <w:gridCol w:w="1276"/>
      </w:tblGrid>
      <w:tr w:rsidR="002321BF" w:rsidTr="00730D00">
        <w:trPr>
          <w:gridBefore w:val="1"/>
          <w:wBefore w:w="2836" w:type="dxa"/>
        </w:trPr>
        <w:tc>
          <w:tcPr>
            <w:tcW w:w="1276" w:type="dxa"/>
          </w:tcPr>
          <w:p w:rsidR="002321BF" w:rsidRDefault="002321BF" w:rsidP="00730D00">
            <w:pPr>
              <w:pStyle w:val="NoSpacing"/>
              <w:jc w:val="right"/>
            </w:pPr>
            <w:r>
              <w:t>Carrying amount</w:t>
            </w:r>
          </w:p>
        </w:tc>
        <w:tc>
          <w:tcPr>
            <w:tcW w:w="1559" w:type="dxa"/>
          </w:tcPr>
          <w:p w:rsidR="002321BF" w:rsidRDefault="002321BF" w:rsidP="00730D00">
            <w:pPr>
              <w:pStyle w:val="NoSpacing"/>
              <w:jc w:val="right"/>
            </w:pPr>
            <w:r>
              <w:t>Nominal amount</w:t>
            </w:r>
          </w:p>
        </w:tc>
        <w:tc>
          <w:tcPr>
            <w:tcW w:w="1134" w:type="dxa"/>
          </w:tcPr>
          <w:p w:rsidR="002321BF" w:rsidRDefault="002321BF" w:rsidP="00730D00">
            <w:pPr>
              <w:pStyle w:val="NoSpacing"/>
              <w:jc w:val="right"/>
            </w:pPr>
            <w:r>
              <w:t>Less than 1 month</w:t>
            </w:r>
          </w:p>
        </w:tc>
        <w:tc>
          <w:tcPr>
            <w:tcW w:w="1276" w:type="dxa"/>
          </w:tcPr>
          <w:p w:rsidR="002321BF" w:rsidRDefault="002321BF" w:rsidP="00730D00">
            <w:pPr>
              <w:pStyle w:val="NoSpacing"/>
              <w:jc w:val="right"/>
            </w:pPr>
            <w:r>
              <w:t>1-3 months</w:t>
            </w:r>
          </w:p>
        </w:tc>
        <w:tc>
          <w:tcPr>
            <w:tcW w:w="1275" w:type="dxa"/>
          </w:tcPr>
          <w:p w:rsidR="002321BF" w:rsidRDefault="002321BF" w:rsidP="00730D00">
            <w:pPr>
              <w:pStyle w:val="NoSpacing"/>
              <w:jc w:val="right"/>
            </w:pPr>
            <w:r>
              <w:t>3 months – 1 year</w:t>
            </w:r>
          </w:p>
        </w:tc>
        <w:tc>
          <w:tcPr>
            <w:tcW w:w="1276" w:type="dxa"/>
          </w:tcPr>
          <w:p w:rsidR="002321BF" w:rsidRDefault="002321BF" w:rsidP="00730D00">
            <w:pPr>
              <w:pStyle w:val="NoSpacing"/>
              <w:jc w:val="right"/>
            </w:pPr>
            <w:r>
              <w:t>1-5 years</w:t>
            </w:r>
          </w:p>
        </w:tc>
      </w:tr>
      <w:tr w:rsidR="002321BF" w:rsidTr="00730D00">
        <w:trPr>
          <w:gridBefore w:val="1"/>
          <w:wBefore w:w="2836" w:type="dxa"/>
        </w:trPr>
        <w:tc>
          <w:tcPr>
            <w:tcW w:w="1276" w:type="dxa"/>
          </w:tcPr>
          <w:p w:rsidR="002321BF" w:rsidRDefault="002321BF" w:rsidP="00730D00">
            <w:pPr>
              <w:pStyle w:val="NoSpacing"/>
              <w:jc w:val="right"/>
            </w:pPr>
            <w:r>
              <w:t>$’000</w:t>
            </w:r>
          </w:p>
        </w:tc>
        <w:tc>
          <w:tcPr>
            <w:tcW w:w="1559" w:type="dxa"/>
          </w:tcPr>
          <w:p w:rsidR="002321BF" w:rsidRDefault="002321BF" w:rsidP="00730D00">
            <w:pPr>
              <w:jc w:val="right"/>
            </w:pPr>
            <w:r w:rsidRPr="00A96DE0">
              <w:t>$’000</w:t>
            </w:r>
          </w:p>
        </w:tc>
        <w:tc>
          <w:tcPr>
            <w:tcW w:w="1134" w:type="dxa"/>
          </w:tcPr>
          <w:p w:rsidR="002321BF" w:rsidRDefault="002321BF" w:rsidP="00730D00">
            <w:pPr>
              <w:jc w:val="right"/>
            </w:pPr>
            <w:r w:rsidRPr="00A96DE0">
              <w:t>$’000</w:t>
            </w:r>
          </w:p>
        </w:tc>
        <w:tc>
          <w:tcPr>
            <w:tcW w:w="1276" w:type="dxa"/>
          </w:tcPr>
          <w:p w:rsidR="002321BF" w:rsidRDefault="002321BF" w:rsidP="00730D00">
            <w:pPr>
              <w:jc w:val="right"/>
            </w:pPr>
            <w:r w:rsidRPr="00A96DE0">
              <w:t>$’000</w:t>
            </w:r>
          </w:p>
        </w:tc>
        <w:tc>
          <w:tcPr>
            <w:tcW w:w="1275" w:type="dxa"/>
          </w:tcPr>
          <w:p w:rsidR="002321BF" w:rsidRDefault="002321BF" w:rsidP="00730D00">
            <w:pPr>
              <w:jc w:val="right"/>
            </w:pPr>
            <w:r w:rsidRPr="00A96DE0">
              <w:t>$’000</w:t>
            </w:r>
          </w:p>
        </w:tc>
        <w:tc>
          <w:tcPr>
            <w:tcW w:w="1276" w:type="dxa"/>
          </w:tcPr>
          <w:p w:rsidR="002321BF" w:rsidRDefault="002321BF" w:rsidP="00730D00">
            <w:pPr>
              <w:jc w:val="right"/>
            </w:pPr>
            <w:r w:rsidRPr="00A96DE0">
              <w:t>$’000</w:t>
            </w:r>
          </w:p>
        </w:tc>
      </w:tr>
      <w:tr w:rsidR="002321BF" w:rsidTr="00730D00">
        <w:tc>
          <w:tcPr>
            <w:tcW w:w="10632" w:type="dxa"/>
            <w:gridSpan w:val="7"/>
          </w:tcPr>
          <w:p w:rsidR="002321BF" w:rsidRDefault="002321BF" w:rsidP="00730D00">
            <w:pPr>
              <w:pStyle w:val="NoSpacing"/>
            </w:pPr>
            <w:r>
              <w:t>Consolidated 2019</w:t>
            </w:r>
          </w:p>
        </w:tc>
      </w:tr>
      <w:tr w:rsidR="002321BF" w:rsidTr="00730D00">
        <w:tc>
          <w:tcPr>
            <w:tcW w:w="2836" w:type="dxa"/>
          </w:tcPr>
          <w:p w:rsidR="002321BF" w:rsidRDefault="002321BF" w:rsidP="00730D00">
            <w:pPr>
              <w:pStyle w:val="NoSpacing"/>
            </w:pPr>
            <w:r>
              <w:t>Advances from Government</w:t>
            </w:r>
          </w:p>
        </w:tc>
        <w:tc>
          <w:tcPr>
            <w:tcW w:w="1276" w:type="dxa"/>
          </w:tcPr>
          <w:p w:rsidR="002321BF" w:rsidRDefault="001B06EE" w:rsidP="001B06EE">
            <w:pPr>
              <w:pStyle w:val="NoSpacing"/>
              <w:jc w:val="right"/>
            </w:pPr>
            <w:r>
              <w:t>1,009</w:t>
            </w:r>
          </w:p>
        </w:tc>
        <w:tc>
          <w:tcPr>
            <w:tcW w:w="1559" w:type="dxa"/>
          </w:tcPr>
          <w:p w:rsidR="002321BF" w:rsidRDefault="001B06EE" w:rsidP="001B06EE">
            <w:pPr>
              <w:pStyle w:val="NoSpacing"/>
              <w:jc w:val="right"/>
            </w:pPr>
            <w:r>
              <w:t>1,009</w:t>
            </w:r>
          </w:p>
        </w:tc>
        <w:tc>
          <w:tcPr>
            <w:tcW w:w="1134" w:type="dxa"/>
          </w:tcPr>
          <w:p w:rsidR="002321BF" w:rsidRDefault="001B06EE" w:rsidP="001B06EE">
            <w:pPr>
              <w:pStyle w:val="NoSpacing"/>
              <w:jc w:val="right"/>
            </w:pPr>
            <w:r>
              <w:t>-</w:t>
            </w:r>
          </w:p>
        </w:tc>
        <w:tc>
          <w:tcPr>
            <w:tcW w:w="1276" w:type="dxa"/>
          </w:tcPr>
          <w:p w:rsidR="002321BF" w:rsidRDefault="001B06EE" w:rsidP="001B06EE">
            <w:pPr>
              <w:pStyle w:val="NoSpacing"/>
              <w:jc w:val="right"/>
            </w:pPr>
            <w:r>
              <w:t>-</w:t>
            </w:r>
          </w:p>
        </w:tc>
        <w:tc>
          <w:tcPr>
            <w:tcW w:w="1275" w:type="dxa"/>
          </w:tcPr>
          <w:p w:rsidR="002321BF" w:rsidRDefault="001B06EE" w:rsidP="001B06EE">
            <w:pPr>
              <w:pStyle w:val="NoSpacing"/>
              <w:jc w:val="right"/>
            </w:pPr>
            <w:r>
              <w:t>352</w:t>
            </w:r>
          </w:p>
        </w:tc>
        <w:tc>
          <w:tcPr>
            <w:tcW w:w="1276" w:type="dxa"/>
          </w:tcPr>
          <w:p w:rsidR="002321BF" w:rsidRDefault="001B06EE" w:rsidP="001B06EE">
            <w:pPr>
              <w:pStyle w:val="NoSpacing"/>
              <w:jc w:val="right"/>
            </w:pPr>
            <w:r>
              <w:t>657</w:t>
            </w:r>
          </w:p>
        </w:tc>
      </w:tr>
      <w:tr w:rsidR="002321BF" w:rsidTr="00730D00">
        <w:tc>
          <w:tcPr>
            <w:tcW w:w="2836" w:type="dxa"/>
          </w:tcPr>
          <w:p w:rsidR="002321BF" w:rsidRDefault="002321BF" w:rsidP="00730D00">
            <w:pPr>
              <w:pStyle w:val="NoSpacing"/>
            </w:pPr>
            <w:r>
              <w:lastRenderedPageBreak/>
              <w:t>Total</w:t>
            </w:r>
          </w:p>
        </w:tc>
        <w:tc>
          <w:tcPr>
            <w:tcW w:w="1276" w:type="dxa"/>
          </w:tcPr>
          <w:p w:rsidR="002321BF" w:rsidRDefault="001B06EE" w:rsidP="001B06EE">
            <w:pPr>
              <w:pStyle w:val="NoSpacing"/>
              <w:jc w:val="right"/>
            </w:pPr>
            <w:r>
              <w:t>1,009</w:t>
            </w:r>
          </w:p>
        </w:tc>
        <w:tc>
          <w:tcPr>
            <w:tcW w:w="1559" w:type="dxa"/>
          </w:tcPr>
          <w:p w:rsidR="002321BF" w:rsidRDefault="001B06EE" w:rsidP="001B06EE">
            <w:pPr>
              <w:pStyle w:val="NoSpacing"/>
              <w:jc w:val="right"/>
            </w:pPr>
            <w:r>
              <w:t>1,009</w:t>
            </w:r>
          </w:p>
        </w:tc>
        <w:tc>
          <w:tcPr>
            <w:tcW w:w="1134" w:type="dxa"/>
          </w:tcPr>
          <w:p w:rsidR="002321BF" w:rsidRDefault="001B06EE" w:rsidP="001B06EE">
            <w:pPr>
              <w:pStyle w:val="NoSpacing"/>
              <w:jc w:val="right"/>
            </w:pPr>
            <w:r>
              <w:t>-</w:t>
            </w:r>
          </w:p>
        </w:tc>
        <w:tc>
          <w:tcPr>
            <w:tcW w:w="1276" w:type="dxa"/>
          </w:tcPr>
          <w:p w:rsidR="002321BF" w:rsidRDefault="001B06EE" w:rsidP="001B06EE">
            <w:pPr>
              <w:pStyle w:val="NoSpacing"/>
              <w:jc w:val="right"/>
            </w:pPr>
            <w:r>
              <w:t>-</w:t>
            </w:r>
          </w:p>
        </w:tc>
        <w:tc>
          <w:tcPr>
            <w:tcW w:w="1275" w:type="dxa"/>
          </w:tcPr>
          <w:p w:rsidR="002321BF" w:rsidRDefault="001B06EE" w:rsidP="001B06EE">
            <w:pPr>
              <w:pStyle w:val="NoSpacing"/>
              <w:jc w:val="right"/>
            </w:pPr>
            <w:r>
              <w:t>352</w:t>
            </w:r>
          </w:p>
        </w:tc>
        <w:tc>
          <w:tcPr>
            <w:tcW w:w="1276" w:type="dxa"/>
          </w:tcPr>
          <w:p w:rsidR="002321BF" w:rsidRDefault="001B06EE" w:rsidP="001B06EE">
            <w:pPr>
              <w:pStyle w:val="NoSpacing"/>
              <w:jc w:val="right"/>
            </w:pPr>
            <w:r>
              <w:t>657</w:t>
            </w:r>
          </w:p>
        </w:tc>
      </w:tr>
    </w:tbl>
    <w:p w:rsidR="002321BF" w:rsidRDefault="002321BF" w:rsidP="002321BF">
      <w:pPr>
        <w:pStyle w:val="NoSpacing"/>
      </w:pPr>
    </w:p>
    <w:tbl>
      <w:tblPr>
        <w:tblStyle w:val="TableGrid"/>
        <w:tblW w:w="10632" w:type="dxa"/>
        <w:tblInd w:w="-856" w:type="dxa"/>
        <w:tblLook w:val="04A0" w:firstRow="1" w:lastRow="0" w:firstColumn="1" w:lastColumn="0" w:noHBand="0" w:noVBand="1"/>
      </w:tblPr>
      <w:tblGrid>
        <w:gridCol w:w="2836"/>
        <w:gridCol w:w="1276"/>
        <w:gridCol w:w="1417"/>
        <w:gridCol w:w="1276"/>
        <w:gridCol w:w="1276"/>
        <w:gridCol w:w="1275"/>
        <w:gridCol w:w="1276"/>
      </w:tblGrid>
      <w:tr w:rsidR="002321BF" w:rsidTr="00730D00">
        <w:tc>
          <w:tcPr>
            <w:tcW w:w="10632" w:type="dxa"/>
            <w:gridSpan w:val="7"/>
          </w:tcPr>
          <w:p w:rsidR="002321BF" w:rsidRDefault="002321BF" w:rsidP="00730D00">
            <w:pPr>
              <w:pStyle w:val="NoSpacing"/>
            </w:pPr>
            <w:r>
              <w:t>Consolidated 2018</w:t>
            </w:r>
          </w:p>
        </w:tc>
      </w:tr>
      <w:tr w:rsidR="002321BF" w:rsidTr="00730D00">
        <w:tc>
          <w:tcPr>
            <w:tcW w:w="2836" w:type="dxa"/>
          </w:tcPr>
          <w:p w:rsidR="002321BF" w:rsidRDefault="002321BF" w:rsidP="00730D00">
            <w:pPr>
              <w:pStyle w:val="NoSpacing"/>
            </w:pPr>
            <w:r>
              <w:t>Advances from Government</w:t>
            </w:r>
          </w:p>
        </w:tc>
        <w:tc>
          <w:tcPr>
            <w:tcW w:w="1276" w:type="dxa"/>
          </w:tcPr>
          <w:p w:rsidR="002321BF" w:rsidRDefault="001B06EE" w:rsidP="001B06EE">
            <w:pPr>
              <w:pStyle w:val="NoSpacing"/>
              <w:jc w:val="right"/>
            </w:pPr>
            <w:r>
              <w:t>1,324</w:t>
            </w:r>
          </w:p>
        </w:tc>
        <w:tc>
          <w:tcPr>
            <w:tcW w:w="1417" w:type="dxa"/>
          </w:tcPr>
          <w:p w:rsidR="002321BF" w:rsidRDefault="001B06EE" w:rsidP="001B06EE">
            <w:pPr>
              <w:pStyle w:val="NoSpacing"/>
              <w:jc w:val="right"/>
            </w:pPr>
            <w:r>
              <w:t>1,324</w:t>
            </w:r>
          </w:p>
        </w:tc>
        <w:tc>
          <w:tcPr>
            <w:tcW w:w="1276" w:type="dxa"/>
          </w:tcPr>
          <w:p w:rsidR="002321BF" w:rsidRDefault="001B06EE" w:rsidP="001B06EE">
            <w:pPr>
              <w:pStyle w:val="NoSpacing"/>
              <w:jc w:val="right"/>
            </w:pPr>
            <w:r>
              <w:t>-</w:t>
            </w:r>
          </w:p>
        </w:tc>
        <w:tc>
          <w:tcPr>
            <w:tcW w:w="1276" w:type="dxa"/>
          </w:tcPr>
          <w:p w:rsidR="002321BF" w:rsidRDefault="001B06EE" w:rsidP="001B06EE">
            <w:pPr>
              <w:pStyle w:val="NoSpacing"/>
              <w:jc w:val="right"/>
            </w:pPr>
            <w:r>
              <w:t>-</w:t>
            </w:r>
          </w:p>
        </w:tc>
        <w:tc>
          <w:tcPr>
            <w:tcW w:w="1275" w:type="dxa"/>
          </w:tcPr>
          <w:p w:rsidR="002321BF" w:rsidRDefault="001B06EE" w:rsidP="001B06EE">
            <w:pPr>
              <w:pStyle w:val="NoSpacing"/>
              <w:jc w:val="right"/>
            </w:pPr>
            <w:r>
              <w:t>351</w:t>
            </w:r>
          </w:p>
        </w:tc>
        <w:tc>
          <w:tcPr>
            <w:tcW w:w="1276" w:type="dxa"/>
          </w:tcPr>
          <w:p w:rsidR="002321BF" w:rsidRDefault="001B06EE" w:rsidP="001B06EE">
            <w:pPr>
              <w:pStyle w:val="NoSpacing"/>
              <w:jc w:val="right"/>
            </w:pPr>
            <w:r>
              <w:t>973</w:t>
            </w:r>
          </w:p>
        </w:tc>
      </w:tr>
      <w:tr w:rsidR="002321BF" w:rsidTr="00730D00">
        <w:tc>
          <w:tcPr>
            <w:tcW w:w="2836" w:type="dxa"/>
          </w:tcPr>
          <w:p w:rsidR="002321BF" w:rsidRDefault="002321BF" w:rsidP="00730D00">
            <w:pPr>
              <w:pStyle w:val="NoSpacing"/>
            </w:pPr>
            <w:r>
              <w:t>Total</w:t>
            </w:r>
          </w:p>
        </w:tc>
        <w:tc>
          <w:tcPr>
            <w:tcW w:w="1276" w:type="dxa"/>
          </w:tcPr>
          <w:p w:rsidR="002321BF" w:rsidRDefault="001B06EE" w:rsidP="001B06EE">
            <w:pPr>
              <w:pStyle w:val="NoSpacing"/>
              <w:jc w:val="right"/>
            </w:pPr>
            <w:r>
              <w:t>1,324</w:t>
            </w:r>
          </w:p>
        </w:tc>
        <w:tc>
          <w:tcPr>
            <w:tcW w:w="1417" w:type="dxa"/>
          </w:tcPr>
          <w:p w:rsidR="002321BF" w:rsidRDefault="001B06EE" w:rsidP="001B06EE">
            <w:pPr>
              <w:pStyle w:val="NoSpacing"/>
              <w:jc w:val="right"/>
            </w:pPr>
            <w:r>
              <w:t>1,324</w:t>
            </w:r>
          </w:p>
        </w:tc>
        <w:tc>
          <w:tcPr>
            <w:tcW w:w="1276" w:type="dxa"/>
          </w:tcPr>
          <w:p w:rsidR="002321BF" w:rsidRDefault="001B06EE" w:rsidP="001B06EE">
            <w:pPr>
              <w:pStyle w:val="NoSpacing"/>
              <w:jc w:val="right"/>
            </w:pPr>
            <w:r>
              <w:t>-</w:t>
            </w:r>
          </w:p>
        </w:tc>
        <w:tc>
          <w:tcPr>
            <w:tcW w:w="1276" w:type="dxa"/>
          </w:tcPr>
          <w:p w:rsidR="002321BF" w:rsidRDefault="001B06EE" w:rsidP="001B06EE">
            <w:pPr>
              <w:pStyle w:val="NoSpacing"/>
              <w:jc w:val="right"/>
            </w:pPr>
            <w:r>
              <w:t>-</w:t>
            </w:r>
          </w:p>
        </w:tc>
        <w:tc>
          <w:tcPr>
            <w:tcW w:w="1275" w:type="dxa"/>
          </w:tcPr>
          <w:p w:rsidR="002321BF" w:rsidRDefault="001B06EE" w:rsidP="001B06EE">
            <w:pPr>
              <w:pStyle w:val="NoSpacing"/>
              <w:jc w:val="right"/>
            </w:pPr>
            <w:r>
              <w:t>351</w:t>
            </w:r>
          </w:p>
        </w:tc>
        <w:tc>
          <w:tcPr>
            <w:tcW w:w="1276" w:type="dxa"/>
          </w:tcPr>
          <w:p w:rsidR="002321BF" w:rsidRDefault="001B06EE" w:rsidP="001B06EE">
            <w:pPr>
              <w:pStyle w:val="NoSpacing"/>
              <w:jc w:val="right"/>
            </w:pPr>
            <w:r>
              <w:t>973</w:t>
            </w:r>
          </w:p>
        </w:tc>
      </w:tr>
    </w:tbl>
    <w:p w:rsidR="002321BF" w:rsidRDefault="002321BF" w:rsidP="002321BF">
      <w:pPr>
        <w:pStyle w:val="NoSpacing"/>
      </w:pPr>
    </w:p>
    <w:tbl>
      <w:tblPr>
        <w:tblStyle w:val="TableGrid"/>
        <w:tblW w:w="10632" w:type="dxa"/>
        <w:tblInd w:w="-856" w:type="dxa"/>
        <w:tblLook w:val="04A0" w:firstRow="1" w:lastRow="0" w:firstColumn="1" w:lastColumn="0" w:noHBand="0" w:noVBand="1"/>
      </w:tblPr>
      <w:tblGrid>
        <w:gridCol w:w="2836"/>
        <w:gridCol w:w="1276"/>
        <w:gridCol w:w="1417"/>
        <w:gridCol w:w="1276"/>
        <w:gridCol w:w="1276"/>
        <w:gridCol w:w="1275"/>
        <w:gridCol w:w="1276"/>
      </w:tblGrid>
      <w:tr w:rsidR="002321BF" w:rsidTr="00730D00">
        <w:tc>
          <w:tcPr>
            <w:tcW w:w="10632" w:type="dxa"/>
            <w:gridSpan w:val="7"/>
          </w:tcPr>
          <w:p w:rsidR="002321BF" w:rsidRDefault="002321BF" w:rsidP="00730D00">
            <w:pPr>
              <w:pStyle w:val="NoSpacing"/>
            </w:pPr>
            <w:r>
              <w:t>Chisholm 2019</w:t>
            </w:r>
          </w:p>
        </w:tc>
      </w:tr>
      <w:tr w:rsidR="002321BF" w:rsidTr="00730D00">
        <w:tc>
          <w:tcPr>
            <w:tcW w:w="2836" w:type="dxa"/>
          </w:tcPr>
          <w:p w:rsidR="002321BF" w:rsidRDefault="002321BF" w:rsidP="00730D00">
            <w:pPr>
              <w:pStyle w:val="NoSpacing"/>
            </w:pPr>
            <w:r>
              <w:t>Advances from Government</w:t>
            </w:r>
          </w:p>
        </w:tc>
        <w:tc>
          <w:tcPr>
            <w:tcW w:w="1276" w:type="dxa"/>
          </w:tcPr>
          <w:p w:rsidR="002321BF" w:rsidRDefault="001B06EE" w:rsidP="001B06EE">
            <w:pPr>
              <w:pStyle w:val="NoSpacing"/>
              <w:jc w:val="right"/>
            </w:pPr>
            <w:r>
              <w:t>1,009</w:t>
            </w:r>
          </w:p>
        </w:tc>
        <w:tc>
          <w:tcPr>
            <w:tcW w:w="1417" w:type="dxa"/>
          </w:tcPr>
          <w:p w:rsidR="002321BF" w:rsidRDefault="001B06EE" w:rsidP="001B06EE">
            <w:pPr>
              <w:pStyle w:val="NoSpacing"/>
              <w:jc w:val="right"/>
            </w:pPr>
            <w:r>
              <w:t>1,009</w:t>
            </w:r>
          </w:p>
        </w:tc>
        <w:tc>
          <w:tcPr>
            <w:tcW w:w="1276" w:type="dxa"/>
          </w:tcPr>
          <w:p w:rsidR="002321BF" w:rsidRDefault="001B06EE" w:rsidP="001B06EE">
            <w:pPr>
              <w:pStyle w:val="NoSpacing"/>
              <w:jc w:val="right"/>
            </w:pPr>
            <w:r>
              <w:t>-</w:t>
            </w:r>
          </w:p>
        </w:tc>
        <w:tc>
          <w:tcPr>
            <w:tcW w:w="1276" w:type="dxa"/>
          </w:tcPr>
          <w:p w:rsidR="002321BF" w:rsidRDefault="001B06EE" w:rsidP="001B06EE">
            <w:pPr>
              <w:pStyle w:val="NoSpacing"/>
              <w:jc w:val="right"/>
            </w:pPr>
            <w:r>
              <w:t>-</w:t>
            </w:r>
          </w:p>
        </w:tc>
        <w:tc>
          <w:tcPr>
            <w:tcW w:w="1275" w:type="dxa"/>
          </w:tcPr>
          <w:p w:rsidR="002321BF" w:rsidRDefault="001B06EE" w:rsidP="001B06EE">
            <w:pPr>
              <w:pStyle w:val="NoSpacing"/>
              <w:jc w:val="right"/>
            </w:pPr>
            <w:r>
              <w:t>352</w:t>
            </w:r>
          </w:p>
        </w:tc>
        <w:tc>
          <w:tcPr>
            <w:tcW w:w="1276" w:type="dxa"/>
          </w:tcPr>
          <w:p w:rsidR="002321BF" w:rsidRDefault="001B06EE" w:rsidP="001B06EE">
            <w:pPr>
              <w:pStyle w:val="NoSpacing"/>
              <w:jc w:val="right"/>
            </w:pPr>
            <w:r>
              <w:t>657</w:t>
            </w:r>
          </w:p>
        </w:tc>
      </w:tr>
      <w:tr w:rsidR="002321BF" w:rsidTr="00730D00">
        <w:tc>
          <w:tcPr>
            <w:tcW w:w="2836" w:type="dxa"/>
          </w:tcPr>
          <w:p w:rsidR="002321BF" w:rsidRDefault="002321BF" w:rsidP="00730D00">
            <w:pPr>
              <w:pStyle w:val="NoSpacing"/>
            </w:pPr>
            <w:r>
              <w:t>Total</w:t>
            </w:r>
          </w:p>
        </w:tc>
        <w:tc>
          <w:tcPr>
            <w:tcW w:w="1276" w:type="dxa"/>
          </w:tcPr>
          <w:p w:rsidR="002321BF" w:rsidRDefault="001B06EE" w:rsidP="001B06EE">
            <w:pPr>
              <w:pStyle w:val="NoSpacing"/>
              <w:jc w:val="right"/>
            </w:pPr>
            <w:r>
              <w:t>1,009</w:t>
            </w:r>
          </w:p>
        </w:tc>
        <w:tc>
          <w:tcPr>
            <w:tcW w:w="1417" w:type="dxa"/>
          </w:tcPr>
          <w:p w:rsidR="002321BF" w:rsidRDefault="001B06EE" w:rsidP="001B06EE">
            <w:pPr>
              <w:pStyle w:val="NoSpacing"/>
              <w:jc w:val="right"/>
            </w:pPr>
            <w:r>
              <w:t>1,009</w:t>
            </w:r>
          </w:p>
        </w:tc>
        <w:tc>
          <w:tcPr>
            <w:tcW w:w="1276" w:type="dxa"/>
          </w:tcPr>
          <w:p w:rsidR="002321BF" w:rsidRDefault="001B06EE" w:rsidP="001B06EE">
            <w:pPr>
              <w:pStyle w:val="NoSpacing"/>
              <w:jc w:val="right"/>
            </w:pPr>
            <w:r>
              <w:t>-</w:t>
            </w:r>
          </w:p>
        </w:tc>
        <w:tc>
          <w:tcPr>
            <w:tcW w:w="1276" w:type="dxa"/>
          </w:tcPr>
          <w:p w:rsidR="002321BF" w:rsidRDefault="001B06EE" w:rsidP="001B06EE">
            <w:pPr>
              <w:pStyle w:val="NoSpacing"/>
              <w:jc w:val="right"/>
            </w:pPr>
            <w:r>
              <w:t>-</w:t>
            </w:r>
          </w:p>
        </w:tc>
        <w:tc>
          <w:tcPr>
            <w:tcW w:w="1275" w:type="dxa"/>
          </w:tcPr>
          <w:p w:rsidR="002321BF" w:rsidRDefault="001B06EE" w:rsidP="001B06EE">
            <w:pPr>
              <w:pStyle w:val="NoSpacing"/>
              <w:jc w:val="right"/>
            </w:pPr>
            <w:r>
              <w:t>352</w:t>
            </w:r>
          </w:p>
        </w:tc>
        <w:tc>
          <w:tcPr>
            <w:tcW w:w="1276" w:type="dxa"/>
          </w:tcPr>
          <w:p w:rsidR="002321BF" w:rsidRDefault="001B06EE" w:rsidP="001B06EE">
            <w:pPr>
              <w:pStyle w:val="NoSpacing"/>
              <w:jc w:val="right"/>
            </w:pPr>
            <w:r>
              <w:t>657</w:t>
            </w:r>
          </w:p>
        </w:tc>
      </w:tr>
    </w:tbl>
    <w:p w:rsidR="002321BF" w:rsidRDefault="002321BF" w:rsidP="002321BF">
      <w:pPr>
        <w:pStyle w:val="NoSpacing"/>
      </w:pPr>
    </w:p>
    <w:tbl>
      <w:tblPr>
        <w:tblStyle w:val="TableGrid"/>
        <w:tblW w:w="10632" w:type="dxa"/>
        <w:tblInd w:w="-856" w:type="dxa"/>
        <w:tblLook w:val="04A0" w:firstRow="1" w:lastRow="0" w:firstColumn="1" w:lastColumn="0" w:noHBand="0" w:noVBand="1"/>
      </w:tblPr>
      <w:tblGrid>
        <w:gridCol w:w="2836"/>
        <w:gridCol w:w="1276"/>
        <w:gridCol w:w="1417"/>
        <w:gridCol w:w="1276"/>
        <w:gridCol w:w="1276"/>
        <w:gridCol w:w="1275"/>
        <w:gridCol w:w="1276"/>
      </w:tblGrid>
      <w:tr w:rsidR="002321BF" w:rsidTr="00730D00">
        <w:tc>
          <w:tcPr>
            <w:tcW w:w="10632" w:type="dxa"/>
            <w:gridSpan w:val="7"/>
          </w:tcPr>
          <w:p w:rsidR="002321BF" w:rsidRDefault="002321BF" w:rsidP="00730D00">
            <w:pPr>
              <w:pStyle w:val="NoSpacing"/>
            </w:pPr>
            <w:r>
              <w:t>Chisholm 2018</w:t>
            </w:r>
          </w:p>
        </w:tc>
      </w:tr>
      <w:tr w:rsidR="002321BF" w:rsidTr="00730D00">
        <w:tc>
          <w:tcPr>
            <w:tcW w:w="2836" w:type="dxa"/>
          </w:tcPr>
          <w:p w:rsidR="002321BF" w:rsidRDefault="002321BF" w:rsidP="00730D00">
            <w:pPr>
              <w:pStyle w:val="NoSpacing"/>
            </w:pPr>
            <w:r>
              <w:t>Advances from Government</w:t>
            </w:r>
          </w:p>
        </w:tc>
        <w:tc>
          <w:tcPr>
            <w:tcW w:w="1276" w:type="dxa"/>
          </w:tcPr>
          <w:p w:rsidR="002321BF" w:rsidRDefault="001B06EE" w:rsidP="001B06EE">
            <w:pPr>
              <w:pStyle w:val="NoSpacing"/>
              <w:jc w:val="right"/>
            </w:pPr>
            <w:r>
              <w:t>1,324</w:t>
            </w:r>
          </w:p>
        </w:tc>
        <w:tc>
          <w:tcPr>
            <w:tcW w:w="1417" w:type="dxa"/>
          </w:tcPr>
          <w:p w:rsidR="002321BF" w:rsidRDefault="001B06EE" w:rsidP="001B06EE">
            <w:pPr>
              <w:pStyle w:val="NoSpacing"/>
              <w:jc w:val="right"/>
            </w:pPr>
            <w:r>
              <w:t>1,327</w:t>
            </w:r>
          </w:p>
        </w:tc>
        <w:tc>
          <w:tcPr>
            <w:tcW w:w="1276" w:type="dxa"/>
          </w:tcPr>
          <w:p w:rsidR="002321BF" w:rsidRDefault="001B06EE" w:rsidP="001B06EE">
            <w:pPr>
              <w:pStyle w:val="NoSpacing"/>
              <w:jc w:val="right"/>
            </w:pPr>
            <w:r>
              <w:t>-</w:t>
            </w:r>
          </w:p>
        </w:tc>
        <w:tc>
          <w:tcPr>
            <w:tcW w:w="1276" w:type="dxa"/>
          </w:tcPr>
          <w:p w:rsidR="002321BF" w:rsidRDefault="001B06EE" w:rsidP="001B06EE">
            <w:pPr>
              <w:pStyle w:val="NoSpacing"/>
              <w:jc w:val="right"/>
            </w:pPr>
            <w:r>
              <w:t>-</w:t>
            </w:r>
          </w:p>
        </w:tc>
        <w:tc>
          <w:tcPr>
            <w:tcW w:w="1275" w:type="dxa"/>
          </w:tcPr>
          <w:p w:rsidR="002321BF" w:rsidRDefault="001B06EE" w:rsidP="001B06EE">
            <w:pPr>
              <w:pStyle w:val="NoSpacing"/>
              <w:jc w:val="right"/>
            </w:pPr>
            <w:r>
              <w:t>351</w:t>
            </w:r>
          </w:p>
        </w:tc>
        <w:tc>
          <w:tcPr>
            <w:tcW w:w="1276" w:type="dxa"/>
          </w:tcPr>
          <w:p w:rsidR="002321BF" w:rsidRDefault="001B06EE" w:rsidP="001B06EE">
            <w:pPr>
              <w:pStyle w:val="NoSpacing"/>
              <w:jc w:val="right"/>
            </w:pPr>
            <w:r>
              <w:t>973</w:t>
            </w:r>
          </w:p>
        </w:tc>
      </w:tr>
      <w:tr w:rsidR="002321BF" w:rsidTr="00730D00">
        <w:tc>
          <w:tcPr>
            <w:tcW w:w="2836" w:type="dxa"/>
          </w:tcPr>
          <w:p w:rsidR="002321BF" w:rsidRDefault="002321BF" w:rsidP="00730D00">
            <w:pPr>
              <w:pStyle w:val="NoSpacing"/>
            </w:pPr>
            <w:r>
              <w:t>Total</w:t>
            </w:r>
          </w:p>
        </w:tc>
        <w:tc>
          <w:tcPr>
            <w:tcW w:w="1276" w:type="dxa"/>
          </w:tcPr>
          <w:p w:rsidR="002321BF" w:rsidRDefault="001B06EE" w:rsidP="001B06EE">
            <w:pPr>
              <w:pStyle w:val="NoSpacing"/>
              <w:jc w:val="right"/>
            </w:pPr>
            <w:r>
              <w:t>1,324</w:t>
            </w:r>
          </w:p>
        </w:tc>
        <w:tc>
          <w:tcPr>
            <w:tcW w:w="1417" w:type="dxa"/>
          </w:tcPr>
          <w:p w:rsidR="002321BF" w:rsidRDefault="001B06EE" w:rsidP="001B06EE">
            <w:pPr>
              <w:pStyle w:val="NoSpacing"/>
              <w:jc w:val="right"/>
            </w:pPr>
            <w:r>
              <w:t>1,327</w:t>
            </w:r>
          </w:p>
        </w:tc>
        <w:tc>
          <w:tcPr>
            <w:tcW w:w="1276" w:type="dxa"/>
          </w:tcPr>
          <w:p w:rsidR="002321BF" w:rsidRDefault="001B06EE" w:rsidP="001B06EE">
            <w:pPr>
              <w:pStyle w:val="NoSpacing"/>
              <w:jc w:val="right"/>
            </w:pPr>
            <w:r>
              <w:t>-</w:t>
            </w:r>
          </w:p>
        </w:tc>
        <w:tc>
          <w:tcPr>
            <w:tcW w:w="1276" w:type="dxa"/>
          </w:tcPr>
          <w:p w:rsidR="002321BF" w:rsidRDefault="001B06EE" w:rsidP="001B06EE">
            <w:pPr>
              <w:pStyle w:val="NoSpacing"/>
              <w:jc w:val="right"/>
            </w:pPr>
            <w:r>
              <w:t>-</w:t>
            </w:r>
          </w:p>
        </w:tc>
        <w:tc>
          <w:tcPr>
            <w:tcW w:w="1275" w:type="dxa"/>
          </w:tcPr>
          <w:p w:rsidR="002321BF" w:rsidRDefault="001B06EE" w:rsidP="001B06EE">
            <w:pPr>
              <w:pStyle w:val="NoSpacing"/>
              <w:jc w:val="right"/>
            </w:pPr>
            <w:r>
              <w:t>351</w:t>
            </w:r>
          </w:p>
        </w:tc>
        <w:tc>
          <w:tcPr>
            <w:tcW w:w="1276" w:type="dxa"/>
          </w:tcPr>
          <w:p w:rsidR="002321BF" w:rsidRDefault="001B06EE" w:rsidP="001B06EE">
            <w:pPr>
              <w:pStyle w:val="NoSpacing"/>
              <w:jc w:val="right"/>
            </w:pPr>
            <w:r>
              <w:t>973</w:t>
            </w:r>
          </w:p>
        </w:tc>
      </w:tr>
    </w:tbl>
    <w:p w:rsidR="002321BF" w:rsidRDefault="002321BF" w:rsidP="00F02D69">
      <w:pPr>
        <w:pStyle w:val="NoSpacing"/>
      </w:pPr>
    </w:p>
    <w:p w:rsidR="001B06EE" w:rsidRDefault="00BA6CA5" w:rsidP="00F02D69">
      <w:pPr>
        <w:pStyle w:val="NoSpacing"/>
      </w:pPr>
      <w:r>
        <w:t>The fair values are not materially different to their carrying amounts, since the interest payable on those borrowings is either close to current market rates of the borrowings are of a short-term nature.</w:t>
      </w:r>
    </w:p>
    <w:p w:rsidR="00BA6CA5" w:rsidRDefault="00BA6CA5" w:rsidP="00F02D69">
      <w:pPr>
        <w:pStyle w:val="NoSpacing"/>
      </w:pPr>
    </w:p>
    <w:p w:rsidR="00BA6CA5" w:rsidRDefault="00BA6CA5" w:rsidP="00F02D69">
      <w:pPr>
        <w:pStyle w:val="NoSpacing"/>
      </w:pPr>
      <w:r>
        <w:t>The fair values of non-current borrowings are based on discounted cash flows using a current borrowing rate. They are classified as Level 3 fair values in the fair value hierarchy (see Note 7.3) due to the use of unobservable inputs, including own credit risk.</w:t>
      </w:r>
    </w:p>
    <w:p w:rsidR="001B06EE" w:rsidRDefault="001B06EE" w:rsidP="00F02D69">
      <w:pPr>
        <w:pStyle w:val="NoSpacing"/>
      </w:pPr>
    </w:p>
    <w:p w:rsidR="002321BF" w:rsidRDefault="002321BF" w:rsidP="00BA6CA5">
      <w:pPr>
        <w:pStyle w:val="Heading3"/>
      </w:pPr>
      <w:r>
        <w:t>6.3 Contributed capital</w:t>
      </w:r>
    </w:p>
    <w:p w:rsidR="002321BF" w:rsidRDefault="002321BF" w:rsidP="00F02D69">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4427B2" w:rsidTr="00730D00">
        <w:trPr>
          <w:gridBefore w:val="1"/>
          <w:wBefore w:w="5529" w:type="dxa"/>
        </w:trPr>
        <w:tc>
          <w:tcPr>
            <w:tcW w:w="2552" w:type="dxa"/>
            <w:gridSpan w:val="2"/>
          </w:tcPr>
          <w:p w:rsidR="004427B2" w:rsidRDefault="004427B2" w:rsidP="00730D00">
            <w:pPr>
              <w:pStyle w:val="NoSpacing"/>
              <w:jc w:val="right"/>
            </w:pPr>
            <w:r>
              <w:t>Consolidated</w:t>
            </w:r>
          </w:p>
        </w:tc>
        <w:tc>
          <w:tcPr>
            <w:tcW w:w="2551" w:type="dxa"/>
            <w:gridSpan w:val="2"/>
          </w:tcPr>
          <w:p w:rsidR="004427B2" w:rsidRDefault="004427B2" w:rsidP="00730D00">
            <w:pPr>
              <w:pStyle w:val="NoSpacing"/>
              <w:jc w:val="right"/>
            </w:pPr>
            <w:r>
              <w:t>Chisholm</w:t>
            </w:r>
          </w:p>
        </w:tc>
      </w:tr>
      <w:tr w:rsidR="004427B2" w:rsidTr="00730D00">
        <w:trPr>
          <w:gridBefore w:val="1"/>
          <w:wBefore w:w="5529" w:type="dxa"/>
        </w:trPr>
        <w:tc>
          <w:tcPr>
            <w:tcW w:w="1276" w:type="dxa"/>
          </w:tcPr>
          <w:p w:rsidR="004427B2" w:rsidRDefault="004427B2" w:rsidP="00730D00">
            <w:pPr>
              <w:pStyle w:val="NoSpacing"/>
              <w:jc w:val="right"/>
            </w:pPr>
            <w:r>
              <w:t>2019</w:t>
            </w:r>
          </w:p>
        </w:tc>
        <w:tc>
          <w:tcPr>
            <w:tcW w:w="1276" w:type="dxa"/>
          </w:tcPr>
          <w:p w:rsidR="004427B2" w:rsidRDefault="004427B2" w:rsidP="00730D00">
            <w:pPr>
              <w:pStyle w:val="NoSpacing"/>
              <w:jc w:val="right"/>
            </w:pPr>
            <w:r>
              <w:t>2018</w:t>
            </w:r>
          </w:p>
        </w:tc>
        <w:tc>
          <w:tcPr>
            <w:tcW w:w="1275" w:type="dxa"/>
          </w:tcPr>
          <w:p w:rsidR="004427B2" w:rsidRDefault="004427B2" w:rsidP="00730D00">
            <w:pPr>
              <w:pStyle w:val="NoSpacing"/>
              <w:jc w:val="right"/>
            </w:pPr>
            <w:r>
              <w:t>2019</w:t>
            </w:r>
          </w:p>
        </w:tc>
        <w:tc>
          <w:tcPr>
            <w:tcW w:w="1276" w:type="dxa"/>
          </w:tcPr>
          <w:p w:rsidR="004427B2" w:rsidRDefault="004427B2" w:rsidP="00730D00">
            <w:pPr>
              <w:pStyle w:val="NoSpacing"/>
              <w:jc w:val="right"/>
            </w:pPr>
            <w:r>
              <w:t>2018</w:t>
            </w:r>
          </w:p>
        </w:tc>
      </w:tr>
      <w:tr w:rsidR="004427B2" w:rsidTr="00730D00">
        <w:trPr>
          <w:gridBefore w:val="1"/>
          <w:wBefore w:w="5529" w:type="dxa"/>
        </w:trPr>
        <w:tc>
          <w:tcPr>
            <w:tcW w:w="1276" w:type="dxa"/>
          </w:tcPr>
          <w:p w:rsidR="004427B2" w:rsidRDefault="004427B2" w:rsidP="00730D00">
            <w:pPr>
              <w:pStyle w:val="NoSpacing"/>
              <w:jc w:val="right"/>
            </w:pPr>
            <w:r>
              <w:t>$’000</w:t>
            </w:r>
          </w:p>
        </w:tc>
        <w:tc>
          <w:tcPr>
            <w:tcW w:w="1276" w:type="dxa"/>
          </w:tcPr>
          <w:p w:rsidR="004427B2" w:rsidRDefault="004427B2" w:rsidP="00730D00">
            <w:pPr>
              <w:jc w:val="right"/>
            </w:pPr>
            <w:r w:rsidRPr="00105D59">
              <w:t>$’000</w:t>
            </w:r>
          </w:p>
        </w:tc>
        <w:tc>
          <w:tcPr>
            <w:tcW w:w="1275" w:type="dxa"/>
          </w:tcPr>
          <w:p w:rsidR="004427B2" w:rsidRDefault="004427B2" w:rsidP="00730D00">
            <w:pPr>
              <w:jc w:val="right"/>
            </w:pPr>
            <w:r w:rsidRPr="00105D59">
              <w:t>$’000</w:t>
            </w:r>
          </w:p>
        </w:tc>
        <w:tc>
          <w:tcPr>
            <w:tcW w:w="1276" w:type="dxa"/>
          </w:tcPr>
          <w:p w:rsidR="004427B2" w:rsidRDefault="004427B2" w:rsidP="00730D00">
            <w:pPr>
              <w:jc w:val="right"/>
            </w:pPr>
            <w:r w:rsidRPr="00105D59">
              <w:t>$’000</w:t>
            </w:r>
          </w:p>
        </w:tc>
      </w:tr>
      <w:tr w:rsidR="004427B2" w:rsidTr="00730D00">
        <w:tc>
          <w:tcPr>
            <w:tcW w:w="5529" w:type="dxa"/>
          </w:tcPr>
          <w:p w:rsidR="004427B2" w:rsidRDefault="004427B2" w:rsidP="00730D00">
            <w:pPr>
              <w:pStyle w:val="NoSpacing"/>
            </w:pPr>
            <w:r>
              <w:t xml:space="preserve">Balance at 1 January </w:t>
            </w:r>
          </w:p>
        </w:tc>
        <w:tc>
          <w:tcPr>
            <w:tcW w:w="1276" w:type="dxa"/>
          </w:tcPr>
          <w:p w:rsidR="004427B2" w:rsidRDefault="00BA6CA5" w:rsidP="00730D00">
            <w:pPr>
              <w:pStyle w:val="NoSpacing"/>
              <w:jc w:val="right"/>
            </w:pPr>
            <w:r>
              <w:t>85,387</w:t>
            </w:r>
          </w:p>
        </w:tc>
        <w:tc>
          <w:tcPr>
            <w:tcW w:w="1276" w:type="dxa"/>
          </w:tcPr>
          <w:p w:rsidR="004427B2" w:rsidRDefault="00BA6CA5" w:rsidP="00730D00">
            <w:pPr>
              <w:pStyle w:val="NoSpacing"/>
              <w:jc w:val="right"/>
            </w:pPr>
            <w:r>
              <w:t>85,387</w:t>
            </w:r>
          </w:p>
        </w:tc>
        <w:tc>
          <w:tcPr>
            <w:tcW w:w="1275" w:type="dxa"/>
          </w:tcPr>
          <w:p w:rsidR="004427B2" w:rsidRDefault="00BA6CA5" w:rsidP="00730D00">
            <w:pPr>
              <w:pStyle w:val="NoSpacing"/>
              <w:jc w:val="right"/>
            </w:pPr>
            <w:r>
              <w:t>85,387</w:t>
            </w:r>
          </w:p>
        </w:tc>
        <w:tc>
          <w:tcPr>
            <w:tcW w:w="1276" w:type="dxa"/>
          </w:tcPr>
          <w:p w:rsidR="004427B2" w:rsidRDefault="00BA6CA5" w:rsidP="00730D00">
            <w:pPr>
              <w:pStyle w:val="NoSpacing"/>
              <w:jc w:val="right"/>
            </w:pPr>
            <w:r>
              <w:t>85,387</w:t>
            </w:r>
          </w:p>
        </w:tc>
      </w:tr>
      <w:tr w:rsidR="004427B2" w:rsidTr="00730D00">
        <w:tc>
          <w:tcPr>
            <w:tcW w:w="5529" w:type="dxa"/>
          </w:tcPr>
          <w:p w:rsidR="004427B2" w:rsidRDefault="004427B2" w:rsidP="00730D00">
            <w:pPr>
              <w:pStyle w:val="NoSpacing"/>
            </w:pPr>
            <w:r>
              <w:t xml:space="preserve">Balance at 31 December </w:t>
            </w:r>
          </w:p>
        </w:tc>
        <w:tc>
          <w:tcPr>
            <w:tcW w:w="1276" w:type="dxa"/>
          </w:tcPr>
          <w:p w:rsidR="004427B2" w:rsidRDefault="00BA6CA5" w:rsidP="00730D00">
            <w:pPr>
              <w:pStyle w:val="NoSpacing"/>
              <w:jc w:val="right"/>
            </w:pPr>
            <w:r>
              <w:t>85,387</w:t>
            </w:r>
          </w:p>
        </w:tc>
        <w:tc>
          <w:tcPr>
            <w:tcW w:w="1276" w:type="dxa"/>
          </w:tcPr>
          <w:p w:rsidR="004427B2" w:rsidRDefault="00BA6CA5" w:rsidP="00730D00">
            <w:pPr>
              <w:pStyle w:val="NoSpacing"/>
              <w:jc w:val="right"/>
            </w:pPr>
            <w:r>
              <w:t>85,387</w:t>
            </w:r>
          </w:p>
        </w:tc>
        <w:tc>
          <w:tcPr>
            <w:tcW w:w="1275" w:type="dxa"/>
          </w:tcPr>
          <w:p w:rsidR="004427B2" w:rsidRDefault="00BA6CA5" w:rsidP="00730D00">
            <w:pPr>
              <w:pStyle w:val="NoSpacing"/>
              <w:jc w:val="right"/>
            </w:pPr>
            <w:r>
              <w:t>85,387</w:t>
            </w:r>
          </w:p>
        </w:tc>
        <w:tc>
          <w:tcPr>
            <w:tcW w:w="1276" w:type="dxa"/>
          </w:tcPr>
          <w:p w:rsidR="004427B2" w:rsidRDefault="00BA6CA5" w:rsidP="00730D00">
            <w:pPr>
              <w:pStyle w:val="NoSpacing"/>
              <w:jc w:val="right"/>
            </w:pPr>
            <w:r>
              <w:t>85,387</w:t>
            </w:r>
          </w:p>
        </w:tc>
      </w:tr>
    </w:tbl>
    <w:p w:rsidR="002321BF" w:rsidRDefault="002321BF" w:rsidP="00F02D69">
      <w:pPr>
        <w:pStyle w:val="NoSpacing"/>
      </w:pPr>
    </w:p>
    <w:p w:rsidR="00BA6CA5" w:rsidRDefault="00BA6CA5" w:rsidP="00F02D69">
      <w:pPr>
        <w:pStyle w:val="NoSpacing"/>
      </w:pPr>
      <w:r>
        <w:t>Funding that is in the nature of contributions by the Victorian State Government are trated as contributed capital when designated in accordance with UIG Interpretation 1038 Contribution by Owners Made to Wholly-Owned Public Sector Entities. Capital funds provided by the Commonwealth Government are treated as income.</w:t>
      </w:r>
    </w:p>
    <w:p w:rsidR="00BA6CA5" w:rsidRDefault="00BA6CA5" w:rsidP="00F02D69">
      <w:pPr>
        <w:pStyle w:val="NoSpacing"/>
      </w:pPr>
    </w:p>
    <w:p w:rsidR="00BA6CA5" w:rsidRDefault="00BA6CA5" w:rsidP="00F02D69">
      <w:pPr>
        <w:pStyle w:val="NoSpacing"/>
      </w:pPr>
      <w:r>
        <w:t>&lt;page 79&gt;</w:t>
      </w:r>
    </w:p>
    <w:p w:rsidR="00BA6CA5" w:rsidRDefault="00BA6CA5" w:rsidP="00F02D69">
      <w:pPr>
        <w:pStyle w:val="NoSpacing"/>
      </w:pPr>
    </w:p>
    <w:p w:rsidR="00847A96" w:rsidRDefault="00847A96" w:rsidP="00BA6CA5">
      <w:pPr>
        <w:pStyle w:val="Heading2"/>
      </w:pPr>
      <w:r>
        <w:t>7. Managing risks and uncertainties</w:t>
      </w:r>
    </w:p>
    <w:p w:rsidR="0028573F" w:rsidRDefault="0028573F" w:rsidP="0028573F">
      <w:pPr>
        <w:pStyle w:val="NoSpacing"/>
      </w:pPr>
    </w:p>
    <w:p w:rsidR="007D67F2" w:rsidRDefault="00847A96" w:rsidP="007D67F2">
      <w:pPr>
        <w:pStyle w:val="Heading3"/>
      </w:pPr>
      <w:r>
        <w:t xml:space="preserve">7.1 Financial Instruments </w:t>
      </w:r>
    </w:p>
    <w:p w:rsidR="0028573F" w:rsidRDefault="0028573F" w:rsidP="007D67F2">
      <w:pPr>
        <w:pStyle w:val="NoSpacing"/>
      </w:pPr>
    </w:p>
    <w:p w:rsidR="007D67F2" w:rsidRDefault="007D67F2" w:rsidP="007D67F2">
      <w:pPr>
        <w:pStyle w:val="NoSpacing"/>
      </w:pPr>
      <w:r>
        <w:t>Financial instruments arise out of contractual agreements that give rise to a financial asset of one entity and a financial liability or equity instrument of another entity.</w:t>
      </w:r>
    </w:p>
    <w:p w:rsidR="007D67F2" w:rsidRDefault="007D67F2" w:rsidP="007D67F2">
      <w:pPr>
        <w:pStyle w:val="NoSpacing"/>
      </w:pPr>
    </w:p>
    <w:p w:rsidR="00BA6CA5" w:rsidRPr="00BA6CA5" w:rsidRDefault="00BA6CA5" w:rsidP="007D67F2">
      <w:pPr>
        <w:pStyle w:val="Heading4"/>
      </w:pPr>
      <w:r>
        <w:t>Categories of financial instruments</w:t>
      </w: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847A96" w:rsidTr="00730D00">
        <w:trPr>
          <w:gridBefore w:val="1"/>
          <w:wBefore w:w="5529" w:type="dxa"/>
        </w:trPr>
        <w:tc>
          <w:tcPr>
            <w:tcW w:w="2552" w:type="dxa"/>
            <w:gridSpan w:val="2"/>
          </w:tcPr>
          <w:p w:rsidR="00847A96" w:rsidRDefault="00847A96" w:rsidP="00730D00">
            <w:pPr>
              <w:pStyle w:val="NoSpacing"/>
              <w:jc w:val="right"/>
            </w:pPr>
            <w:r>
              <w:t>Consolidated</w:t>
            </w:r>
          </w:p>
        </w:tc>
        <w:tc>
          <w:tcPr>
            <w:tcW w:w="2551" w:type="dxa"/>
            <w:gridSpan w:val="2"/>
          </w:tcPr>
          <w:p w:rsidR="00847A96" w:rsidRDefault="00847A96" w:rsidP="00730D00">
            <w:pPr>
              <w:pStyle w:val="NoSpacing"/>
              <w:jc w:val="right"/>
            </w:pPr>
            <w:r>
              <w:t>Chisholm</w:t>
            </w:r>
          </w:p>
        </w:tc>
      </w:tr>
      <w:tr w:rsidR="00847A96" w:rsidTr="00730D00">
        <w:trPr>
          <w:gridBefore w:val="1"/>
          <w:wBefore w:w="5529" w:type="dxa"/>
        </w:trPr>
        <w:tc>
          <w:tcPr>
            <w:tcW w:w="1276" w:type="dxa"/>
          </w:tcPr>
          <w:p w:rsidR="00847A96" w:rsidRDefault="00847A96" w:rsidP="00730D00">
            <w:pPr>
              <w:pStyle w:val="NoSpacing"/>
              <w:jc w:val="right"/>
            </w:pPr>
            <w:r>
              <w:t>2019</w:t>
            </w:r>
          </w:p>
        </w:tc>
        <w:tc>
          <w:tcPr>
            <w:tcW w:w="1276" w:type="dxa"/>
          </w:tcPr>
          <w:p w:rsidR="00847A96" w:rsidRDefault="00847A96" w:rsidP="00730D00">
            <w:pPr>
              <w:pStyle w:val="NoSpacing"/>
              <w:jc w:val="right"/>
            </w:pPr>
            <w:r>
              <w:t>2018</w:t>
            </w:r>
          </w:p>
        </w:tc>
        <w:tc>
          <w:tcPr>
            <w:tcW w:w="1275" w:type="dxa"/>
          </w:tcPr>
          <w:p w:rsidR="00847A96" w:rsidRDefault="00847A96" w:rsidP="00730D00">
            <w:pPr>
              <w:pStyle w:val="NoSpacing"/>
              <w:jc w:val="right"/>
            </w:pPr>
            <w:r>
              <w:t>2019</w:t>
            </w:r>
          </w:p>
        </w:tc>
        <w:tc>
          <w:tcPr>
            <w:tcW w:w="1276" w:type="dxa"/>
          </w:tcPr>
          <w:p w:rsidR="00847A96" w:rsidRDefault="00847A96" w:rsidP="00730D00">
            <w:pPr>
              <w:pStyle w:val="NoSpacing"/>
              <w:jc w:val="right"/>
            </w:pPr>
            <w:r>
              <w:t>2018</w:t>
            </w:r>
          </w:p>
        </w:tc>
      </w:tr>
      <w:tr w:rsidR="00847A96" w:rsidTr="00730D00">
        <w:trPr>
          <w:gridBefore w:val="1"/>
          <w:wBefore w:w="5529" w:type="dxa"/>
        </w:trPr>
        <w:tc>
          <w:tcPr>
            <w:tcW w:w="1276" w:type="dxa"/>
          </w:tcPr>
          <w:p w:rsidR="00847A96" w:rsidRDefault="00847A96" w:rsidP="00730D00">
            <w:pPr>
              <w:pStyle w:val="NoSpacing"/>
              <w:jc w:val="right"/>
            </w:pPr>
            <w:r>
              <w:t>$’000</w:t>
            </w:r>
          </w:p>
        </w:tc>
        <w:tc>
          <w:tcPr>
            <w:tcW w:w="1276" w:type="dxa"/>
          </w:tcPr>
          <w:p w:rsidR="00847A96" w:rsidRDefault="00847A96" w:rsidP="00730D00">
            <w:pPr>
              <w:jc w:val="right"/>
            </w:pPr>
            <w:r w:rsidRPr="00105D59">
              <w:t>$’000</w:t>
            </w:r>
          </w:p>
        </w:tc>
        <w:tc>
          <w:tcPr>
            <w:tcW w:w="1275" w:type="dxa"/>
          </w:tcPr>
          <w:p w:rsidR="00847A96" w:rsidRDefault="00847A96" w:rsidP="00730D00">
            <w:pPr>
              <w:jc w:val="right"/>
            </w:pPr>
            <w:r w:rsidRPr="00105D59">
              <w:t>$’000</w:t>
            </w:r>
          </w:p>
        </w:tc>
        <w:tc>
          <w:tcPr>
            <w:tcW w:w="1276" w:type="dxa"/>
          </w:tcPr>
          <w:p w:rsidR="00847A96" w:rsidRDefault="00847A96" w:rsidP="00730D00">
            <w:pPr>
              <w:jc w:val="right"/>
            </w:pPr>
            <w:r w:rsidRPr="00105D59">
              <w:t>$’000</w:t>
            </w:r>
          </w:p>
        </w:tc>
      </w:tr>
      <w:tr w:rsidR="00847A96" w:rsidTr="00730D00">
        <w:tc>
          <w:tcPr>
            <w:tcW w:w="10632" w:type="dxa"/>
            <w:gridSpan w:val="5"/>
          </w:tcPr>
          <w:p w:rsidR="00847A96" w:rsidRDefault="00847A96" w:rsidP="00730D00">
            <w:pPr>
              <w:pStyle w:val="NoSpacing"/>
            </w:pPr>
            <w:r>
              <w:t>Contractual financial assets</w:t>
            </w:r>
          </w:p>
        </w:tc>
      </w:tr>
    </w:tbl>
    <w:p w:rsidR="00847A96" w:rsidRDefault="00847A96" w:rsidP="00F02D69">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847A96" w:rsidTr="00730D00">
        <w:tc>
          <w:tcPr>
            <w:tcW w:w="10632" w:type="dxa"/>
            <w:gridSpan w:val="5"/>
          </w:tcPr>
          <w:p w:rsidR="00847A96" w:rsidRDefault="00847A96" w:rsidP="00730D00">
            <w:pPr>
              <w:pStyle w:val="NoSpacing"/>
            </w:pPr>
            <w:r>
              <w:t>Financial assets measured at amortised cost</w:t>
            </w:r>
          </w:p>
        </w:tc>
      </w:tr>
      <w:tr w:rsidR="00847A96" w:rsidTr="00730D00">
        <w:tc>
          <w:tcPr>
            <w:tcW w:w="5529" w:type="dxa"/>
          </w:tcPr>
          <w:p w:rsidR="00847A96" w:rsidRDefault="00847A96" w:rsidP="00730D00">
            <w:pPr>
              <w:pStyle w:val="NoSpacing"/>
            </w:pPr>
            <w:r>
              <w:t>Cash and deposits</w:t>
            </w:r>
          </w:p>
        </w:tc>
        <w:tc>
          <w:tcPr>
            <w:tcW w:w="1276" w:type="dxa"/>
          </w:tcPr>
          <w:p w:rsidR="00847A96" w:rsidRDefault="007D67F2" w:rsidP="00730D00">
            <w:pPr>
              <w:pStyle w:val="NoSpacing"/>
              <w:jc w:val="right"/>
            </w:pPr>
            <w:r>
              <w:t>54,908</w:t>
            </w:r>
          </w:p>
        </w:tc>
        <w:tc>
          <w:tcPr>
            <w:tcW w:w="1276" w:type="dxa"/>
          </w:tcPr>
          <w:p w:rsidR="00847A96" w:rsidRDefault="007D67F2" w:rsidP="00730D00">
            <w:pPr>
              <w:pStyle w:val="NoSpacing"/>
              <w:jc w:val="right"/>
            </w:pPr>
            <w:r>
              <w:t>36,338</w:t>
            </w:r>
          </w:p>
        </w:tc>
        <w:tc>
          <w:tcPr>
            <w:tcW w:w="1275" w:type="dxa"/>
          </w:tcPr>
          <w:p w:rsidR="00847A96" w:rsidRDefault="007D67F2" w:rsidP="00730D00">
            <w:pPr>
              <w:pStyle w:val="NoSpacing"/>
              <w:jc w:val="right"/>
            </w:pPr>
            <w:r>
              <w:t>54,099</w:t>
            </w:r>
          </w:p>
        </w:tc>
        <w:tc>
          <w:tcPr>
            <w:tcW w:w="1276" w:type="dxa"/>
          </w:tcPr>
          <w:p w:rsidR="00847A96" w:rsidRDefault="007D67F2" w:rsidP="00730D00">
            <w:pPr>
              <w:pStyle w:val="NoSpacing"/>
              <w:jc w:val="right"/>
            </w:pPr>
            <w:r>
              <w:t>35,359</w:t>
            </w:r>
          </w:p>
        </w:tc>
      </w:tr>
      <w:tr w:rsidR="00847A96" w:rsidTr="00730D00">
        <w:tc>
          <w:tcPr>
            <w:tcW w:w="5529" w:type="dxa"/>
          </w:tcPr>
          <w:p w:rsidR="00847A96" w:rsidRDefault="00847A96" w:rsidP="00730D00">
            <w:pPr>
              <w:pStyle w:val="NoSpacing"/>
            </w:pPr>
            <w:r>
              <w:t>Trade receivables</w:t>
            </w:r>
          </w:p>
        </w:tc>
        <w:tc>
          <w:tcPr>
            <w:tcW w:w="1276" w:type="dxa"/>
          </w:tcPr>
          <w:p w:rsidR="00847A96" w:rsidRDefault="007D67F2" w:rsidP="00730D00">
            <w:pPr>
              <w:pStyle w:val="NoSpacing"/>
              <w:jc w:val="right"/>
            </w:pPr>
            <w:r>
              <w:t>4,254</w:t>
            </w:r>
          </w:p>
        </w:tc>
        <w:tc>
          <w:tcPr>
            <w:tcW w:w="1276" w:type="dxa"/>
          </w:tcPr>
          <w:p w:rsidR="00847A96" w:rsidRDefault="007D67F2" w:rsidP="00730D00">
            <w:pPr>
              <w:pStyle w:val="NoSpacing"/>
              <w:jc w:val="right"/>
            </w:pPr>
            <w:r>
              <w:t>5,742</w:t>
            </w:r>
          </w:p>
        </w:tc>
        <w:tc>
          <w:tcPr>
            <w:tcW w:w="1275" w:type="dxa"/>
          </w:tcPr>
          <w:p w:rsidR="00847A96" w:rsidRDefault="007D67F2" w:rsidP="00730D00">
            <w:pPr>
              <w:pStyle w:val="NoSpacing"/>
              <w:jc w:val="right"/>
            </w:pPr>
            <w:r>
              <w:t>4,254</w:t>
            </w:r>
          </w:p>
        </w:tc>
        <w:tc>
          <w:tcPr>
            <w:tcW w:w="1276" w:type="dxa"/>
          </w:tcPr>
          <w:p w:rsidR="00847A96" w:rsidRDefault="007D67F2" w:rsidP="00730D00">
            <w:pPr>
              <w:pStyle w:val="NoSpacing"/>
              <w:jc w:val="right"/>
            </w:pPr>
            <w:r>
              <w:t>5,742</w:t>
            </w:r>
          </w:p>
        </w:tc>
      </w:tr>
      <w:tr w:rsidR="00847A96" w:rsidTr="00730D00">
        <w:tc>
          <w:tcPr>
            <w:tcW w:w="5529" w:type="dxa"/>
          </w:tcPr>
          <w:p w:rsidR="00847A96" w:rsidRDefault="00BA6CA5" w:rsidP="00730D00">
            <w:pPr>
              <w:pStyle w:val="NoSpacing"/>
            </w:pPr>
            <w:r>
              <w:t>Contract assets</w:t>
            </w:r>
          </w:p>
        </w:tc>
        <w:tc>
          <w:tcPr>
            <w:tcW w:w="1276" w:type="dxa"/>
          </w:tcPr>
          <w:p w:rsidR="00847A96" w:rsidRDefault="007D67F2" w:rsidP="00730D00">
            <w:pPr>
              <w:pStyle w:val="NoSpacing"/>
              <w:jc w:val="right"/>
            </w:pPr>
            <w:r>
              <w:t>8,733</w:t>
            </w:r>
          </w:p>
        </w:tc>
        <w:tc>
          <w:tcPr>
            <w:tcW w:w="1276" w:type="dxa"/>
          </w:tcPr>
          <w:p w:rsidR="00847A96" w:rsidRDefault="007D67F2" w:rsidP="00730D00">
            <w:pPr>
              <w:pStyle w:val="NoSpacing"/>
              <w:jc w:val="right"/>
            </w:pPr>
            <w:r>
              <w:t>7,158</w:t>
            </w:r>
          </w:p>
        </w:tc>
        <w:tc>
          <w:tcPr>
            <w:tcW w:w="1275" w:type="dxa"/>
          </w:tcPr>
          <w:p w:rsidR="00847A96" w:rsidRDefault="007D67F2" w:rsidP="00730D00">
            <w:pPr>
              <w:pStyle w:val="NoSpacing"/>
              <w:jc w:val="right"/>
            </w:pPr>
            <w:r>
              <w:t>8,348</w:t>
            </w:r>
          </w:p>
        </w:tc>
        <w:tc>
          <w:tcPr>
            <w:tcW w:w="1276" w:type="dxa"/>
          </w:tcPr>
          <w:p w:rsidR="00847A96" w:rsidRDefault="007D67F2" w:rsidP="00730D00">
            <w:pPr>
              <w:pStyle w:val="NoSpacing"/>
              <w:jc w:val="right"/>
            </w:pPr>
            <w:r>
              <w:t>6,993</w:t>
            </w:r>
          </w:p>
        </w:tc>
      </w:tr>
      <w:tr w:rsidR="00847A96" w:rsidTr="00730D00">
        <w:tc>
          <w:tcPr>
            <w:tcW w:w="5529" w:type="dxa"/>
          </w:tcPr>
          <w:p w:rsidR="00847A96" w:rsidRDefault="00847A96" w:rsidP="00730D00">
            <w:pPr>
              <w:pStyle w:val="NoSpacing"/>
            </w:pPr>
            <w:r>
              <w:t>Other receivables</w:t>
            </w:r>
          </w:p>
        </w:tc>
        <w:tc>
          <w:tcPr>
            <w:tcW w:w="1276" w:type="dxa"/>
          </w:tcPr>
          <w:p w:rsidR="00847A96" w:rsidRDefault="007D67F2" w:rsidP="00730D00">
            <w:pPr>
              <w:pStyle w:val="NoSpacing"/>
              <w:jc w:val="right"/>
            </w:pPr>
            <w:r>
              <w:t>2,785</w:t>
            </w:r>
          </w:p>
        </w:tc>
        <w:tc>
          <w:tcPr>
            <w:tcW w:w="1276" w:type="dxa"/>
          </w:tcPr>
          <w:p w:rsidR="00847A96" w:rsidRDefault="007D67F2" w:rsidP="00730D00">
            <w:pPr>
              <w:pStyle w:val="NoSpacing"/>
              <w:jc w:val="right"/>
            </w:pPr>
            <w:r>
              <w:t>3,676</w:t>
            </w:r>
          </w:p>
        </w:tc>
        <w:tc>
          <w:tcPr>
            <w:tcW w:w="1275" w:type="dxa"/>
          </w:tcPr>
          <w:p w:rsidR="00847A96" w:rsidRDefault="007D67F2" w:rsidP="00730D00">
            <w:pPr>
              <w:pStyle w:val="NoSpacing"/>
              <w:jc w:val="right"/>
            </w:pPr>
            <w:r>
              <w:t>5,111</w:t>
            </w:r>
          </w:p>
        </w:tc>
        <w:tc>
          <w:tcPr>
            <w:tcW w:w="1276" w:type="dxa"/>
          </w:tcPr>
          <w:p w:rsidR="00847A96" w:rsidRDefault="007D67F2" w:rsidP="00730D00">
            <w:pPr>
              <w:pStyle w:val="NoSpacing"/>
              <w:jc w:val="right"/>
            </w:pPr>
            <w:r>
              <w:t>6,720</w:t>
            </w:r>
          </w:p>
        </w:tc>
      </w:tr>
      <w:tr w:rsidR="00847A96" w:rsidTr="007D67F2">
        <w:tc>
          <w:tcPr>
            <w:tcW w:w="5529" w:type="dxa"/>
          </w:tcPr>
          <w:p w:rsidR="00847A96" w:rsidRDefault="00847A96" w:rsidP="00730D00">
            <w:pPr>
              <w:pStyle w:val="NoSpacing"/>
            </w:pPr>
            <w:r>
              <w:t xml:space="preserve">Term deposits </w:t>
            </w:r>
          </w:p>
        </w:tc>
        <w:tc>
          <w:tcPr>
            <w:tcW w:w="1276" w:type="dxa"/>
          </w:tcPr>
          <w:p w:rsidR="00847A96" w:rsidRDefault="007D67F2" w:rsidP="00730D00">
            <w:pPr>
              <w:pStyle w:val="NoSpacing"/>
              <w:jc w:val="right"/>
            </w:pPr>
            <w:r>
              <w:t>516</w:t>
            </w:r>
          </w:p>
        </w:tc>
        <w:tc>
          <w:tcPr>
            <w:tcW w:w="1276" w:type="dxa"/>
            <w:tcBorders>
              <w:bottom w:val="single" w:sz="4" w:space="0" w:color="auto"/>
            </w:tcBorders>
          </w:tcPr>
          <w:p w:rsidR="00847A96" w:rsidRDefault="007D67F2" w:rsidP="00730D00">
            <w:pPr>
              <w:pStyle w:val="NoSpacing"/>
              <w:jc w:val="right"/>
            </w:pPr>
            <w:r>
              <w:t>26,387</w:t>
            </w:r>
          </w:p>
        </w:tc>
        <w:tc>
          <w:tcPr>
            <w:tcW w:w="1275" w:type="dxa"/>
            <w:tcBorders>
              <w:bottom w:val="single" w:sz="4" w:space="0" w:color="auto"/>
            </w:tcBorders>
          </w:tcPr>
          <w:p w:rsidR="00847A96" w:rsidRDefault="007D67F2" w:rsidP="00730D00">
            <w:pPr>
              <w:pStyle w:val="NoSpacing"/>
              <w:jc w:val="right"/>
            </w:pPr>
            <w:r>
              <w:t>-</w:t>
            </w:r>
          </w:p>
        </w:tc>
        <w:tc>
          <w:tcPr>
            <w:tcW w:w="1276" w:type="dxa"/>
            <w:tcBorders>
              <w:bottom w:val="single" w:sz="4" w:space="0" w:color="auto"/>
            </w:tcBorders>
          </w:tcPr>
          <w:p w:rsidR="00847A96" w:rsidRDefault="007D67F2" w:rsidP="00730D00">
            <w:pPr>
              <w:pStyle w:val="NoSpacing"/>
              <w:jc w:val="right"/>
            </w:pPr>
            <w:r>
              <w:t>25,000</w:t>
            </w:r>
          </w:p>
        </w:tc>
      </w:tr>
      <w:tr w:rsidR="00847A96" w:rsidTr="007D67F2">
        <w:tc>
          <w:tcPr>
            <w:tcW w:w="5529" w:type="dxa"/>
          </w:tcPr>
          <w:p w:rsidR="00847A96" w:rsidRDefault="00847A96" w:rsidP="00730D00">
            <w:pPr>
              <w:pStyle w:val="NoSpacing"/>
            </w:pPr>
            <w:r>
              <w:t>Total contractual financial assets</w:t>
            </w:r>
          </w:p>
        </w:tc>
        <w:tc>
          <w:tcPr>
            <w:tcW w:w="1276" w:type="dxa"/>
          </w:tcPr>
          <w:p w:rsidR="00847A96" w:rsidRDefault="007D67F2" w:rsidP="00730D00">
            <w:pPr>
              <w:pStyle w:val="NoSpacing"/>
              <w:jc w:val="right"/>
            </w:pPr>
            <w:r>
              <w:t>71,196</w:t>
            </w:r>
          </w:p>
        </w:tc>
        <w:tc>
          <w:tcPr>
            <w:tcW w:w="1276" w:type="dxa"/>
            <w:tcBorders>
              <w:bottom w:val="single" w:sz="4" w:space="0" w:color="auto"/>
            </w:tcBorders>
          </w:tcPr>
          <w:p w:rsidR="00847A96" w:rsidRDefault="007D67F2" w:rsidP="00730D00">
            <w:pPr>
              <w:pStyle w:val="NoSpacing"/>
              <w:jc w:val="right"/>
            </w:pPr>
            <w:r>
              <w:t>79,301</w:t>
            </w:r>
          </w:p>
        </w:tc>
        <w:tc>
          <w:tcPr>
            <w:tcW w:w="1275" w:type="dxa"/>
            <w:tcBorders>
              <w:bottom w:val="single" w:sz="4" w:space="0" w:color="auto"/>
            </w:tcBorders>
          </w:tcPr>
          <w:p w:rsidR="00847A96" w:rsidRDefault="007D67F2" w:rsidP="00730D00">
            <w:pPr>
              <w:pStyle w:val="NoSpacing"/>
              <w:jc w:val="right"/>
            </w:pPr>
            <w:r>
              <w:t>71,812</w:t>
            </w:r>
          </w:p>
        </w:tc>
        <w:tc>
          <w:tcPr>
            <w:tcW w:w="1276" w:type="dxa"/>
            <w:tcBorders>
              <w:bottom w:val="single" w:sz="4" w:space="0" w:color="auto"/>
            </w:tcBorders>
          </w:tcPr>
          <w:p w:rsidR="00847A96" w:rsidRDefault="007D67F2" w:rsidP="00730D00">
            <w:pPr>
              <w:pStyle w:val="NoSpacing"/>
              <w:jc w:val="right"/>
            </w:pPr>
            <w:r>
              <w:t>79,814</w:t>
            </w:r>
          </w:p>
        </w:tc>
      </w:tr>
    </w:tbl>
    <w:p w:rsidR="00847A96" w:rsidRDefault="00847A96" w:rsidP="00F02D69">
      <w:pPr>
        <w:pStyle w:val="NoSpacing"/>
      </w:pPr>
    </w:p>
    <w:tbl>
      <w:tblPr>
        <w:tblStyle w:val="TableGrid"/>
        <w:tblW w:w="10632" w:type="dxa"/>
        <w:tblInd w:w="-856" w:type="dxa"/>
        <w:tblLook w:val="04A0" w:firstRow="1" w:lastRow="0" w:firstColumn="1" w:lastColumn="0" w:noHBand="0" w:noVBand="1"/>
      </w:tblPr>
      <w:tblGrid>
        <w:gridCol w:w="10632"/>
      </w:tblGrid>
      <w:tr w:rsidR="007D67F2" w:rsidTr="007D67F2">
        <w:tc>
          <w:tcPr>
            <w:tcW w:w="10632" w:type="dxa"/>
          </w:tcPr>
          <w:p w:rsidR="007D67F2" w:rsidRDefault="007D67F2" w:rsidP="00730D00">
            <w:pPr>
              <w:pStyle w:val="NoSpacing"/>
            </w:pPr>
            <w:r>
              <w:t>Contractual financial liabilities</w:t>
            </w:r>
          </w:p>
        </w:tc>
      </w:tr>
    </w:tbl>
    <w:p w:rsidR="00847A96" w:rsidRDefault="00847A96" w:rsidP="00847A96">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847A96" w:rsidTr="00730D00">
        <w:tc>
          <w:tcPr>
            <w:tcW w:w="10632" w:type="dxa"/>
            <w:gridSpan w:val="5"/>
          </w:tcPr>
          <w:p w:rsidR="00847A96" w:rsidRDefault="00847A96" w:rsidP="00730D00">
            <w:pPr>
              <w:pStyle w:val="NoSpacing"/>
            </w:pPr>
            <w:r>
              <w:t>Loans and payables</w:t>
            </w:r>
          </w:p>
        </w:tc>
      </w:tr>
      <w:tr w:rsidR="00847A96" w:rsidTr="00730D00">
        <w:tc>
          <w:tcPr>
            <w:tcW w:w="5529" w:type="dxa"/>
          </w:tcPr>
          <w:p w:rsidR="00847A96" w:rsidRDefault="00847A96" w:rsidP="00730D00">
            <w:pPr>
              <w:pStyle w:val="NoSpacing"/>
            </w:pPr>
            <w:r>
              <w:t xml:space="preserve">Supplies and services </w:t>
            </w:r>
          </w:p>
        </w:tc>
        <w:tc>
          <w:tcPr>
            <w:tcW w:w="1276" w:type="dxa"/>
          </w:tcPr>
          <w:p w:rsidR="00847A96" w:rsidRDefault="007D67F2" w:rsidP="00730D00">
            <w:pPr>
              <w:pStyle w:val="NoSpacing"/>
              <w:jc w:val="right"/>
            </w:pPr>
            <w:r>
              <w:t>7,560</w:t>
            </w:r>
          </w:p>
        </w:tc>
        <w:tc>
          <w:tcPr>
            <w:tcW w:w="1276" w:type="dxa"/>
          </w:tcPr>
          <w:p w:rsidR="00847A96" w:rsidRDefault="007D67F2" w:rsidP="00730D00">
            <w:pPr>
              <w:pStyle w:val="NoSpacing"/>
              <w:jc w:val="right"/>
            </w:pPr>
            <w:r>
              <w:t>9,915</w:t>
            </w:r>
          </w:p>
        </w:tc>
        <w:tc>
          <w:tcPr>
            <w:tcW w:w="1275" w:type="dxa"/>
          </w:tcPr>
          <w:p w:rsidR="00847A96" w:rsidRDefault="007D67F2" w:rsidP="00730D00">
            <w:pPr>
              <w:pStyle w:val="NoSpacing"/>
              <w:jc w:val="right"/>
            </w:pPr>
            <w:r>
              <w:t>8,721</w:t>
            </w:r>
          </w:p>
        </w:tc>
        <w:tc>
          <w:tcPr>
            <w:tcW w:w="1276" w:type="dxa"/>
          </w:tcPr>
          <w:p w:rsidR="00847A96" w:rsidRDefault="007D67F2" w:rsidP="00730D00">
            <w:pPr>
              <w:pStyle w:val="NoSpacing"/>
              <w:jc w:val="right"/>
            </w:pPr>
            <w:r>
              <w:t>10,005</w:t>
            </w:r>
          </w:p>
        </w:tc>
      </w:tr>
    </w:tbl>
    <w:p w:rsidR="00794AEB" w:rsidRDefault="00794AEB" w:rsidP="00F02D69">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7D67F2" w:rsidTr="0015441F">
        <w:tc>
          <w:tcPr>
            <w:tcW w:w="10632" w:type="dxa"/>
            <w:gridSpan w:val="5"/>
          </w:tcPr>
          <w:p w:rsidR="007D67F2" w:rsidRDefault="007D67F2" w:rsidP="0015441F">
            <w:pPr>
              <w:pStyle w:val="NoSpacing"/>
            </w:pPr>
            <w:r>
              <w:t>At amortised cost</w:t>
            </w:r>
          </w:p>
        </w:tc>
      </w:tr>
      <w:tr w:rsidR="007D67F2" w:rsidTr="0015441F">
        <w:tc>
          <w:tcPr>
            <w:tcW w:w="5529" w:type="dxa"/>
          </w:tcPr>
          <w:p w:rsidR="007D67F2" w:rsidRDefault="007D67F2" w:rsidP="0015441F">
            <w:pPr>
              <w:pStyle w:val="NoSpacing"/>
            </w:pPr>
            <w:r>
              <w:t xml:space="preserve">Contract liability (Advances from Government) </w:t>
            </w:r>
          </w:p>
        </w:tc>
        <w:tc>
          <w:tcPr>
            <w:tcW w:w="1276" w:type="dxa"/>
          </w:tcPr>
          <w:p w:rsidR="007D67F2" w:rsidRDefault="007D67F2" w:rsidP="0015441F">
            <w:pPr>
              <w:pStyle w:val="NoSpacing"/>
              <w:jc w:val="right"/>
            </w:pPr>
            <w:r>
              <w:t>1,009</w:t>
            </w:r>
          </w:p>
        </w:tc>
        <w:tc>
          <w:tcPr>
            <w:tcW w:w="1276" w:type="dxa"/>
          </w:tcPr>
          <w:p w:rsidR="007D67F2" w:rsidRDefault="007D67F2" w:rsidP="0015441F">
            <w:pPr>
              <w:pStyle w:val="NoSpacing"/>
              <w:jc w:val="right"/>
            </w:pPr>
            <w:r>
              <w:t>1,324</w:t>
            </w:r>
          </w:p>
        </w:tc>
        <w:tc>
          <w:tcPr>
            <w:tcW w:w="1275" w:type="dxa"/>
          </w:tcPr>
          <w:p w:rsidR="007D67F2" w:rsidRDefault="007D67F2" w:rsidP="0015441F">
            <w:pPr>
              <w:pStyle w:val="NoSpacing"/>
              <w:jc w:val="right"/>
            </w:pPr>
            <w:r>
              <w:t>1,009</w:t>
            </w:r>
          </w:p>
        </w:tc>
        <w:tc>
          <w:tcPr>
            <w:tcW w:w="1276" w:type="dxa"/>
          </w:tcPr>
          <w:p w:rsidR="007D67F2" w:rsidRDefault="007D67F2" w:rsidP="0015441F">
            <w:pPr>
              <w:pStyle w:val="NoSpacing"/>
              <w:jc w:val="right"/>
            </w:pPr>
            <w:r>
              <w:t>1,324</w:t>
            </w:r>
          </w:p>
        </w:tc>
      </w:tr>
      <w:tr w:rsidR="007D67F2" w:rsidTr="0015441F">
        <w:tc>
          <w:tcPr>
            <w:tcW w:w="5529" w:type="dxa"/>
          </w:tcPr>
          <w:p w:rsidR="007D67F2" w:rsidRDefault="007D67F2" w:rsidP="0015441F">
            <w:pPr>
              <w:pStyle w:val="NoSpacing"/>
            </w:pPr>
            <w:r>
              <w:t>Lease liabilities</w:t>
            </w:r>
          </w:p>
        </w:tc>
        <w:tc>
          <w:tcPr>
            <w:tcW w:w="1276" w:type="dxa"/>
          </w:tcPr>
          <w:p w:rsidR="007D67F2" w:rsidRDefault="007D67F2" w:rsidP="0015441F">
            <w:pPr>
              <w:pStyle w:val="NoSpacing"/>
              <w:jc w:val="right"/>
            </w:pPr>
            <w:r>
              <w:t>1,631</w:t>
            </w:r>
          </w:p>
        </w:tc>
        <w:tc>
          <w:tcPr>
            <w:tcW w:w="1276" w:type="dxa"/>
          </w:tcPr>
          <w:p w:rsidR="007D67F2" w:rsidRDefault="007D67F2" w:rsidP="0015441F">
            <w:pPr>
              <w:pStyle w:val="NoSpacing"/>
              <w:jc w:val="right"/>
            </w:pPr>
            <w:r>
              <w:t>-</w:t>
            </w:r>
          </w:p>
        </w:tc>
        <w:tc>
          <w:tcPr>
            <w:tcW w:w="1275" w:type="dxa"/>
          </w:tcPr>
          <w:p w:rsidR="007D67F2" w:rsidRDefault="007D67F2" w:rsidP="0015441F">
            <w:pPr>
              <w:pStyle w:val="NoSpacing"/>
              <w:jc w:val="right"/>
            </w:pPr>
            <w:r>
              <w:t>1,631</w:t>
            </w:r>
          </w:p>
        </w:tc>
        <w:tc>
          <w:tcPr>
            <w:tcW w:w="1276" w:type="dxa"/>
          </w:tcPr>
          <w:p w:rsidR="007D67F2" w:rsidRDefault="007D67F2" w:rsidP="0015441F">
            <w:pPr>
              <w:pStyle w:val="NoSpacing"/>
              <w:jc w:val="right"/>
            </w:pPr>
            <w:r>
              <w:t>-</w:t>
            </w:r>
          </w:p>
        </w:tc>
      </w:tr>
      <w:tr w:rsidR="007D67F2" w:rsidTr="0015441F">
        <w:tc>
          <w:tcPr>
            <w:tcW w:w="5529" w:type="dxa"/>
          </w:tcPr>
          <w:p w:rsidR="007D67F2" w:rsidRDefault="007D67F2" w:rsidP="0015441F">
            <w:pPr>
              <w:pStyle w:val="NoSpacing"/>
            </w:pPr>
            <w:r>
              <w:t>Revenue received in advance</w:t>
            </w:r>
          </w:p>
        </w:tc>
        <w:tc>
          <w:tcPr>
            <w:tcW w:w="1276" w:type="dxa"/>
          </w:tcPr>
          <w:p w:rsidR="007D67F2" w:rsidRDefault="007D67F2" w:rsidP="0015441F">
            <w:pPr>
              <w:pStyle w:val="NoSpacing"/>
              <w:jc w:val="right"/>
            </w:pPr>
            <w:r>
              <w:t>17,839</w:t>
            </w:r>
          </w:p>
        </w:tc>
        <w:tc>
          <w:tcPr>
            <w:tcW w:w="1276" w:type="dxa"/>
          </w:tcPr>
          <w:p w:rsidR="007D67F2" w:rsidRDefault="007D67F2" w:rsidP="0015441F">
            <w:pPr>
              <w:pStyle w:val="NoSpacing"/>
              <w:jc w:val="right"/>
            </w:pPr>
            <w:r>
              <w:t>9,054</w:t>
            </w:r>
          </w:p>
        </w:tc>
        <w:tc>
          <w:tcPr>
            <w:tcW w:w="1275" w:type="dxa"/>
          </w:tcPr>
          <w:p w:rsidR="007D67F2" w:rsidRDefault="007D67F2" w:rsidP="0015441F">
            <w:pPr>
              <w:pStyle w:val="NoSpacing"/>
              <w:jc w:val="right"/>
            </w:pPr>
            <w:r>
              <w:t>17,768</w:t>
            </w:r>
          </w:p>
        </w:tc>
        <w:tc>
          <w:tcPr>
            <w:tcW w:w="1276" w:type="dxa"/>
          </w:tcPr>
          <w:p w:rsidR="007D67F2" w:rsidRDefault="007D67F2" w:rsidP="0015441F">
            <w:pPr>
              <w:pStyle w:val="NoSpacing"/>
              <w:jc w:val="right"/>
            </w:pPr>
            <w:r>
              <w:t>9,001</w:t>
            </w:r>
          </w:p>
        </w:tc>
      </w:tr>
      <w:tr w:rsidR="007D67F2" w:rsidTr="0015441F">
        <w:tc>
          <w:tcPr>
            <w:tcW w:w="5529" w:type="dxa"/>
          </w:tcPr>
          <w:p w:rsidR="007D67F2" w:rsidRDefault="007D67F2" w:rsidP="0015441F">
            <w:pPr>
              <w:pStyle w:val="NoSpacing"/>
            </w:pPr>
            <w:r>
              <w:t>Total contractual financial liabilities</w:t>
            </w:r>
          </w:p>
        </w:tc>
        <w:tc>
          <w:tcPr>
            <w:tcW w:w="1276" w:type="dxa"/>
          </w:tcPr>
          <w:p w:rsidR="007D67F2" w:rsidRDefault="007D67F2" w:rsidP="0015441F">
            <w:pPr>
              <w:pStyle w:val="NoSpacing"/>
              <w:jc w:val="right"/>
            </w:pPr>
            <w:r>
              <w:t>28,039</w:t>
            </w:r>
          </w:p>
        </w:tc>
        <w:tc>
          <w:tcPr>
            <w:tcW w:w="1276" w:type="dxa"/>
          </w:tcPr>
          <w:p w:rsidR="007D67F2" w:rsidRDefault="007D67F2" w:rsidP="0015441F">
            <w:pPr>
              <w:pStyle w:val="NoSpacing"/>
              <w:jc w:val="right"/>
            </w:pPr>
            <w:r>
              <w:t>20,293</w:t>
            </w:r>
          </w:p>
        </w:tc>
        <w:tc>
          <w:tcPr>
            <w:tcW w:w="1275" w:type="dxa"/>
          </w:tcPr>
          <w:p w:rsidR="007D67F2" w:rsidRDefault="007D67F2" w:rsidP="0015441F">
            <w:pPr>
              <w:pStyle w:val="NoSpacing"/>
              <w:jc w:val="right"/>
            </w:pPr>
            <w:r>
              <w:t>29,129</w:t>
            </w:r>
          </w:p>
        </w:tc>
        <w:tc>
          <w:tcPr>
            <w:tcW w:w="1276" w:type="dxa"/>
          </w:tcPr>
          <w:p w:rsidR="007D67F2" w:rsidRDefault="007D67F2" w:rsidP="0015441F">
            <w:pPr>
              <w:pStyle w:val="NoSpacing"/>
              <w:jc w:val="right"/>
            </w:pPr>
            <w:r>
              <w:t>20,330</w:t>
            </w:r>
          </w:p>
        </w:tc>
      </w:tr>
    </w:tbl>
    <w:p w:rsidR="007D67F2" w:rsidRDefault="007D67F2" w:rsidP="00F02D69">
      <w:pPr>
        <w:pStyle w:val="NoSpacing"/>
      </w:pPr>
      <w:r>
        <w:t>Note: The total amounts disclosed here exclude statutory amounts (e.g. GST input tax credit recoverable and taxes payable).</w:t>
      </w:r>
    </w:p>
    <w:p w:rsidR="007D67F2" w:rsidRDefault="007D67F2" w:rsidP="00F02D69">
      <w:pPr>
        <w:pStyle w:val="NoSpacing"/>
      </w:pPr>
    </w:p>
    <w:p w:rsidR="007D67F2" w:rsidRDefault="000C2726" w:rsidP="00F02D69">
      <w:pPr>
        <w:pStyle w:val="NoSpacing"/>
      </w:pPr>
      <w:r>
        <w:t>Chisholm Group classifies its financial assets at amortised cost only if both of the following criteria are met:</w:t>
      </w:r>
    </w:p>
    <w:p w:rsidR="000C2726" w:rsidRDefault="000C2726" w:rsidP="00925530">
      <w:pPr>
        <w:pStyle w:val="NoSpacing"/>
        <w:numPr>
          <w:ilvl w:val="0"/>
          <w:numId w:val="53"/>
        </w:numPr>
      </w:pPr>
      <w:r>
        <w:t>the asset is held within a business model whose objective is to collect the contractual cash flows; and</w:t>
      </w:r>
    </w:p>
    <w:p w:rsidR="000C2726" w:rsidRDefault="000C2726" w:rsidP="00925530">
      <w:pPr>
        <w:pStyle w:val="NoSpacing"/>
        <w:numPr>
          <w:ilvl w:val="0"/>
          <w:numId w:val="53"/>
        </w:numPr>
      </w:pPr>
      <w:r>
        <w:t>the contractual terms give rise to cash flows that are solely payments of principal and interest.</w:t>
      </w:r>
    </w:p>
    <w:p w:rsidR="000C2726" w:rsidRDefault="000C2726" w:rsidP="000C2726">
      <w:pPr>
        <w:pStyle w:val="NoSpacing"/>
      </w:pPr>
      <w:r>
        <w:t>Financial assets measured at amortised cost are financial instrument assets with fixed and determinable payments that are not quoted on an active market.</w:t>
      </w:r>
    </w:p>
    <w:p w:rsidR="000C2726" w:rsidRDefault="000C2726" w:rsidP="000C2726">
      <w:pPr>
        <w:pStyle w:val="NoSpacing"/>
      </w:pPr>
      <w:r>
        <w:t>These assets are initially recognised at fair value plus any directly attributable transaction costs. Subsequent to initial measurement, receivables are measured at amortised cost using the effective interest method (and for assets, less any necessary impairment).</w:t>
      </w:r>
    </w:p>
    <w:p w:rsidR="000C2726" w:rsidRDefault="000C2726" w:rsidP="000C2726">
      <w:pPr>
        <w:pStyle w:val="NoSpacing"/>
      </w:pPr>
    </w:p>
    <w:p w:rsidR="000C2726" w:rsidRDefault="000C2726" w:rsidP="000C2726">
      <w:pPr>
        <w:pStyle w:val="NoSpacing"/>
      </w:pPr>
      <w:r>
        <w:t>Chisholm Group recognises the following assets in this category:</w:t>
      </w:r>
    </w:p>
    <w:p w:rsidR="000C2726" w:rsidRDefault="000C2726" w:rsidP="00925530">
      <w:pPr>
        <w:pStyle w:val="NoSpacing"/>
        <w:numPr>
          <w:ilvl w:val="0"/>
          <w:numId w:val="54"/>
        </w:numPr>
      </w:pPr>
      <w:r>
        <w:t xml:space="preserve">cash and deposits; and </w:t>
      </w:r>
    </w:p>
    <w:p w:rsidR="000C2726" w:rsidRDefault="000C2726" w:rsidP="00925530">
      <w:pPr>
        <w:pStyle w:val="NoSpacing"/>
        <w:numPr>
          <w:ilvl w:val="0"/>
          <w:numId w:val="54"/>
        </w:numPr>
      </w:pPr>
      <w:r>
        <w:t>receivables (excluding statutory receivables).</w:t>
      </w:r>
    </w:p>
    <w:p w:rsidR="000C2726" w:rsidRDefault="000C2726" w:rsidP="000C2726">
      <w:pPr>
        <w:pStyle w:val="NoSpacing"/>
      </w:pPr>
    </w:p>
    <w:p w:rsidR="000C2726" w:rsidRDefault="000C2726" w:rsidP="000C2726">
      <w:pPr>
        <w:pStyle w:val="NoSpacing"/>
      </w:pPr>
      <w:r>
        <w:t>Financial liabilities at amortised cost are initially recognised on the date they originate. They are initially measured at fair value plus any directly attributable transaction costs. Subsequent to initial recognition, these financial instruments are measured at amortised cost with any difference between the initial recognised amount and the redemption value being recognised in profit and loss over the period of the interest-bearing liability, using the effective interest rate method. Chisholm Group recognises the following liabilities in this category:</w:t>
      </w:r>
    </w:p>
    <w:p w:rsidR="000C2726" w:rsidRDefault="000C2726" w:rsidP="00925530">
      <w:pPr>
        <w:pStyle w:val="NoSpacing"/>
        <w:numPr>
          <w:ilvl w:val="0"/>
          <w:numId w:val="55"/>
        </w:numPr>
      </w:pPr>
      <w:r>
        <w:t>payables (excluding statutory payables);</w:t>
      </w:r>
    </w:p>
    <w:p w:rsidR="000C2726" w:rsidRDefault="000C2726" w:rsidP="00925530">
      <w:pPr>
        <w:pStyle w:val="NoSpacing"/>
        <w:numPr>
          <w:ilvl w:val="0"/>
          <w:numId w:val="55"/>
        </w:numPr>
      </w:pPr>
      <w:r>
        <w:t>borrowings (including finance lease liabilities); and</w:t>
      </w:r>
    </w:p>
    <w:p w:rsidR="000C2726" w:rsidRDefault="000C2726" w:rsidP="00925530">
      <w:pPr>
        <w:pStyle w:val="NoSpacing"/>
        <w:numPr>
          <w:ilvl w:val="0"/>
          <w:numId w:val="55"/>
        </w:numPr>
      </w:pPr>
      <w:r>
        <w:t>revenue received in advance.</w:t>
      </w:r>
    </w:p>
    <w:p w:rsidR="000C2726" w:rsidRDefault="000C2726" w:rsidP="000C2726">
      <w:pPr>
        <w:pStyle w:val="NoSpacing"/>
      </w:pPr>
    </w:p>
    <w:p w:rsidR="000C2726" w:rsidRDefault="000C2726" w:rsidP="000C2726">
      <w:pPr>
        <w:pStyle w:val="NoSpacing"/>
      </w:pPr>
      <w:r>
        <w:t>&lt;page 80&gt;</w:t>
      </w:r>
    </w:p>
    <w:p w:rsidR="000C2726" w:rsidRDefault="000C2726" w:rsidP="000C2726">
      <w:pPr>
        <w:pStyle w:val="NoSpacing"/>
      </w:pPr>
    </w:p>
    <w:p w:rsidR="000C2726" w:rsidRDefault="000C2726" w:rsidP="000C2726">
      <w:pPr>
        <w:pStyle w:val="Heading2"/>
      </w:pPr>
      <w:r>
        <w:lastRenderedPageBreak/>
        <w:t>7. Managing risks and uncertainties</w:t>
      </w:r>
    </w:p>
    <w:p w:rsidR="0028573F" w:rsidRDefault="0028573F" w:rsidP="0028573F">
      <w:pPr>
        <w:pStyle w:val="NoSpacing"/>
      </w:pPr>
    </w:p>
    <w:p w:rsidR="000C2726" w:rsidRDefault="000C2726" w:rsidP="000C2726">
      <w:pPr>
        <w:pStyle w:val="Heading3"/>
      </w:pPr>
      <w:r>
        <w:t xml:space="preserve">7.1 Financial Instruments (continued) </w:t>
      </w:r>
    </w:p>
    <w:p w:rsidR="0028573F" w:rsidRDefault="0028573F" w:rsidP="0028573F">
      <w:pPr>
        <w:pStyle w:val="NoSpacing"/>
      </w:pPr>
    </w:p>
    <w:p w:rsidR="000C2726" w:rsidRDefault="000C2726" w:rsidP="000C2726">
      <w:pPr>
        <w:pStyle w:val="Heading4"/>
      </w:pPr>
      <w:r>
        <w:t>7.1.1 Financial risk management objectives and policies</w:t>
      </w:r>
    </w:p>
    <w:p w:rsidR="007D67F2" w:rsidRDefault="007D67F2" w:rsidP="00F02D69">
      <w:pPr>
        <w:pStyle w:val="NoSpacing"/>
      </w:pPr>
    </w:p>
    <w:p w:rsidR="007D67F2" w:rsidRDefault="00F117CA" w:rsidP="00F02D69">
      <w:pPr>
        <w:pStyle w:val="NoSpacing"/>
      </w:pPr>
      <w:r>
        <w:t>Chisholm Group is exposed to a variety of financial risks, market risk (including foreign currency risk, interest rate risk and equity price risk), credit risk and liquidity risk.</w:t>
      </w:r>
    </w:p>
    <w:p w:rsidR="00F117CA" w:rsidRDefault="00F117CA" w:rsidP="00F02D69">
      <w:pPr>
        <w:pStyle w:val="NoSpacing"/>
      </w:pPr>
    </w:p>
    <w:p w:rsidR="00F117CA" w:rsidRDefault="00F117CA" w:rsidP="00F02D69">
      <w:pPr>
        <w:pStyle w:val="NoSpacing"/>
      </w:pPr>
      <w:r>
        <w:t>Chisholm Group’s overall risk management program focuses on the unpredictability of financial markets and seeks to minimise potential adverse effects on the financial performance of Chisholm Group. Chisholm Group uses different methods to measure different types of risk to which it is exposed. These methods include sensitivity analysis in the case of interest rate, foreign exchange and other price risks and ageing analysis for credit risk.</w:t>
      </w:r>
    </w:p>
    <w:p w:rsidR="002E7D8E" w:rsidRDefault="002E7D8E" w:rsidP="00F02D69">
      <w:pPr>
        <w:pStyle w:val="NoSpacing"/>
      </w:pPr>
      <w:r>
        <w:t>Primary responsibility for the identification and management of financial risks rests with Chisholm Group’s finance function, overseen by the Audit and Risk Management Committee of Chisholm Institute on behalf of the Board.</w:t>
      </w:r>
    </w:p>
    <w:p w:rsidR="002E7D8E" w:rsidRDefault="002E7D8E" w:rsidP="00F02D69">
      <w:pPr>
        <w:pStyle w:val="NoSpacing"/>
      </w:pPr>
    </w:p>
    <w:p w:rsidR="002E7D8E" w:rsidRDefault="002E7D8E" w:rsidP="002E7D8E">
      <w:pPr>
        <w:pStyle w:val="Heading4"/>
      </w:pPr>
      <w:r>
        <w:t>7.1.2 Credit risk</w:t>
      </w:r>
    </w:p>
    <w:p w:rsidR="002E7D8E" w:rsidRDefault="002E7D8E" w:rsidP="00F02D69">
      <w:pPr>
        <w:pStyle w:val="NoSpacing"/>
      </w:pPr>
      <w:r>
        <w:t>Credit risk refers to the possibility that a customer will default on its financial obligations as and when they fall due. Credit risk arises from the contractual financial assets of Chisholm Group, which comprise cash and deposits and non-statutory receivables. Chisholm Group’s exposure to credit risk arises from the potential default of a counterparty on the</w:t>
      </w:r>
      <w:r w:rsidR="00F825B4">
        <w:t>ir contractual obligations resulting in financial loss to Chisholm Group.</w:t>
      </w:r>
    </w:p>
    <w:p w:rsidR="00F825B4" w:rsidRDefault="00F825B4" w:rsidP="00F02D69">
      <w:pPr>
        <w:pStyle w:val="NoSpacing"/>
      </w:pPr>
    </w:p>
    <w:p w:rsidR="00F825B4" w:rsidRDefault="00F825B4" w:rsidP="00F02D69">
      <w:pPr>
        <w:pStyle w:val="NoSpacing"/>
      </w:pPr>
      <w:r>
        <w:t>The trade receivables balances at 31 December 2019 and 31 December 2018 do not include any counterparties with external credit ratings. Customers are assessed for credit worthiness using the criteria detailed above.</w:t>
      </w:r>
    </w:p>
    <w:p w:rsidR="00F825B4" w:rsidRDefault="00F825B4" w:rsidP="00F02D69">
      <w:pPr>
        <w:pStyle w:val="NoSpacing"/>
      </w:pPr>
    </w:p>
    <w:p w:rsidR="00F825B4" w:rsidRDefault="00F825B4" w:rsidP="00F02D69">
      <w:pPr>
        <w:pStyle w:val="NoSpacing"/>
      </w:pPr>
      <w:r>
        <w:t>Chisholm Group does not hold any security on t6he trade receivables balance. In addition, Chisholm Group does not hold collateral relating to other financial assets.</w:t>
      </w:r>
    </w:p>
    <w:p w:rsidR="00F825B4" w:rsidRDefault="00F825B4" w:rsidP="00F02D69">
      <w:pPr>
        <w:pStyle w:val="NoSpacing"/>
      </w:pPr>
    </w:p>
    <w:p w:rsidR="00F825B4" w:rsidRDefault="00F825B4" w:rsidP="00F02D69">
      <w:pPr>
        <w:pStyle w:val="NoSpacing"/>
      </w:pPr>
      <w:r>
        <w:t>In addition, Chisholm Group does not engage in hedging for its contractual financial assets and mainly obtains contractual financial assets which are mainly cash at bank. Chisholm Group’s policy is to only deal with banks with high credit ratings.</w:t>
      </w:r>
    </w:p>
    <w:p w:rsidR="00F825B4" w:rsidRDefault="00F825B4" w:rsidP="00F02D69">
      <w:pPr>
        <w:pStyle w:val="NoSpacing"/>
      </w:pPr>
    </w:p>
    <w:p w:rsidR="00F825B4" w:rsidRDefault="00F825B4" w:rsidP="00F02D69">
      <w:pPr>
        <w:pStyle w:val="NoSpacing"/>
      </w:pPr>
      <w:r>
        <w:t>The carrying amount of contractual financial assets recorded in the financial statements, net of any allowances for losses, represents Chisholm Group’s maximum exposure to credit risk without taking account of the value of any collateral obtained.</w:t>
      </w:r>
    </w:p>
    <w:p w:rsidR="00F825B4" w:rsidRDefault="00F825B4" w:rsidP="00F02D69">
      <w:pPr>
        <w:pStyle w:val="NoSpacing"/>
      </w:pPr>
    </w:p>
    <w:p w:rsidR="00F825B4" w:rsidRDefault="00F825B4" w:rsidP="00F02D69">
      <w:pPr>
        <w:pStyle w:val="NoSpacing"/>
      </w:pPr>
      <w:r>
        <w:t>There are no material financial assets which are individually determined to be impaired.</w:t>
      </w:r>
    </w:p>
    <w:p w:rsidR="00F825B4" w:rsidRDefault="00F825B4" w:rsidP="00F02D69">
      <w:pPr>
        <w:pStyle w:val="NoSpacing"/>
      </w:pPr>
    </w:p>
    <w:p w:rsidR="00C14B4B" w:rsidRDefault="00C14B4B" w:rsidP="0028573F">
      <w:pPr>
        <w:pStyle w:val="Heading4"/>
      </w:pPr>
      <w:r>
        <w:t>Credit quality of contractual financial assets that are neither passed due nor impaired</w:t>
      </w:r>
    </w:p>
    <w:p w:rsidR="007D67F2" w:rsidRDefault="007D67F2" w:rsidP="00F02D69">
      <w:pPr>
        <w:pStyle w:val="NoSpacing"/>
      </w:pPr>
    </w:p>
    <w:tbl>
      <w:tblPr>
        <w:tblStyle w:val="TableGrid"/>
        <w:tblW w:w="10632" w:type="dxa"/>
        <w:tblInd w:w="-856" w:type="dxa"/>
        <w:tblLook w:val="04A0" w:firstRow="1" w:lastRow="0" w:firstColumn="1" w:lastColumn="0" w:noHBand="0" w:noVBand="1"/>
      </w:tblPr>
      <w:tblGrid>
        <w:gridCol w:w="2552"/>
        <w:gridCol w:w="2127"/>
        <w:gridCol w:w="2268"/>
        <w:gridCol w:w="1984"/>
        <w:gridCol w:w="1701"/>
      </w:tblGrid>
      <w:tr w:rsidR="00847A96" w:rsidTr="00847A96">
        <w:trPr>
          <w:gridBefore w:val="1"/>
          <w:wBefore w:w="2552" w:type="dxa"/>
        </w:trPr>
        <w:tc>
          <w:tcPr>
            <w:tcW w:w="2127" w:type="dxa"/>
          </w:tcPr>
          <w:p w:rsidR="00847A96" w:rsidRDefault="00847A96" w:rsidP="00847A96">
            <w:pPr>
              <w:pStyle w:val="NoSpacing"/>
              <w:jc w:val="right"/>
            </w:pPr>
            <w:r>
              <w:t>Financial institutions (AA-rating)</w:t>
            </w:r>
          </w:p>
        </w:tc>
        <w:tc>
          <w:tcPr>
            <w:tcW w:w="2268" w:type="dxa"/>
          </w:tcPr>
          <w:p w:rsidR="00847A96" w:rsidRDefault="00847A96" w:rsidP="00847A96">
            <w:pPr>
              <w:pStyle w:val="NoSpacing"/>
              <w:jc w:val="right"/>
            </w:pPr>
            <w:r>
              <w:t>Government agencies (AAA rating)</w:t>
            </w:r>
          </w:p>
        </w:tc>
        <w:tc>
          <w:tcPr>
            <w:tcW w:w="1984" w:type="dxa"/>
          </w:tcPr>
          <w:p w:rsidR="00847A96" w:rsidRDefault="00847A96" w:rsidP="00847A96">
            <w:pPr>
              <w:pStyle w:val="NoSpacing"/>
              <w:jc w:val="right"/>
            </w:pPr>
            <w:r>
              <w:t>Other counterparty</w:t>
            </w:r>
          </w:p>
        </w:tc>
        <w:tc>
          <w:tcPr>
            <w:tcW w:w="1701" w:type="dxa"/>
          </w:tcPr>
          <w:p w:rsidR="00847A96" w:rsidRDefault="00847A96" w:rsidP="00847A96">
            <w:pPr>
              <w:pStyle w:val="NoSpacing"/>
              <w:jc w:val="right"/>
            </w:pPr>
            <w:r>
              <w:t xml:space="preserve">Total </w:t>
            </w:r>
          </w:p>
        </w:tc>
      </w:tr>
      <w:tr w:rsidR="00847A96" w:rsidTr="00847A96">
        <w:trPr>
          <w:gridBefore w:val="1"/>
          <w:wBefore w:w="2552" w:type="dxa"/>
        </w:trPr>
        <w:tc>
          <w:tcPr>
            <w:tcW w:w="2127" w:type="dxa"/>
          </w:tcPr>
          <w:p w:rsidR="00847A96" w:rsidRDefault="00847A96" w:rsidP="00847A96">
            <w:pPr>
              <w:pStyle w:val="NoSpacing"/>
              <w:jc w:val="right"/>
            </w:pPr>
            <w:r>
              <w:t>$’000</w:t>
            </w:r>
          </w:p>
        </w:tc>
        <w:tc>
          <w:tcPr>
            <w:tcW w:w="2268" w:type="dxa"/>
          </w:tcPr>
          <w:p w:rsidR="00847A96" w:rsidRDefault="00847A96" w:rsidP="00847A96">
            <w:pPr>
              <w:jc w:val="right"/>
            </w:pPr>
            <w:r w:rsidRPr="003E7B08">
              <w:t>$’000</w:t>
            </w:r>
          </w:p>
        </w:tc>
        <w:tc>
          <w:tcPr>
            <w:tcW w:w="1984" w:type="dxa"/>
          </w:tcPr>
          <w:p w:rsidR="00847A96" w:rsidRDefault="00847A96" w:rsidP="00847A96">
            <w:pPr>
              <w:jc w:val="right"/>
            </w:pPr>
            <w:r w:rsidRPr="003E7B08">
              <w:t>$’000</w:t>
            </w:r>
          </w:p>
        </w:tc>
        <w:tc>
          <w:tcPr>
            <w:tcW w:w="1701" w:type="dxa"/>
          </w:tcPr>
          <w:p w:rsidR="00847A96" w:rsidRDefault="00847A96" w:rsidP="00847A96">
            <w:pPr>
              <w:jc w:val="right"/>
            </w:pPr>
            <w:r w:rsidRPr="003E7B08">
              <w:t>$’000</w:t>
            </w:r>
          </w:p>
        </w:tc>
      </w:tr>
      <w:tr w:rsidR="00794AEB" w:rsidTr="00730D00">
        <w:tc>
          <w:tcPr>
            <w:tcW w:w="10632" w:type="dxa"/>
            <w:gridSpan w:val="5"/>
          </w:tcPr>
          <w:p w:rsidR="00794AEB" w:rsidRDefault="00794AEB" w:rsidP="00F02D69">
            <w:pPr>
              <w:pStyle w:val="NoSpacing"/>
            </w:pPr>
            <w:r>
              <w:t>Consolidated 2019</w:t>
            </w:r>
          </w:p>
        </w:tc>
      </w:tr>
      <w:tr w:rsidR="00847A96" w:rsidTr="00847A96">
        <w:tc>
          <w:tcPr>
            <w:tcW w:w="2552" w:type="dxa"/>
          </w:tcPr>
          <w:p w:rsidR="00847A96" w:rsidRDefault="00794AEB" w:rsidP="00F02D69">
            <w:pPr>
              <w:pStyle w:val="NoSpacing"/>
            </w:pPr>
            <w:r>
              <w:t xml:space="preserve">Cash and deposits </w:t>
            </w:r>
          </w:p>
        </w:tc>
        <w:tc>
          <w:tcPr>
            <w:tcW w:w="2127" w:type="dxa"/>
          </w:tcPr>
          <w:p w:rsidR="00847A96" w:rsidRDefault="00C14B4B" w:rsidP="00C14B4B">
            <w:pPr>
              <w:pStyle w:val="NoSpacing"/>
              <w:jc w:val="right"/>
            </w:pPr>
            <w:r>
              <w:t>54,908</w:t>
            </w:r>
          </w:p>
        </w:tc>
        <w:tc>
          <w:tcPr>
            <w:tcW w:w="2268" w:type="dxa"/>
          </w:tcPr>
          <w:p w:rsidR="00847A96" w:rsidRDefault="00C14B4B" w:rsidP="00C14B4B">
            <w:pPr>
              <w:pStyle w:val="NoSpacing"/>
              <w:jc w:val="right"/>
            </w:pPr>
            <w:r>
              <w:t>-</w:t>
            </w:r>
          </w:p>
        </w:tc>
        <w:tc>
          <w:tcPr>
            <w:tcW w:w="1984" w:type="dxa"/>
          </w:tcPr>
          <w:p w:rsidR="00847A96" w:rsidRDefault="00C14B4B" w:rsidP="00C14B4B">
            <w:pPr>
              <w:pStyle w:val="NoSpacing"/>
              <w:jc w:val="right"/>
            </w:pPr>
            <w:r>
              <w:t>-</w:t>
            </w:r>
          </w:p>
        </w:tc>
        <w:tc>
          <w:tcPr>
            <w:tcW w:w="1701" w:type="dxa"/>
          </w:tcPr>
          <w:p w:rsidR="00847A96" w:rsidRDefault="00C14B4B" w:rsidP="00C14B4B">
            <w:pPr>
              <w:pStyle w:val="NoSpacing"/>
              <w:jc w:val="right"/>
            </w:pPr>
            <w:r>
              <w:t>54,908</w:t>
            </w:r>
          </w:p>
        </w:tc>
      </w:tr>
      <w:tr w:rsidR="00847A96" w:rsidTr="00847A96">
        <w:tc>
          <w:tcPr>
            <w:tcW w:w="2552" w:type="dxa"/>
          </w:tcPr>
          <w:p w:rsidR="00847A96" w:rsidRDefault="00794AEB" w:rsidP="00F02D69">
            <w:pPr>
              <w:pStyle w:val="NoSpacing"/>
            </w:pPr>
            <w:r>
              <w:t>Receivables</w:t>
            </w:r>
          </w:p>
        </w:tc>
        <w:tc>
          <w:tcPr>
            <w:tcW w:w="2127" w:type="dxa"/>
          </w:tcPr>
          <w:p w:rsidR="00847A96" w:rsidRDefault="00C14B4B" w:rsidP="00C14B4B">
            <w:pPr>
              <w:pStyle w:val="NoSpacing"/>
              <w:jc w:val="right"/>
            </w:pPr>
            <w:r>
              <w:t>2</w:t>
            </w:r>
          </w:p>
        </w:tc>
        <w:tc>
          <w:tcPr>
            <w:tcW w:w="2268" w:type="dxa"/>
          </w:tcPr>
          <w:p w:rsidR="00847A96" w:rsidRDefault="00C14B4B" w:rsidP="00C14B4B">
            <w:pPr>
              <w:pStyle w:val="NoSpacing"/>
              <w:jc w:val="right"/>
            </w:pPr>
            <w:r>
              <w:t>8,174</w:t>
            </w:r>
          </w:p>
        </w:tc>
        <w:tc>
          <w:tcPr>
            <w:tcW w:w="1984" w:type="dxa"/>
          </w:tcPr>
          <w:p w:rsidR="00847A96" w:rsidRDefault="00C14B4B" w:rsidP="00C14B4B">
            <w:pPr>
              <w:pStyle w:val="NoSpacing"/>
              <w:jc w:val="right"/>
            </w:pPr>
            <w:r>
              <w:t>7,596</w:t>
            </w:r>
          </w:p>
        </w:tc>
        <w:tc>
          <w:tcPr>
            <w:tcW w:w="1701" w:type="dxa"/>
          </w:tcPr>
          <w:p w:rsidR="00847A96" w:rsidRDefault="00C14B4B" w:rsidP="00C14B4B">
            <w:pPr>
              <w:pStyle w:val="NoSpacing"/>
              <w:jc w:val="right"/>
            </w:pPr>
            <w:r>
              <w:t>15,772</w:t>
            </w:r>
          </w:p>
        </w:tc>
      </w:tr>
      <w:tr w:rsidR="00847A96" w:rsidTr="00847A96">
        <w:tc>
          <w:tcPr>
            <w:tcW w:w="2552" w:type="dxa"/>
          </w:tcPr>
          <w:p w:rsidR="00847A96" w:rsidRDefault="00794AEB" w:rsidP="00F02D69">
            <w:pPr>
              <w:pStyle w:val="NoSpacing"/>
            </w:pPr>
            <w:r>
              <w:lastRenderedPageBreak/>
              <w:t>Investments and other financial assets</w:t>
            </w:r>
          </w:p>
        </w:tc>
        <w:tc>
          <w:tcPr>
            <w:tcW w:w="2127" w:type="dxa"/>
          </w:tcPr>
          <w:p w:rsidR="00847A96" w:rsidRDefault="00C14B4B" w:rsidP="00C14B4B">
            <w:pPr>
              <w:pStyle w:val="NoSpacing"/>
              <w:jc w:val="right"/>
            </w:pPr>
            <w:r>
              <w:t>516</w:t>
            </w:r>
          </w:p>
        </w:tc>
        <w:tc>
          <w:tcPr>
            <w:tcW w:w="2268" w:type="dxa"/>
          </w:tcPr>
          <w:p w:rsidR="00847A96" w:rsidRDefault="00C14B4B" w:rsidP="00C14B4B">
            <w:pPr>
              <w:pStyle w:val="NoSpacing"/>
              <w:jc w:val="right"/>
            </w:pPr>
            <w:r>
              <w:t>-</w:t>
            </w:r>
          </w:p>
        </w:tc>
        <w:tc>
          <w:tcPr>
            <w:tcW w:w="1984" w:type="dxa"/>
          </w:tcPr>
          <w:p w:rsidR="00847A96" w:rsidRDefault="00C14B4B" w:rsidP="00C14B4B">
            <w:pPr>
              <w:pStyle w:val="NoSpacing"/>
              <w:jc w:val="right"/>
            </w:pPr>
            <w:r>
              <w:t>-</w:t>
            </w:r>
          </w:p>
        </w:tc>
        <w:tc>
          <w:tcPr>
            <w:tcW w:w="1701" w:type="dxa"/>
          </w:tcPr>
          <w:p w:rsidR="00847A96" w:rsidRDefault="00C14B4B" w:rsidP="00C14B4B">
            <w:pPr>
              <w:pStyle w:val="NoSpacing"/>
              <w:jc w:val="right"/>
            </w:pPr>
            <w:r>
              <w:t>516</w:t>
            </w:r>
          </w:p>
        </w:tc>
      </w:tr>
      <w:tr w:rsidR="00847A96" w:rsidTr="00847A96">
        <w:tc>
          <w:tcPr>
            <w:tcW w:w="2552" w:type="dxa"/>
          </w:tcPr>
          <w:p w:rsidR="00847A96" w:rsidRDefault="00794AEB" w:rsidP="00F02D69">
            <w:pPr>
              <w:pStyle w:val="NoSpacing"/>
            </w:pPr>
            <w:r>
              <w:t>Total contractual financial assets</w:t>
            </w:r>
          </w:p>
        </w:tc>
        <w:tc>
          <w:tcPr>
            <w:tcW w:w="2127" w:type="dxa"/>
          </w:tcPr>
          <w:p w:rsidR="00847A96" w:rsidRDefault="00C14B4B" w:rsidP="00C14B4B">
            <w:pPr>
              <w:pStyle w:val="NoSpacing"/>
              <w:jc w:val="right"/>
            </w:pPr>
            <w:r>
              <w:t>55,426</w:t>
            </w:r>
          </w:p>
        </w:tc>
        <w:tc>
          <w:tcPr>
            <w:tcW w:w="2268" w:type="dxa"/>
          </w:tcPr>
          <w:p w:rsidR="00847A96" w:rsidRDefault="00C14B4B" w:rsidP="00C14B4B">
            <w:pPr>
              <w:pStyle w:val="NoSpacing"/>
              <w:jc w:val="right"/>
            </w:pPr>
            <w:r>
              <w:t>8,174</w:t>
            </w:r>
          </w:p>
        </w:tc>
        <w:tc>
          <w:tcPr>
            <w:tcW w:w="1984" w:type="dxa"/>
          </w:tcPr>
          <w:p w:rsidR="00847A96" w:rsidRDefault="00C14B4B" w:rsidP="00C14B4B">
            <w:pPr>
              <w:pStyle w:val="NoSpacing"/>
              <w:jc w:val="right"/>
            </w:pPr>
            <w:r>
              <w:t>7,596</w:t>
            </w:r>
          </w:p>
        </w:tc>
        <w:tc>
          <w:tcPr>
            <w:tcW w:w="1701" w:type="dxa"/>
          </w:tcPr>
          <w:p w:rsidR="00847A96" w:rsidRDefault="00C14B4B" w:rsidP="00C14B4B">
            <w:pPr>
              <w:pStyle w:val="NoSpacing"/>
              <w:jc w:val="right"/>
            </w:pPr>
            <w:r>
              <w:t>71,196</w:t>
            </w:r>
          </w:p>
        </w:tc>
      </w:tr>
    </w:tbl>
    <w:p w:rsidR="002321BF" w:rsidRDefault="002321BF" w:rsidP="00F02D69">
      <w:pPr>
        <w:pStyle w:val="NoSpacing"/>
      </w:pPr>
    </w:p>
    <w:tbl>
      <w:tblPr>
        <w:tblStyle w:val="TableGrid"/>
        <w:tblW w:w="10632" w:type="dxa"/>
        <w:tblInd w:w="-856" w:type="dxa"/>
        <w:tblLook w:val="04A0" w:firstRow="1" w:lastRow="0" w:firstColumn="1" w:lastColumn="0" w:noHBand="0" w:noVBand="1"/>
      </w:tblPr>
      <w:tblGrid>
        <w:gridCol w:w="2552"/>
        <w:gridCol w:w="2127"/>
        <w:gridCol w:w="2268"/>
        <w:gridCol w:w="1984"/>
        <w:gridCol w:w="1701"/>
      </w:tblGrid>
      <w:tr w:rsidR="00794AEB" w:rsidTr="00730D00">
        <w:tc>
          <w:tcPr>
            <w:tcW w:w="10632" w:type="dxa"/>
            <w:gridSpan w:val="5"/>
          </w:tcPr>
          <w:p w:rsidR="00794AEB" w:rsidRDefault="00794AEB" w:rsidP="00794AEB">
            <w:pPr>
              <w:pStyle w:val="NoSpacing"/>
            </w:pPr>
            <w:r>
              <w:t>Consolidated 2018</w:t>
            </w:r>
          </w:p>
        </w:tc>
      </w:tr>
      <w:tr w:rsidR="00794AEB" w:rsidTr="00730D00">
        <w:tc>
          <w:tcPr>
            <w:tcW w:w="2552" w:type="dxa"/>
          </w:tcPr>
          <w:p w:rsidR="00794AEB" w:rsidRDefault="00794AEB" w:rsidP="00794AEB">
            <w:pPr>
              <w:pStyle w:val="NoSpacing"/>
            </w:pPr>
            <w:r>
              <w:t xml:space="preserve">Cash and deposits </w:t>
            </w:r>
          </w:p>
        </w:tc>
        <w:tc>
          <w:tcPr>
            <w:tcW w:w="2127" w:type="dxa"/>
          </w:tcPr>
          <w:p w:rsidR="00794AEB" w:rsidRDefault="00C14B4B" w:rsidP="00C14B4B">
            <w:pPr>
              <w:pStyle w:val="NoSpacing"/>
              <w:jc w:val="right"/>
            </w:pPr>
            <w:r>
              <w:t>5,505</w:t>
            </w:r>
          </w:p>
        </w:tc>
        <w:tc>
          <w:tcPr>
            <w:tcW w:w="2268" w:type="dxa"/>
          </w:tcPr>
          <w:p w:rsidR="00794AEB" w:rsidRDefault="00C14B4B" w:rsidP="00C14B4B">
            <w:pPr>
              <w:pStyle w:val="NoSpacing"/>
              <w:jc w:val="right"/>
            </w:pPr>
            <w:r>
              <w:t>30,833</w:t>
            </w:r>
          </w:p>
        </w:tc>
        <w:tc>
          <w:tcPr>
            <w:tcW w:w="1984" w:type="dxa"/>
          </w:tcPr>
          <w:p w:rsidR="00794AEB" w:rsidRDefault="00C14B4B" w:rsidP="00C14B4B">
            <w:pPr>
              <w:pStyle w:val="NoSpacing"/>
              <w:jc w:val="right"/>
            </w:pPr>
            <w:r>
              <w:t>-</w:t>
            </w:r>
          </w:p>
        </w:tc>
        <w:tc>
          <w:tcPr>
            <w:tcW w:w="1701" w:type="dxa"/>
          </w:tcPr>
          <w:p w:rsidR="00794AEB" w:rsidRDefault="00C14B4B" w:rsidP="00C14B4B">
            <w:pPr>
              <w:pStyle w:val="NoSpacing"/>
              <w:jc w:val="right"/>
            </w:pPr>
            <w:r>
              <w:t>36,338</w:t>
            </w:r>
          </w:p>
        </w:tc>
      </w:tr>
      <w:tr w:rsidR="00794AEB" w:rsidTr="00730D00">
        <w:tc>
          <w:tcPr>
            <w:tcW w:w="2552" w:type="dxa"/>
          </w:tcPr>
          <w:p w:rsidR="00794AEB" w:rsidRDefault="00794AEB" w:rsidP="00794AEB">
            <w:pPr>
              <w:pStyle w:val="NoSpacing"/>
            </w:pPr>
            <w:r>
              <w:t>Receivables</w:t>
            </w:r>
          </w:p>
        </w:tc>
        <w:tc>
          <w:tcPr>
            <w:tcW w:w="2127" w:type="dxa"/>
          </w:tcPr>
          <w:p w:rsidR="00794AEB" w:rsidRDefault="00C14B4B" w:rsidP="00C14B4B">
            <w:pPr>
              <w:pStyle w:val="NoSpacing"/>
              <w:jc w:val="right"/>
            </w:pPr>
            <w:r>
              <w:t>-</w:t>
            </w:r>
          </w:p>
        </w:tc>
        <w:tc>
          <w:tcPr>
            <w:tcW w:w="2268" w:type="dxa"/>
          </w:tcPr>
          <w:p w:rsidR="00794AEB" w:rsidRDefault="00C14B4B" w:rsidP="00C14B4B">
            <w:pPr>
              <w:pStyle w:val="NoSpacing"/>
              <w:jc w:val="right"/>
            </w:pPr>
            <w:r>
              <w:t>8,224</w:t>
            </w:r>
          </w:p>
        </w:tc>
        <w:tc>
          <w:tcPr>
            <w:tcW w:w="1984" w:type="dxa"/>
          </w:tcPr>
          <w:p w:rsidR="00794AEB" w:rsidRDefault="00C14B4B" w:rsidP="00C14B4B">
            <w:pPr>
              <w:pStyle w:val="NoSpacing"/>
              <w:jc w:val="right"/>
            </w:pPr>
            <w:r>
              <w:t>7,352</w:t>
            </w:r>
          </w:p>
        </w:tc>
        <w:tc>
          <w:tcPr>
            <w:tcW w:w="1701" w:type="dxa"/>
          </w:tcPr>
          <w:p w:rsidR="00794AEB" w:rsidRDefault="00C14B4B" w:rsidP="00C14B4B">
            <w:pPr>
              <w:pStyle w:val="NoSpacing"/>
              <w:jc w:val="right"/>
            </w:pPr>
            <w:r>
              <w:t>16,576</w:t>
            </w:r>
          </w:p>
        </w:tc>
      </w:tr>
      <w:tr w:rsidR="00794AEB" w:rsidTr="00730D00">
        <w:tc>
          <w:tcPr>
            <w:tcW w:w="2552" w:type="dxa"/>
          </w:tcPr>
          <w:p w:rsidR="00794AEB" w:rsidRDefault="00794AEB" w:rsidP="00794AEB">
            <w:pPr>
              <w:pStyle w:val="NoSpacing"/>
            </w:pPr>
            <w:r>
              <w:t>Investments and other financial assets</w:t>
            </w:r>
          </w:p>
        </w:tc>
        <w:tc>
          <w:tcPr>
            <w:tcW w:w="2127" w:type="dxa"/>
          </w:tcPr>
          <w:p w:rsidR="00794AEB" w:rsidRDefault="00C14B4B" w:rsidP="00C14B4B">
            <w:pPr>
              <w:pStyle w:val="NoSpacing"/>
              <w:jc w:val="right"/>
            </w:pPr>
            <w:r>
              <w:t>-</w:t>
            </w:r>
          </w:p>
        </w:tc>
        <w:tc>
          <w:tcPr>
            <w:tcW w:w="2268" w:type="dxa"/>
          </w:tcPr>
          <w:p w:rsidR="00794AEB" w:rsidRDefault="00C14B4B" w:rsidP="00C14B4B">
            <w:pPr>
              <w:pStyle w:val="NoSpacing"/>
              <w:jc w:val="right"/>
            </w:pPr>
            <w:r>
              <w:t>25,881</w:t>
            </w:r>
          </w:p>
        </w:tc>
        <w:tc>
          <w:tcPr>
            <w:tcW w:w="1984" w:type="dxa"/>
          </w:tcPr>
          <w:p w:rsidR="00794AEB" w:rsidRDefault="00C14B4B" w:rsidP="00C14B4B">
            <w:pPr>
              <w:pStyle w:val="NoSpacing"/>
              <w:jc w:val="right"/>
            </w:pPr>
            <w:r>
              <w:t>506</w:t>
            </w:r>
          </w:p>
        </w:tc>
        <w:tc>
          <w:tcPr>
            <w:tcW w:w="1701" w:type="dxa"/>
          </w:tcPr>
          <w:p w:rsidR="00794AEB" w:rsidRDefault="00C14B4B" w:rsidP="00C14B4B">
            <w:pPr>
              <w:pStyle w:val="NoSpacing"/>
              <w:jc w:val="right"/>
            </w:pPr>
            <w:r>
              <w:t>26,387</w:t>
            </w:r>
          </w:p>
        </w:tc>
      </w:tr>
      <w:tr w:rsidR="00794AEB" w:rsidTr="00730D00">
        <w:tc>
          <w:tcPr>
            <w:tcW w:w="2552" w:type="dxa"/>
          </w:tcPr>
          <w:p w:rsidR="00794AEB" w:rsidRDefault="00794AEB" w:rsidP="00794AEB">
            <w:pPr>
              <w:pStyle w:val="NoSpacing"/>
            </w:pPr>
            <w:r>
              <w:t>Total contractual financial assets</w:t>
            </w:r>
          </w:p>
        </w:tc>
        <w:tc>
          <w:tcPr>
            <w:tcW w:w="2127" w:type="dxa"/>
          </w:tcPr>
          <w:p w:rsidR="00794AEB" w:rsidRDefault="00C14B4B" w:rsidP="00C14B4B">
            <w:pPr>
              <w:pStyle w:val="NoSpacing"/>
              <w:jc w:val="right"/>
            </w:pPr>
            <w:r>
              <w:t>5,505</w:t>
            </w:r>
          </w:p>
        </w:tc>
        <w:tc>
          <w:tcPr>
            <w:tcW w:w="2268" w:type="dxa"/>
          </w:tcPr>
          <w:p w:rsidR="00794AEB" w:rsidRDefault="00C14B4B" w:rsidP="00C14B4B">
            <w:pPr>
              <w:pStyle w:val="NoSpacing"/>
              <w:jc w:val="right"/>
            </w:pPr>
            <w:r>
              <w:t>64,938</w:t>
            </w:r>
          </w:p>
        </w:tc>
        <w:tc>
          <w:tcPr>
            <w:tcW w:w="1984" w:type="dxa"/>
          </w:tcPr>
          <w:p w:rsidR="00794AEB" w:rsidRDefault="00C14B4B" w:rsidP="00C14B4B">
            <w:pPr>
              <w:pStyle w:val="NoSpacing"/>
              <w:jc w:val="right"/>
            </w:pPr>
            <w:r>
              <w:t>8,858</w:t>
            </w:r>
          </w:p>
        </w:tc>
        <w:tc>
          <w:tcPr>
            <w:tcW w:w="1701" w:type="dxa"/>
          </w:tcPr>
          <w:p w:rsidR="00794AEB" w:rsidRDefault="00C14B4B" w:rsidP="00C14B4B">
            <w:pPr>
              <w:pStyle w:val="NoSpacing"/>
              <w:jc w:val="right"/>
            </w:pPr>
            <w:r>
              <w:t>79,301</w:t>
            </w:r>
          </w:p>
        </w:tc>
      </w:tr>
    </w:tbl>
    <w:p w:rsidR="00794AEB" w:rsidRDefault="00794AEB" w:rsidP="00F02D69">
      <w:pPr>
        <w:pStyle w:val="NoSpacing"/>
      </w:pPr>
    </w:p>
    <w:p w:rsidR="00794AEB" w:rsidRDefault="00C14B4B" w:rsidP="00F02D69">
      <w:pPr>
        <w:pStyle w:val="NoSpacing"/>
      </w:pPr>
      <w:r>
        <w:t>&lt;page 81&gt;</w:t>
      </w:r>
    </w:p>
    <w:p w:rsidR="00C14B4B" w:rsidRDefault="00C14B4B" w:rsidP="00F02D69">
      <w:pPr>
        <w:pStyle w:val="NoSpacing"/>
      </w:pPr>
    </w:p>
    <w:p w:rsidR="00C14B4B" w:rsidRDefault="00C14B4B" w:rsidP="00C14B4B">
      <w:pPr>
        <w:pStyle w:val="Heading2"/>
      </w:pPr>
      <w:r>
        <w:t>7. Managing risks and uncertainties</w:t>
      </w:r>
    </w:p>
    <w:p w:rsidR="0028573F" w:rsidRDefault="0028573F" w:rsidP="0028573F">
      <w:pPr>
        <w:pStyle w:val="NoSpacing"/>
      </w:pPr>
    </w:p>
    <w:p w:rsidR="00C14B4B" w:rsidRDefault="00C14B4B" w:rsidP="00C14B4B">
      <w:pPr>
        <w:pStyle w:val="Heading3"/>
      </w:pPr>
      <w:r>
        <w:t xml:space="preserve">7.1 Financial Instruments (continued) </w:t>
      </w:r>
    </w:p>
    <w:p w:rsidR="00C14B4B" w:rsidRDefault="00C14B4B" w:rsidP="00F02D69">
      <w:pPr>
        <w:pStyle w:val="NoSpacing"/>
      </w:pPr>
    </w:p>
    <w:p w:rsidR="00C14B4B" w:rsidRDefault="00C14B4B" w:rsidP="0028573F">
      <w:pPr>
        <w:pStyle w:val="Heading4"/>
      </w:pPr>
      <w:r>
        <w:t>Credit quality of contractual financial assets that are neither passed due nor impaired (continued)</w:t>
      </w:r>
    </w:p>
    <w:p w:rsidR="00C14B4B" w:rsidRDefault="00C14B4B" w:rsidP="00F02D69">
      <w:pPr>
        <w:pStyle w:val="NoSpacing"/>
      </w:pPr>
    </w:p>
    <w:tbl>
      <w:tblPr>
        <w:tblStyle w:val="TableGrid"/>
        <w:tblW w:w="10632" w:type="dxa"/>
        <w:tblInd w:w="-856" w:type="dxa"/>
        <w:tblLook w:val="04A0" w:firstRow="1" w:lastRow="0" w:firstColumn="1" w:lastColumn="0" w:noHBand="0" w:noVBand="1"/>
      </w:tblPr>
      <w:tblGrid>
        <w:gridCol w:w="2552"/>
        <w:gridCol w:w="2127"/>
        <w:gridCol w:w="2268"/>
        <w:gridCol w:w="1984"/>
        <w:gridCol w:w="1701"/>
      </w:tblGrid>
      <w:tr w:rsidR="00794AEB" w:rsidTr="00730D00">
        <w:trPr>
          <w:gridBefore w:val="1"/>
          <w:wBefore w:w="2552" w:type="dxa"/>
        </w:trPr>
        <w:tc>
          <w:tcPr>
            <w:tcW w:w="2127" w:type="dxa"/>
          </w:tcPr>
          <w:p w:rsidR="00794AEB" w:rsidRDefault="00794AEB" w:rsidP="00730D00">
            <w:pPr>
              <w:pStyle w:val="NoSpacing"/>
              <w:jc w:val="right"/>
            </w:pPr>
            <w:r>
              <w:t>Financial institutions (AA-rating)</w:t>
            </w:r>
          </w:p>
        </w:tc>
        <w:tc>
          <w:tcPr>
            <w:tcW w:w="2268" w:type="dxa"/>
          </w:tcPr>
          <w:p w:rsidR="00794AEB" w:rsidRDefault="00794AEB" w:rsidP="00730D00">
            <w:pPr>
              <w:pStyle w:val="NoSpacing"/>
              <w:jc w:val="right"/>
            </w:pPr>
            <w:r>
              <w:t>Government agencies (AAA rating)</w:t>
            </w:r>
          </w:p>
        </w:tc>
        <w:tc>
          <w:tcPr>
            <w:tcW w:w="1984" w:type="dxa"/>
          </w:tcPr>
          <w:p w:rsidR="00794AEB" w:rsidRDefault="00794AEB" w:rsidP="00730D00">
            <w:pPr>
              <w:pStyle w:val="NoSpacing"/>
              <w:jc w:val="right"/>
            </w:pPr>
            <w:r>
              <w:t>Other counterparty</w:t>
            </w:r>
          </w:p>
        </w:tc>
        <w:tc>
          <w:tcPr>
            <w:tcW w:w="1701" w:type="dxa"/>
          </w:tcPr>
          <w:p w:rsidR="00794AEB" w:rsidRDefault="00794AEB" w:rsidP="00730D00">
            <w:pPr>
              <w:pStyle w:val="NoSpacing"/>
              <w:jc w:val="right"/>
            </w:pPr>
            <w:r>
              <w:t xml:space="preserve">Total </w:t>
            </w:r>
          </w:p>
        </w:tc>
      </w:tr>
      <w:tr w:rsidR="00794AEB" w:rsidTr="00730D00">
        <w:trPr>
          <w:gridBefore w:val="1"/>
          <w:wBefore w:w="2552" w:type="dxa"/>
        </w:trPr>
        <w:tc>
          <w:tcPr>
            <w:tcW w:w="2127" w:type="dxa"/>
          </w:tcPr>
          <w:p w:rsidR="00794AEB" w:rsidRDefault="00794AEB" w:rsidP="00730D00">
            <w:pPr>
              <w:pStyle w:val="NoSpacing"/>
              <w:jc w:val="right"/>
            </w:pPr>
            <w:r>
              <w:t>$’000</w:t>
            </w:r>
          </w:p>
        </w:tc>
        <w:tc>
          <w:tcPr>
            <w:tcW w:w="2268" w:type="dxa"/>
          </w:tcPr>
          <w:p w:rsidR="00794AEB" w:rsidRDefault="00794AEB" w:rsidP="00730D00">
            <w:pPr>
              <w:jc w:val="right"/>
            </w:pPr>
            <w:r w:rsidRPr="003E7B08">
              <w:t>$’000</w:t>
            </w:r>
          </w:p>
        </w:tc>
        <w:tc>
          <w:tcPr>
            <w:tcW w:w="1984" w:type="dxa"/>
          </w:tcPr>
          <w:p w:rsidR="00794AEB" w:rsidRDefault="00794AEB" w:rsidP="00730D00">
            <w:pPr>
              <w:jc w:val="right"/>
            </w:pPr>
            <w:r w:rsidRPr="003E7B08">
              <w:t>$’000</w:t>
            </w:r>
          </w:p>
        </w:tc>
        <w:tc>
          <w:tcPr>
            <w:tcW w:w="1701" w:type="dxa"/>
          </w:tcPr>
          <w:p w:rsidR="00794AEB" w:rsidRDefault="00794AEB" w:rsidP="00730D00">
            <w:pPr>
              <w:jc w:val="right"/>
            </w:pPr>
            <w:r w:rsidRPr="003E7B08">
              <w:t>$’000</w:t>
            </w:r>
          </w:p>
        </w:tc>
      </w:tr>
      <w:tr w:rsidR="00794AEB" w:rsidTr="00730D00">
        <w:tc>
          <w:tcPr>
            <w:tcW w:w="10632" w:type="dxa"/>
            <w:gridSpan w:val="5"/>
          </w:tcPr>
          <w:p w:rsidR="00794AEB" w:rsidRDefault="00794AEB" w:rsidP="00794AEB">
            <w:pPr>
              <w:pStyle w:val="NoSpacing"/>
            </w:pPr>
            <w:r>
              <w:t>Chisholm 2019</w:t>
            </w:r>
          </w:p>
        </w:tc>
      </w:tr>
      <w:tr w:rsidR="00794AEB" w:rsidTr="00730D00">
        <w:tc>
          <w:tcPr>
            <w:tcW w:w="2552" w:type="dxa"/>
          </w:tcPr>
          <w:p w:rsidR="00794AEB" w:rsidRDefault="00794AEB" w:rsidP="00730D00">
            <w:pPr>
              <w:pStyle w:val="NoSpacing"/>
            </w:pPr>
            <w:r>
              <w:t>Cash and deposits</w:t>
            </w:r>
          </w:p>
        </w:tc>
        <w:tc>
          <w:tcPr>
            <w:tcW w:w="2127" w:type="dxa"/>
          </w:tcPr>
          <w:p w:rsidR="00794AEB" w:rsidRDefault="00C14B4B" w:rsidP="00C14B4B">
            <w:pPr>
              <w:pStyle w:val="NoSpacing"/>
              <w:jc w:val="right"/>
            </w:pPr>
            <w:r>
              <w:t>54,099</w:t>
            </w:r>
          </w:p>
        </w:tc>
        <w:tc>
          <w:tcPr>
            <w:tcW w:w="2268" w:type="dxa"/>
          </w:tcPr>
          <w:p w:rsidR="00794AEB" w:rsidRDefault="00C14B4B" w:rsidP="00C14B4B">
            <w:pPr>
              <w:pStyle w:val="NoSpacing"/>
              <w:jc w:val="right"/>
            </w:pPr>
            <w:r>
              <w:t>-</w:t>
            </w:r>
          </w:p>
        </w:tc>
        <w:tc>
          <w:tcPr>
            <w:tcW w:w="1984" w:type="dxa"/>
          </w:tcPr>
          <w:p w:rsidR="00794AEB" w:rsidRDefault="00C14B4B" w:rsidP="00C14B4B">
            <w:pPr>
              <w:pStyle w:val="NoSpacing"/>
              <w:jc w:val="right"/>
            </w:pPr>
            <w:r>
              <w:t>-</w:t>
            </w:r>
          </w:p>
        </w:tc>
        <w:tc>
          <w:tcPr>
            <w:tcW w:w="1701" w:type="dxa"/>
          </w:tcPr>
          <w:p w:rsidR="00794AEB" w:rsidRDefault="00C14B4B" w:rsidP="00C14B4B">
            <w:pPr>
              <w:pStyle w:val="NoSpacing"/>
              <w:jc w:val="right"/>
            </w:pPr>
            <w:r>
              <w:t>54,099</w:t>
            </w:r>
          </w:p>
        </w:tc>
      </w:tr>
      <w:tr w:rsidR="00794AEB" w:rsidTr="00730D00">
        <w:tc>
          <w:tcPr>
            <w:tcW w:w="2552" w:type="dxa"/>
          </w:tcPr>
          <w:p w:rsidR="00794AEB" w:rsidRDefault="00794AEB" w:rsidP="00730D00">
            <w:pPr>
              <w:pStyle w:val="NoSpacing"/>
            </w:pPr>
            <w:r>
              <w:t>Receivables</w:t>
            </w:r>
          </w:p>
        </w:tc>
        <w:tc>
          <w:tcPr>
            <w:tcW w:w="2127" w:type="dxa"/>
          </w:tcPr>
          <w:p w:rsidR="00794AEB" w:rsidRDefault="00C14B4B" w:rsidP="00C14B4B">
            <w:pPr>
              <w:pStyle w:val="NoSpacing"/>
              <w:jc w:val="right"/>
            </w:pPr>
            <w:r>
              <w:t>2</w:t>
            </w:r>
          </w:p>
        </w:tc>
        <w:tc>
          <w:tcPr>
            <w:tcW w:w="2268" w:type="dxa"/>
          </w:tcPr>
          <w:p w:rsidR="00794AEB" w:rsidRDefault="00C14B4B" w:rsidP="00C14B4B">
            <w:pPr>
              <w:pStyle w:val="NoSpacing"/>
              <w:jc w:val="right"/>
            </w:pPr>
            <w:r>
              <w:t>6,920</w:t>
            </w:r>
          </w:p>
        </w:tc>
        <w:tc>
          <w:tcPr>
            <w:tcW w:w="1984" w:type="dxa"/>
          </w:tcPr>
          <w:p w:rsidR="00794AEB" w:rsidRDefault="00C14B4B" w:rsidP="00C14B4B">
            <w:pPr>
              <w:pStyle w:val="NoSpacing"/>
              <w:jc w:val="right"/>
            </w:pPr>
            <w:r>
              <w:t>10,791</w:t>
            </w:r>
          </w:p>
        </w:tc>
        <w:tc>
          <w:tcPr>
            <w:tcW w:w="1701" w:type="dxa"/>
          </w:tcPr>
          <w:p w:rsidR="00794AEB" w:rsidRDefault="00C14B4B" w:rsidP="00C14B4B">
            <w:pPr>
              <w:pStyle w:val="NoSpacing"/>
              <w:jc w:val="right"/>
            </w:pPr>
            <w:r>
              <w:t>17,713</w:t>
            </w:r>
          </w:p>
        </w:tc>
      </w:tr>
      <w:tr w:rsidR="00794AEB" w:rsidTr="00730D00">
        <w:tc>
          <w:tcPr>
            <w:tcW w:w="2552" w:type="dxa"/>
          </w:tcPr>
          <w:p w:rsidR="00794AEB" w:rsidRDefault="00794AEB" w:rsidP="00730D00">
            <w:pPr>
              <w:pStyle w:val="NoSpacing"/>
            </w:pPr>
            <w:r>
              <w:t>Investments and other financial assets</w:t>
            </w:r>
          </w:p>
        </w:tc>
        <w:tc>
          <w:tcPr>
            <w:tcW w:w="2127" w:type="dxa"/>
          </w:tcPr>
          <w:p w:rsidR="00794AEB" w:rsidRDefault="00C14B4B" w:rsidP="00C14B4B">
            <w:pPr>
              <w:pStyle w:val="NoSpacing"/>
              <w:jc w:val="right"/>
            </w:pPr>
            <w:r>
              <w:t>-</w:t>
            </w:r>
          </w:p>
        </w:tc>
        <w:tc>
          <w:tcPr>
            <w:tcW w:w="2268" w:type="dxa"/>
          </w:tcPr>
          <w:p w:rsidR="00794AEB" w:rsidRDefault="00C14B4B" w:rsidP="00C14B4B">
            <w:pPr>
              <w:pStyle w:val="NoSpacing"/>
              <w:jc w:val="right"/>
            </w:pPr>
            <w:r>
              <w:t>-</w:t>
            </w:r>
          </w:p>
        </w:tc>
        <w:tc>
          <w:tcPr>
            <w:tcW w:w="1984" w:type="dxa"/>
          </w:tcPr>
          <w:p w:rsidR="00794AEB" w:rsidRDefault="00C14B4B" w:rsidP="00C14B4B">
            <w:pPr>
              <w:pStyle w:val="NoSpacing"/>
              <w:jc w:val="right"/>
            </w:pPr>
            <w:r>
              <w:t>-</w:t>
            </w:r>
          </w:p>
        </w:tc>
        <w:tc>
          <w:tcPr>
            <w:tcW w:w="1701" w:type="dxa"/>
          </w:tcPr>
          <w:p w:rsidR="00794AEB" w:rsidRDefault="00C14B4B" w:rsidP="00C14B4B">
            <w:pPr>
              <w:pStyle w:val="NoSpacing"/>
              <w:jc w:val="right"/>
            </w:pPr>
            <w:r>
              <w:t>-</w:t>
            </w:r>
          </w:p>
        </w:tc>
      </w:tr>
      <w:tr w:rsidR="00794AEB" w:rsidTr="00730D00">
        <w:tc>
          <w:tcPr>
            <w:tcW w:w="2552" w:type="dxa"/>
          </w:tcPr>
          <w:p w:rsidR="00794AEB" w:rsidRDefault="00794AEB" w:rsidP="00730D00">
            <w:pPr>
              <w:pStyle w:val="NoSpacing"/>
            </w:pPr>
            <w:r>
              <w:t>Total contractual financial assets</w:t>
            </w:r>
          </w:p>
        </w:tc>
        <w:tc>
          <w:tcPr>
            <w:tcW w:w="2127" w:type="dxa"/>
          </w:tcPr>
          <w:p w:rsidR="00794AEB" w:rsidRDefault="00C14B4B" w:rsidP="00C14B4B">
            <w:pPr>
              <w:pStyle w:val="NoSpacing"/>
              <w:jc w:val="right"/>
            </w:pPr>
            <w:r>
              <w:t>54,101</w:t>
            </w:r>
          </w:p>
        </w:tc>
        <w:tc>
          <w:tcPr>
            <w:tcW w:w="2268" w:type="dxa"/>
          </w:tcPr>
          <w:p w:rsidR="00794AEB" w:rsidRDefault="00C14B4B" w:rsidP="00C14B4B">
            <w:pPr>
              <w:pStyle w:val="NoSpacing"/>
              <w:jc w:val="right"/>
            </w:pPr>
            <w:r>
              <w:t>6,-920</w:t>
            </w:r>
          </w:p>
        </w:tc>
        <w:tc>
          <w:tcPr>
            <w:tcW w:w="1984" w:type="dxa"/>
          </w:tcPr>
          <w:p w:rsidR="00794AEB" w:rsidRDefault="00C14B4B" w:rsidP="00C14B4B">
            <w:pPr>
              <w:pStyle w:val="NoSpacing"/>
              <w:jc w:val="right"/>
            </w:pPr>
            <w:r>
              <w:t>10,791</w:t>
            </w:r>
          </w:p>
        </w:tc>
        <w:tc>
          <w:tcPr>
            <w:tcW w:w="1701" w:type="dxa"/>
          </w:tcPr>
          <w:p w:rsidR="00794AEB" w:rsidRDefault="00C14B4B" w:rsidP="00C14B4B">
            <w:pPr>
              <w:pStyle w:val="NoSpacing"/>
              <w:jc w:val="right"/>
            </w:pPr>
            <w:r>
              <w:t>71,812</w:t>
            </w:r>
          </w:p>
        </w:tc>
      </w:tr>
    </w:tbl>
    <w:p w:rsidR="00794AEB" w:rsidRDefault="00794AEB" w:rsidP="00794AEB">
      <w:pPr>
        <w:pStyle w:val="NoSpacing"/>
      </w:pPr>
    </w:p>
    <w:tbl>
      <w:tblPr>
        <w:tblStyle w:val="TableGrid"/>
        <w:tblW w:w="10632" w:type="dxa"/>
        <w:tblInd w:w="-856" w:type="dxa"/>
        <w:tblLook w:val="04A0" w:firstRow="1" w:lastRow="0" w:firstColumn="1" w:lastColumn="0" w:noHBand="0" w:noVBand="1"/>
      </w:tblPr>
      <w:tblGrid>
        <w:gridCol w:w="2552"/>
        <w:gridCol w:w="2127"/>
        <w:gridCol w:w="2268"/>
        <w:gridCol w:w="1984"/>
        <w:gridCol w:w="1701"/>
      </w:tblGrid>
      <w:tr w:rsidR="00794AEB" w:rsidTr="00730D00">
        <w:tc>
          <w:tcPr>
            <w:tcW w:w="10632" w:type="dxa"/>
            <w:gridSpan w:val="5"/>
          </w:tcPr>
          <w:p w:rsidR="00794AEB" w:rsidRDefault="00794AEB" w:rsidP="00730D00">
            <w:pPr>
              <w:pStyle w:val="NoSpacing"/>
            </w:pPr>
            <w:r>
              <w:t>Chisholm 2018</w:t>
            </w:r>
          </w:p>
        </w:tc>
      </w:tr>
      <w:tr w:rsidR="00794AEB" w:rsidTr="00730D00">
        <w:tc>
          <w:tcPr>
            <w:tcW w:w="2552" w:type="dxa"/>
          </w:tcPr>
          <w:p w:rsidR="00794AEB" w:rsidRDefault="00794AEB" w:rsidP="00794AEB">
            <w:pPr>
              <w:pStyle w:val="NoSpacing"/>
            </w:pPr>
            <w:r>
              <w:t>Cash and deposits</w:t>
            </w:r>
          </w:p>
        </w:tc>
        <w:tc>
          <w:tcPr>
            <w:tcW w:w="2127" w:type="dxa"/>
          </w:tcPr>
          <w:p w:rsidR="00794AEB" w:rsidRDefault="00C14B4B" w:rsidP="00C14B4B">
            <w:pPr>
              <w:pStyle w:val="NoSpacing"/>
              <w:jc w:val="right"/>
            </w:pPr>
            <w:r>
              <w:t>4,526</w:t>
            </w:r>
          </w:p>
        </w:tc>
        <w:tc>
          <w:tcPr>
            <w:tcW w:w="2268" w:type="dxa"/>
          </w:tcPr>
          <w:p w:rsidR="00794AEB" w:rsidRDefault="00C14B4B" w:rsidP="00C14B4B">
            <w:pPr>
              <w:pStyle w:val="NoSpacing"/>
              <w:jc w:val="right"/>
            </w:pPr>
            <w:r>
              <w:t>30,833</w:t>
            </w:r>
          </w:p>
        </w:tc>
        <w:tc>
          <w:tcPr>
            <w:tcW w:w="1984" w:type="dxa"/>
          </w:tcPr>
          <w:p w:rsidR="00794AEB" w:rsidRDefault="00C14B4B" w:rsidP="00C14B4B">
            <w:pPr>
              <w:pStyle w:val="NoSpacing"/>
              <w:jc w:val="right"/>
            </w:pPr>
            <w:r>
              <w:t>-</w:t>
            </w:r>
          </w:p>
        </w:tc>
        <w:tc>
          <w:tcPr>
            <w:tcW w:w="1701" w:type="dxa"/>
          </w:tcPr>
          <w:p w:rsidR="00794AEB" w:rsidRDefault="00C14B4B" w:rsidP="00C14B4B">
            <w:pPr>
              <w:pStyle w:val="NoSpacing"/>
              <w:jc w:val="right"/>
            </w:pPr>
            <w:r>
              <w:t>35,359</w:t>
            </w:r>
          </w:p>
        </w:tc>
      </w:tr>
      <w:tr w:rsidR="00794AEB" w:rsidTr="00730D00">
        <w:tc>
          <w:tcPr>
            <w:tcW w:w="2552" w:type="dxa"/>
          </w:tcPr>
          <w:p w:rsidR="00794AEB" w:rsidRDefault="00794AEB" w:rsidP="00794AEB">
            <w:pPr>
              <w:pStyle w:val="NoSpacing"/>
            </w:pPr>
            <w:r>
              <w:t>Receivables</w:t>
            </w:r>
          </w:p>
        </w:tc>
        <w:tc>
          <w:tcPr>
            <w:tcW w:w="2127" w:type="dxa"/>
          </w:tcPr>
          <w:p w:rsidR="00794AEB" w:rsidRDefault="00C14B4B" w:rsidP="00C14B4B">
            <w:pPr>
              <w:pStyle w:val="NoSpacing"/>
              <w:jc w:val="right"/>
            </w:pPr>
            <w:r>
              <w:t>1,780</w:t>
            </w:r>
          </w:p>
        </w:tc>
        <w:tc>
          <w:tcPr>
            <w:tcW w:w="2268" w:type="dxa"/>
          </w:tcPr>
          <w:p w:rsidR="00794AEB" w:rsidRDefault="00C14B4B" w:rsidP="00C14B4B">
            <w:pPr>
              <w:pStyle w:val="NoSpacing"/>
              <w:jc w:val="right"/>
            </w:pPr>
            <w:r>
              <w:t>5,209</w:t>
            </w:r>
          </w:p>
        </w:tc>
        <w:tc>
          <w:tcPr>
            <w:tcW w:w="1984" w:type="dxa"/>
          </w:tcPr>
          <w:p w:rsidR="00794AEB" w:rsidRDefault="00C14B4B" w:rsidP="00C14B4B">
            <w:pPr>
              <w:pStyle w:val="NoSpacing"/>
              <w:jc w:val="right"/>
            </w:pPr>
            <w:r>
              <w:t>12,466</w:t>
            </w:r>
          </w:p>
        </w:tc>
        <w:tc>
          <w:tcPr>
            <w:tcW w:w="1701" w:type="dxa"/>
          </w:tcPr>
          <w:p w:rsidR="00794AEB" w:rsidRDefault="00C14B4B" w:rsidP="00C14B4B">
            <w:pPr>
              <w:pStyle w:val="NoSpacing"/>
              <w:jc w:val="right"/>
            </w:pPr>
            <w:r>
              <w:t>19,455</w:t>
            </w:r>
          </w:p>
        </w:tc>
      </w:tr>
      <w:tr w:rsidR="00794AEB" w:rsidTr="00730D00">
        <w:tc>
          <w:tcPr>
            <w:tcW w:w="2552" w:type="dxa"/>
          </w:tcPr>
          <w:p w:rsidR="00794AEB" w:rsidRDefault="00794AEB" w:rsidP="00794AEB">
            <w:pPr>
              <w:pStyle w:val="NoSpacing"/>
            </w:pPr>
            <w:r>
              <w:t>Investments and other financial assets</w:t>
            </w:r>
          </w:p>
        </w:tc>
        <w:tc>
          <w:tcPr>
            <w:tcW w:w="2127" w:type="dxa"/>
          </w:tcPr>
          <w:p w:rsidR="00794AEB" w:rsidRDefault="00C14B4B" w:rsidP="00C14B4B">
            <w:pPr>
              <w:pStyle w:val="NoSpacing"/>
              <w:jc w:val="right"/>
            </w:pPr>
            <w:r>
              <w:t>-</w:t>
            </w:r>
          </w:p>
        </w:tc>
        <w:tc>
          <w:tcPr>
            <w:tcW w:w="2268" w:type="dxa"/>
          </w:tcPr>
          <w:p w:rsidR="00794AEB" w:rsidRDefault="00C14B4B" w:rsidP="00C14B4B">
            <w:pPr>
              <w:pStyle w:val="NoSpacing"/>
              <w:jc w:val="right"/>
            </w:pPr>
            <w:r>
              <w:t>25,000</w:t>
            </w:r>
          </w:p>
        </w:tc>
        <w:tc>
          <w:tcPr>
            <w:tcW w:w="1984" w:type="dxa"/>
          </w:tcPr>
          <w:p w:rsidR="00794AEB" w:rsidRDefault="00C14B4B" w:rsidP="00C14B4B">
            <w:pPr>
              <w:pStyle w:val="NoSpacing"/>
              <w:jc w:val="right"/>
            </w:pPr>
            <w:r>
              <w:t>-</w:t>
            </w:r>
          </w:p>
        </w:tc>
        <w:tc>
          <w:tcPr>
            <w:tcW w:w="1701" w:type="dxa"/>
          </w:tcPr>
          <w:p w:rsidR="00794AEB" w:rsidRDefault="00C14B4B" w:rsidP="00C14B4B">
            <w:pPr>
              <w:pStyle w:val="NoSpacing"/>
              <w:jc w:val="right"/>
            </w:pPr>
            <w:r>
              <w:t>25,000</w:t>
            </w:r>
          </w:p>
        </w:tc>
      </w:tr>
      <w:tr w:rsidR="00794AEB" w:rsidTr="00730D00">
        <w:tc>
          <w:tcPr>
            <w:tcW w:w="2552" w:type="dxa"/>
          </w:tcPr>
          <w:p w:rsidR="00794AEB" w:rsidRDefault="00794AEB" w:rsidP="00794AEB">
            <w:pPr>
              <w:pStyle w:val="NoSpacing"/>
            </w:pPr>
            <w:r>
              <w:t>Total contractual financial assets</w:t>
            </w:r>
          </w:p>
        </w:tc>
        <w:tc>
          <w:tcPr>
            <w:tcW w:w="2127" w:type="dxa"/>
          </w:tcPr>
          <w:p w:rsidR="00794AEB" w:rsidRDefault="00C14B4B" w:rsidP="00C14B4B">
            <w:pPr>
              <w:pStyle w:val="NoSpacing"/>
              <w:jc w:val="right"/>
            </w:pPr>
            <w:r>
              <w:t>6,306</w:t>
            </w:r>
          </w:p>
        </w:tc>
        <w:tc>
          <w:tcPr>
            <w:tcW w:w="2268" w:type="dxa"/>
          </w:tcPr>
          <w:p w:rsidR="00794AEB" w:rsidRDefault="00C14B4B" w:rsidP="00C14B4B">
            <w:pPr>
              <w:pStyle w:val="NoSpacing"/>
              <w:jc w:val="right"/>
            </w:pPr>
            <w:r>
              <w:t>61,042</w:t>
            </w:r>
          </w:p>
        </w:tc>
        <w:tc>
          <w:tcPr>
            <w:tcW w:w="1984" w:type="dxa"/>
          </w:tcPr>
          <w:p w:rsidR="00794AEB" w:rsidRDefault="00C14B4B" w:rsidP="00C14B4B">
            <w:pPr>
              <w:pStyle w:val="NoSpacing"/>
              <w:jc w:val="right"/>
            </w:pPr>
            <w:r>
              <w:t>12,466</w:t>
            </w:r>
          </w:p>
        </w:tc>
        <w:tc>
          <w:tcPr>
            <w:tcW w:w="1701" w:type="dxa"/>
          </w:tcPr>
          <w:p w:rsidR="00794AEB" w:rsidRDefault="00C14B4B" w:rsidP="00C14B4B">
            <w:pPr>
              <w:pStyle w:val="NoSpacing"/>
              <w:jc w:val="right"/>
            </w:pPr>
            <w:r>
              <w:t>79,814</w:t>
            </w:r>
          </w:p>
        </w:tc>
      </w:tr>
    </w:tbl>
    <w:p w:rsidR="00794AEB" w:rsidRDefault="00794AEB" w:rsidP="00F02D69">
      <w:pPr>
        <w:pStyle w:val="NoSpacing"/>
      </w:pPr>
    </w:p>
    <w:p w:rsidR="00BE6FF3" w:rsidRDefault="00C14B4B" w:rsidP="00F02D69">
      <w:pPr>
        <w:pStyle w:val="NoSpacing"/>
      </w:pPr>
      <w:r>
        <w:t>Note: The disclosures above exclude statutory receivables (e.g. amounts arising from Victorian Government and GST input credits).</w:t>
      </w:r>
    </w:p>
    <w:p w:rsidR="00C14B4B" w:rsidRDefault="00C14B4B" w:rsidP="00F02D69">
      <w:pPr>
        <w:pStyle w:val="NoSpacing"/>
      </w:pPr>
    </w:p>
    <w:p w:rsidR="00C14B4B" w:rsidRDefault="00C14B4B" w:rsidP="00F02D69">
      <w:pPr>
        <w:pStyle w:val="NoSpacing"/>
      </w:pPr>
      <w:r>
        <w:t>AASB 9 uses an ‘expected credit loss’ (ECL) model. Under this model, loss allowances are measured on either of the following bases:</w:t>
      </w:r>
    </w:p>
    <w:p w:rsidR="00C14B4B" w:rsidRDefault="00C14B4B" w:rsidP="00925530">
      <w:pPr>
        <w:pStyle w:val="NoSpacing"/>
        <w:numPr>
          <w:ilvl w:val="0"/>
          <w:numId w:val="56"/>
        </w:numPr>
      </w:pPr>
      <w:r>
        <w:t>12-month ECLs: these are ECLs that result from possible default events within the 12 months after the reporting date; and</w:t>
      </w:r>
    </w:p>
    <w:p w:rsidR="00C14B4B" w:rsidRDefault="00C14B4B" w:rsidP="00925530">
      <w:pPr>
        <w:pStyle w:val="NoSpacing"/>
        <w:numPr>
          <w:ilvl w:val="0"/>
          <w:numId w:val="56"/>
        </w:numPr>
      </w:pPr>
      <w:r>
        <w:t>Lifetime ECLs: these are ECLs that result from all possible default events over the expected life of a financial instrument.</w:t>
      </w:r>
    </w:p>
    <w:p w:rsidR="00C14B4B" w:rsidRDefault="00C14B4B" w:rsidP="00C14B4B">
      <w:pPr>
        <w:pStyle w:val="NoSpacing"/>
      </w:pPr>
    </w:p>
    <w:p w:rsidR="00C14B4B" w:rsidRDefault="00C14B4B" w:rsidP="00C14B4B">
      <w:pPr>
        <w:pStyle w:val="NoSpacing"/>
      </w:pPr>
      <w:r>
        <w:lastRenderedPageBreak/>
        <w:t>In measuring expected credit losses, trade receivables have been assessed on a collective basis as they possess shared credit risk characteristics. They have been grouped based on the days past due.</w:t>
      </w:r>
    </w:p>
    <w:p w:rsidR="00C14B4B" w:rsidRDefault="00C14B4B" w:rsidP="00C14B4B">
      <w:pPr>
        <w:pStyle w:val="NoSpacing"/>
      </w:pPr>
    </w:p>
    <w:p w:rsidR="00C14B4B" w:rsidRDefault="00C14B4B" w:rsidP="00C14B4B">
      <w:pPr>
        <w:pStyle w:val="NoSpacing"/>
      </w:pPr>
      <w:r>
        <w:t>The expected loss rates are based on the payment profiles for sales over the past 48 months before 31 December 2019 and the past 36 months before 1 January, as well as the corresponding historica</w:t>
      </w:r>
      <w:r w:rsidR="00C23BB8">
        <w:t xml:space="preserve">l </w:t>
      </w:r>
      <w:r w:rsidR="00CC6151">
        <w:t>credit losses during that period. The historical rates are adjusted to reflect current and forward-looking macroeconomic factors affecting the customers’ ability to settle the amount outstanding. Chisholm Group has identified gross domestic product (GDP) and unemployment rates of the countries in which the customers are domiciled to be the most relevant factors according adjusts historical loss rates for expected changes in these factors. However given the short period exposed to credit risk, the impact of these macroeconomic factors has not been considered significant within the reporting period.</w:t>
      </w:r>
    </w:p>
    <w:p w:rsidR="00CC6151" w:rsidRDefault="00CC6151" w:rsidP="00C14B4B">
      <w:pPr>
        <w:pStyle w:val="NoSpacing"/>
      </w:pPr>
    </w:p>
    <w:p w:rsidR="00C14B4B" w:rsidRDefault="00CC6151" w:rsidP="00F02D69">
      <w:pPr>
        <w:pStyle w:val="NoSpacing"/>
      </w:pPr>
      <w:r>
        <w:t>The following table provides information about the estimated exposure to credit risk and ECLs for trade and other receivables as at 31 December 2019:</w:t>
      </w:r>
    </w:p>
    <w:p w:rsidR="00C14B4B" w:rsidRDefault="00C14B4B" w:rsidP="00F02D69">
      <w:pPr>
        <w:pStyle w:val="NoSpacing"/>
        <w:sectPr w:rsidR="00C14B4B" w:rsidSect="00F02D69">
          <w:pgSz w:w="11906" w:h="16838"/>
          <w:pgMar w:top="1440" w:right="1440" w:bottom="1440" w:left="1440" w:header="709" w:footer="709" w:gutter="0"/>
          <w:cols w:space="708"/>
          <w:docGrid w:linePitch="360"/>
        </w:sectPr>
      </w:pPr>
    </w:p>
    <w:p w:rsidR="00BE6FF3" w:rsidRDefault="00BE6FF3" w:rsidP="00F02D69">
      <w:pPr>
        <w:pStyle w:val="NoSpacing"/>
      </w:pPr>
    </w:p>
    <w:tbl>
      <w:tblPr>
        <w:tblStyle w:val="TableGrid"/>
        <w:tblW w:w="15593" w:type="dxa"/>
        <w:tblInd w:w="-856" w:type="dxa"/>
        <w:tblLook w:val="04A0" w:firstRow="1" w:lastRow="0" w:firstColumn="1" w:lastColumn="0" w:noHBand="0" w:noVBand="1"/>
      </w:tblPr>
      <w:tblGrid>
        <w:gridCol w:w="4679"/>
        <w:gridCol w:w="2976"/>
        <w:gridCol w:w="2694"/>
        <w:gridCol w:w="2551"/>
        <w:gridCol w:w="2693"/>
      </w:tblGrid>
      <w:tr w:rsidR="00CC6151" w:rsidTr="005166DA">
        <w:trPr>
          <w:gridBefore w:val="1"/>
          <w:wBefore w:w="4679" w:type="dxa"/>
        </w:trPr>
        <w:tc>
          <w:tcPr>
            <w:tcW w:w="2976" w:type="dxa"/>
          </w:tcPr>
          <w:p w:rsidR="00CC6151" w:rsidRDefault="00CC6151" w:rsidP="005166DA">
            <w:pPr>
              <w:pStyle w:val="NoSpacing"/>
              <w:jc w:val="right"/>
            </w:pPr>
            <w:r>
              <w:t>Estimated gross carrying amount</w:t>
            </w:r>
          </w:p>
        </w:tc>
        <w:tc>
          <w:tcPr>
            <w:tcW w:w="2694" w:type="dxa"/>
          </w:tcPr>
          <w:p w:rsidR="00CC6151" w:rsidRDefault="005166DA" w:rsidP="005166DA">
            <w:pPr>
              <w:pStyle w:val="NoSpacing"/>
              <w:jc w:val="right"/>
            </w:pPr>
            <w:r>
              <w:t>Weighted average loss rate</w:t>
            </w:r>
          </w:p>
        </w:tc>
        <w:tc>
          <w:tcPr>
            <w:tcW w:w="2551" w:type="dxa"/>
          </w:tcPr>
          <w:p w:rsidR="00CC6151" w:rsidRDefault="005166DA" w:rsidP="005166DA">
            <w:pPr>
              <w:pStyle w:val="NoSpacing"/>
              <w:jc w:val="right"/>
            </w:pPr>
            <w:r>
              <w:t>Estimated loss allowance</w:t>
            </w:r>
          </w:p>
        </w:tc>
        <w:tc>
          <w:tcPr>
            <w:tcW w:w="2693" w:type="dxa"/>
          </w:tcPr>
          <w:p w:rsidR="00CC6151" w:rsidRDefault="005166DA" w:rsidP="005166DA">
            <w:pPr>
              <w:pStyle w:val="NoSpacing"/>
              <w:jc w:val="right"/>
            </w:pPr>
            <w:r>
              <w:t>Credit impaired</w:t>
            </w:r>
          </w:p>
        </w:tc>
      </w:tr>
      <w:tr w:rsidR="00CC6151" w:rsidTr="005166DA">
        <w:trPr>
          <w:gridBefore w:val="1"/>
          <w:wBefore w:w="4679" w:type="dxa"/>
        </w:trPr>
        <w:tc>
          <w:tcPr>
            <w:tcW w:w="2976" w:type="dxa"/>
          </w:tcPr>
          <w:p w:rsidR="00CC6151" w:rsidRDefault="00CC6151" w:rsidP="005166DA">
            <w:pPr>
              <w:pStyle w:val="NoSpacing"/>
              <w:jc w:val="right"/>
            </w:pPr>
            <w:r>
              <w:t>$’000</w:t>
            </w:r>
          </w:p>
        </w:tc>
        <w:tc>
          <w:tcPr>
            <w:tcW w:w="2694" w:type="dxa"/>
          </w:tcPr>
          <w:p w:rsidR="00CC6151" w:rsidRDefault="005166DA" w:rsidP="005166DA">
            <w:pPr>
              <w:pStyle w:val="NoSpacing"/>
              <w:jc w:val="right"/>
            </w:pPr>
            <w:r>
              <w:t>%</w:t>
            </w:r>
          </w:p>
        </w:tc>
        <w:tc>
          <w:tcPr>
            <w:tcW w:w="2551" w:type="dxa"/>
          </w:tcPr>
          <w:p w:rsidR="00CC6151" w:rsidRDefault="005166DA" w:rsidP="005166DA">
            <w:pPr>
              <w:pStyle w:val="NoSpacing"/>
              <w:jc w:val="right"/>
            </w:pPr>
            <w:r>
              <w:t>$’000</w:t>
            </w:r>
          </w:p>
        </w:tc>
        <w:tc>
          <w:tcPr>
            <w:tcW w:w="2693" w:type="dxa"/>
          </w:tcPr>
          <w:p w:rsidR="00CC6151" w:rsidRDefault="005166DA" w:rsidP="005166DA">
            <w:pPr>
              <w:pStyle w:val="NoSpacing"/>
              <w:jc w:val="right"/>
            </w:pPr>
            <w:r>
              <w:t>(yes / no)</w:t>
            </w:r>
          </w:p>
        </w:tc>
      </w:tr>
      <w:tr w:rsidR="005166DA" w:rsidTr="0015441F">
        <w:tc>
          <w:tcPr>
            <w:tcW w:w="15593" w:type="dxa"/>
            <w:gridSpan w:val="5"/>
          </w:tcPr>
          <w:p w:rsidR="005166DA" w:rsidRDefault="005166DA" w:rsidP="00F02D69">
            <w:pPr>
              <w:pStyle w:val="NoSpacing"/>
            </w:pPr>
            <w:r>
              <w:t>Consolidated</w:t>
            </w:r>
          </w:p>
        </w:tc>
      </w:tr>
      <w:tr w:rsidR="005166DA" w:rsidTr="0015441F">
        <w:tc>
          <w:tcPr>
            <w:tcW w:w="15593" w:type="dxa"/>
            <w:gridSpan w:val="5"/>
          </w:tcPr>
          <w:p w:rsidR="005166DA" w:rsidRDefault="005166DA" w:rsidP="00F02D69">
            <w:pPr>
              <w:pStyle w:val="NoSpacing"/>
            </w:pPr>
            <w:r>
              <w:t>31 December 2019</w:t>
            </w:r>
          </w:p>
        </w:tc>
      </w:tr>
      <w:tr w:rsidR="005166DA" w:rsidTr="005166DA">
        <w:tc>
          <w:tcPr>
            <w:tcW w:w="4679" w:type="dxa"/>
          </w:tcPr>
          <w:p w:rsidR="005166DA" w:rsidRDefault="005166DA" w:rsidP="00F02D69">
            <w:pPr>
              <w:pStyle w:val="NoSpacing"/>
            </w:pPr>
            <w:r>
              <w:t>Current (not past due)</w:t>
            </w:r>
          </w:p>
        </w:tc>
        <w:tc>
          <w:tcPr>
            <w:tcW w:w="2976" w:type="dxa"/>
          </w:tcPr>
          <w:p w:rsidR="005166DA" w:rsidRDefault="005166DA" w:rsidP="005166DA">
            <w:pPr>
              <w:pStyle w:val="NoSpacing"/>
              <w:jc w:val="right"/>
            </w:pPr>
            <w:r>
              <w:t>2’568</w:t>
            </w:r>
          </w:p>
        </w:tc>
        <w:tc>
          <w:tcPr>
            <w:tcW w:w="2694" w:type="dxa"/>
          </w:tcPr>
          <w:p w:rsidR="005166DA" w:rsidRDefault="00601AE0" w:rsidP="005166DA">
            <w:pPr>
              <w:pStyle w:val="NoSpacing"/>
              <w:jc w:val="right"/>
            </w:pPr>
            <w:r>
              <w:t>2.9</w:t>
            </w:r>
          </w:p>
        </w:tc>
        <w:tc>
          <w:tcPr>
            <w:tcW w:w="2551" w:type="dxa"/>
          </w:tcPr>
          <w:p w:rsidR="005166DA" w:rsidRDefault="00601AE0" w:rsidP="005166DA">
            <w:pPr>
              <w:pStyle w:val="NoSpacing"/>
              <w:jc w:val="right"/>
            </w:pPr>
            <w:r>
              <w:t>75</w:t>
            </w:r>
          </w:p>
        </w:tc>
        <w:tc>
          <w:tcPr>
            <w:tcW w:w="2693" w:type="dxa"/>
          </w:tcPr>
          <w:p w:rsidR="005166DA" w:rsidRDefault="00601AE0" w:rsidP="005166DA">
            <w:pPr>
              <w:pStyle w:val="NoSpacing"/>
              <w:jc w:val="right"/>
            </w:pPr>
            <w:r>
              <w:t>No</w:t>
            </w:r>
          </w:p>
        </w:tc>
      </w:tr>
      <w:tr w:rsidR="005166DA" w:rsidTr="005166DA">
        <w:tc>
          <w:tcPr>
            <w:tcW w:w="4679" w:type="dxa"/>
          </w:tcPr>
          <w:p w:rsidR="005166DA" w:rsidRDefault="005166DA" w:rsidP="00F02D69">
            <w:pPr>
              <w:pStyle w:val="NoSpacing"/>
            </w:pPr>
            <w:r>
              <w:t>31-60 days past due</w:t>
            </w:r>
          </w:p>
        </w:tc>
        <w:tc>
          <w:tcPr>
            <w:tcW w:w="2976" w:type="dxa"/>
          </w:tcPr>
          <w:p w:rsidR="005166DA" w:rsidRDefault="005166DA" w:rsidP="005166DA">
            <w:pPr>
              <w:pStyle w:val="NoSpacing"/>
              <w:jc w:val="right"/>
            </w:pPr>
            <w:r>
              <w:t>91</w:t>
            </w:r>
          </w:p>
        </w:tc>
        <w:tc>
          <w:tcPr>
            <w:tcW w:w="2694" w:type="dxa"/>
          </w:tcPr>
          <w:p w:rsidR="005166DA" w:rsidRDefault="00601AE0" w:rsidP="005166DA">
            <w:pPr>
              <w:pStyle w:val="NoSpacing"/>
              <w:jc w:val="right"/>
            </w:pPr>
            <w:r>
              <w:t>3.2</w:t>
            </w:r>
          </w:p>
        </w:tc>
        <w:tc>
          <w:tcPr>
            <w:tcW w:w="2551" w:type="dxa"/>
          </w:tcPr>
          <w:p w:rsidR="005166DA" w:rsidRDefault="00601AE0" w:rsidP="005166DA">
            <w:pPr>
              <w:pStyle w:val="NoSpacing"/>
              <w:jc w:val="right"/>
            </w:pPr>
            <w:r>
              <w:t>3</w:t>
            </w:r>
          </w:p>
        </w:tc>
        <w:tc>
          <w:tcPr>
            <w:tcW w:w="2693" w:type="dxa"/>
          </w:tcPr>
          <w:p w:rsidR="005166DA" w:rsidRDefault="00601AE0" w:rsidP="005166DA">
            <w:pPr>
              <w:pStyle w:val="NoSpacing"/>
              <w:jc w:val="right"/>
            </w:pPr>
            <w:r>
              <w:t>No</w:t>
            </w:r>
          </w:p>
        </w:tc>
      </w:tr>
      <w:tr w:rsidR="005166DA" w:rsidTr="005166DA">
        <w:tc>
          <w:tcPr>
            <w:tcW w:w="4679" w:type="dxa"/>
          </w:tcPr>
          <w:p w:rsidR="005166DA" w:rsidRDefault="005166DA" w:rsidP="00F02D69">
            <w:pPr>
              <w:pStyle w:val="NoSpacing"/>
            </w:pPr>
            <w:r>
              <w:t>61-91 days past due</w:t>
            </w:r>
          </w:p>
        </w:tc>
        <w:tc>
          <w:tcPr>
            <w:tcW w:w="2976" w:type="dxa"/>
          </w:tcPr>
          <w:p w:rsidR="005166DA" w:rsidRDefault="005166DA" w:rsidP="005166DA">
            <w:pPr>
              <w:pStyle w:val="NoSpacing"/>
              <w:jc w:val="right"/>
            </w:pPr>
            <w:r>
              <w:t>468</w:t>
            </w:r>
          </w:p>
        </w:tc>
        <w:tc>
          <w:tcPr>
            <w:tcW w:w="2694" w:type="dxa"/>
          </w:tcPr>
          <w:p w:rsidR="005166DA" w:rsidRDefault="00601AE0" w:rsidP="005166DA">
            <w:pPr>
              <w:pStyle w:val="NoSpacing"/>
              <w:jc w:val="right"/>
            </w:pPr>
            <w:r>
              <w:t>8.2</w:t>
            </w:r>
          </w:p>
        </w:tc>
        <w:tc>
          <w:tcPr>
            <w:tcW w:w="2551" w:type="dxa"/>
          </w:tcPr>
          <w:p w:rsidR="005166DA" w:rsidRDefault="00601AE0" w:rsidP="005166DA">
            <w:pPr>
              <w:pStyle w:val="NoSpacing"/>
              <w:jc w:val="right"/>
            </w:pPr>
            <w:r>
              <w:t>38</w:t>
            </w:r>
          </w:p>
        </w:tc>
        <w:tc>
          <w:tcPr>
            <w:tcW w:w="2693" w:type="dxa"/>
          </w:tcPr>
          <w:p w:rsidR="005166DA" w:rsidRDefault="00601AE0" w:rsidP="005166DA">
            <w:pPr>
              <w:pStyle w:val="NoSpacing"/>
              <w:jc w:val="right"/>
            </w:pPr>
            <w:r>
              <w:t>No</w:t>
            </w:r>
          </w:p>
        </w:tc>
      </w:tr>
      <w:tr w:rsidR="005166DA" w:rsidTr="005166DA">
        <w:tc>
          <w:tcPr>
            <w:tcW w:w="4679" w:type="dxa"/>
          </w:tcPr>
          <w:p w:rsidR="005166DA" w:rsidRDefault="005166DA" w:rsidP="00F02D69">
            <w:pPr>
              <w:pStyle w:val="NoSpacing"/>
            </w:pPr>
            <w:r>
              <w:t xml:space="preserve">More than 90 days past due </w:t>
            </w:r>
          </w:p>
        </w:tc>
        <w:tc>
          <w:tcPr>
            <w:tcW w:w="2976" w:type="dxa"/>
          </w:tcPr>
          <w:p w:rsidR="005166DA" w:rsidRDefault="005166DA" w:rsidP="005166DA">
            <w:pPr>
              <w:pStyle w:val="NoSpacing"/>
              <w:jc w:val="right"/>
            </w:pPr>
            <w:r>
              <w:t>1’127</w:t>
            </w:r>
          </w:p>
        </w:tc>
        <w:tc>
          <w:tcPr>
            <w:tcW w:w="2694" w:type="dxa"/>
          </w:tcPr>
          <w:p w:rsidR="005166DA" w:rsidRDefault="00601AE0" w:rsidP="005166DA">
            <w:pPr>
              <w:pStyle w:val="NoSpacing"/>
              <w:jc w:val="right"/>
            </w:pPr>
            <w:r>
              <w:t>13</w:t>
            </w:r>
          </w:p>
        </w:tc>
        <w:tc>
          <w:tcPr>
            <w:tcW w:w="2551" w:type="dxa"/>
          </w:tcPr>
          <w:p w:rsidR="005166DA" w:rsidRDefault="00601AE0" w:rsidP="005166DA">
            <w:pPr>
              <w:pStyle w:val="NoSpacing"/>
              <w:jc w:val="right"/>
            </w:pPr>
            <w:r>
              <w:t>146</w:t>
            </w:r>
          </w:p>
        </w:tc>
        <w:tc>
          <w:tcPr>
            <w:tcW w:w="2693" w:type="dxa"/>
          </w:tcPr>
          <w:p w:rsidR="005166DA" w:rsidRDefault="00601AE0" w:rsidP="005166DA">
            <w:pPr>
              <w:pStyle w:val="NoSpacing"/>
              <w:jc w:val="right"/>
            </w:pPr>
            <w:r>
              <w:t>No</w:t>
            </w:r>
          </w:p>
        </w:tc>
      </w:tr>
      <w:tr w:rsidR="005166DA" w:rsidTr="005166DA">
        <w:tc>
          <w:tcPr>
            <w:tcW w:w="4679" w:type="dxa"/>
          </w:tcPr>
          <w:p w:rsidR="005166DA" w:rsidRDefault="005166DA" w:rsidP="00F02D69">
            <w:pPr>
              <w:pStyle w:val="NoSpacing"/>
            </w:pPr>
          </w:p>
        </w:tc>
        <w:tc>
          <w:tcPr>
            <w:tcW w:w="2976" w:type="dxa"/>
          </w:tcPr>
          <w:p w:rsidR="005166DA" w:rsidRDefault="005166DA" w:rsidP="005166DA">
            <w:pPr>
              <w:pStyle w:val="NoSpacing"/>
              <w:jc w:val="right"/>
            </w:pPr>
            <w:r>
              <w:t>4’254</w:t>
            </w:r>
          </w:p>
        </w:tc>
        <w:tc>
          <w:tcPr>
            <w:tcW w:w="2694" w:type="dxa"/>
          </w:tcPr>
          <w:p w:rsidR="005166DA" w:rsidRDefault="005166DA" w:rsidP="005166DA">
            <w:pPr>
              <w:pStyle w:val="NoSpacing"/>
              <w:jc w:val="right"/>
            </w:pPr>
          </w:p>
        </w:tc>
        <w:tc>
          <w:tcPr>
            <w:tcW w:w="2551" w:type="dxa"/>
          </w:tcPr>
          <w:p w:rsidR="005166DA" w:rsidRDefault="00601AE0" w:rsidP="005166DA">
            <w:pPr>
              <w:pStyle w:val="NoSpacing"/>
              <w:jc w:val="right"/>
            </w:pPr>
            <w:r>
              <w:t>262</w:t>
            </w:r>
          </w:p>
        </w:tc>
        <w:tc>
          <w:tcPr>
            <w:tcW w:w="2693" w:type="dxa"/>
          </w:tcPr>
          <w:p w:rsidR="005166DA" w:rsidRDefault="005166DA" w:rsidP="005166DA">
            <w:pPr>
              <w:pStyle w:val="NoSpacing"/>
              <w:jc w:val="right"/>
            </w:pPr>
          </w:p>
        </w:tc>
      </w:tr>
    </w:tbl>
    <w:p w:rsidR="00BE6FF3" w:rsidRDefault="00BE6FF3" w:rsidP="00F02D69">
      <w:pPr>
        <w:pStyle w:val="NoSpacing"/>
      </w:pPr>
    </w:p>
    <w:p w:rsidR="00CC6151" w:rsidRDefault="00601AE0" w:rsidP="00CC6151">
      <w:pPr>
        <w:pStyle w:val="NoSpacing"/>
      </w:pPr>
      <w:r>
        <w:t>&lt;page 82&gt;</w:t>
      </w:r>
    </w:p>
    <w:p w:rsidR="00601AE0" w:rsidRDefault="00601AE0" w:rsidP="00CC6151">
      <w:pPr>
        <w:pStyle w:val="NoSpacing"/>
      </w:pPr>
    </w:p>
    <w:p w:rsidR="00601AE0" w:rsidRDefault="00601AE0" w:rsidP="00601AE0">
      <w:pPr>
        <w:pStyle w:val="Heading2"/>
      </w:pPr>
      <w:r>
        <w:t>7. Managing risks and uncertainties</w:t>
      </w:r>
      <w:r w:rsidR="00F05D16">
        <w:t xml:space="preserve"> (continued)</w:t>
      </w:r>
    </w:p>
    <w:p w:rsidR="0028573F" w:rsidRDefault="0028573F" w:rsidP="0028573F">
      <w:pPr>
        <w:pStyle w:val="NoSpacing"/>
      </w:pPr>
    </w:p>
    <w:p w:rsidR="00601AE0" w:rsidRDefault="00601AE0" w:rsidP="00601AE0">
      <w:pPr>
        <w:pStyle w:val="Heading3"/>
      </w:pPr>
      <w:r>
        <w:t xml:space="preserve">7.1 Financial Instruments (continued) </w:t>
      </w:r>
    </w:p>
    <w:p w:rsidR="00CC6151" w:rsidRDefault="00CC6151" w:rsidP="00F02D69">
      <w:pPr>
        <w:pStyle w:val="NoSpacing"/>
      </w:pPr>
    </w:p>
    <w:p w:rsidR="00601AE0" w:rsidRDefault="00601AE0" w:rsidP="00601AE0">
      <w:pPr>
        <w:pStyle w:val="NoSpacing"/>
      </w:pPr>
    </w:p>
    <w:tbl>
      <w:tblPr>
        <w:tblStyle w:val="TableGrid"/>
        <w:tblW w:w="15593" w:type="dxa"/>
        <w:tblInd w:w="-856" w:type="dxa"/>
        <w:tblLook w:val="04A0" w:firstRow="1" w:lastRow="0" w:firstColumn="1" w:lastColumn="0" w:noHBand="0" w:noVBand="1"/>
      </w:tblPr>
      <w:tblGrid>
        <w:gridCol w:w="4679"/>
        <w:gridCol w:w="2976"/>
        <w:gridCol w:w="2694"/>
        <w:gridCol w:w="2551"/>
        <w:gridCol w:w="2693"/>
      </w:tblGrid>
      <w:tr w:rsidR="00601AE0" w:rsidTr="0015441F">
        <w:trPr>
          <w:gridBefore w:val="1"/>
          <w:wBefore w:w="4679" w:type="dxa"/>
        </w:trPr>
        <w:tc>
          <w:tcPr>
            <w:tcW w:w="2976" w:type="dxa"/>
          </w:tcPr>
          <w:p w:rsidR="00601AE0" w:rsidRDefault="00601AE0" w:rsidP="0015441F">
            <w:pPr>
              <w:pStyle w:val="NoSpacing"/>
              <w:jc w:val="right"/>
            </w:pPr>
            <w:r>
              <w:t>Estimated gross carrying amount</w:t>
            </w:r>
          </w:p>
        </w:tc>
        <w:tc>
          <w:tcPr>
            <w:tcW w:w="2694" w:type="dxa"/>
          </w:tcPr>
          <w:p w:rsidR="00601AE0" w:rsidRDefault="00601AE0" w:rsidP="0015441F">
            <w:pPr>
              <w:pStyle w:val="NoSpacing"/>
              <w:jc w:val="right"/>
            </w:pPr>
            <w:r>
              <w:t>Weighted average loss rate</w:t>
            </w:r>
          </w:p>
        </w:tc>
        <w:tc>
          <w:tcPr>
            <w:tcW w:w="2551" w:type="dxa"/>
          </w:tcPr>
          <w:p w:rsidR="00601AE0" w:rsidRDefault="00601AE0" w:rsidP="0015441F">
            <w:pPr>
              <w:pStyle w:val="NoSpacing"/>
              <w:jc w:val="right"/>
            </w:pPr>
            <w:r>
              <w:t>Estimated loss allowance</w:t>
            </w:r>
          </w:p>
        </w:tc>
        <w:tc>
          <w:tcPr>
            <w:tcW w:w="2693" w:type="dxa"/>
          </w:tcPr>
          <w:p w:rsidR="00601AE0" w:rsidRDefault="00601AE0" w:rsidP="0015441F">
            <w:pPr>
              <w:pStyle w:val="NoSpacing"/>
              <w:jc w:val="right"/>
            </w:pPr>
            <w:r>
              <w:t>Credit impaired</w:t>
            </w:r>
          </w:p>
        </w:tc>
      </w:tr>
      <w:tr w:rsidR="00601AE0" w:rsidTr="0015441F">
        <w:trPr>
          <w:gridBefore w:val="1"/>
          <w:wBefore w:w="4679" w:type="dxa"/>
        </w:trPr>
        <w:tc>
          <w:tcPr>
            <w:tcW w:w="2976" w:type="dxa"/>
          </w:tcPr>
          <w:p w:rsidR="00601AE0" w:rsidRDefault="00601AE0" w:rsidP="0015441F">
            <w:pPr>
              <w:pStyle w:val="NoSpacing"/>
              <w:jc w:val="right"/>
            </w:pPr>
            <w:r>
              <w:t>$’000</w:t>
            </w:r>
          </w:p>
        </w:tc>
        <w:tc>
          <w:tcPr>
            <w:tcW w:w="2694" w:type="dxa"/>
          </w:tcPr>
          <w:p w:rsidR="00601AE0" w:rsidRDefault="00601AE0" w:rsidP="0015441F">
            <w:pPr>
              <w:pStyle w:val="NoSpacing"/>
              <w:jc w:val="right"/>
            </w:pPr>
            <w:r>
              <w:t>%</w:t>
            </w:r>
          </w:p>
        </w:tc>
        <w:tc>
          <w:tcPr>
            <w:tcW w:w="2551" w:type="dxa"/>
          </w:tcPr>
          <w:p w:rsidR="00601AE0" w:rsidRDefault="00601AE0" w:rsidP="0015441F">
            <w:pPr>
              <w:pStyle w:val="NoSpacing"/>
              <w:jc w:val="right"/>
            </w:pPr>
            <w:r>
              <w:t>$’000</w:t>
            </w:r>
          </w:p>
        </w:tc>
        <w:tc>
          <w:tcPr>
            <w:tcW w:w="2693" w:type="dxa"/>
          </w:tcPr>
          <w:p w:rsidR="00601AE0" w:rsidRDefault="00601AE0" w:rsidP="0015441F">
            <w:pPr>
              <w:pStyle w:val="NoSpacing"/>
              <w:jc w:val="right"/>
            </w:pPr>
            <w:r>
              <w:t>(yes / no)</w:t>
            </w:r>
          </w:p>
        </w:tc>
      </w:tr>
      <w:tr w:rsidR="00601AE0" w:rsidTr="0015441F">
        <w:tc>
          <w:tcPr>
            <w:tcW w:w="15593" w:type="dxa"/>
            <w:gridSpan w:val="5"/>
          </w:tcPr>
          <w:p w:rsidR="00601AE0" w:rsidRDefault="00601AE0" w:rsidP="0015441F">
            <w:pPr>
              <w:pStyle w:val="NoSpacing"/>
            </w:pPr>
            <w:r>
              <w:t>1 January 2019</w:t>
            </w:r>
          </w:p>
        </w:tc>
      </w:tr>
      <w:tr w:rsidR="00601AE0" w:rsidTr="0015441F">
        <w:tc>
          <w:tcPr>
            <w:tcW w:w="4679" w:type="dxa"/>
          </w:tcPr>
          <w:p w:rsidR="00601AE0" w:rsidRDefault="00601AE0" w:rsidP="0015441F">
            <w:pPr>
              <w:pStyle w:val="NoSpacing"/>
            </w:pPr>
            <w:r>
              <w:t>Current (not past due)</w:t>
            </w:r>
          </w:p>
        </w:tc>
        <w:tc>
          <w:tcPr>
            <w:tcW w:w="2976" w:type="dxa"/>
          </w:tcPr>
          <w:p w:rsidR="00601AE0" w:rsidRDefault="00601AE0" w:rsidP="0015441F">
            <w:pPr>
              <w:pStyle w:val="NoSpacing"/>
              <w:jc w:val="right"/>
            </w:pPr>
            <w:r>
              <w:t>3,971</w:t>
            </w:r>
          </w:p>
        </w:tc>
        <w:tc>
          <w:tcPr>
            <w:tcW w:w="2694" w:type="dxa"/>
          </w:tcPr>
          <w:p w:rsidR="00601AE0" w:rsidRDefault="00601AE0" w:rsidP="0015441F">
            <w:pPr>
              <w:pStyle w:val="NoSpacing"/>
              <w:jc w:val="right"/>
            </w:pPr>
            <w:r>
              <w:t>1.9</w:t>
            </w:r>
          </w:p>
        </w:tc>
        <w:tc>
          <w:tcPr>
            <w:tcW w:w="2551" w:type="dxa"/>
          </w:tcPr>
          <w:p w:rsidR="00601AE0" w:rsidRDefault="00601AE0" w:rsidP="0015441F">
            <w:pPr>
              <w:pStyle w:val="NoSpacing"/>
              <w:jc w:val="right"/>
            </w:pPr>
            <w:r>
              <w:t>75</w:t>
            </w:r>
          </w:p>
        </w:tc>
        <w:tc>
          <w:tcPr>
            <w:tcW w:w="2693" w:type="dxa"/>
          </w:tcPr>
          <w:p w:rsidR="00601AE0" w:rsidRDefault="00601AE0" w:rsidP="0015441F">
            <w:pPr>
              <w:pStyle w:val="NoSpacing"/>
              <w:jc w:val="right"/>
            </w:pPr>
          </w:p>
        </w:tc>
      </w:tr>
      <w:tr w:rsidR="00601AE0" w:rsidTr="0015441F">
        <w:tc>
          <w:tcPr>
            <w:tcW w:w="4679" w:type="dxa"/>
          </w:tcPr>
          <w:p w:rsidR="00601AE0" w:rsidRDefault="00601AE0" w:rsidP="0015441F">
            <w:pPr>
              <w:pStyle w:val="NoSpacing"/>
            </w:pPr>
            <w:r>
              <w:t>31-60 days past due</w:t>
            </w:r>
          </w:p>
        </w:tc>
        <w:tc>
          <w:tcPr>
            <w:tcW w:w="2976" w:type="dxa"/>
          </w:tcPr>
          <w:p w:rsidR="00601AE0" w:rsidRDefault="00601AE0" w:rsidP="0015441F">
            <w:pPr>
              <w:pStyle w:val="NoSpacing"/>
              <w:jc w:val="right"/>
            </w:pPr>
            <w:r>
              <w:t>856</w:t>
            </w:r>
          </w:p>
        </w:tc>
        <w:tc>
          <w:tcPr>
            <w:tcW w:w="2694" w:type="dxa"/>
          </w:tcPr>
          <w:p w:rsidR="00601AE0" w:rsidRDefault="00601AE0" w:rsidP="0015441F">
            <w:pPr>
              <w:pStyle w:val="NoSpacing"/>
              <w:jc w:val="right"/>
            </w:pPr>
            <w:r>
              <w:t>3.1</w:t>
            </w:r>
          </w:p>
        </w:tc>
        <w:tc>
          <w:tcPr>
            <w:tcW w:w="2551" w:type="dxa"/>
          </w:tcPr>
          <w:p w:rsidR="00601AE0" w:rsidRDefault="00601AE0" w:rsidP="0015441F">
            <w:pPr>
              <w:pStyle w:val="NoSpacing"/>
              <w:jc w:val="right"/>
            </w:pPr>
            <w:r>
              <w:t>27</w:t>
            </w:r>
          </w:p>
        </w:tc>
        <w:tc>
          <w:tcPr>
            <w:tcW w:w="2693" w:type="dxa"/>
          </w:tcPr>
          <w:p w:rsidR="00601AE0" w:rsidRDefault="00601AE0" w:rsidP="0015441F">
            <w:pPr>
              <w:pStyle w:val="NoSpacing"/>
              <w:jc w:val="right"/>
            </w:pPr>
          </w:p>
        </w:tc>
      </w:tr>
      <w:tr w:rsidR="00601AE0" w:rsidTr="0015441F">
        <w:tc>
          <w:tcPr>
            <w:tcW w:w="4679" w:type="dxa"/>
          </w:tcPr>
          <w:p w:rsidR="00601AE0" w:rsidRDefault="00601AE0" w:rsidP="0015441F">
            <w:pPr>
              <w:pStyle w:val="NoSpacing"/>
            </w:pPr>
            <w:r>
              <w:t>61-91 days past due</w:t>
            </w:r>
          </w:p>
        </w:tc>
        <w:tc>
          <w:tcPr>
            <w:tcW w:w="2976" w:type="dxa"/>
          </w:tcPr>
          <w:p w:rsidR="00601AE0" w:rsidRDefault="00601AE0" w:rsidP="0015441F">
            <w:pPr>
              <w:pStyle w:val="NoSpacing"/>
              <w:jc w:val="right"/>
            </w:pPr>
            <w:r>
              <w:t>60</w:t>
            </w:r>
          </w:p>
        </w:tc>
        <w:tc>
          <w:tcPr>
            <w:tcW w:w="2694" w:type="dxa"/>
          </w:tcPr>
          <w:p w:rsidR="00601AE0" w:rsidRDefault="00601AE0" w:rsidP="0015441F">
            <w:pPr>
              <w:pStyle w:val="NoSpacing"/>
              <w:jc w:val="right"/>
            </w:pPr>
            <w:r>
              <w:t>10.6</w:t>
            </w:r>
          </w:p>
        </w:tc>
        <w:tc>
          <w:tcPr>
            <w:tcW w:w="2551" w:type="dxa"/>
          </w:tcPr>
          <w:p w:rsidR="00601AE0" w:rsidRDefault="00601AE0" w:rsidP="0015441F">
            <w:pPr>
              <w:pStyle w:val="NoSpacing"/>
              <w:jc w:val="right"/>
            </w:pPr>
            <w:r>
              <w:t>5</w:t>
            </w:r>
          </w:p>
        </w:tc>
        <w:tc>
          <w:tcPr>
            <w:tcW w:w="2693" w:type="dxa"/>
          </w:tcPr>
          <w:p w:rsidR="00601AE0" w:rsidRDefault="00601AE0" w:rsidP="0015441F">
            <w:pPr>
              <w:pStyle w:val="NoSpacing"/>
              <w:jc w:val="right"/>
            </w:pPr>
          </w:p>
        </w:tc>
      </w:tr>
      <w:tr w:rsidR="00601AE0" w:rsidTr="0015441F">
        <w:tc>
          <w:tcPr>
            <w:tcW w:w="4679" w:type="dxa"/>
          </w:tcPr>
          <w:p w:rsidR="00601AE0" w:rsidRDefault="00601AE0" w:rsidP="0015441F">
            <w:pPr>
              <w:pStyle w:val="NoSpacing"/>
            </w:pPr>
            <w:r>
              <w:t xml:space="preserve">More than 90 days past due </w:t>
            </w:r>
          </w:p>
        </w:tc>
        <w:tc>
          <w:tcPr>
            <w:tcW w:w="2976" w:type="dxa"/>
          </w:tcPr>
          <w:p w:rsidR="00601AE0" w:rsidRDefault="00601AE0" w:rsidP="0015441F">
            <w:pPr>
              <w:pStyle w:val="NoSpacing"/>
              <w:jc w:val="right"/>
            </w:pPr>
            <w:r>
              <w:t>855</w:t>
            </w:r>
          </w:p>
        </w:tc>
        <w:tc>
          <w:tcPr>
            <w:tcW w:w="2694" w:type="dxa"/>
          </w:tcPr>
          <w:p w:rsidR="00601AE0" w:rsidRDefault="00601AE0" w:rsidP="0015441F">
            <w:pPr>
              <w:pStyle w:val="NoSpacing"/>
              <w:jc w:val="right"/>
            </w:pPr>
            <w:r>
              <w:t>9.4</w:t>
            </w:r>
          </w:p>
        </w:tc>
        <w:tc>
          <w:tcPr>
            <w:tcW w:w="2551" w:type="dxa"/>
          </w:tcPr>
          <w:p w:rsidR="00601AE0" w:rsidRDefault="00601AE0" w:rsidP="0015441F">
            <w:pPr>
              <w:pStyle w:val="NoSpacing"/>
              <w:jc w:val="right"/>
            </w:pPr>
            <w:r>
              <w:t>111</w:t>
            </w:r>
          </w:p>
        </w:tc>
        <w:tc>
          <w:tcPr>
            <w:tcW w:w="2693" w:type="dxa"/>
          </w:tcPr>
          <w:p w:rsidR="00601AE0" w:rsidRDefault="00601AE0" w:rsidP="0015441F">
            <w:pPr>
              <w:pStyle w:val="NoSpacing"/>
              <w:jc w:val="right"/>
            </w:pPr>
          </w:p>
        </w:tc>
      </w:tr>
      <w:tr w:rsidR="00601AE0" w:rsidTr="0015441F">
        <w:tc>
          <w:tcPr>
            <w:tcW w:w="4679" w:type="dxa"/>
          </w:tcPr>
          <w:p w:rsidR="00601AE0" w:rsidRDefault="00601AE0" w:rsidP="0015441F">
            <w:pPr>
              <w:pStyle w:val="NoSpacing"/>
            </w:pPr>
          </w:p>
        </w:tc>
        <w:tc>
          <w:tcPr>
            <w:tcW w:w="2976" w:type="dxa"/>
          </w:tcPr>
          <w:p w:rsidR="00601AE0" w:rsidRDefault="00601AE0" w:rsidP="0015441F">
            <w:pPr>
              <w:pStyle w:val="NoSpacing"/>
              <w:jc w:val="right"/>
            </w:pPr>
            <w:r>
              <w:t>5,742</w:t>
            </w:r>
          </w:p>
        </w:tc>
        <w:tc>
          <w:tcPr>
            <w:tcW w:w="2694" w:type="dxa"/>
          </w:tcPr>
          <w:p w:rsidR="00601AE0" w:rsidRDefault="00601AE0" w:rsidP="0015441F">
            <w:pPr>
              <w:pStyle w:val="NoSpacing"/>
              <w:jc w:val="right"/>
            </w:pPr>
          </w:p>
        </w:tc>
        <w:tc>
          <w:tcPr>
            <w:tcW w:w="2551" w:type="dxa"/>
          </w:tcPr>
          <w:p w:rsidR="00601AE0" w:rsidRDefault="00601AE0" w:rsidP="0015441F">
            <w:pPr>
              <w:pStyle w:val="NoSpacing"/>
              <w:jc w:val="right"/>
            </w:pPr>
            <w:r>
              <w:t>218</w:t>
            </w:r>
          </w:p>
        </w:tc>
        <w:tc>
          <w:tcPr>
            <w:tcW w:w="2693" w:type="dxa"/>
          </w:tcPr>
          <w:p w:rsidR="00601AE0" w:rsidRDefault="00601AE0" w:rsidP="0015441F">
            <w:pPr>
              <w:pStyle w:val="NoSpacing"/>
              <w:jc w:val="right"/>
            </w:pPr>
          </w:p>
        </w:tc>
      </w:tr>
    </w:tbl>
    <w:p w:rsidR="00601AE0" w:rsidRDefault="00601AE0" w:rsidP="00601AE0">
      <w:pPr>
        <w:pStyle w:val="NoSpacing"/>
      </w:pPr>
    </w:p>
    <w:p w:rsidR="00601AE0" w:rsidRDefault="00601AE0" w:rsidP="00601AE0">
      <w:pPr>
        <w:pStyle w:val="NoSpacing"/>
      </w:pPr>
    </w:p>
    <w:tbl>
      <w:tblPr>
        <w:tblStyle w:val="TableGrid"/>
        <w:tblW w:w="15593" w:type="dxa"/>
        <w:tblInd w:w="-856" w:type="dxa"/>
        <w:tblLook w:val="04A0" w:firstRow="1" w:lastRow="0" w:firstColumn="1" w:lastColumn="0" w:noHBand="0" w:noVBand="1"/>
      </w:tblPr>
      <w:tblGrid>
        <w:gridCol w:w="4679"/>
        <w:gridCol w:w="2976"/>
        <w:gridCol w:w="2694"/>
        <w:gridCol w:w="2551"/>
        <w:gridCol w:w="2693"/>
      </w:tblGrid>
      <w:tr w:rsidR="00601AE0" w:rsidTr="0015441F">
        <w:trPr>
          <w:gridBefore w:val="1"/>
          <w:wBefore w:w="4679" w:type="dxa"/>
        </w:trPr>
        <w:tc>
          <w:tcPr>
            <w:tcW w:w="2976" w:type="dxa"/>
          </w:tcPr>
          <w:p w:rsidR="00601AE0" w:rsidRDefault="00601AE0" w:rsidP="0015441F">
            <w:pPr>
              <w:pStyle w:val="NoSpacing"/>
              <w:jc w:val="right"/>
            </w:pPr>
            <w:r>
              <w:t>Estimated gross carrying amount</w:t>
            </w:r>
          </w:p>
        </w:tc>
        <w:tc>
          <w:tcPr>
            <w:tcW w:w="2694" w:type="dxa"/>
          </w:tcPr>
          <w:p w:rsidR="00601AE0" w:rsidRDefault="00601AE0" w:rsidP="0015441F">
            <w:pPr>
              <w:pStyle w:val="NoSpacing"/>
              <w:jc w:val="right"/>
            </w:pPr>
            <w:r>
              <w:t>Weighted average loss rate</w:t>
            </w:r>
          </w:p>
        </w:tc>
        <w:tc>
          <w:tcPr>
            <w:tcW w:w="2551" w:type="dxa"/>
          </w:tcPr>
          <w:p w:rsidR="00601AE0" w:rsidRDefault="00601AE0" w:rsidP="0015441F">
            <w:pPr>
              <w:pStyle w:val="NoSpacing"/>
              <w:jc w:val="right"/>
            </w:pPr>
            <w:r>
              <w:t>Estimated loss allowance</w:t>
            </w:r>
          </w:p>
        </w:tc>
        <w:tc>
          <w:tcPr>
            <w:tcW w:w="2693" w:type="dxa"/>
          </w:tcPr>
          <w:p w:rsidR="00601AE0" w:rsidRDefault="00601AE0" w:rsidP="0015441F">
            <w:pPr>
              <w:pStyle w:val="NoSpacing"/>
              <w:jc w:val="right"/>
            </w:pPr>
            <w:r>
              <w:t>Credit impaired</w:t>
            </w:r>
          </w:p>
        </w:tc>
      </w:tr>
      <w:tr w:rsidR="00601AE0" w:rsidTr="0015441F">
        <w:trPr>
          <w:gridBefore w:val="1"/>
          <w:wBefore w:w="4679" w:type="dxa"/>
        </w:trPr>
        <w:tc>
          <w:tcPr>
            <w:tcW w:w="2976" w:type="dxa"/>
          </w:tcPr>
          <w:p w:rsidR="00601AE0" w:rsidRDefault="00601AE0" w:rsidP="0015441F">
            <w:pPr>
              <w:pStyle w:val="NoSpacing"/>
              <w:jc w:val="right"/>
            </w:pPr>
            <w:r>
              <w:lastRenderedPageBreak/>
              <w:t>$’000</w:t>
            </w:r>
          </w:p>
        </w:tc>
        <w:tc>
          <w:tcPr>
            <w:tcW w:w="2694" w:type="dxa"/>
          </w:tcPr>
          <w:p w:rsidR="00601AE0" w:rsidRDefault="00601AE0" w:rsidP="0015441F">
            <w:pPr>
              <w:pStyle w:val="NoSpacing"/>
              <w:jc w:val="right"/>
            </w:pPr>
            <w:r>
              <w:t>%</w:t>
            </w:r>
          </w:p>
        </w:tc>
        <w:tc>
          <w:tcPr>
            <w:tcW w:w="2551" w:type="dxa"/>
          </w:tcPr>
          <w:p w:rsidR="00601AE0" w:rsidRDefault="00601AE0" w:rsidP="0015441F">
            <w:pPr>
              <w:pStyle w:val="NoSpacing"/>
              <w:jc w:val="right"/>
            </w:pPr>
            <w:r>
              <w:t>$’000</w:t>
            </w:r>
          </w:p>
        </w:tc>
        <w:tc>
          <w:tcPr>
            <w:tcW w:w="2693" w:type="dxa"/>
          </w:tcPr>
          <w:p w:rsidR="00601AE0" w:rsidRDefault="00601AE0" w:rsidP="0015441F">
            <w:pPr>
              <w:pStyle w:val="NoSpacing"/>
              <w:jc w:val="right"/>
            </w:pPr>
            <w:r>
              <w:t>(yes / no)</w:t>
            </w:r>
          </w:p>
        </w:tc>
      </w:tr>
      <w:tr w:rsidR="00601AE0" w:rsidTr="0015441F">
        <w:tc>
          <w:tcPr>
            <w:tcW w:w="15593" w:type="dxa"/>
            <w:gridSpan w:val="5"/>
          </w:tcPr>
          <w:p w:rsidR="00601AE0" w:rsidRDefault="00601AE0" w:rsidP="0015441F">
            <w:pPr>
              <w:pStyle w:val="NoSpacing"/>
            </w:pPr>
            <w:r>
              <w:t xml:space="preserve">Chisholm </w:t>
            </w:r>
          </w:p>
        </w:tc>
      </w:tr>
      <w:tr w:rsidR="00601AE0" w:rsidTr="0015441F">
        <w:tc>
          <w:tcPr>
            <w:tcW w:w="15593" w:type="dxa"/>
            <w:gridSpan w:val="5"/>
          </w:tcPr>
          <w:p w:rsidR="00601AE0" w:rsidRDefault="00601AE0" w:rsidP="0015441F">
            <w:pPr>
              <w:pStyle w:val="NoSpacing"/>
            </w:pPr>
            <w:r>
              <w:t>31 December 2019</w:t>
            </w:r>
          </w:p>
        </w:tc>
      </w:tr>
      <w:tr w:rsidR="00601AE0" w:rsidTr="0015441F">
        <w:tc>
          <w:tcPr>
            <w:tcW w:w="4679" w:type="dxa"/>
          </w:tcPr>
          <w:p w:rsidR="00601AE0" w:rsidRDefault="00601AE0" w:rsidP="00601AE0">
            <w:pPr>
              <w:pStyle w:val="NoSpacing"/>
            </w:pPr>
            <w:r>
              <w:t>Current (not past due)</w:t>
            </w:r>
          </w:p>
        </w:tc>
        <w:tc>
          <w:tcPr>
            <w:tcW w:w="2976" w:type="dxa"/>
          </w:tcPr>
          <w:p w:rsidR="00601AE0" w:rsidRDefault="00601AE0" w:rsidP="00601AE0">
            <w:pPr>
              <w:pStyle w:val="NoSpacing"/>
              <w:jc w:val="right"/>
            </w:pPr>
            <w:r>
              <w:t>2,568</w:t>
            </w:r>
          </w:p>
        </w:tc>
        <w:tc>
          <w:tcPr>
            <w:tcW w:w="2694" w:type="dxa"/>
          </w:tcPr>
          <w:p w:rsidR="00601AE0" w:rsidRDefault="00601AE0" w:rsidP="00601AE0">
            <w:pPr>
              <w:pStyle w:val="NoSpacing"/>
              <w:jc w:val="right"/>
            </w:pPr>
            <w:r>
              <w:t>2.9</w:t>
            </w:r>
          </w:p>
        </w:tc>
        <w:tc>
          <w:tcPr>
            <w:tcW w:w="2551" w:type="dxa"/>
          </w:tcPr>
          <w:p w:rsidR="00601AE0" w:rsidRDefault="00601AE0" w:rsidP="00601AE0">
            <w:pPr>
              <w:pStyle w:val="NoSpacing"/>
              <w:jc w:val="right"/>
            </w:pPr>
            <w:r>
              <w:t>75</w:t>
            </w:r>
          </w:p>
        </w:tc>
        <w:tc>
          <w:tcPr>
            <w:tcW w:w="2693" w:type="dxa"/>
          </w:tcPr>
          <w:p w:rsidR="00601AE0" w:rsidRDefault="00601AE0" w:rsidP="00601AE0">
            <w:pPr>
              <w:pStyle w:val="NoSpacing"/>
              <w:jc w:val="right"/>
            </w:pPr>
            <w:r>
              <w:t>No</w:t>
            </w:r>
          </w:p>
        </w:tc>
      </w:tr>
      <w:tr w:rsidR="00601AE0" w:rsidTr="0015441F">
        <w:tc>
          <w:tcPr>
            <w:tcW w:w="4679" w:type="dxa"/>
          </w:tcPr>
          <w:p w:rsidR="00601AE0" w:rsidRDefault="00601AE0" w:rsidP="00601AE0">
            <w:pPr>
              <w:pStyle w:val="NoSpacing"/>
            </w:pPr>
            <w:r>
              <w:t>31-60 days past due</w:t>
            </w:r>
          </w:p>
        </w:tc>
        <w:tc>
          <w:tcPr>
            <w:tcW w:w="2976" w:type="dxa"/>
          </w:tcPr>
          <w:p w:rsidR="00601AE0" w:rsidRDefault="00601AE0" w:rsidP="00601AE0">
            <w:pPr>
              <w:pStyle w:val="NoSpacing"/>
              <w:jc w:val="right"/>
            </w:pPr>
            <w:r>
              <w:t>91</w:t>
            </w:r>
          </w:p>
        </w:tc>
        <w:tc>
          <w:tcPr>
            <w:tcW w:w="2694" w:type="dxa"/>
          </w:tcPr>
          <w:p w:rsidR="00601AE0" w:rsidRDefault="00601AE0" w:rsidP="00601AE0">
            <w:pPr>
              <w:pStyle w:val="NoSpacing"/>
              <w:jc w:val="right"/>
            </w:pPr>
            <w:r>
              <w:t>3.2</w:t>
            </w:r>
          </w:p>
        </w:tc>
        <w:tc>
          <w:tcPr>
            <w:tcW w:w="2551" w:type="dxa"/>
          </w:tcPr>
          <w:p w:rsidR="00601AE0" w:rsidRDefault="00601AE0" w:rsidP="00601AE0">
            <w:pPr>
              <w:pStyle w:val="NoSpacing"/>
              <w:jc w:val="right"/>
            </w:pPr>
            <w:r>
              <w:t>3</w:t>
            </w:r>
          </w:p>
        </w:tc>
        <w:tc>
          <w:tcPr>
            <w:tcW w:w="2693" w:type="dxa"/>
          </w:tcPr>
          <w:p w:rsidR="00601AE0" w:rsidRDefault="00601AE0" w:rsidP="00601AE0">
            <w:pPr>
              <w:pStyle w:val="NoSpacing"/>
              <w:jc w:val="right"/>
            </w:pPr>
            <w:r>
              <w:t>No</w:t>
            </w:r>
          </w:p>
        </w:tc>
      </w:tr>
      <w:tr w:rsidR="00601AE0" w:rsidTr="0015441F">
        <w:tc>
          <w:tcPr>
            <w:tcW w:w="4679" w:type="dxa"/>
          </w:tcPr>
          <w:p w:rsidR="00601AE0" w:rsidRDefault="00601AE0" w:rsidP="00601AE0">
            <w:pPr>
              <w:pStyle w:val="NoSpacing"/>
            </w:pPr>
            <w:r>
              <w:t>61-91 days past due</w:t>
            </w:r>
          </w:p>
        </w:tc>
        <w:tc>
          <w:tcPr>
            <w:tcW w:w="2976" w:type="dxa"/>
          </w:tcPr>
          <w:p w:rsidR="00601AE0" w:rsidRDefault="00601AE0" w:rsidP="00601AE0">
            <w:pPr>
              <w:pStyle w:val="NoSpacing"/>
              <w:jc w:val="right"/>
            </w:pPr>
            <w:r>
              <w:t>468</w:t>
            </w:r>
          </w:p>
        </w:tc>
        <w:tc>
          <w:tcPr>
            <w:tcW w:w="2694" w:type="dxa"/>
          </w:tcPr>
          <w:p w:rsidR="00601AE0" w:rsidRDefault="00601AE0" w:rsidP="00601AE0">
            <w:pPr>
              <w:pStyle w:val="NoSpacing"/>
              <w:jc w:val="right"/>
            </w:pPr>
            <w:r>
              <w:t>8.2</w:t>
            </w:r>
          </w:p>
        </w:tc>
        <w:tc>
          <w:tcPr>
            <w:tcW w:w="2551" w:type="dxa"/>
          </w:tcPr>
          <w:p w:rsidR="00601AE0" w:rsidRDefault="00601AE0" w:rsidP="00601AE0">
            <w:pPr>
              <w:pStyle w:val="NoSpacing"/>
              <w:jc w:val="right"/>
            </w:pPr>
            <w:r>
              <w:t>38</w:t>
            </w:r>
          </w:p>
        </w:tc>
        <w:tc>
          <w:tcPr>
            <w:tcW w:w="2693" w:type="dxa"/>
          </w:tcPr>
          <w:p w:rsidR="00601AE0" w:rsidRDefault="00601AE0" w:rsidP="00601AE0">
            <w:pPr>
              <w:pStyle w:val="NoSpacing"/>
              <w:jc w:val="right"/>
            </w:pPr>
            <w:r>
              <w:t>No</w:t>
            </w:r>
          </w:p>
        </w:tc>
      </w:tr>
      <w:tr w:rsidR="00601AE0" w:rsidTr="0015441F">
        <w:tc>
          <w:tcPr>
            <w:tcW w:w="4679" w:type="dxa"/>
          </w:tcPr>
          <w:p w:rsidR="00601AE0" w:rsidRDefault="00601AE0" w:rsidP="00601AE0">
            <w:pPr>
              <w:pStyle w:val="NoSpacing"/>
            </w:pPr>
            <w:r>
              <w:t xml:space="preserve">More than 90 days past due </w:t>
            </w:r>
          </w:p>
        </w:tc>
        <w:tc>
          <w:tcPr>
            <w:tcW w:w="2976" w:type="dxa"/>
          </w:tcPr>
          <w:p w:rsidR="00601AE0" w:rsidRDefault="00601AE0" w:rsidP="00601AE0">
            <w:pPr>
              <w:pStyle w:val="NoSpacing"/>
              <w:jc w:val="right"/>
            </w:pPr>
            <w:r>
              <w:t>1,127</w:t>
            </w:r>
          </w:p>
        </w:tc>
        <w:tc>
          <w:tcPr>
            <w:tcW w:w="2694" w:type="dxa"/>
          </w:tcPr>
          <w:p w:rsidR="00601AE0" w:rsidRDefault="00601AE0" w:rsidP="00601AE0">
            <w:pPr>
              <w:pStyle w:val="NoSpacing"/>
              <w:jc w:val="right"/>
            </w:pPr>
            <w:r>
              <w:t>13</w:t>
            </w:r>
          </w:p>
        </w:tc>
        <w:tc>
          <w:tcPr>
            <w:tcW w:w="2551" w:type="dxa"/>
          </w:tcPr>
          <w:p w:rsidR="00601AE0" w:rsidRDefault="00601AE0" w:rsidP="00601AE0">
            <w:pPr>
              <w:pStyle w:val="NoSpacing"/>
              <w:jc w:val="right"/>
            </w:pPr>
            <w:r>
              <w:t>146</w:t>
            </w:r>
          </w:p>
        </w:tc>
        <w:tc>
          <w:tcPr>
            <w:tcW w:w="2693" w:type="dxa"/>
          </w:tcPr>
          <w:p w:rsidR="00601AE0" w:rsidRDefault="00601AE0" w:rsidP="00601AE0">
            <w:pPr>
              <w:pStyle w:val="NoSpacing"/>
              <w:jc w:val="right"/>
            </w:pPr>
            <w:r>
              <w:t>No</w:t>
            </w:r>
          </w:p>
        </w:tc>
      </w:tr>
      <w:tr w:rsidR="00601AE0" w:rsidTr="0015441F">
        <w:tc>
          <w:tcPr>
            <w:tcW w:w="4679" w:type="dxa"/>
          </w:tcPr>
          <w:p w:rsidR="00601AE0" w:rsidRDefault="00601AE0" w:rsidP="00601AE0">
            <w:pPr>
              <w:pStyle w:val="NoSpacing"/>
            </w:pPr>
          </w:p>
        </w:tc>
        <w:tc>
          <w:tcPr>
            <w:tcW w:w="2976" w:type="dxa"/>
          </w:tcPr>
          <w:p w:rsidR="00601AE0" w:rsidRDefault="00601AE0" w:rsidP="00601AE0">
            <w:pPr>
              <w:pStyle w:val="NoSpacing"/>
              <w:jc w:val="right"/>
            </w:pPr>
            <w:r>
              <w:t>4,254</w:t>
            </w:r>
          </w:p>
        </w:tc>
        <w:tc>
          <w:tcPr>
            <w:tcW w:w="2694" w:type="dxa"/>
          </w:tcPr>
          <w:p w:rsidR="00601AE0" w:rsidRDefault="00601AE0" w:rsidP="00601AE0">
            <w:pPr>
              <w:pStyle w:val="NoSpacing"/>
              <w:jc w:val="right"/>
            </w:pPr>
          </w:p>
        </w:tc>
        <w:tc>
          <w:tcPr>
            <w:tcW w:w="2551" w:type="dxa"/>
          </w:tcPr>
          <w:p w:rsidR="00601AE0" w:rsidRDefault="00601AE0" w:rsidP="00601AE0">
            <w:pPr>
              <w:pStyle w:val="NoSpacing"/>
              <w:jc w:val="right"/>
            </w:pPr>
            <w:r>
              <w:t>262</w:t>
            </w:r>
          </w:p>
        </w:tc>
        <w:tc>
          <w:tcPr>
            <w:tcW w:w="2693" w:type="dxa"/>
          </w:tcPr>
          <w:p w:rsidR="00601AE0" w:rsidRDefault="00601AE0" w:rsidP="00601AE0">
            <w:pPr>
              <w:pStyle w:val="NoSpacing"/>
              <w:jc w:val="right"/>
            </w:pPr>
          </w:p>
        </w:tc>
      </w:tr>
    </w:tbl>
    <w:p w:rsidR="00601AE0" w:rsidRDefault="00601AE0" w:rsidP="00F02D69">
      <w:pPr>
        <w:pStyle w:val="NoSpacing"/>
      </w:pPr>
    </w:p>
    <w:p w:rsidR="00601AE0" w:rsidRDefault="00601AE0" w:rsidP="00601AE0">
      <w:pPr>
        <w:pStyle w:val="NoSpacing"/>
      </w:pPr>
    </w:p>
    <w:tbl>
      <w:tblPr>
        <w:tblStyle w:val="TableGrid"/>
        <w:tblW w:w="15593" w:type="dxa"/>
        <w:tblInd w:w="-856" w:type="dxa"/>
        <w:tblLook w:val="04A0" w:firstRow="1" w:lastRow="0" w:firstColumn="1" w:lastColumn="0" w:noHBand="0" w:noVBand="1"/>
      </w:tblPr>
      <w:tblGrid>
        <w:gridCol w:w="4679"/>
        <w:gridCol w:w="2976"/>
        <w:gridCol w:w="2694"/>
        <w:gridCol w:w="2551"/>
        <w:gridCol w:w="2693"/>
      </w:tblGrid>
      <w:tr w:rsidR="00601AE0" w:rsidTr="0015441F">
        <w:trPr>
          <w:gridBefore w:val="1"/>
          <w:wBefore w:w="4679" w:type="dxa"/>
        </w:trPr>
        <w:tc>
          <w:tcPr>
            <w:tcW w:w="2976" w:type="dxa"/>
          </w:tcPr>
          <w:p w:rsidR="00601AE0" w:rsidRDefault="00601AE0" w:rsidP="0015441F">
            <w:pPr>
              <w:pStyle w:val="NoSpacing"/>
              <w:jc w:val="right"/>
            </w:pPr>
            <w:r>
              <w:t>Estimated gross carrying amount</w:t>
            </w:r>
          </w:p>
        </w:tc>
        <w:tc>
          <w:tcPr>
            <w:tcW w:w="2694" w:type="dxa"/>
          </w:tcPr>
          <w:p w:rsidR="00601AE0" w:rsidRDefault="00601AE0" w:rsidP="0015441F">
            <w:pPr>
              <w:pStyle w:val="NoSpacing"/>
              <w:jc w:val="right"/>
            </w:pPr>
            <w:r>
              <w:t>Weighted average loss rate</w:t>
            </w:r>
          </w:p>
        </w:tc>
        <w:tc>
          <w:tcPr>
            <w:tcW w:w="2551" w:type="dxa"/>
          </w:tcPr>
          <w:p w:rsidR="00601AE0" w:rsidRDefault="00601AE0" w:rsidP="0015441F">
            <w:pPr>
              <w:pStyle w:val="NoSpacing"/>
              <w:jc w:val="right"/>
            </w:pPr>
            <w:r>
              <w:t>Estimated loss allowance</w:t>
            </w:r>
          </w:p>
        </w:tc>
        <w:tc>
          <w:tcPr>
            <w:tcW w:w="2693" w:type="dxa"/>
          </w:tcPr>
          <w:p w:rsidR="00601AE0" w:rsidRDefault="00601AE0" w:rsidP="0015441F">
            <w:pPr>
              <w:pStyle w:val="NoSpacing"/>
              <w:jc w:val="right"/>
            </w:pPr>
            <w:r>
              <w:t>Credit impaired</w:t>
            </w:r>
          </w:p>
        </w:tc>
      </w:tr>
      <w:tr w:rsidR="00601AE0" w:rsidTr="0015441F">
        <w:trPr>
          <w:gridBefore w:val="1"/>
          <w:wBefore w:w="4679" w:type="dxa"/>
        </w:trPr>
        <w:tc>
          <w:tcPr>
            <w:tcW w:w="2976" w:type="dxa"/>
          </w:tcPr>
          <w:p w:rsidR="00601AE0" w:rsidRDefault="00601AE0" w:rsidP="0015441F">
            <w:pPr>
              <w:pStyle w:val="NoSpacing"/>
              <w:jc w:val="right"/>
            </w:pPr>
            <w:r>
              <w:t>$’000</w:t>
            </w:r>
          </w:p>
        </w:tc>
        <w:tc>
          <w:tcPr>
            <w:tcW w:w="2694" w:type="dxa"/>
          </w:tcPr>
          <w:p w:rsidR="00601AE0" w:rsidRDefault="00601AE0" w:rsidP="0015441F">
            <w:pPr>
              <w:pStyle w:val="NoSpacing"/>
              <w:jc w:val="right"/>
            </w:pPr>
            <w:r>
              <w:t>%</w:t>
            </w:r>
          </w:p>
        </w:tc>
        <w:tc>
          <w:tcPr>
            <w:tcW w:w="2551" w:type="dxa"/>
          </w:tcPr>
          <w:p w:rsidR="00601AE0" w:rsidRDefault="00601AE0" w:rsidP="0015441F">
            <w:pPr>
              <w:pStyle w:val="NoSpacing"/>
              <w:jc w:val="right"/>
            </w:pPr>
            <w:r>
              <w:t>$’000</w:t>
            </w:r>
          </w:p>
        </w:tc>
        <w:tc>
          <w:tcPr>
            <w:tcW w:w="2693" w:type="dxa"/>
          </w:tcPr>
          <w:p w:rsidR="00601AE0" w:rsidRDefault="00601AE0" w:rsidP="0015441F">
            <w:pPr>
              <w:pStyle w:val="NoSpacing"/>
              <w:jc w:val="right"/>
            </w:pPr>
            <w:r>
              <w:t>(yes / no)</w:t>
            </w:r>
          </w:p>
        </w:tc>
      </w:tr>
      <w:tr w:rsidR="00601AE0" w:rsidTr="0015441F">
        <w:tc>
          <w:tcPr>
            <w:tcW w:w="15593" w:type="dxa"/>
            <w:gridSpan w:val="5"/>
          </w:tcPr>
          <w:p w:rsidR="00601AE0" w:rsidRDefault="00601AE0" w:rsidP="0015441F">
            <w:pPr>
              <w:pStyle w:val="NoSpacing"/>
            </w:pPr>
            <w:r>
              <w:t>1 January 2019</w:t>
            </w:r>
          </w:p>
        </w:tc>
      </w:tr>
      <w:tr w:rsidR="00601AE0" w:rsidTr="0015441F">
        <w:tc>
          <w:tcPr>
            <w:tcW w:w="4679" w:type="dxa"/>
          </w:tcPr>
          <w:p w:rsidR="00601AE0" w:rsidRDefault="00601AE0" w:rsidP="0015441F">
            <w:pPr>
              <w:pStyle w:val="NoSpacing"/>
            </w:pPr>
            <w:r>
              <w:t>Current (not past due)</w:t>
            </w:r>
          </w:p>
        </w:tc>
        <w:tc>
          <w:tcPr>
            <w:tcW w:w="2976" w:type="dxa"/>
          </w:tcPr>
          <w:p w:rsidR="00601AE0" w:rsidRDefault="00601AE0" w:rsidP="0015441F">
            <w:pPr>
              <w:pStyle w:val="NoSpacing"/>
              <w:jc w:val="right"/>
            </w:pPr>
            <w:r>
              <w:t>3,971</w:t>
            </w:r>
          </w:p>
        </w:tc>
        <w:tc>
          <w:tcPr>
            <w:tcW w:w="2694" w:type="dxa"/>
          </w:tcPr>
          <w:p w:rsidR="00601AE0" w:rsidRDefault="00601AE0" w:rsidP="0015441F">
            <w:pPr>
              <w:pStyle w:val="NoSpacing"/>
              <w:jc w:val="right"/>
            </w:pPr>
            <w:r>
              <w:t>1.9</w:t>
            </w:r>
          </w:p>
        </w:tc>
        <w:tc>
          <w:tcPr>
            <w:tcW w:w="2551" w:type="dxa"/>
          </w:tcPr>
          <w:p w:rsidR="00601AE0" w:rsidRDefault="00601AE0" w:rsidP="0015441F">
            <w:pPr>
              <w:pStyle w:val="NoSpacing"/>
              <w:jc w:val="right"/>
            </w:pPr>
            <w:r>
              <w:t>75</w:t>
            </w:r>
          </w:p>
        </w:tc>
        <w:tc>
          <w:tcPr>
            <w:tcW w:w="2693" w:type="dxa"/>
          </w:tcPr>
          <w:p w:rsidR="00601AE0" w:rsidRDefault="00601AE0" w:rsidP="0015441F">
            <w:pPr>
              <w:pStyle w:val="NoSpacing"/>
              <w:jc w:val="right"/>
            </w:pPr>
          </w:p>
        </w:tc>
      </w:tr>
      <w:tr w:rsidR="00601AE0" w:rsidTr="0015441F">
        <w:tc>
          <w:tcPr>
            <w:tcW w:w="4679" w:type="dxa"/>
          </w:tcPr>
          <w:p w:rsidR="00601AE0" w:rsidRDefault="00601AE0" w:rsidP="0015441F">
            <w:pPr>
              <w:pStyle w:val="NoSpacing"/>
            </w:pPr>
            <w:r>
              <w:t>31-60 days past due</w:t>
            </w:r>
          </w:p>
        </w:tc>
        <w:tc>
          <w:tcPr>
            <w:tcW w:w="2976" w:type="dxa"/>
          </w:tcPr>
          <w:p w:rsidR="00601AE0" w:rsidRDefault="00601AE0" w:rsidP="0015441F">
            <w:pPr>
              <w:pStyle w:val="NoSpacing"/>
              <w:jc w:val="right"/>
            </w:pPr>
            <w:r>
              <w:t>856</w:t>
            </w:r>
          </w:p>
        </w:tc>
        <w:tc>
          <w:tcPr>
            <w:tcW w:w="2694" w:type="dxa"/>
          </w:tcPr>
          <w:p w:rsidR="00601AE0" w:rsidRDefault="00601AE0" w:rsidP="0015441F">
            <w:pPr>
              <w:pStyle w:val="NoSpacing"/>
              <w:jc w:val="right"/>
            </w:pPr>
            <w:r>
              <w:t>3.1</w:t>
            </w:r>
          </w:p>
        </w:tc>
        <w:tc>
          <w:tcPr>
            <w:tcW w:w="2551" w:type="dxa"/>
          </w:tcPr>
          <w:p w:rsidR="00601AE0" w:rsidRDefault="00601AE0" w:rsidP="0015441F">
            <w:pPr>
              <w:pStyle w:val="NoSpacing"/>
              <w:jc w:val="right"/>
            </w:pPr>
            <w:r>
              <w:t>27</w:t>
            </w:r>
          </w:p>
        </w:tc>
        <w:tc>
          <w:tcPr>
            <w:tcW w:w="2693" w:type="dxa"/>
          </w:tcPr>
          <w:p w:rsidR="00601AE0" w:rsidRDefault="00601AE0" w:rsidP="0015441F">
            <w:pPr>
              <w:pStyle w:val="NoSpacing"/>
              <w:jc w:val="right"/>
            </w:pPr>
          </w:p>
        </w:tc>
      </w:tr>
      <w:tr w:rsidR="00601AE0" w:rsidTr="0015441F">
        <w:tc>
          <w:tcPr>
            <w:tcW w:w="4679" w:type="dxa"/>
          </w:tcPr>
          <w:p w:rsidR="00601AE0" w:rsidRDefault="00601AE0" w:rsidP="0015441F">
            <w:pPr>
              <w:pStyle w:val="NoSpacing"/>
            </w:pPr>
            <w:r>
              <w:t>61-91 days past due</w:t>
            </w:r>
          </w:p>
        </w:tc>
        <w:tc>
          <w:tcPr>
            <w:tcW w:w="2976" w:type="dxa"/>
          </w:tcPr>
          <w:p w:rsidR="00601AE0" w:rsidRDefault="00601AE0" w:rsidP="0015441F">
            <w:pPr>
              <w:pStyle w:val="NoSpacing"/>
              <w:jc w:val="right"/>
            </w:pPr>
            <w:r>
              <w:t>60</w:t>
            </w:r>
          </w:p>
        </w:tc>
        <w:tc>
          <w:tcPr>
            <w:tcW w:w="2694" w:type="dxa"/>
          </w:tcPr>
          <w:p w:rsidR="00601AE0" w:rsidRDefault="00601AE0" w:rsidP="0015441F">
            <w:pPr>
              <w:pStyle w:val="NoSpacing"/>
              <w:jc w:val="right"/>
            </w:pPr>
            <w:r>
              <w:t>10.6</w:t>
            </w:r>
          </w:p>
        </w:tc>
        <w:tc>
          <w:tcPr>
            <w:tcW w:w="2551" w:type="dxa"/>
          </w:tcPr>
          <w:p w:rsidR="00601AE0" w:rsidRDefault="00601AE0" w:rsidP="0015441F">
            <w:pPr>
              <w:pStyle w:val="NoSpacing"/>
              <w:jc w:val="right"/>
            </w:pPr>
            <w:r>
              <w:t>5</w:t>
            </w:r>
          </w:p>
        </w:tc>
        <w:tc>
          <w:tcPr>
            <w:tcW w:w="2693" w:type="dxa"/>
          </w:tcPr>
          <w:p w:rsidR="00601AE0" w:rsidRDefault="00601AE0" w:rsidP="0015441F">
            <w:pPr>
              <w:pStyle w:val="NoSpacing"/>
              <w:jc w:val="right"/>
            </w:pPr>
          </w:p>
        </w:tc>
      </w:tr>
      <w:tr w:rsidR="00601AE0" w:rsidTr="0015441F">
        <w:tc>
          <w:tcPr>
            <w:tcW w:w="4679" w:type="dxa"/>
          </w:tcPr>
          <w:p w:rsidR="00601AE0" w:rsidRDefault="00601AE0" w:rsidP="0015441F">
            <w:pPr>
              <w:pStyle w:val="NoSpacing"/>
            </w:pPr>
            <w:r>
              <w:t xml:space="preserve">More than 90 days past due </w:t>
            </w:r>
          </w:p>
        </w:tc>
        <w:tc>
          <w:tcPr>
            <w:tcW w:w="2976" w:type="dxa"/>
          </w:tcPr>
          <w:p w:rsidR="00601AE0" w:rsidRDefault="00601AE0" w:rsidP="0015441F">
            <w:pPr>
              <w:pStyle w:val="NoSpacing"/>
              <w:jc w:val="right"/>
            </w:pPr>
            <w:r>
              <w:t>855</w:t>
            </w:r>
          </w:p>
        </w:tc>
        <w:tc>
          <w:tcPr>
            <w:tcW w:w="2694" w:type="dxa"/>
          </w:tcPr>
          <w:p w:rsidR="00601AE0" w:rsidRDefault="00601AE0" w:rsidP="0015441F">
            <w:pPr>
              <w:pStyle w:val="NoSpacing"/>
              <w:jc w:val="right"/>
            </w:pPr>
            <w:r>
              <w:t>9.4</w:t>
            </w:r>
          </w:p>
        </w:tc>
        <w:tc>
          <w:tcPr>
            <w:tcW w:w="2551" w:type="dxa"/>
          </w:tcPr>
          <w:p w:rsidR="00601AE0" w:rsidRDefault="00601AE0" w:rsidP="0015441F">
            <w:pPr>
              <w:pStyle w:val="NoSpacing"/>
              <w:jc w:val="right"/>
            </w:pPr>
            <w:r>
              <w:t>111</w:t>
            </w:r>
          </w:p>
        </w:tc>
        <w:tc>
          <w:tcPr>
            <w:tcW w:w="2693" w:type="dxa"/>
          </w:tcPr>
          <w:p w:rsidR="00601AE0" w:rsidRDefault="00601AE0" w:rsidP="0015441F">
            <w:pPr>
              <w:pStyle w:val="NoSpacing"/>
              <w:jc w:val="right"/>
            </w:pPr>
          </w:p>
        </w:tc>
      </w:tr>
      <w:tr w:rsidR="00601AE0" w:rsidTr="0015441F">
        <w:tc>
          <w:tcPr>
            <w:tcW w:w="4679" w:type="dxa"/>
          </w:tcPr>
          <w:p w:rsidR="00601AE0" w:rsidRDefault="00601AE0" w:rsidP="0015441F">
            <w:pPr>
              <w:pStyle w:val="NoSpacing"/>
            </w:pPr>
          </w:p>
        </w:tc>
        <w:tc>
          <w:tcPr>
            <w:tcW w:w="2976" w:type="dxa"/>
          </w:tcPr>
          <w:p w:rsidR="00601AE0" w:rsidRDefault="00601AE0" w:rsidP="0015441F">
            <w:pPr>
              <w:pStyle w:val="NoSpacing"/>
              <w:jc w:val="right"/>
            </w:pPr>
            <w:r>
              <w:t>5,742</w:t>
            </w:r>
          </w:p>
        </w:tc>
        <w:tc>
          <w:tcPr>
            <w:tcW w:w="2694" w:type="dxa"/>
          </w:tcPr>
          <w:p w:rsidR="00601AE0" w:rsidRDefault="00601AE0" w:rsidP="0015441F">
            <w:pPr>
              <w:pStyle w:val="NoSpacing"/>
              <w:jc w:val="right"/>
            </w:pPr>
          </w:p>
        </w:tc>
        <w:tc>
          <w:tcPr>
            <w:tcW w:w="2551" w:type="dxa"/>
          </w:tcPr>
          <w:p w:rsidR="00601AE0" w:rsidRDefault="00601AE0" w:rsidP="0015441F">
            <w:pPr>
              <w:pStyle w:val="NoSpacing"/>
              <w:jc w:val="right"/>
            </w:pPr>
            <w:r>
              <w:t>218</w:t>
            </w:r>
          </w:p>
        </w:tc>
        <w:tc>
          <w:tcPr>
            <w:tcW w:w="2693" w:type="dxa"/>
          </w:tcPr>
          <w:p w:rsidR="00601AE0" w:rsidRDefault="00601AE0" w:rsidP="0015441F">
            <w:pPr>
              <w:pStyle w:val="NoSpacing"/>
              <w:jc w:val="right"/>
            </w:pPr>
          </w:p>
        </w:tc>
      </w:tr>
    </w:tbl>
    <w:p w:rsidR="00601AE0" w:rsidRDefault="00601AE0" w:rsidP="00F02D69">
      <w:pPr>
        <w:pStyle w:val="NoSpacing"/>
      </w:pPr>
    </w:p>
    <w:p w:rsidR="00601AE0" w:rsidRDefault="00601AE0" w:rsidP="00F02D69">
      <w:pPr>
        <w:pStyle w:val="NoSpacing"/>
      </w:pPr>
    </w:p>
    <w:p w:rsidR="00E2253D" w:rsidRDefault="00E2253D" w:rsidP="00F02D69">
      <w:pPr>
        <w:pStyle w:val="NoSpacing"/>
        <w:sectPr w:rsidR="00E2253D" w:rsidSect="000B7FA6">
          <w:pgSz w:w="16838" w:h="11906" w:orient="landscape" w:code="9"/>
          <w:pgMar w:top="1440" w:right="1440" w:bottom="1440" w:left="1440" w:header="709" w:footer="709" w:gutter="0"/>
          <w:cols w:space="708"/>
          <w:docGrid w:linePitch="360"/>
        </w:sectPr>
      </w:pPr>
    </w:p>
    <w:p w:rsidR="00601AE0" w:rsidRDefault="00E2253D" w:rsidP="00F02D69">
      <w:pPr>
        <w:pStyle w:val="NoSpacing"/>
      </w:pPr>
      <w:r>
        <w:lastRenderedPageBreak/>
        <w:t>Loss rates are based on actual credit loss experience. These rates are multiplied by scale factors to reflect differences between economic conditions during the period over which the historical data has been collected, current confirmation and Chisholm Group’s view of economic conditions over the expected lives of the receivables.</w:t>
      </w:r>
    </w:p>
    <w:p w:rsidR="00E2253D" w:rsidRDefault="00E2253D" w:rsidP="00F02D69">
      <w:pPr>
        <w:pStyle w:val="NoSpacing"/>
      </w:pPr>
    </w:p>
    <w:p w:rsidR="00E2253D" w:rsidRDefault="00E2253D" w:rsidP="00F02D69">
      <w:pPr>
        <w:pStyle w:val="NoSpacing"/>
      </w:pPr>
      <w:r>
        <w:t>Trade receivables and contract assets are written off when there is no reasonable expectation of recovery. Indicators that there is not reasonable expectation of recovery include, amongst others, the failure of a debtor to engage in a repayment plan with Chisholm Group, and a failure to make contractual payments for a period of greater than 120 days past due.</w:t>
      </w:r>
    </w:p>
    <w:p w:rsidR="00E2253D" w:rsidRDefault="00E2253D" w:rsidP="00F02D69">
      <w:pPr>
        <w:pStyle w:val="NoSpacing"/>
      </w:pPr>
    </w:p>
    <w:p w:rsidR="00E2253D" w:rsidRDefault="00E2253D" w:rsidP="00F02D69">
      <w:pPr>
        <w:pStyle w:val="NoSpacing"/>
      </w:pPr>
      <w:r>
        <w:t>Impairment losses on trade receivables and contract assets are presented as net impairment losses within operating profit. Subsequent recoveries of amounts previously written off are credited against the same line item.</w:t>
      </w:r>
    </w:p>
    <w:p w:rsidR="00E2253D" w:rsidRDefault="00E2253D" w:rsidP="00F02D69">
      <w:pPr>
        <w:pStyle w:val="NoSpacing"/>
      </w:pPr>
    </w:p>
    <w:p w:rsidR="00E2253D" w:rsidRDefault="00E2253D" w:rsidP="00F02D69">
      <w:pPr>
        <w:pStyle w:val="NoSpacing"/>
      </w:pPr>
      <w:r>
        <w:t>Of the above impairment losses, $0.26 million (2018: $0.22 million) relate to receivables arising from contracts with customers.</w:t>
      </w:r>
    </w:p>
    <w:p w:rsidR="00E2253D" w:rsidRDefault="00E2253D" w:rsidP="00F02D69">
      <w:pPr>
        <w:pStyle w:val="NoSpacing"/>
      </w:pPr>
    </w:p>
    <w:p w:rsidR="00E2253D" w:rsidRDefault="00E2253D" w:rsidP="00E2253D">
      <w:pPr>
        <w:pStyle w:val="Heading4"/>
      </w:pPr>
      <w:r>
        <w:t>7.1.3 Liquidity risk</w:t>
      </w:r>
    </w:p>
    <w:p w:rsidR="00E2253D" w:rsidRDefault="00E2253D" w:rsidP="00F02D69">
      <w:pPr>
        <w:pStyle w:val="NoSpacing"/>
      </w:pPr>
      <w:r>
        <w:t>Liquidity risk is the risk that Chisholm Group would be unable to meet its financial obligations as and when they fall due.</w:t>
      </w:r>
    </w:p>
    <w:p w:rsidR="00E2253D" w:rsidRDefault="00E2253D" w:rsidP="00F02D69">
      <w:pPr>
        <w:pStyle w:val="NoSpacing"/>
      </w:pPr>
    </w:p>
    <w:p w:rsidR="00E2253D" w:rsidRDefault="00E2253D" w:rsidP="00F02D69">
      <w:pPr>
        <w:pStyle w:val="NoSpacing"/>
      </w:pPr>
      <w:r>
        <w:t>Chisholm Group operated under a payments policy of settling financial obligations within 30 days, and in the event of a dispute, making payments within 30 days from the date of resolution.</w:t>
      </w:r>
    </w:p>
    <w:p w:rsidR="00E2253D" w:rsidRDefault="00E2253D" w:rsidP="00F02D69">
      <w:pPr>
        <w:pStyle w:val="NoSpacing"/>
      </w:pPr>
    </w:p>
    <w:p w:rsidR="00E2253D" w:rsidRDefault="00E2253D" w:rsidP="00F02D69">
      <w:pPr>
        <w:pStyle w:val="NoSpacing"/>
      </w:pPr>
      <w:r>
        <w:t>Chisholm Group’s maximum exposure to liquidity risk is the carrying amounts of financial liabilities as disclosed in the face of the balance sheet.</w:t>
      </w:r>
    </w:p>
    <w:p w:rsidR="00E2253D" w:rsidRDefault="00E2253D" w:rsidP="00F02D69">
      <w:pPr>
        <w:pStyle w:val="NoSpacing"/>
      </w:pPr>
    </w:p>
    <w:p w:rsidR="00E2253D" w:rsidRDefault="00E2253D" w:rsidP="00F02D69">
      <w:pPr>
        <w:pStyle w:val="NoSpacing"/>
      </w:pPr>
      <w:r>
        <w:t>Chisholm Group manages liquidity risk by:</w:t>
      </w:r>
    </w:p>
    <w:p w:rsidR="00E2253D" w:rsidRDefault="00E2253D" w:rsidP="00925530">
      <w:pPr>
        <w:pStyle w:val="NoSpacing"/>
        <w:numPr>
          <w:ilvl w:val="0"/>
          <w:numId w:val="57"/>
        </w:numPr>
      </w:pPr>
      <w:r>
        <w:t>maintaining adequate short term reserves and banking facilities that can be drawn at short notice to meet its short-term obligations;</w:t>
      </w:r>
    </w:p>
    <w:p w:rsidR="00E2253D" w:rsidRDefault="00E2253D" w:rsidP="00925530">
      <w:pPr>
        <w:pStyle w:val="NoSpacing"/>
        <w:numPr>
          <w:ilvl w:val="0"/>
          <w:numId w:val="57"/>
        </w:numPr>
      </w:pPr>
      <w:r>
        <w:t>holding inv</w:t>
      </w:r>
      <w:r w:rsidR="00F05D16">
        <w:t xml:space="preserve">estments and other contractual financial assets that are readily tradeable in the financial market; and </w:t>
      </w:r>
    </w:p>
    <w:p w:rsidR="00F05D16" w:rsidRDefault="00F05D16" w:rsidP="00F05D16">
      <w:pPr>
        <w:pStyle w:val="NoSpacing"/>
      </w:pPr>
    </w:p>
    <w:p w:rsidR="00F05D16" w:rsidRDefault="00F05D16" w:rsidP="00F05D16">
      <w:pPr>
        <w:pStyle w:val="NoSpacing"/>
      </w:pPr>
      <w:r>
        <w:t>&lt;page 83&gt;</w:t>
      </w:r>
    </w:p>
    <w:p w:rsidR="00F05D16" w:rsidRDefault="00F05D16" w:rsidP="00F05D16">
      <w:pPr>
        <w:pStyle w:val="NoSpacing"/>
      </w:pPr>
    </w:p>
    <w:p w:rsidR="00F05D16" w:rsidRDefault="00F05D16" w:rsidP="00F05D16">
      <w:pPr>
        <w:pStyle w:val="Heading2"/>
      </w:pPr>
      <w:r>
        <w:t>7. Managing risks and uncertainties (continued)</w:t>
      </w:r>
    </w:p>
    <w:p w:rsidR="00F05D16" w:rsidRDefault="00F05D16" w:rsidP="00F05D16">
      <w:pPr>
        <w:pStyle w:val="NoSpacing"/>
      </w:pPr>
    </w:p>
    <w:p w:rsidR="00F05D16" w:rsidRDefault="00F05D16" w:rsidP="00925530">
      <w:pPr>
        <w:pStyle w:val="NoSpacing"/>
        <w:numPr>
          <w:ilvl w:val="0"/>
          <w:numId w:val="58"/>
        </w:numPr>
      </w:pPr>
      <w:r>
        <w:t>careful maturity planning of its financial obligations based on forecasts of future cash flows.</w:t>
      </w:r>
    </w:p>
    <w:p w:rsidR="00F05D16" w:rsidRDefault="00F05D16" w:rsidP="00F05D16">
      <w:pPr>
        <w:pStyle w:val="NoSpacing"/>
      </w:pPr>
    </w:p>
    <w:p w:rsidR="00F05D16" w:rsidRDefault="00F05D16" w:rsidP="00F05D16">
      <w:pPr>
        <w:pStyle w:val="NoSpacing"/>
      </w:pPr>
      <w:r>
        <w:t>Chisholm Group’s exposure to liquidity risk is deemed insignificant based on prior periods’ data and current assessment of risk.</w:t>
      </w:r>
    </w:p>
    <w:p w:rsidR="00F05D16" w:rsidRDefault="00F05D16" w:rsidP="00F05D16">
      <w:pPr>
        <w:pStyle w:val="NoSpacing"/>
      </w:pPr>
    </w:p>
    <w:p w:rsidR="00F05D16" w:rsidRDefault="00F05D16" w:rsidP="00F05D16">
      <w:pPr>
        <w:pStyle w:val="NoSpacing"/>
      </w:pPr>
      <w:r>
        <w:t>There has been no significant change in Chisholm Group’s exposure, the Group’s objectives, policies and processes for managing liquidity risk, or the methods used to measure this risk from the previous reporting period.</w:t>
      </w:r>
    </w:p>
    <w:p w:rsidR="00F05D16" w:rsidRDefault="00F05D16" w:rsidP="00F05D16">
      <w:pPr>
        <w:pStyle w:val="NoSpacing"/>
      </w:pPr>
    </w:p>
    <w:p w:rsidR="00F05D16" w:rsidRDefault="00F05D16" w:rsidP="00F05D16">
      <w:pPr>
        <w:pStyle w:val="Heading3"/>
      </w:pPr>
      <w:r>
        <w:t xml:space="preserve">7.2 Contingent assets and contingent liabilities </w:t>
      </w:r>
    </w:p>
    <w:p w:rsidR="00601AE0" w:rsidRDefault="00F05D16" w:rsidP="00F02D69">
      <w:pPr>
        <w:pStyle w:val="NoSpacing"/>
      </w:pPr>
      <w:r>
        <w:t>Contingent assets and contingent liabilities are not recognised in the bala</w:t>
      </w:r>
      <w:r w:rsidR="00157A91">
        <w:t>nce sheet but are disclosed and</w:t>
      </w:r>
      <w:r>
        <w:t>, if quantifiable, are measured at nominal value.</w:t>
      </w:r>
    </w:p>
    <w:p w:rsidR="00F05D16" w:rsidRDefault="00F05D16" w:rsidP="00F02D69">
      <w:pPr>
        <w:pStyle w:val="NoSpacing"/>
      </w:pPr>
    </w:p>
    <w:p w:rsidR="00157A91" w:rsidRDefault="00F05D16" w:rsidP="00F02D69">
      <w:pPr>
        <w:pStyle w:val="NoSpacing"/>
      </w:pPr>
      <w:r>
        <w:lastRenderedPageBreak/>
        <w:t>Contingent assets and</w:t>
      </w:r>
      <w:r w:rsidR="00157A91">
        <w:t xml:space="preserve"> liabilities are presented inclusive of GST receivable or payable respectively.</w:t>
      </w:r>
    </w:p>
    <w:p w:rsidR="00157A91" w:rsidRDefault="00157A91" w:rsidP="00F02D69">
      <w:pPr>
        <w:pStyle w:val="NoSpacing"/>
      </w:pPr>
    </w:p>
    <w:p w:rsidR="00157A91" w:rsidRDefault="00157A91" w:rsidP="00F02D69">
      <w:pPr>
        <w:pStyle w:val="NoSpacing"/>
      </w:pPr>
      <w:r>
        <w:t>There were no contingent assets or contingent liabilities as at 31 December 2019 (31 December 2018: nil) that may have material effect on the financial operations of Chisholm Group.</w:t>
      </w:r>
    </w:p>
    <w:p w:rsidR="00157A91" w:rsidRDefault="00157A91" w:rsidP="00F02D69">
      <w:pPr>
        <w:pStyle w:val="NoSpacing"/>
      </w:pPr>
    </w:p>
    <w:p w:rsidR="00157A91" w:rsidRDefault="00157A91" w:rsidP="00157A91">
      <w:pPr>
        <w:pStyle w:val="Heading3"/>
      </w:pPr>
      <w:r>
        <w:t>7.3 Fair value determination</w:t>
      </w:r>
    </w:p>
    <w:p w:rsidR="00157A91" w:rsidRDefault="00157A91" w:rsidP="00F02D69">
      <w:pPr>
        <w:pStyle w:val="NoSpacing"/>
      </w:pPr>
      <w:r>
        <w:t xml:space="preserve">Significant judgement: Fair value measurements of assets and liabilities </w:t>
      </w:r>
    </w:p>
    <w:p w:rsidR="00157A91" w:rsidRDefault="00157A91" w:rsidP="00F02D69">
      <w:pPr>
        <w:pStyle w:val="NoSpacing"/>
      </w:pPr>
    </w:p>
    <w:p w:rsidR="00157A91" w:rsidRDefault="00157A91" w:rsidP="00F02D69">
      <w:pPr>
        <w:pStyle w:val="NoSpacing"/>
      </w:pPr>
      <w:r>
        <w:t>Fair value determination requires judgement and the use of assumptions used in determining fair values. Changes to assumptions could have a material impact on the results and financial position of Chisholm Group.</w:t>
      </w:r>
    </w:p>
    <w:p w:rsidR="00157A91" w:rsidRDefault="00157A91" w:rsidP="00F02D69">
      <w:pPr>
        <w:pStyle w:val="NoSpacing"/>
      </w:pPr>
    </w:p>
    <w:p w:rsidR="00157A91" w:rsidRDefault="00157A91" w:rsidP="00F02D69">
      <w:pPr>
        <w:pStyle w:val="NoSpacing"/>
      </w:pPr>
      <w:r>
        <w:t>This section sets out information on how Chisholm Group determined fair value for financial reporting purposes. Fair value is the price that would be received to sell an asset or paid to transfer a liability in an orderly transaction between market participants at the measurement date.</w:t>
      </w:r>
    </w:p>
    <w:p w:rsidR="00157A91" w:rsidRDefault="00157A91" w:rsidP="00F02D69">
      <w:pPr>
        <w:pStyle w:val="NoSpacing"/>
      </w:pPr>
    </w:p>
    <w:p w:rsidR="00157A91" w:rsidRDefault="00157A91" w:rsidP="00F02D69">
      <w:pPr>
        <w:pStyle w:val="NoSpacing"/>
      </w:pPr>
      <w:r>
        <w:t>The following assets and liabilities are carried at fair value:</w:t>
      </w:r>
    </w:p>
    <w:p w:rsidR="00F05D16" w:rsidRDefault="00157A91" w:rsidP="00925530">
      <w:pPr>
        <w:pStyle w:val="NoSpacing"/>
        <w:numPr>
          <w:ilvl w:val="0"/>
          <w:numId w:val="58"/>
        </w:numPr>
      </w:pPr>
      <w:r>
        <w:t>land, buildings, plants and equipment, vehicles, and leasehold improvements.</w:t>
      </w:r>
    </w:p>
    <w:p w:rsidR="00157A91" w:rsidRDefault="00157A91" w:rsidP="00157A91">
      <w:pPr>
        <w:pStyle w:val="NoSpacing"/>
      </w:pPr>
    </w:p>
    <w:p w:rsidR="00157A91" w:rsidRDefault="00371CB9" w:rsidP="00157A91">
      <w:pPr>
        <w:pStyle w:val="NoSpacing"/>
      </w:pPr>
      <w:r>
        <w:t>In addition, the fair values of other assets and liabilities that are carried at amortised cost also need to be determined for disclosure purposes.</w:t>
      </w:r>
    </w:p>
    <w:p w:rsidR="00371CB9" w:rsidRDefault="00371CB9" w:rsidP="00157A91">
      <w:pPr>
        <w:pStyle w:val="NoSpacing"/>
      </w:pPr>
    </w:p>
    <w:p w:rsidR="00371CB9" w:rsidRDefault="00371CB9" w:rsidP="00157A91">
      <w:pPr>
        <w:pStyle w:val="NoSpacing"/>
      </w:pPr>
      <w:r>
        <w:t>Chisholm Group determines the policies and procedures for determining fair values for both financial and non-financial assets and liabilities as required.</w:t>
      </w:r>
    </w:p>
    <w:p w:rsidR="00371CB9" w:rsidRDefault="00371CB9" w:rsidP="00157A91">
      <w:pPr>
        <w:pStyle w:val="NoSpacing"/>
      </w:pPr>
    </w:p>
    <w:p w:rsidR="00371CB9" w:rsidRDefault="00371CB9" w:rsidP="0028573F">
      <w:pPr>
        <w:pStyle w:val="Heading4"/>
      </w:pPr>
      <w:r>
        <w:t>Fair value estimation</w:t>
      </w:r>
    </w:p>
    <w:p w:rsidR="00371CB9" w:rsidRDefault="00371CB9" w:rsidP="00157A91">
      <w:pPr>
        <w:pStyle w:val="NoSpacing"/>
      </w:pPr>
      <w:r>
        <w:t>A number of inputs are used in determining fair values. To increase consistency and comparability in the financial statements, these inputs are categorised into three levels, also known as the fair value hierarchy. The levels are as follows:</w:t>
      </w:r>
    </w:p>
    <w:p w:rsidR="00371CB9" w:rsidRDefault="00371CB9" w:rsidP="00925530">
      <w:pPr>
        <w:pStyle w:val="NoSpacing"/>
        <w:numPr>
          <w:ilvl w:val="0"/>
          <w:numId w:val="58"/>
        </w:numPr>
      </w:pPr>
      <w:r>
        <w:t>Level 1 – quoted (unadjusted) market prices in active markets for identical assets or liabilities;</w:t>
      </w:r>
    </w:p>
    <w:p w:rsidR="00371CB9" w:rsidRDefault="00371CB9" w:rsidP="00925530">
      <w:pPr>
        <w:pStyle w:val="NoSpacing"/>
        <w:numPr>
          <w:ilvl w:val="0"/>
          <w:numId w:val="58"/>
        </w:numPr>
      </w:pPr>
      <w:r>
        <w:t>Level 2 – valuation techniques for which the lowest level input that is significant to the fair value measurement in directly or indirectly observable; and</w:t>
      </w:r>
    </w:p>
    <w:p w:rsidR="00371CB9" w:rsidRDefault="00371CB9" w:rsidP="00925530">
      <w:pPr>
        <w:pStyle w:val="NoSpacing"/>
        <w:numPr>
          <w:ilvl w:val="0"/>
          <w:numId w:val="58"/>
        </w:numPr>
      </w:pPr>
      <w:r>
        <w:t>Level 3 – valuation techniques for which the lowest level input that is significant to the fair value measurement in unobservable.</w:t>
      </w:r>
    </w:p>
    <w:p w:rsidR="00371CB9" w:rsidRDefault="00371CB9" w:rsidP="00371CB9">
      <w:pPr>
        <w:pStyle w:val="NoSpacing"/>
      </w:pPr>
    </w:p>
    <w:p w:rsidR="00371CB9" w:rsidRDefault="00371CB9" w:rsidP="00371CB9">
      <w:pPr>
        <w:pStyle w:val="NoSpacing"/>
      </w:pPr>
      <w:r>
        <w:t>Chisholm Group determines whether transfers have occurred between levels in the hierarchy by reassessing categorisation (based on the lowest level input that is significant to the fair value measurement as a whole) at the end of each reporting period.</w:t>
      </w:r>
    </w:p>
    <w:p w:rsidR="00371CB9" w:rsidRDefault="00371CB9" w:rsidP="00371CB9">
      <w:pPr>
        <w:pStyle w:val="NoSpacing"/>
      </w:pPr>
    </w:p>
    <w:p w:rsidR="00371CB9" w:rsidRDefault="00371CB9" w:rsidP="00371CB9">
      <w:pPr>
        <w:pStyle w:val="NoSpacing"/>
      </w:pPr>
      <w:r>
        <w:t>A summary of changes between levels can be found in Note 7.3(a).</w:t>
      </w:r>
    </w:p>
    <w:p w:rsidR="00371CB9" w:rsidRDefault="00371CB9" w:rsidP="00371CB9">
      <w:pPr>
        <w:pStyle w:val="NoSpacing"/>
      </w:pPr>
    </w:p>
    <w:p w:rsidR="00371CB9" w:rsidRDefault="00371CB9" w:rsidP="00371CB9">
      <w:pPr>
        <w:pStyle w:val="NoSpacing"/>
      </w:pPr>
      <w:r>
        <w:t>The Valuer-General Victoria (VGV) is Chisholm’s independent valuation agency.</w:t>
      </w:r>
    </w:p>
    <w:p w:rsidR="00371CB9" w:rsidRDefault="00371CB9" w:rsidP="00371CB9">
      <w:pPr>
        <w:pStyle w:val="NoSpacing"/>
      </w:pPr>
    </w:p>
    <w:p w:rsidR="00371CB9" w:rsidRDefault="00371CB9" w:rsidP="0028573F">
      <w:pPr>
        <w:pStyle w:val="Heading4"/>
      </w:pPr>
      <w:r>
        <w:t>Fair value determination of financial assets and liabilities</w:t>
      </w:r>
    </w:p>
    <w:p w:rsidR="00371CB9" w:rsidRDefault="00371CB9" w:rsidP="00371CB9">
      <w:pPr>
        <w:pStyle w:val="NoSpacing"/>
      </w:pPr>
      <w:r>
        <w:t xml:space="preserve">Chisholm Group currently holds a range of financial instruments that are recorded in the financial statements where the carrying amounts are a reasonable approximation of fair value, either due to their short-term nature or with the expectation that they </w:t>
      </w:r>
      <w:r w:rsidR="0012340F">
        <w:t>will be paid in full.</w:t>
      </w:r>
    </w:p>
    <w:p w:rsidR="0012340F" w:rsidRDefault="0012340F" w:rsidP="00371CB9">
      <w:pPr>
        <w:pStyle w:val="NoSpacing"/>
      </w:pPr>
    </w:p>
    <w:p w:rsidR="0012340F" w:rsidRDefault="0012340F" w:rsidP="00371CB9">
      <w:pPr>
        <w:pStyle w:val="NoSpacing"/>
      </w:pPr>
      <w:r>
        <w:t>There is no reportable difference between the carrying amount and fair value for the year ended 31 December 2019.</w:t>
      </w:r>
    </w:p>
    <w:p w:rsidR="0012340F" w:rsidRDefault="0012340F" w:rsidP="00371CB9">
      <w:pPr>
        <w:pStyle w:val="NoSpacing"/>
      </w:pPr>
    </w:p>
    <w:p w:rsidR="0012340F" w:rsidRDefault="0012340F" w:rsidP="0028573F">
      <w:pPr>
        <w:pStyle w:val="Heading4"/>
      </w:pPr>
      <w:r>
        <w:t>(a) Fair value determination of non-financial assets</w:t>
      </w:r>
    </w:p>
    <w:p w:rsidR="0012340F" w:rsidRDefault="0012340F" w:rsidP="00371CB9">
      <w:pPr>
        <w:pStyle w:val="NoSpacing"/>
      </w:pPr>
      <w:r>
        <w:t>Chisholm holds property, plant and equipment for which fair values are determined.</w:t>
      </w:r>
    </w:p>
    <w:p w:rsidR="0012340F" w:rsidRDefault="0012340F" w:rsidP="00371CB9">
      <w:pPr>
        <w:pStyle w:val="NoSpacing"/>
      </w:pPr>
    </w:p>
    <w:p w:rsidR="0012340F" w:rsidRDefault="0012340F" w:rsidP="00371CB9">
      <w:pPr>
        <w:pStyle w:val="NoSpacing"/>
      </w:pPr>
      <w:r>
        <w:t>Chisholm Group, in conjunction with the Valuer-General Victoria (VGV), monitors changes in the fair value of each asset through relevant data sources to determine whether revaluations are required. The recurring fair value measurements of non-financial physical assets, such as land and buildings, are based on Level 2 unobservable inputs and Level 3 unobservable inputs due to the nature and characteristics of Chisholm’s campus assets. There is little or no observable market evidence of the market selling price of campus assets as they are specialised assets with a Community Service Obligation (CSO) applied.</w:t>
      </w:r>
    </w:p>
    <w:p w:rsidR="0012340F" w:rsidRDefault="0012340F" w:rsidP="00371CB9">
      <w:pPr>
        <w:pStyle w:val="NoSpacing"/>
      </w:pPr>
    </w:p>
    <w:p w:rsidR="0015441F" w:rsidRDefault="0012340F" w:rsidP="00371CB9">
      <w:pPr>
        <w:pStyle w:val="NoSpacing"/>
      </w:pPr>
      <w:r>
        <w:t xml:space="preserve">The table below shows the relevant fair value </w:t>
      </w:r>
      <w:r w:rsidR="0015441F">
        <w:t>information relating to those assets.</w:t>
      </w:r>
    </w:p>
    <w:p w:rsidR="0015441F" w:rsidRDefault="0015441F" w:rsidP="00371CB9">
      <w:pPr>
        <w:pStyle w:val="NoSpacing"/>
      </w:pPr>
    </w:p>
    <w:p w:rsidR="0015441F" w:rsidRDefault="0015441F" w:rsidP="00371CB9">
      <w:pPr>
        <w:pStyle w:val="NoSpacing"/>
      </w:pPr>
      <w:r>
        <w:t>&lt;page 84&gt;</w:t>
      </w:r>
    </w:p>
    <w:p w:rsidR="0015441F" w:rsidRDefault="0015441F" w:rsidP="00371CB9">
      <w:pPr>
        <w:pStyle w:val="NoSpacing"/>
      </w:pPr>
    </w:p>
    <w:p w:rsidR="0015441F" w:rsidRDefault="0015441F" w:rsidP="0015441F">
      <w:pPr>
        <w:pStyle w:val="Heading2"/>
      </w:pPr>
      <w:r>
        <w:t>7. Managing risks and uncertainties (continued)</w:t>
      </w:r>
    </w:p>
    <w:p w:rsidR="0028573F" w:rsidRDefault="0028573F" w:rsidP="0028573F">
      <w:pPr>
        <w:pStyle w:val="NoSpacing"/>
      </w:pPr>
    </w:p>
    <w:p w:rsidR="0015441F" w:rsidRDefault="0015441F" w:rsidP="0015441F">
      <w:pPr>
        <w:pStyle w:val="Heading3"/>
      </w:pPr>
      <w:r>
        <w:t xml:space="preserve">7.3 Fair </w:t>
      </w:r>
      <w:r w:rsidR="00EC50E6">
        <w:t xml:space="preserve">value </w:t>
      </w:r>
      <w:r>
        <w:t>determination (continued)</w:t>
      </w:r>
    </w:p>
    <w:p w:rsidR="0028573F" w:rsidRDefault="0028573F" w:rsidP="0028573F">
      <w:pPr>
        <w:pStyle w:val="NoSpacing"/>
      </w:pPr>
    </w:p>
    <w:p w:rsidR="0015441F" w:rsidRDefault="0015441F" w:rsidP="0028573F">
      <w:pPr>
        <w:pStyle w:val="Heading4"/>
      </w:pPr>
      <w:r>
        <w:t>(a) Fair value determination of non-financial assets (continued)</w:t>
      </w:r>
    </w:p>
    <w:p w:rsidR="0015441F" w:rsidRPr="0015441F" w:rsidRDefault="0015441F" w:rsidP="0015441F"/>
    <w:tbl>
      <w:tblPr>
        <w:tblStyle w:val="TableGrid"/>
        <w:tblW w:w="10774" w:type="dxa"/>
        <w:tblInd w:w="-998" w:type="dxa"/>
        <w:tblLook w:val="04A0" w:firstRow="1" w:lastRow="0" w:firstColumn="1" w:lastColumn="0" w:noHBand="0" w:noVBand="1"/>
      </w:tblPr>
      <w:tblGrid>
        <w:gridCol w:w="2978"/>
        <w:gridCol w:w="1984"/>
        <w:gridCol w:w="2127"/>
        <w:gridCol w:w="1984"/>
        <w:gridCol w:w="1701"/>
      </w:tblGrid>
      <w:tr w:rsidR="0015441F" w:rsidTr="0015441F">
        <w:trPr>
          <w:gridBefore w:val="1"/>
          <w:wBefore w:w="2978" w:type="dxa"/>
        </w:trPr>
        <w:tc>
          <w:tcPr>
            <w:tcW w:w="7796" w:type="dxa"/>
            <w:gridSpan w:val="4"/>
          </w:tcPr>
          <w:p w:rsidR="0015441F" w:rsidRDefault="0015441F" w:rsidP="0015441F">
            <w:pPr>
              <w:pStyle w:val="NoSpacing"/>
              <w:jc w:val="center"/>
            </w:pPr>
            <w:r>
              <w:t>Fair value hierarchy</w:t>
            </w:r>
          </w:p>
        </w:tc>
      </w:tr>
      <w:tr w:rsidR="0015441F" w:rsidTr="0015441F">
        <w:trPr>
          <w:gridBefore w:val="1"/>
          <w:wBefore w:w="2978" w:type="dxa"/>
        </w:trPr>
        <w:tc>
          <w:tcPr>
            <w:tcW w:w="1984" w:type="dxa"/>
            <w:vAlign w:val="bottom"/>
          </w:tcPr>
          <w:p w:rsidR="0015441F" w:rsidRDefault="0015441F" w:rsidP="0015441F">
            <w:pPr>
              <w:pStyle w:val="NoSpacing"/>
              <w:jc w:val="right"/>
            </w:pPr>
            <w:r>
              <w:t>Carrying amount at 31 December</w:t>
            </w:r>
          </w:p>
        </w:tc>
        <w:tc>
          <w:tcPr>
            <w:tcW w:w="2127" w:type="dxa"/>
            <w:vAlign w:val="bottom"/>
          </w:tcPr>
          <w:p w:rsidR="0015441F" w:rsidRDefault="0015441F" w:rsidP="0015441F">
            <w:pPr>
              <w:pStyle w:val="NoSpacing"/>
              <w:jc w:val="right"/>
            </w:pPr>
            <w:r>
              <w:t>Level 1 Quote prices</w:t>
            </w:r>
          </w:p>
        </w:tc>
        <w:tc>
          <w:tcPr>
            <w:tcW w:w="1984" w:type="dxa"/>
            <w:vAlign w:val="bottom"/>
          </w:tcPr>
          <w:p w:rsidR="0015441F" w:rsidRDefault="0015441F" w:rsidP="0015441F">
            <w:pPr>
              <w:pStyle w:val="NoSpacing"/>
              <w:jc w:val="right"/>
            </w:pPr>
            <w:r>
              <w:t>Level Observable price inputs</w:t>
            </w:r>
          </w:p>
        </w:tc>
        <w:tc>
          <w:tcPr>
            <w:tcW w:w="1701" w:type="dxa"/>
            <w:vAlign w:val="bottom"/>
          </w:tcPr>
          <w:p w:rsidR="0015441F" w:rsidRDefault="0015441F" w:rsidP="0015441F">
            <w:pPr>
              <w:pStyle w:val="NoSpacing"/>
              <w:jc w:val="right"/>
            </w:pPr>
            <w:r>
              <w:t>Level 3 Unobservable inputs</w:t>
            </w:r>
          </w:p>
        </w:tc>
      </w:tr>
      <w:tr w:rsidR="0015441F" w:rsidTr="0015441F">
        <w:trPr>
          <w:gridBefore w:val="1"/>
          <w:wBefore w:w="2978" w:type="dxa"/>
        </w:trPr>
        <w:tc>
          <w:tcPr>
            <w:tcW w:w="1984" w:type="dxa"/>
          </w:tcPr>
          <w:p w:rsidR="0015441F" w:rsidRDefault="0015441F" w:rsidP="0015441F">
            <w:pPr>
              <w:pStyle w:val="NoSpacing"/>
              <w:jc w:val="right"/>
            </w:pPr>
            <w:r>
              <w:t>$’000</w:t>
            </w:r>
          </w:p>
        </w:tc>
        <w:tc>
          <w:tcPr>
            <w:tcW w:w="2127" w:type="dxa"/>
          </w:tcPr>
          <w:p w:rsidR="0015441F" w:rsidRDefault="0015441F" w:rsidP="0015441F">
            <w:pPr>
              <w:jc w:val="right"/>
            </w:pPr>
            <w:r w:rsidRPr="003E7B08">
              <w:t>$’000</w:t>
            </w:r>
          </w:p>
        </w:tc>
        <w:tc>
          <w:tcPr>
            <w:tcW w:w="1984" w:type="dxa"/>
          </w:tcPr>
          <w:p w:rsidR="0015441F" w:rsidRDefault="0015441F" w:rsidP="0015441F">
            <w:pPr>
              <w:jc w:val="right"/>
            </w:pPr>
            <w:r w:rsidRPr="003E7B08">
              <w:t>$’000</w:t>
            </w:r>
          </w:p>
        </w:tc>
        <w:tc>
          <w:tcPr>
            <w:tcW w:w="1701" w:type="dxa"/>
          </w:tcPr>
          <w:p w:rsidR="0015441F" w:rsidRDefault="0015441F" w:rsidP="0015441F">
            <w:pPr>
              <w:jc w:val="right"/>
            </w:pPr>
            <w:r w:rsidRPr="003E7B08">
              <w:t>$’000</w:t>
            </w:r>
          </w:p>
        </w:tc>
      </w:tr>
      <w:tr w:rsidR="0015441F" w:rsidTr="0015441F">
        <w:tc>
          <w:tcPr>
            <w:tcW w:w="10774" w:type="dxa"/>
            <w:gridSpan w:val="5"/>
          </w:tcPr>
          <w:p w:rsidR="0015441F" w:rsidRDefault="0015441F" w:rsidP="0015441F">
            <w:pPr>
              <w:pStyle w:val="NoSpacing"/>
            </w:pPr>
            <w:r>
              <w:t>Consolidated 2019</w:t>
            </w:r>
          </w:p>
        </w:tc>
      </w:tr>
      <w:tr w:rsidR="0015441F" w:rsidTr="0015441F">
        <w:tc>
          <w:tcPr>
            <w:tcW w:w="2978" w:type="dxa"/>
          </w:tcPr>
          <w:p w:rsidR="0015441F" w:rsidRDefault="0015441F" w:rsidP="0015441F">
            <w:pPr>
              <w:pStyle w:val="NoSpacing"/>
            </w:pPr>
            <w:r>
              <w:t>Non-specialised land</w:t>
            </w:r>
          </w:p>
        </w:tc>
        <w:tc>
          <w:tcPr>
            <w:tcW w:w="1984" w:type="dxa"/>
          </w:tcPr>
          <w:p w:rsidR="0015441F" w:rsidRDefault="0015441F" w:rsidP="0015441F">
            <w:pPr>
              <w:pStyle w:val="NoSpacing"/>
              <w:jc w:val="right"/>
            </w:pPr>
            <w:r>
              <w:t>5,498</w:t>
            </w:r>
          </w:p>
        </w:tc>
        <w:tc>
          <w:tcPr>
            <w:tcW w:w="2127" w:type="dxa"/>
          </w:tcPr>
          <w:p w:rsidR="0015441F" w:rsidRDefault="0015441F" w:rsidP="0015441F">
            <w:pPr>
              <w:pStyle w:val="NoSpacing"/>
              <w:jc w:val="right"/>
            </w:pPr>
            <w:r>
              <w:t>-</w:t>
            </w:r>
          </w:p>
        </w:tc>
        <w:tc>
          <w:tcPr>
            <w:tcW w:w="1984" w:type="dxa"/>
          </w:tcPr>
          <w:p w:rsidR="0015441F" w:rsidRDefault="0015441F" w:rsidP="0015441F">
            <w:pPr>
              <w:pStyle w:val="NoSpacing"/>
              <w:jc w:val="right"/>
            </w:pPr>
            <w:r>
              <w:t>5,498</w:t>
            </w:r>
          </w:p>
        </w:tc>
        <w:tc>
          <w:tcPr>
            <w:tcW w:w="1701" w:type="dxa"/>
          </w:tcPr>
          <w:p w:rsidR="0015441F" w:rsidRDefault="0015441F" w:rsidP="0015441F">
            <w:pPr>
              <w:pStyle w:val="NoSpacing"/>
              <w:jc w:val="right"/>
            </w:pPr>
            <w:r>
              <w:t>-</w:t>
            </w:r>
          </w:p>
        </w:tc>
      </w:tr>
      <w:tr w:rsidR="0015441F" w:rsidTr="0015441F">
        <w:tc>
          <w:tcPr>
            <w:tcW w:w="2978" w:type="dxa"/>
          </w:tcPr>
          <w:p w:rsidR="0015441F" w:rsidRDefault="0015441F" w:rsidP="0015441F">
            <w:pPr>
              <w:pStyle w:val="NoSpacing"/>
            </w:pPr>
            <w:r>
              <w:t>Specialised land</w:t>
            </w:r>
          </w:p>
        </w:tc>
        <w:tc>
          <w:tcPr>
            <w:tcW w:w="1984" w:type="dxa"/>
          </w:tcPr>
          <w:p w:rsidR="0015441F" w:rsidRDefault="0015441F" w:rsidP="0015441F">
            <w:pPr>
              <w:pStyle w:val="NoSpacing"/>
              <w:jc w:val="right"/>
            </w:pPr>
            <w:r>
              <w:t>52,698</w:t>
            </w:r>
          </w:p>
        </w:tc>
        <w:tc>
          <w:tcPr>
            <w:tcW w:w="2127" w:type="dxa"/>
          </w:tcPr>
          <w:p w:rsidR="0015441F" w:rsidRDefault="0015441F" w:rsidP="0015441F">
            <w:pPr>
              <w:pStyle w:val="NoSpacing"/>
              <w:jc w:val="right"/>
            </w:pPr>
            <w:r>
              <w:t>-</w:t>
            </w:r>
          </w:p>
        </w:tc>
        <w:tc>
          <w:tcPr>
            <w:tcW w:w="1984" w:type="dxa"/>
          </w:tcPr>
          <w:p w:rsidR="0015441F" w:rsidRDefault="0015441F" w:rsidP="0015441F">
            <w:pPr>
              <w:pStyle w:val="NoSpacing"/>
              <w:jc w:val="right"/>
            </w:pPr>
            <w:r>
              <w:t>-</w:t>
            </w:r>
          </w:p>
        </w:tc>
        <w:tc>
          <w:tcPr>
            <w:tcW w:w="1701" w:type="dxa"/>
          </w:tcPr>
          <w:p w:rsidR="0015441F" w:rsidRDefault="0015441F" w:rsidP="0015441F">
            <w:pPr>
              <w:pStyle w:val="NoSpacing"/>
              <w:jc w:val="right"/>
            </w:pPr>
            <w:r>
              <w:t>52,698</w:t>
            </w:r>
          </w:p>
        </w:tc>
      </w:tr>
      <w:tr w:rsidR="0015441F" w:rsidTr="0015441F">
        <w:tc>
          <w:tcPr>
            <w:tcW w:w="2978" w:type="dxa"/>
          </w:tcPr>
          <w:p w:rsidR="0015441F" w:rsidRDefault="0015441F" w:rsidP="0015441F">
            <w:pPr>
              <w:pStyle w:val="NoSpacing"/>
            </w:pPr>
            <w:r>
              <w:t>Total land at fair value</w:t>
            </w:r>
          </w:p>
        </w:tc>
        <w:tc>
          <w:tcPr>
            <w:tcW w:w="1984" w:type="dxa"/>
          </w:tcPr>
          <w:p w:rsidR="0015441F" w:rsidRDefault="0015441F" w:rsidP="0015441F">
            <w:pPr>
              <w:pStyle w:val="NoSpacing"/>
              <w:jc w:val="right"/>
            </w:pPr>
            <w:r>
              <w:t>58,196</w:t>
            </w:r>
          </w:p>
        </w:tc>
        <w:tc>
          <w:tcPr>
            <w:tcW w:w="2127" w:type="dxa"/>
          </w:tcPr>
          <w:p w:rsidR="0015441F" w:rsidRDefault="0015441F" w:rsidP="0015441F">
            <w:pPr>
              <w:pStyle w:val="NoSpacing"/>
              <w:jc w:val="right"/>
            </w:pPr>
            <w:r>
              <w:t>-</w:t>
            </w:r>
          </w:p>
        </w:tc>
        <w:tc>
          <w:tcPr>
            <w:tcW w:w="1984" w:type="dxa"/>
          </w:tcPr>
          <w:p w:rsidR="0015441F" w:rsidRDefault="0015441F" w:rsidP="0015441F">
            <w:pPr>
              <w:pStyle w:val="NoSpacing"/>
              <w:jc w:val="right"/>
            </w:pPr>
            <w:r>
              <w:t>5,498</w:t>
            </w:r>
          </w:p>
        </w:tc>
        <w:tc>
          <w:tcPr>
            <w:tcW w:w="1701" w:type="dxa"/>
          </w:tcPr>
          <w:p w:rsidR="0015441F" w:rsidRDefault="0015441F" w:rsidP="0015441F">
            <w:pPr>
              <w:pStyle w:val="NoSpacing"/>
              <w:jc w:val="right"/>
            </w:pPr>
            <w:r>
              <w:t>52,698</w:t>
            </w:r>
          </w:p>
        </w:tc>
      </w:tr>
    </w:tbl>
    <w:p w:rsidR="0015441F" w:rsidRDefault="0015441F" w:rsidP="0015441F">
      <w:pPr>
        <w:pStyle w:val="NoSpacing"/>
      </w:pPr>
    </w:p>
    <w:tbl>
      <w:tblPr>
        <w:tblStyle w:val="TableGrid"/>
        <w:tblW w:w="10774" w:type="dxa"/>
        <w:tblInd w:w="-998" w:type="dxa"/>
        <w:tblLook w:val="04A0" w:firstRow="1" w:lastRow="0" w:firstColumn="1" w:lastColumn="0" w:noHBand="0" w:noVBand="1"/>
      </w:tblPr>
      <w:tblGrid>
        <w:gridCol w:w="2978"/>
        <w:gridCol w:w="1984"/>
        <w:gridCol w:w="2127"/>
        <w:gridCol w:w="1984"/>
        <w:gridCol w:w="1701"/>
      </w:tblGrid>
      <w:tr w:rsidR="0015441F" w:rsidTr="0015441F">
        <w:tc>
          <w:tcPr>
            <w:tcW w:w="2978" w:type="dxa"/>
          </w:tcPr>
          <w:p w:rsidR="0015441F" w:rsidRDefault="0015441F" w:rsidP="0015441F">
            <w:pPr>
              <w:pStyle w:val="NoSpacing"/>
            </w:pPr>
            <w:r>
              <w:t>Non-specialised buildings</w:t>
            </w:r>
          </w:p>
        </w:tc>
        <w:tc>
          <w:tcPr>
            <w:tcW w:w="1984" w:type="dxa"/>
          </w:tcPr>
          <w:p w:rsidR="0015441F" w:rsidRDefault="0015441F" w:rsidP="0015441F">
            <w:pPr>
              <w:pStyle w:val="NoSpacing"/>
              <w:jc w:val="right"/>
            </w:pPr>
            <w:r>
              <w:t>3,468</w:t>
            </w:r>
          </w:p>
        </w:tc>
        <w:tc>
          <w:tcPr>
            <w:tcW w:w="2127" w:type="dxa"/>
          </w:tcPr>
          <w:p w:rsidR="0015441F" w:rsidRDefault="0015441F" w:rsidP="0015441F">
            <w:pPr>
              <w:pStyle w:val="NoSpacing"/>
              <w:jc w:val="right"/>
            </w:pPr>
            <w:r>
              <w:t>-</w:t>
            </w:r>
          </w:p>
        </w:tc>
        <w:tc>
          <w:tcPr>
            <w:tcW w:w="1984" w:type="dxa"/>
          </w:tcPr>
          <w:p w:rsidR="0015441F" w:rsidRDefault="0015441F" w:rsidP="0015441F">
            <w:pPr>
              <w:pStyle w:val="NoSpacing"/>
              <w:jc w:val="right"/>
            </w:pPr>
            <w:r>
              <w:t>3,468</w:t>
            </w:r>
          </w:p>
        </w:tc>
        <w:tc>
          <w:tcPr>
            <w:tcW w:w="1701" w:type="dxa"/>
          </w:tcPr>
          <w:p w:rsidR="0015441F" w:rsidRDefault="0015441F" w:rsidP="0015441F">
            <w:pPr>
              <w:pStyle w:val="NoSpacing"/>
              <w:jc w:val="right"/>
            </w:pPr>
            <w:r>
              <w:t>-</w:t>
            </w:r>
          </w:p>
        </w:tc>
      </w:tr>
      <w:tr w:rsidR="0015441F" w:rsidTr="0015441F">
        <w:tc>
          <w:tcPr>
            <w:tcW w:w="2978" w:type="dxa"/>
          </w:tcPr>
          <w:p w:rsidR="0015441F" w:rsidRDefault="0015441F" w:rsidP="0015441F">
            <w:pPr>
              <w:pStyle w:val="NoSpacing"/>
            </w:pPr>
            <w:r>
              <w:t>Specialised buildings</w:t>
            </w:r>
          </w:p>
        </w:tc>
        <w:tc>
          <w:tcPr>
            <w:tcW w:w="1984" w:type="dxa"/>
          </w:tcPr>
          <w:p w:rsidR="0015441F" w:rsidRDefault="0015441F" w:rsidP="0015441F">
            <w:pPr>
              <w:pStyle w:val="NoSpacing"/>
              <w:jc w:val="right"/>
            </w:pPr>
            <w:r>
              <w:t>282,574</w:t>
            </w:r>
          </w:p>
        </w:tc>
        <w:tc>
          <w:tcPr>
            <w:tcW w:w="2127" w:type="dxa"/>
          </w:tcPr>
          <w:p w:rsidR="0015441F" w:rsidRDefault="0015441F" w:rsidP="0015441F">
            <w:pPr>
              <w:pStyle w:val="NoSpacing"/>
              <w:jc w:val="right"/>
            </w:pPr>
            <w:r>
              <w:t>-</w:t>
            </w:r>
          </w:p>
        </w:tc>
        <w:tc>
          <w:tcPr>
            <w:tcW w:w="1984" w:type="dxa"/>
          </w:tcPr>
          <w:p w:rsidR="0015441F" w:rsidRDefault="0015441F" w:rsidP="0015441F">
            <w:pPr>
              <w:pStyle w:val="NoSpacing"/>
              <w:jc w:val="right"/>
            </w:pPr>
            <w:r>
              <w:t>-</w:t>
            </w:r>
          </w:p>
        </w:tc>
        <w:tc>
          <w:tcPr>
            <w:tcW w:w="1701" w:type="dxa"/>
          </w:tcPr>
          <w:p w:rsidR="0015441F" w:rsidRDefault="0015441F" w:rsidP="0015441F">
            <w:pPr>
              <w:pStyle w:val="NoSpacing"/>
              <w:jc w:val="right"/>
            </w:pPr>
            <w:r>
              <w:t>282,574</w:t>
            </w:r>
          </w:p>
        </w:tc>
      </w:tr>
      <w:tr w:rsidR="0015441F" w:rsidTr="0015441F">
        <w:tc>
          <w:tcPr>
            <w:tcW w:w="2978" w:type="dxa"/>
          </w:tcPr>
          <w:p w:rsidR="0015441F" w:rsidRDefault="0015441F" w:rsidP="0015441F">
            <w:pPr>
              <w:pStyle w:val="NoSpacing"/>
            </w:pPr>
            <w:r>
              <w:t>Total buildings at fair value</w:t>
            </w:r>
          </w:p>
        </w:tc>
        <w:tc>
          <w:tcPr>
            <w:tcW w:w="1984" w:type="dxa"/>
          </w:tcPr>
          <w:p w:rsidR="0015441F" w:rsidRDefault="0015441F" w:rsidP="0015441F">
            <w:pPr>
              <w:pStyle w:val="NoSpacing"/>
              <w:jc w:val="right"/>
            </w:pPr>
            <w:r>
              <w:t>286,042</w:t>
            </w:r>
          </w:p>
        </w:tc>
        <w:tc>
          <w:tcPr>
            <w:tcW w:w="2127" w:type="dxa"/>
          </w:tcPr>
          <w:p w:rsidR="0015441F" w:rsidRDefault="0015441F" w:rsidP="0015441F">
            <w:pPr>
              <w:pStyle w:val="NoSpacing"/>
              <w:jc w:val="right"/>
            </w:pPr>
            <w:r>
              <w:t>-</w:t>
            </w:r>
          </w:p>
        </w:tc>
        <w:tc>
          <w:tcPr>
            <w:tcW w:w="1984" w:type="dxa"/>
          </w:tcPr>
          <w:p w:rsidR="0015441F" w:rsidRDefault="0015441F" w:rsidP="0015441F">
            <w:pPr>
              <w:pStyle w:val="NoSpacing"/>
              <w:jc w:val="right"/>
            </w:pPr>
            <w:r>
              <w:t>3,468</w:t>
            </w:r>
          </w:p>
        </w:tc>
        <w:tc>
          <w:tcPr>
            <w:tcW w:w="1701" w:type="dxa"/>
          </w:tcPr>
          <w:p w:rsidR="0015441F" w:rsidRDefault="0015441F" w:rsidP="0015441F">
            <w:pPr>
              <w:pStyle w:val="NoSpacing"/>
              <w:jc w:val="right"/>
            </w:pPr>
            <w:r>
              <w:t>282,574</w:t>
            </w:r>
          </w:p>
        </w:tc>
      </w:tr>
    </w:tbl>
    <w:p w:rsidR="0015441F" w:rsidRDefault="0015441F" w:rsidP="0015441F">
      <w:pPr>
        <w:pStyle w:val="NoSpacing"/>
      </w:pPr>
    </w:p>
    <w:tbl>
      <w:tblPr>
        <w:tblStyle w:val="TableGrid"/>
        <w:tblW w:w="10774" w:type="dxa"/>
        <w:tblInd w:w="-998" w:type="dxa"/>
        <w:tblLook w:val="04A0" w:firstRow="1" w:lastRow="0" w:firstColumn="1" w:lastColumn="0" w:noHBand="0" w:noVBand="1"/>
      </w:tblPr>
      <w:tblGrid>
        <w:gridCol w:w="2978"/>
        <w:gridCol w:w="1984"/>
        <w:gridCol w:w="2127"/>
        <w:gridCol w:w="1984"/>
        <w:gridCol w:w="1701"/>
      </w:tblGrid>
      <w:tr w:rsidR="0015441F" w:rsidTr="0015441F">
        <w:tc>
          <w:tcPr>
            <w:tcW w:w="2978" w:type="dxa"/>
          </w:tcPr>
          <w:p w:rsidR="0015441F" w:rsidRDefault="0015441F" w:rsidP="0015441F">
            <w:pPr>
              <w:pStyle w:val="NoSpacing"/>
            </w:pPr>
            <w:r>
              <w:t>Plant and equipment</w:t>
            </w:r>
          </w:p>
        </w:tc>
        <w:tc>
          <w:tcPr>
            <w:tcW w:w="1984" w:type="dxa"/>
          </w:tcPr>
          <w:p w:rsidR="0015441F" w:rsidRDefault="0015441F" w:rsidP="0015441F">
            <w:pPr>
              <w:pStyle w:val="NoSpacing"/>
              <w:jc w:val="right"/>
            </w:pPr>
            <w:r>
              <w:t>13,099</w:t>
            </w:r>
          </w:p>
        </w:tc>
        <w:tc>
          <w:tcPr>
            <w:tcW w:w="2127" w:type="dxa"/>
          </w:tcPr>
          <w:p w:rsidR="0015441F" w:rsidRDefault="0015441F" w:rsidP="0015441F">
            <w:pPr>
              <w:pStyle w:val="NoSpacing"/>
              <w:jc w:val="right"/>
            </w:pPr>
            <w:r>
              <w:t>-</w:t>
            </w:r>
          </w:p>
        </w:tc>
        <w:tc>
          <w:tcPr>
            <w:tcW w:w="1984" w:type="dxa"/>
          </w:tcPr>
          <w:p w:rsidR="0015441F" w:rsidRDefault="0015441F" w:rsidP="0015441F">
            <w:pPr>
              <w:pStyle w:val="NoSpacing"/>
              <w:jc w:val="right"/>
            </w:pPr>
            <w:r>
              <w:t>-</w:t>
            </w:r>
          </w:p>
        </w:tc>
        <w:tc>
          <w:tcPr>
            <w:tcW w:w="1701" w:type="dxa"/>
          </w:tcPr>
          <w:p w:rsidR="0015441F" w:rsidRDefault="0015441F" w:rsidP="0015441F">
            <w:pPr>
              <w:pStyle w:val="NoSpacing"/>
              <w:jc w:val="right"/>
            </w:pPr>
            <w:r>
              <w:t>13,099</w:t>
            </w:r>
          </w:p>
        </w:tc>
      </w:tr>
      <w:tr w:rsidR="0015441F" w:rsidTr="0015441F">
        <w:tc>
          <w:tcPr>
            <w:tcW w:w="2978" w:type="dxa"/>
          </w:tcPr>
          <w:p w:rsidR="0015441F" w:rsidRDefault="0015441F" w:rsidP="0015441F">
            <w:pPr>
              <w:pStyle w:val="NoSpacing"/>
            </w:pPr>
            <w:r>
              <w:t>Vehicles</w:t>
            </w:r>
          </w:p>
        </w:tc>
        <w:tc>
          <w:tcPr>
            <w:tcW w:w="1984" w:type="dxa"/>
          </w:tcPr>
          <w:p w:rsidR="0015441F" w:rsidRDefault="0015441F" w:rsidP="0015441F">
            <w:pPr>
              <w:pStyle w:val="NoSpacing"/>
              <w:jc w:val="right"/>
            </w:pPr>
            <w:r>
              <w:t>333</w:t>
            </w:r>
          </w:p>
        </w:tc>
        <w:tc>
          <w:tcPr>
            <w:tcW w:w="2127" w:type="dxa"/>
          </w:tcPr>
          <w:p w:rsidR="0015441F" w:rsidRDefault="0015441F" w:rsidP="0015441F">
            <w:pPr>
              <w:pStyle w:val="NoSpacing"/>
              <w:jc w:val="right"/>
            </w:pPr>
            <w:r>
              <w:t>-</w:t>
            </w:r>
          </w:p>
        </w:tc>
        <w:tc>
          <w:tcPr>
            <w:tcW w:w="1984" w:type="dxa"/>
          </w:tcPr>
          <w:p w:rsidR="0015441F" w:rsidRDefault="0015441F" w:rsidP="0015441F">
            <w:pPr>
              <w:pStyle w:val="NoSpacing"/>
              <w:jc w:val="right"/>
            </w:pPr>
            <w:r>
              <w:t>-</w:t>
            </w:r>
          </w:p>
        </w:tc>
        <w:tc>
          <w:tcPr>
            <w:tcW w:w="1701" w:type="dxa"/>
          </w:tcPr>
          <w:p w:rsidR="0015441F" w:rsidRDefault="0015441F" w:rsidP="0015441F">
            <w:pPr>
              <w:pStyle w:val="NoSpacing"/>
              <w:jc w:val="right"/>
            </w:pPr>
            <w:r>
              <w:t>333</w:t>
            </w:r>
          </w:p>
        </w:tc>
      </w:tr>
      <w:tr w:rsidR="0015441F" w:rsidTr="0015441F">
        <w:tc>
          <w:tcPr>
            <w:tcW w:w="2978" w:type="dxa"/>
          </w:tcPr>
          <w:p w:rsidR="0015441F" w:rsidRDefault="0015441F" w:rsidP="0015441F">
            <w:pPr>
              <w:pStyle w:val="NoSpacing"/>
            </w:pPr>
            <w:r>
              <w:t>Leasehold improvements</w:t>
            </w:r>
          </w:p>
        </w:tc>
        <w:tc>
          <w:tcPr>
            <w:tcW w:w="1984" w:type="dxa"/>
          </w:tcPr>
          <w:p w:rsidR="0015441F" w:rsidRDefault="0015441F" w:rsidP="0015441F">
            <w:pPr>
              <w:pStyle w:val="NoSpacing"/>
              <w:jc w:val="right"/>
            </w:pPr>
            <w:r>
              <w:t>113</w:t>
            </w:r>
          </w:p>
        </w:tc>
        <w:tc>
          <w:tcPr>
            <w:tcW w:w="2127" w:type="dxa"/>
          </w:tcPr>
          <w:p w:rsidR="0015441F" w:rsidRDefault="0015441F" w:rsidP="0015441F">
            <w:pPr>
              <w:pStyle w:val="NoSpacing"/>
              <w:jc w:val="right"/>
            </w:pPr>
            <w:r>
              <w:t>-</w:t>
            </w:r>
          </w:p>
        </w:tc>
        <w:tc>
          <w:tcPr>
            <w:tcW w:w="1984" w:type="dxa"/>
          </w:tcPr>
          <w:p w:rsidR="0015441F" w:rsidRDefault="0015441F" w:rsidP="0015441F">
            <w:pPr>
              <w:pStyle w:val="NoSpacing"/>
              <w:jc w:val="right"/>
            </w:pPr>
            <w:r>
              <w:t>-</w:t>
            </w:r>
          </w:p>
        </w:tc>
        <w:tc>
          <w:tcPr>
            <w:tcW w:w="1701" w:type="dxa"/>
          </w:tcPr>
          <w:p w:rsidR="0015441F" w:rsidRDefault="0015441F" w:rsidP="0015441F">
            <w:pPr>
              <w:pStyle w:val="NoSpacing"/>
              <w:jc w:val="right"/>
            </w:pPr>
            <w:r>
              <w:t>113</w:t>
            </w:r>
          </w:p>
        </w:tc>
      </w:tr>
      <w:tr w:rsidR="0015441F" w:rsidTr="0015441F">
        <w:tc>
          <w:tcPr>
            <w:tcW w:w="2978" w:type="dxa"/>
          </w:tcPr>
          <w:p w:rsidR="0015441F" w:rsidRDefault="0015441F" w:rsidP="0015441F">
            <w:pPr>
              <w:pStyle w:val="NoSpacing"/>
            </w:pPr>
            <w:r>
              <w:t>Land improvements</w:t>
            </w:r>
          </w:p>
        </w:tc>
        <w:tc>
          <w:tcPr>
            <w:tcW w:w="1984" w:type="dxa"/>
          </w:tcPr>
          <w:p w:rsidR="0015441F" w:rsidRDefault="0015441F" w:rsidP="0015441F">
            <w:pPr>
              <w:pStyle w:val="NoSpacing"/>
              <w:jc w:val="right"/>
            </w:pPr>
            <w:r>
              <w:t>2,565</w:t>
            </w:r>
          </w:p>
        </w:tc>
        <w:tc>
          <w:tcPr>
            <w:tcW w:w="2127" w:type="dxa"/>
          </w:tcPr>
          <w:p w:rsidR="0015441F" w:rsidRDefault="0015441F" w:rsidP="0015441F">
            <w:pPr>
              <w:pStyle w:val="NoSpacing"/>
              <w:jc w:val="right"/>
            </w:pPr>
            <w:r>
              <w:t>-</w:t>
            </w:r>
          </w:p>
        </w:tc>
        <w:tc>
          <w:tcPr>
            <w:tcW w:w="1984" w:type="dxa"/>
          </w:tcPr>
          <w:p w:rsidR="0015441F" w:rsidRDefault="0015441F" w:rsidP="0015441F">
            <w:pPr>
              <w:pStyle w:val="NoSpacing"/>
              <w:jc w:val="right"/>
            </w:pPr>
            <w:r>
              <w:t>-</w:t>
            </w:r>
          </w:p>
        </w:tc>
        <w:tc>
          <w:tcPr>
            <w:tcW w:w="1701" w:type="dxa"/>
          </w:tcPr>
          <w:p w:rsidR="0015441F" w:rsidRDefault="0015441F" w:rsidP="0015441F">
            <w:pPr>
              <w:pStyle w:val="NoSpacing"/>
              <w:jc w:val="right"/>
            </w:pPr>
            <w:r>
              <w:t>2,565</w:t>
            </w:r>
          </w:p>
        </w:tc>
      </w:tr>
      <w:tr w:rsidR="0015441F" w:rsidTr="0015441F">
        <w:tc>
          <w:tcPr>
            <w:tcW w:w="2978" w:type="dxa"/>
          </w:tcPr>
          <w:p w:rsidR="0015441F" w:rsidRDefault="0015441F" w:rsidP="0015441F">
            <w:pPr>
              <w:pStyle w:val="NoSpacing"/>
            </w:pPr>
            <w:r>
              <w:t>Total other assets at fair value</w:t>
            </w:r>
          </w:p>
        </w:tc>
        <w:tc>
          <w:tcPr>
            <w:tcW w:w="1984" w:type="dxa"/>
          </w:tcPr>
          <w:p w:rsidR="0015441F" w:rsidRDefault="0015441F" w:rsidP="0015441F">
            <w:pPr>
              <w:pStyle w:val="NoSpacing"/>
              <w:jc w:val="right"/>
            </w:pPr>
            <w:r>
              <w:t>16,110</w:t>
            </w:r>
          </w:p>
        </w:tc>
        <w:tc>
          <w:tcPr>
            <w:tcW w:w="2127" w:type="dxa"/>
          </w:tcPr>
          <w:p w:rsidR="0015441F" w:rsidRDefault="0015441F" w:rsidP="0015441F">
            <w:pPr>
              <w:pStyle w:val="NoSpacing"/>
              <w:jc w:val="right"/>
            </w:pPr>
            <w:r>
              <w:t>-</w:t>
            </w:r>
          </w:p>
        </w:tc>
        <w:tc>
          <w:tcPr>
            <w:tcW w:w="1984" w:type="dxa"/>
          </w:tcPr>
          <w:p w:rsidR="0015441F" w:rsidRDefault="0015441F" w:rsidP="0015441F">
            <w:pPr>
              <w:pStyle w:val="NoSpacing"/>
              <w:jc w:val="right"/>
            </w:pPr>
            <w:r>
              <w:t>-</w:t>
            </w:r>
          </w:p>
        </w:tc>
        <w:tc>
          <w:tcPr>
            <w:tcW w:w="1701" w:type="dxa"/>
          </w:tcPr>
          <w:p w:rsidR="0015441F" w:rsidRDefault="0015441F" w:rsidP="0015441F">
            <w:pPr>
              <w:pStyle w:val="NoSpacing"/>
              <w:jc w:val="right"/>
            </w:pPr>
            <w:r>
              <w:t>16,110</w:t>
            </w:r>
          </w:p>
        </w:tc>
      </w:tr>
    </w:tbl>
    <w:p w:rsidR="0015441F" w:rsidRDefault="0015441F" w:rsidP="0015441F">
      <w:pPr>
        <w:pStyle w:val="NoSpacing"/>
      </w:pPr>
    </w:p>
    <w:tbl>
      <w:tblPr>
        <w:tblStyle w:val="TableGrid"/>
        <w:tblW w:w="10774" w:type="dxa"/>
        <w:tblInd w:w="-998" w:type="dxa"/>
        <w:tblLook w:val="04A0" w:firstRow="1" w:lastRow="0" w:firstColumn="1" w:lastColumn="0" w:noHBand="0" w:noVBand="1"/>
      </w:tblPr>
      <w:tblGrid>
        <w:gridCol w:w="2978"/>
        <w:gridCol w:w="1984"/>
        <w:gridCol w:w="2127"/>
        <w:gridCol w:w="1984"/>
        <w:gridCol w:w="1701"/>
      </w:tblGrid>
      <w:tr w:rsidR="0015441F" w:rsidTr="0015441F">
        <w:tc>
          <w:tcPr>
            <w:tcW w:w="10774" w:type="dxa"/>
            <w:gridSpan w:val="5"/>
          </w:tcPr>
          <w:p w:rsidR="0015441F" w:rsidRDefault="0015441F" w:rsidP="0015441F">
            <w:pPr>
              <w:pStyle w:val="NoSpacing"/>
            </w:pPr>
            <w:r>
              <w:t>Consolidated 2018</w:t>
            </w:r>
          </w:p>
        </w:tc>
      </w:tr>
      <w:tr w:rsidR="0015441F" w:rsidTr="0015441F">
        <w:tc>
          <w:tcPr>
            <w:tcW w:w="2978" w:type="dxa"/>
          </w:tcPr>
          <w:p w:rsidR="0015441F" w:rsidRDefault="0015441F" w:rsidP="0015441F">
            <w:pPr>
              <w:pStyle w:val="NoSpacing"/>
            </w:pPr>
            <w:r>
              <w:t>Non-specialised land</w:t>
            </w:r>
          </w:p>
        </w:tc>
        <w:tc>
          <w:tcPr>
            <w:tcW w:w="1984" w:type="dxa"/>
          </w:tcPr>
          <w:p w:rsidR="0015441F" w:rsidRDefault="0015441F" w:rsidP="0015441F">
            <w:pPr>
              <w:pStyle w:val="NoSpacing"/>
              <w:jc w:val="right"/>
            </w:pPr>
            <w:r>
              <w:t>5,498</w:t>
            </w:r>
          </w:p>
        </w:tc>
        <w:tc>
          <w:tcPr>
            <w:tcW w:w="2127" w:type="dxa"/>
          </w:tcPr>
          <w:p w:rsidR="0015441F" w:rsidRDefault="0015441F" w:rsidP="0015441F">
            <w:pPr>
              <w:pStyle w:val="NoSpacing"/>
              <w:jc w:val="right"/>
            </w:pPr>
            <w:r>
              <w:t>-</w:t>
            </w:r>
          </w:p>
        </w:tc>
        <w:tc>
          <w:tcPr>
            <w:tcW w:w="1984" w:type="dxa"/>
          </w:tcPr>
          <w:p w:rsidR="0015441F" w:rsidRDefault="0015441F" w:rsidP="0015441F">
            <w:pPr>
              <w:pStyle w:val="NoSpacing"/>
              <w:jc w:val="right"/>
            </w:pPr>
            <w:r>
              <w:t>5,498</w:t>
            </w:r>
          </w:p>
        </w:tc>
        <w:tc>
          <w:tcPr>
            <w:tcW w:w="1701" w:type="dxa"/>
          </w:tcPr>
          <w:p w:rsidR="0015441F" w:rsidRDefault="0015441F" w:rsidP="0015441F">
            <w:pPr>
              <w:pStyle w:val="NoSpacing"/>
              <w:jc w:val="right"/>
            </w:pPr>
            <w:r>
              <w:t>-</w:t>
            </w:r>
          </w:p>
        </w:tc>
      </w:tr>
      <w:tr w:rsidR="0015441F" w:rsidTr="0015441F">
        <w:tc>
          <w:tcPr>
            <w:tcW w:w="2978" w:type="dxa"/>
          </w:tcPr>
          <w:p w:rsidR="0015441F" w:rsidRDefault="0015441F" w:rsidP="0015441F">
            <w:pPr>
              <w:pStyle w:val="NoSpacing"/>
            </w:pPr>
            <w:r>
              <w:t>Specialised land</w:t>
            </w:r>
          </w:p>
        </w:tc>
        <w:tc>
          <w:tcPr>
            <w:tcW w:w="1984" w:type="dxa"/>
          </w:tcPr>
          <w:p w:rsidR="0015441F" w:rsidRDefault="0015441F" w:rsidP="0015441F">
            <w:pPr>
              <w:pStyle w:val="NoSpacing"/>
              <w:jc w:val="right"/>
            </w:pPr>
            <w:r>
              <w:t>52,698</w:t>
            </w:r>
          </w:p>
        </w:tc>
        <w:tc>
          <w:tcPr>
            <w:tcW w:w="2127" w:type="dxa"/>
          </w:tcPr>
          <w:p w:rsidR="0015441F" w:rsidRDefault="0015441F" w:rsidP="0015441F">
            <w:pPr>
              <w:pStyle w:val="NoSpacing"/>
              <w:jc w:val="right"/>
            </w:pPr>
            <w:r>
              <w:t>-</w:t>
            </w:r>
          </w:p>
        </w:tc>
        <w:tc>
          <w:tcPr>
            <w:tcW w:w="1984" w:type="dxa"/>
          </w:tcPr>
          <w:p w:rsidR="0015441F" w:rsidRDefault="0015441F" w:rsidP="0015441F">
            <w:pPr>
              <w:pStyle w:val="NoSpacing"/>
              <w:jc w:val="right"/>
            </w:pPr>
            <w:r>
              <w:t>-</w:t>
            </w:r>
          </w:p>
        </w:tc>
        <w:tc>
          <w:tcPr>
            <w:tcW w:w="1701" w:type="dxa"/>
          </w:tcPr>
          <w:p w:rsidR="0015441F" w:rsidRDefault="0015441F" w:rsidP="0015441F">
            <w:pPr>
              <w:pStyle w:val="NoSpacing"/>
              <w:jc w:val="right"/>
            </w:pPr>
            <w:r>
              <w:t>52,698</w:t>
            </w:r>
          </w:p>
        </w:tc>
      </w:tr>
      <w:tr w:rsidR="0015441F" w:rsidTr="0015441F">
        <w:tc>
          <w:tcPr>
            <w:tcW w:w="2978" w:type="dxa"/>
          </w:tcPr>
          <w:p w:rsidR="0015441F" w:rsidRDefault="0015441F" w:rsidP="0015441F">
            <w:pPr>
              <w:pStyle w:val="NoSpacing"/>
            </w:pPr>
            <w:r>
              <w:t>Total land at fair value</w:t>
            </w:r>
          </w:p>
        </w:tc>
        <w:tc>
          <w:tcPr>
            <w:tcW w:w="1984" w:type="dxa"/>
          </w:tcPr>
          <w:p w:rsidR="0015441F" w:rsidRDefault="0015441F" w:rsidP="0015441F">
            <w:pPr>
              <w:pStyle w:val="NoSpacing"/>
              <w:jc w:val="right"/>
            </w:pPr>
            <w:r>
              <w:t>58,196</w:t>
            </w:r>
          </w:p>
        </w:tc>
        <w:tc>
          <w:tcPr>
            <w:tcW w:w="2127" w:type="dxa"/>
          </w:tcPr>
          <w:p w:rsidR="0015441F" w:rsidRDefault="0015441F" w:rsidP="0015441F">
            <w:pPr>
              <w:pStyle w:val="NoSpacing"/>
              <w:jc w:val="right"/>
            </w:pPr>
            <w:r>
              <w:t>-</w:t>
            </w:r>
          </w:p>
        </w:tc>
        <w:tc>
          <w:tcPr>
            <w:tcW w:w="1984" w:type="dxa"/>
          </w:tcPr>
          <w:p w:rsidR="0015441F" w:rsidRDefault="0015441F" w:rsidP="0015441F">
            <w:pPr>
              <w:pStyle w:val="NoSpacing"/>
              <w:jc w:val="right"/>
            </w:pPr>
            <w:r>
              <w:t>5,498</w:t>
            </w:r>
          </w:p>
        </w:tc>
        <w:tc>
          <w:tcPr>
            <w:tcW w:w="1701" w:type="dxa"/>
          </w:tcPr>
          <w:p w:rsidR="0015441F" w:rsidRDefault="0015441F" w:rsidP="0015441F">
            <w:pPr>
              <w:pStyle w:val="NoSpacing"/>
              <w:jc w:val="right"/>
            </w:pPr>
            <w:r>
              <w:t>52,698</w:t>
            </w:r>
          </w:p>
        </w:tc>
      </w:tr>
    </w:tbl>
    <w:p w:rsidR="0015441F" w:rsidRDefault="0015441F" w:rsidP="0015441F">
      <w:pPr>
        <w:pStyle w:val="NoSpacing"/>
      </w:pPr>
    </w:p>
    <w:tbl>
      <w:tblPr>
        <w:tblStyle w:val="TableGrid"/>
        <w:tblW w:w="10774" w:type="dxa"/>
        <w:tblInd w:w="-998" w:type="dxa"/>
        <w:tblLook w:val="04A0" w:firstRow="1" w:lastRow="0" w:firstColumn="1" w:lastColumn="0" w:noHBand="0" w:noVBand="1"/>
      </w:tblPr>
      <w:tblGrid>
        <w:gridCol w:w="2978"/>
        <w:gridCol w:w="1984"/>
        <w:gridCol w:w="2127"/>
        <w:gridCol w:w="1984"/>
        <w:gridCol w:w="1701"/>
      </w:tblGrid>
      <w:tr w:rsidR="0015441F" w:rsidTr="0015441F">
        <w:tc>
          <w:tcPr>
            <w:tcW w:w="2978" w:type="dxa"/>
          </w:tcPr>
          <w:p w:rsidR="0015441F" w:rsidRDefault="0015441F" w:rsidP="0015441F">
            <w:pPr>
              <w:pStyle w:val="NoSpacing"/>
            </w:pPr>
            <w:r>
              <w:t>Non-specialised buildings</w:t>
            </w:r>
          </w:p>
        </w:tc>
        <w:tc>
          <w:tcPr>
            <w:tcW w:w="1984" w:type="dxa"/>
          </w:tcPr>
          <w:p w:rsidR="0015441F" w:rsidRDefault="0015441F" w:rsidP="0015441F">
            <w:pPr>
              <w:pStyle w:val="NoSpacing"/>
              <w:jc w:val="right"/>
            </w:pPr>
            <w:r>
              <w:t>3,686</w:t>
            </w:r>
          </w:p>
        </w:tc>
        <w:tc>
          <w:tcPr>
            <w:tcW w:w="2127" w:type="dxa"/>
          </w:tcPr>
          <w:p w:rsidR="0015441F" w:rsidRDefault="0015441F" w:rsidP="0015441F">
            <w:pPr>
              <w:pStyle w:val="NoSpacing"/>
              <w:jc w:val="right"/>
            </w:pPr>
            <w:r>
              <w:t>-</w:t>
            </w:r>
          </w:p>
        </w:tc>
        <w:tc>
          <w:tcPr>
            <w:tcW w:w="1984" w:type="dxa"/>
          </w:tcPr>
          <w:p w:rsidR="0015441F" w:rsidRDefault="0015441F" w:rsidP="0015441F">
            <w:pPr>
              <w:pStyle w:val="NoSpacing"/>
              <w:jc w:val="right"/>
            </w:pPr>
            <w:r>
              <w:t>3,686</w:t>
            </w:r>
          </w:p>
        </w:tc>
        <w:tc>
          <w:tcPr>
            <w:tcW w:w="1701" w:type="dxa"/>
          </w:tcPr>
          <w:p w:rsidR="0015441F" w:rsidRDefault="0015441F" w:rsidP="0015441F">
            <w:pPr>
              <w:pStyle w:val="NoSpacing"/>
              <w:jc w:val="right"/>
            </w:pPr>
            <w:r>
              <w:t>-</w:t>
            </w:r>
          </w:p>
        </w:tc>
      </w:tr>
      <w:tr w:rsidR="0015441F" w:rsidTr="0015441F">
        <w:tc>
          <w:tcPr>
            <w:tcW w:w="2978" w:type="dxa"/>
          </w:tcPr>
          <w:p w:rsidR="0015441F" w:rsidRDefault="0015441F" w:rsidP="0015441F">
            <w:pPr>
              <w:pStyle w:val="NoSpacing"/>
            </w:pPr>
            <w:r>
              <w:t>Specialised buildings</w:t>
            </w:r>
          </w:p>
        </w:tc>
        <w:tc>
          <w:tcPr>
            <w:tcW w:w="1984" w:type="dxa"/>
          </w:tcPr>
          <w:p w:rsidR="0015441F" w:rsidRDefault="0015441F" w:rsidP="0015441F">
            <w:pPr>
              <w:pStyle w:val="NoSpacing"/>
              <w:jc w:val="right"/>
            </w:pPr>
            <w:r>
              <w:t>199,302</w:t>
            </w:r>
          </w:p>
        </w:tc>
        <w:tc>
          <w:tcPr>
            <w:tcW w:w="2127" w:type="dxa"/>
          </w:tcPr>
          <w:p w:rsidR="0015441F" w:rsidRDefault="0015441F" w:rsidP="0015441F">
            <w:pPr>
              <w:pStyle w:val="NoSpacing"/>
              <w:jc w:val="right"/>
            </w:pPr>
            <w:r>
              <w:t>-</w:t>
            </w:r>
          </w:p>
        </w:tc>
        <w:tc>
          <w:tcPr>
            <w:tcW w:w="1984" w:type="dxa"/>
          </w:tcPr>
          <w:p w:rsidR="0015441F" w:rsidRDefault="0015441F" w:rsidP="0015441F">
            <w:pPr>
              <w:pStyle w:val="NoSpacing"/>
              <w:jc w:val="right"/>
            </w:pPr>
            <w:r>
              <w:t>-</w:t>
            </w:r>
          </w:p>
        </w:tc>
        <w:tc>
          <w:tcPr>
            <w:tcW w:w="1701" w:type="dxa"/>
          </w:tcPr>
          <w:p w:rsidR="0015441F" w:rsidRDefault="0015441F" w:rsidP="0015441F">
            <w:pPr>
              <w:pStyle w:val="NoSpacing"/>
              <w:jc w:val="right"/>
            </w:pPr>
            <w:r>
              <w:t>199,302</w:t>
            </w:r>
          </w:p>
        </w:tc>
      </w:tr>
      <w:tr w:rsidR="0015441F" w:rsidTr="0015441F">
        <w:tc>
          <w:tcPr>
            <w:tcW w:w="2978" w:type="dxa"/>
          </w:tcPr>
          <w:p w:rsidR="0015441F" w:rsidRDefault="0015441F" w:rsidP="0015441F">
            <w:pPr>
              <w:pStyle w:val="NoSpacing"/>
            </w:pPr>
            <w:r>
              <w:lastRenderedPageBreak/>
              <w:t>Total buildings at fair value</w:t>
            </w:r>
          </w:p>
        </w:tc>
        <w:tc>
          <w:tcPr>
            <w:tcW w:w="1984" w:type="dxa"/>
          </w:tcPr>
          <w:p w:rsidR="0015441F" w:rsidRDefault="0015441F" w:rsidP="0015441F">
            <w:pPr>
              <w:pStyle w:val="NoSpacing"/>
              <w:jc w:val="right"/>
            </w:pPr>
            <w:r>
              <w:t>202,988</w:t>
            </w:r>
          </w:p>
        </w:tc>
        <w:tc>
          <w:tcPr>
            <w:tcW w:w="2127" w:type="dxa"/>
          </w:tcPr>
          <w:p w:rsidR="0015441F" w:rsidRDefault="0015441F" w:rsidP="0015441F">
            <w:pPr>
              <w:pStyle w:val="NoSpacing"/>
              <w:jc w:val="right"/>
            </w:pPr>
            <w:r>
              <w:t>-</w:t>
            </w:r>
          </w:p>
        </w:tc>
        <w:tc>
          <w:tcPr>
            <w:tcW w:w="1984" w:type="dxa"/>
          </w:tcPr>
          <w:p w:rsidR="0015441F" w:rsidRDefault="0015441F" w:rsidP="0015441F">
            <w:pPr>
              <w:pStyle w:val="NoSpacing"/>
              <w:jc w:val="right"/>
            </w:pPr>
            <w:r>
              <w:t>3,686</w:t>
            </w:r>
          </w:p>
        </w:tc>
        <w:tc>
          <w:tcPr>
            <w:tcW w:w="1701" w:type="dxa"/>
          </w:tcPr>
          <w:p w:rsidR="0015441F" w:rsidRDefault="0015441F" w:rsidP="0015441F">
            <w:pPr>
              <w:pStyle w:val="NoSpacing"/>
              <w:jc w:val="right"/>
            </w:pPr>
            <w:r>
              <w:t>199,302</w:t>
            </w:r>
          </w:p>
        </w:tc>
      </w:tr>
    </w:tbl>
    <w:p w:rsidR="0015441F" w:rsidRDefault="0015441F" w:rsidP="0015441F">
      <w:pPr>
        <w:pStyle w:val="NoSpacing"/>
      </w:pPr>
    </w:p>
    <w:tbl>
      <w:tblPr>
        <w:tblStyle w:val="TableGrid"/>
        <w:tblW w:w="10774" w:type="dxa"/>
        <w:tblInd w:w="-998" w:type="dxa"/>
        <w:tblLook w:val="04A0" w:firstRow="1" w:lastRow="0" w:firstColumn="1" w:lastColumn="0" w:noHBand="0" w:noVBand="1"/>
      </w:tblPr>
      <w:tblGrid>
        <w:gridCol w:w="2978"/>
        <w:gridCol w:w="1984"/>
        <w:gridCol w:w="2127"/>
        <w:gridCol w:w="1984"/>
        <w:gridCol w:w="1701"/>
      </w:tblGrid>
      <w:tr w:rsidR="0015441F" w:rsidTr="0015441F">
        <w:tc>
          <w:tcPr>
            <w:tcW w:w="2978" w:type="dxa"/>
          </w:tcPr>
          <w:p w:rsidR="0015441F" w:rsidRDefault="0015441F" w:rsidP="0015441F">
            <w:pPr>
              <w:pStyle w:val="NoSpacing"/>
            </w:pPr>
            <w:r>
              <w:t>Plant and equipment</w:t>
            </w:r>
          </w:p>
        </w:tc>
        <w:tc>
          <w:tcPr>
            <w:tcW w:w="1984" w:type="dxa"/>
          </w:tcPr>
          <w:p w:rsidR="0015441F" w:rsidRDefault="0015441F" w:rsidP="0015441F">
            <w:pPr>
              <w:pStyle w:val="NoSpacing"/>
              <w:jc w:val="right"/>
            </w:pPr>
            <w:r>
              <w:t>6,589</w:t>
            </w:r>
          </w:p>
        </w:tc>
        <w:tc>
          <w:tcPr>
            <w:tcW w:w="2127" w:type="dxa"/>
          </w:tcPr>
          <w:p w:rsidR="0015441F" w:rsidRDefault="0015441F" w:rsidP="0015441F">
            <w:pPr>
              <w:pStyle w:val="NoSpacing"/>
              <w:jc w:val="right"/>
            </w:pPr>
            <w:r>
              <w:t>-</w:t>
            </w:r>
          </w:p>
        </w:tc>
        <w:tc>
          <w:tcPr>
            <w:tcW w:w="1984" w:type="dxa"/>
          </w:tcPr>
          <w:p w:rsidR="0015441F" w:rsidRDefault="0015441F" w:rsidP="0015441F">
            <w:pPr>
              <w:pStyle w:val="NoSpacing"/>
              <w:jc w:val="right"/>
            </w:pPr>
            <w:r>
              <w:t>-</w:t>
            </w:r>
          </w:p>
        </w:tc>
        <w:tc>
          <w:tcPr>
            <w:tcW w:w="1701" w:type="dxa"/>
          </w:tcPr>
          <w:p w:rsidR="0015441F" w:rsidRDefault="0015441F" w:rsidP="0015441F">
            <w:pPr>
              <w:pStyle w:val="NoSpacing"/>
              <w:jc w:val="right"/>
            </w:pPr>
            <w:r>
              <w:t>6,589</w:t>
            </w:r>
          </w:p>
        </w:tc>
      </w:tr>
      <w:tr w:rsidR="0015441F" w:rsidTr="0015441F">
        <w:tc>
          <w:tcPr>
            <w:tcW w:w="2978" w:type="dxa"/>
          </w:tcPr>
          <w:p w:rsidR="0015441F" w:rsidRDefault="0015441F" w:rsidP="0015441F">
            <w:pPr>
              <w:pStyle w:val="NoSpacing"/>
            </w:pPr>
            <w:r>
              <w:t>Vehicles</w:t>
            </w:r>
          </w:p>
        </w:tc>
        <w:tc>
          <w:tcPr>
            <w:tcW w:w="1984" w:type="dxa"/>
          </w:tcPr>
          <w:p w:rsidR="0015441F" w:rsidRDefault="0015441F" w:rsidP="0015441F">
            <w:pPr>
              <w:pStyle w:val="NoSpacing"/>
              <w:jc w:val="right"/>
            </w:pPr>
            <w:r>
              <w:t>416</w:t>
            </w:r>
          </w:p>
        </w:tc>
        <w:tc>
          <w:tcPr>
            <w:tcW w:w="2127" w:type="dxa"/>
          </w:tcPr>
          <w:p w:rsidR="0015441F" w:rsidRDefault="0015441F" w:rsidP="0015441F">
            <w:pPr>
              <w:pStyle w:val="NoSpacing"/>
              <w:jc w:val="right"/>
            </w:pPr>
            <w:r>
              <w:t>-</w:t>
            </w:r>
          </w:p>
        </w:tc>
        <w:tc>
          <w:tcPr>
            <w:tcW w:w="1984" w:type="dxa"/>
          </w:tcPr>
          <w:p w:rsidR="0015441F" w:rsidRDefault="0015441F" w:rsidP="0015441F">
            <w:pPr>
              <w:pStyle w:val="NoSpacing"/>
              <w:jc w:val="right"/>
            </w:pPr>
            <w:r>
              <w:t>-</w:t>
            </w:r>
          </w:p>
        </w:tc>
        <w:tc>
          <w:tcPr>
            <w:tcW w:w="1701" w:type="dxa"/>
          </w:tcPr>
          <w:p w:rsidR="0015441F" w:rsidRDefault="0015441F" w:rsidP="0015441F">
            <w:pPr>
              <w:pStyle w:val="NoSpacing"/>
              <w:jc w:val="right"/>
            </w:pPr>
            <w:r>
              <w:t>416</w:t>
            </w:r>
          </w:p>
        </w:tc>
      </w:tr>
      <w:tr w:rsidR="0015441F" w:rsidTr="0015441F">
        <w:tc>
          <w:tcPr>
            <w:tcW w:w="2978" w:type="dxa"/>
          </w:tcPr>
          <w:p w:rsidR="0015441F" w:rsidRDefault="0015441F" w:rsidP="0015441F">
            <w:pPr>
              <w:pStyle w:val="NoSpacing"/>
            </w:pPr>
            <w:r>
              <w:t>Leasehold improvements</w:t>
            </w:r>
          </w:p>
        </w:tc>
        <w:tc>
          <w:tcPr>
            <w:tcW w:w="1984" w:type="dxa"/>
          </w:tcPr>
          <w:p w:rsidR="0015441F" w:rsidRDefault="0015441F" w:rsidP="0015441F">
            <w:pPr>
              <w:pStyle w:val="NoSpacing"/>
              <w:jc w:val="right"/>
            </w:pPr>
            <w:r>
              <w:t>360</w:t>
            </w:r>
          </w:p>
        </w:tc>
        <w:tc>
          <w:tcPr>
            <w:tcW w:w="2127" w:type="dxa"/>
          </w:tcPr>
          <w:p w:rsidR="0015441F" w:rsidRDefault="0015441F" w:rsidP="0015441F">
            <w:pPr>
              <w:pStyle w:val="NoSpacing"/>
              <w:jc w:val="right"/>
            </w:pPr>
            <w:r>
              <w:t>-</w:t>
            </w:r>
          </w:p>
        </w:tc>
        <w:tc>
          <w:tcPr>
            <w:tcW w:w="1984" w:type="dxa"/>
          </w:tcPr>
          <w:p w:rsidR="0015441F" w:rsidRDefault="0015441F" w:rsidP="0015441F">
            <w:pPr>
              <w:pStyle w:val="NoSpacing"/>
              <w:jc w:val="right"/>
            </w:pPr>
            <w:r>
              <w:t>-</w:t>
            </w:r>
          </w:p>
        </w:tc>
        <w:tc>
          <w:tcPr>
            <w:tcW w:w="1701" w:type="dxa"/>
          </w:tcPr>
          <w:p w:rsidR="0015441F" w:rsidRDefault="0015441F" w:rsidP="0015441F">
            <w:pPr>
              <w:pStyle w:val="NoSpacing"/>
              <w:jc w:val="right"/>
            </w:pPr>
            <w:r>
              <w:t>360</w:t>
            </w:r>
          </w:p>
        </w:tc>
      </w:tr>
      <w:tr w:rsidR="0015441F" w:rsidTr="0015441F">
        <w:tc>
          <w:tcPr>
            <w:tcW w:w="2978" w:type="dxa"/>
          </w:tcPr>
          <w:p w:rsidR="0015441F" w:rsidRDefault="0015441F" w:rsidP="0015441F">
            <w:pPr>
              <w:pStyle w:val="NoSpacing"/>
            </w:pPr>
            <w:r>
              <w:t>Land improvements</w:t>
            </w:r>
          </w:p>
        </w:tc>
        <w:tc>
          <w:tcPr>
            <w:tcW w:w="1984" w:type="dxa"/>
          </w:tcPr>
          <w:p w:rsidR="0015441F" w:rsidRDefault="0015441F" w:rsidP="0015441F">
            <w:pPr>
              <w:pStyle w:val="NoSpacing"/>
              <w:jc w:val="right"/>
            </w:pPr>
            <w:r>
              <w:t>2,418</w:t>
            </w:r>
          </w:p>
        </w:tc>
        <w:tc>
          <w:tcPr>
            <w:tcW w:w="2127" w:type="dxa"/>
          </w:tcPr>
          <w:p w:rsidR="0015441F" w:rsidRDefault="0015441F" w:rsidP="0015441F">
            <w:pPr>
              <w:pStyle w:val="NoSpacing"/>
              <w:jc w:val="right"/>
            </w:pPr>
            <w:r>
              <w:t>-</w:t>
            </w:r>
          </w:p>
        </w:tc>
        <w:tc>
          <w:tcPr>
            <w:tcW w:w="1984" w:type="dxa"/>
          </w:tcPr>
          <w:p w:rsidR="0015441F" w:rsidRDefault="0015441F" w:rsidP="0015441F">
            <w:pPr>
              <w:pStyle w:val="NoSpacing"/>
              <w:jc w:val="right"/>
            </w:pPr>
            <w:r>
              <w:t>-</w:t>
            </w:r>
          </w:p>
        </w:tc>
        <w:tc>
          <w:tcPr>
            <w:tcW w:w="1701" w:type="dxa"/>
          </w:tcPr>
          <w:p w:rsidR="0015441F" w:rsidRDefault="0015441F" w:rsidP="0015441F">
            <w:pPr>
              <w:pStyle w:val="NoSpacing"/>
              <w:jc w:val="right"/>
            </w:pPr>
            <w:r>
              <w:t>2,418</w:t>
            </w:r>
          </w:p>
        </w:tc>
      </w:tr>
      <w:tr w:rsidR="0015441F" w:rsidTr="0015441F">
        <w:tc>
          <w:tcPr>
            <w:tcW w:w="2978" w:type="dxa"/>
          </w:tcPr>
          <w:p w:rsidR="0015441F" w:rsidRDefault="0015441F" w:rsidP="0015441F">
            <w:pPr>
              <w:pStyle w:val="NoSpacing"/>
            </w:pPr>
            <w:r>
              <w:t>Total other assets at fair value</w:t>
            </w:r>
          </w:p>
        </w:tc>
        <w:tc>
          <w:tcPr>
            <w:tcW w:w="1984" w:type="dxa"/>
          </w:tcPr>
          <w:p w:rsidR="0015441F" w:rsidRDefault="0015441F" w:rsidP="0015441F">
            <w:pPr>
              <w:pStyle w:val="NoSpacing"/>
              <w:jc w:val="right"/>
            </w:pPr>
            <w:r>
              <w:t>9,783</w:t>
            </w:r>
          </w:p>
        </w:tc>
        <w:tc>
          <w:tcPr>
            <w:tcW w:w="2127" w:type="dxa"/>
          </w:tcPr>
          <w:p w:rsidR="0015441F" w:rsidRDefault="0015441F" w:rsidP="0015441F">
            <w:pPr>
              <w:pStyle w:val="NoSpacing"/>
              <w:jc w:val="right"/>
            </w:pPr>
            <w:r>
              <w:t>-</w:t>
            </w:r>
          </w:p>
        </w:tc>
        <w:tc>
          <w:tcPr>
            <w:tcW w:w="1984" w:type="dxa"/>
          </w:tcPr>
          <w:p w:rsidR="0015441F" w:rsidRDefault="0015441F" w:rsidP="0015441F">
            <w:pPr>
              <w:pStyle w:val="NoSpacing"/>
              <w:jc w:val="right"/>
            </w:pPr>
            <w:r>
              <w:t>-</w:t>
            </w:r>
          </w:p>
        </w:tc>
        <w:tc>
          <w:tcPr>
            <w:tcW w:w="1701" w:type="dxa"/>
          </w:tcPr>
          <w:p w:rsidR="0015441F" w:rsidRDefault="0015441F" w:rsidP="0015441F">
            <w:pPr>
              <w:pStyle w:val="NoSpacing"/>
              <w:jc w:val="right"/>
            </w:pPr>
            <w:r>
              <w:t>9,783</w:t>
            </w:r>
          </w:p>
        </w:tc>
      </w:tr>
    </w:tbl>
    <w:p w:rsidR="0015441F" w:rsidRDefault="0015441F" w:rsidP="0015441F">
      <w:pPr>
        <w:pStyle w:val="NoSpacing"/>
      </w:pPr>
    </w:p>
    <w:p w:rsidR="0015441F" w:rsidRDefault="0015441F" w:rsidP="00371CB9">
      <w:pPr>
        <w:pStyle w:val="NoSpacing"/>
      </w:pPr>
      <w:r>
        <w:t>&lt;page 85&gt;</w:t>
      </w:r>
    </w:p>
    <w:p w:rsidR="0015441F" w:rsidRDefault="0015441F" w:rsidP="00371CB9">
      <w:pPr>
        <w:pStyle w:val="NoSpacing"/>
      </w:pPr>
    </w:p>
    <w:p w:rsidR="0015441F" w:rsidRDefault="0015441F" w:rsidP="0015441F">
      <w:pPr>
        <w:pStyle w:val="Heading2"/>
      </w:pPr>
      <w:r>
        <w:t>7. Managing risks and uncertainties (continued)</w:t>
      </w:r>
    </w:p>
    <w:p w:rsidR="0028573F" w:rsidRDefault="0028573F" w:rsidP="0028573F">
      <w:pPr>
        <w:pStyle w:val="NoSpacing"/>
      </w:pPr>
    </w:p>
    <w:p w:rsidR="0015441F" w:rsidRDefault="0015441F" w:rsidP="0015441F">
      <w:pPr>
        <w:pStyle w:val="Heading3"/>
      </w:pPr>
      <w:r>
        <w:t xml:space="preserve">7.3 Fair </w:t>
      </w:r>
      <w:r w:rsidR="00EC50E6">
        <w:t xml:space="preserve">value </w:t>
      </w:r>
      <w:r>
        <w:t>determination (continued)</w:t>
      </w:r>
    </w:p>
    <w:p w:rsidR="0028573F" w:rsidRDefault="0028573F" w:rsidP="0028573F">
      <w:pPr>
        <w:pStyle w:val="NoSpacing"/>
      </w:pPr>
    </w:p>
    <w:p w:rsidR="0015441F" w:rsidRDefault="0015441F" w:rsidP="0028573F">
      <w:pPr>
        <w:pStyle w:val="Heading4"/>
      </w:pPr>
      <w:r>
        <w:t>(a) Fair value determination of non-financial assets (continued)</w:t>
      </w:r>
    </w:p>
    <w:p w:rsidR="0015441F" w:rsidRPr="0015441F" w:rsidRDefault="0015441F" w:rsidP="0015441F"/>
    <w:tbl>
      <w:tblPr>
        <w:tblStyle w:val="TableGrid"/>
        <w:tblW w:w="10774" w:type="dxa"/>
        <w:tblInd w:w="-998" w:type="dxa"/>
        <w:tblLook w:val="04A0" w:firstRow="1" w:lastRow="0" w:firstColumn="1" w:lastColumn="0" w:noHBand="0" w:noVBand="1"/>
      </w:tblPr>
      <w:tblGrid>
        <w:gridCol w:w="2978"/>
        <w:gridCol w:w="1984"/>
        <w:gridCol w:w="2127"/>
        <w:gridCol w:w="1984"/>
        <w:gridCol w:w="1701"/>
      </w:tblGrid>
      <w:tr w:rsidR="0015441F" w:rsidTr="0015441F">
        <w:trPr>
          <w:gridBefore w:val="1"/>
          <w:wBefore w:w="2978" w:type="dxa"/>
        </w:trPr>
        <w:tc>
          <w:tcPr>
            <w:tcW w:w="1984" w:type="dxa"/>
            <w:vAlign w:val="bottom"/>
          </w:tcPr>
          <w:p w:rsidR="0015441F" w:rsidRDefault="0015441F" w:rsidP="0015441F">
            <w:pPr>
              <w:pStyle w:val="NoSpacing"/>
              <w:jc w:val="right"/>
            </w:pPr>
            <w:r>
              <w:t>Carrying amount at 31 December</w:t>
            </w:r>
          </w:p>
        </w:tc>
        <w:tc>
          <w:tcPr>
            <w:tcW w:w="2127" w:type="dxa"/>
            <w:vAlign w:val="bottom"/>
          </w:tcPr>
          <w:p w:rsidR="0015441F" w:rsidRDefault="0015441F" w:rsidP="0015441F">
            <w:pPr>
              <w:pStyle w:val="NoSpacing"/>
              <w:jc w:val="right"/>
            </w:pPr>
            <w:r>
              <w:t>Level 1 Quote prices</w:t>
            </w:r>
          </w:p>
        </w:tc>
        <w:tc>
          <w:tcPr>
            <w:tcW w:w="1984" w:type="dxa"/>
            <w:vAlign w:val="bottom"/>
          </w:tcPr>
          <w:p w:rsidR="0015441F" w:rsidRDefault="0015441F" w:rsidP="0015441F">
            <w:pPr>
              <w:pStyle w:val="NoSpacing"/>
              <w:jc w:val="right"/>
            </w:pPr>
            <w:r>
              <w:t>Level Observable price inputs</w:t>
            </w:r>
          </w:p>
        </w:tc>
        <w:tc>
          <w:tcPr>
            <w:tcW w:w="1701" w:type="dxa"/>
            <w:vAlign w:val="bottom"/>
          </w:tcPr>
          <w:p w:rsidR="0015441F" w:rsidRDefault="0015441F" w:rsidP="0015441F">
            <w:pPr>
              <w:pStyle w:val="NoSpacing"/>
              <w:jc w:val="right"/>
            </w:pPr>
            <w:r>
              <w:t>Level 3 Unobservable inputs</w:t>
            </w:r>
          </w:p>
        </w:tc>
      </w:tr>
      <w:tr w:rsidR="0015441F" w:rsidTr="0015441F">
        <w:trPr>
          <w:gridBefore w:val="1"/>
          <w:wBefore w:w="2978" w:type="dxa"/>
        </w:trPr>
        <w:tc>
          <w:tcPr>
            <w:tcW w:w="1984" w:type="dxa"/>
          </w:tcPr>
          <w:p w:rsidR="0015441F" w:rsidRDefault="0015441F" w:rsidP="0015441F">
            <w:pPr>
              <w:pStyle w:val="NoSpacing"/>
              <w:jc w:val="right"/>
            </w:pPr>
            <w:r>
              <w:t>$’000</w:t>
            </w:r>
          </w:p>
        </w:tc>
        <w:tc>
          <w:tcPr>
            <w:tcW w:w="2127" w:type="dxa"/>
          </w:tcPr>
          <w:p w:rsidR="0015441F" w:rsidRDefault="0015441F" w:rsidP="0015441F">
            <w:pPr>
              <w:jc w:val="right"/>
            </w:pPr>
            <w:r w:rsidRPr="003E7B08">
              <w:t>$’000</w:t>
            </w:r>
          </w:p>
        </w:tc>
        <w:tc>
          <w:tcPr>
            <w:tcW w:w="1984" w:type="dxa"/>
          </w:tcPr>
          <w:p w:rsidR="0015441F" w:rsidRDefault="0015441F" w:rsidP="0015441F">
            <w:pPr>
              <w:jc w:val="right"/>
            </w:pPr>
            <w:r w:rsidRPr="003E7B08">
              <w:t>$’000</w:t>
            </w:r>
          </w:p>
        </w:tc>
        <w:tc>
          <w:tcPr>
            <w:tcW w:w="1701" w:type="dxa"/>
          </w:tcPr>
          <w:p w:rsidR="0015441F" w:rsidRDefault="0015441F" w:rsidP="0015441F">
            <w:pPr>
              <w:jc w:val="right"/>
            </w:pPr>
            <w:r w:rsidRPr="003E7B08">
              <w:t>$’000</w:t>
            </w:r>
          </w:p>
        </w:tc>
      </w:tr>
      <w:tr w:rsidR="0015441F" w:rsidTr="0015441F">
        <w:tc>
          <w:tcPr>
            <w:tcW w:w="10774" w:type="dxa"/>
            <w:gridSpan w:val="5"/>
          </w:tcPr>
          <w:p w:rsidR="0015441F" w:rsidRDefault="0015441F" w:rsidP="0015441F">
            <w:pPr>
              <w:pStyle w:val="NoSpacing"/>
            </w:pPr>
            <w:r>
              <w:t>Chisholm 2019</w:t>
            </w:r>
          </w:p>
        </w:tc>
      </w:tr>
      <w:tr w:rsidR="0015441F" w:rsidTr="0015441F">
        <w:tc>
          <w:tcPr>
            <w:tcW w:w="2978" w:type="dxa"/>
          </w:tcPr>
          <w:p w:rsidR="0015441F" w:rsidRDefault="0015441F" w:rsidP="0015441F">
            <w:pPr>
              <w:pStyle w:val="NoSpacing"/>
            </w:pPr>
            <w:r>
              <w:t>Non-specialised land</w:t>
            </w:r>
          </w:p>
        </w:tc>
        <w:tc>
          <w:tcPr>
            <w:tcW w:w="1984" w:type="dxa"/>
          </w:tcPr>
          <w:p w:rsidR="0015441F" w:rsidRDefault="0023338B" w:rsidP="0015441F">
            <w:pPr>
              <w:pStyle w:val="NoSpacing"/>
              <w:jc w:val="right"/>
            </w:pPr>
            <w:r>
              <w:t>5,498</w:t>
            </w:r>
          </w:p>
        </w:tc>
        <w:tc>
          <w:tcPr>
            <w:tcW w:w="2127" w:type="dxa"/>
          </w:tcPr>
          <w:p w:rsidR="0015441F" w:rsidRDefault="0023338B" w:rsidP="0015441F">
            <w:pPr>
              <w:pStyle w:val="NoSpacing"/>
              <w:jc w:val="right"/>
            </w:pPr>
            <w:r>
              <w:t>-</w:t>
            </w:r>
          </w:p>
        </w:tc>
        <w:tc>
          <w:tcPr>
            <w:tcW w:w="1984" w:type="dxa"/>
          </w:tcPr>
          <w:p w:rsidR="0015441F" w:rsidRDefault="0023338B" w:rsidP="0015441F">
            <w:pPr>
              <w:pStyle w:val="NoSpacing"/>
              <w:jc w:val="right"/>
            </w:pPr>
            <w:r>
              <w:t>5,498</w:t>
            </w:r>
          </w:p>
        </w:tc>
        <w:tc>
          <w:tcPr>
            <w:tcW w:w="1701" w:type="dxa"/>
          </w:tcPr>
          <w:p w:rsidR="0015441F" w:rsidRDefault="0023338B" w:rsidP="0015441F">
            <w:pPr>
              <w:pStyle w:val="NoSpacing"/>
              <w:jc w:val="right"/>
            </w:pPr>
            <w:r>
              <w:t>-</w:t>
            </w:r>
          </w:p>
        </w:tc>
      </w:tr>
      <w:tr w:rsidR="0015441F" w:rsidTr="0015441F">
        <w:tc>
          <w:tcPr>
            <w:tcW w:w="2978" w:type="dxa"/>
          </w:tcPr>
          <w:p w:rsidR="0015441F" w:rsidRDefault="0015441F" w:rsidP="0015441F">
            <w:pPr>
              <w:pStyle w:val="NoSpacing"/>
            </w:pPr>
            <w:r>
              <w:t>Specialised land</w:t>
            </w:r>
          </w:p>
        </w:tc>
        <w:tc>
          <w:tcPr>
            <w:tcW w:w="1984" w:type="dxa"/>
          </w:tcPr>
          <w:p w:rsidR="0015441F" w:rsidRDefault="0023338B" w:rsidP="0015441F">
            <w:pPr>
              <w:pStyle w:val="NoSpacing"/>
              <w:jc w:val="right"/>
            </w:pPr>
            <w:r>
              <w:t>52,698</w:t>
            </w:r>
          </w:p>
        </w:tc>
        <w:tc>
          <w:tcPr>
            <w:tcW w:w="2127" w:type="dxa"/>
          </w:tcPr>
          <w:p w:rsidR="0015441F" w:rsidRDefault="0023338B" w:rsidP="0015441F">
            <w:pPr>
              <w:pStyle w:val="NoSpacing"/>
              <w:jc w:val="right"/>
            </w:pPr>
            <w:r>
              <w:t>-</w:t>
            </w:r>
          </w:p>
        </w:tc>
        <w:tc>
          <w:tcPr>
            <w:tcW w:w="1984" w:type="dxa"/>
          </w:tcPr>
          <w:p w:rsidR="0015441F" w:rsidRDefault="0023338B" w:rsidP="0015441F">
            <w:pPr>
              <w:pStyle w:val="NoSpacing"/>
              <w:jc w:val="right"/>
            </w:pPr>
            <w:r>
              <w:t>-</w:t>
            </w:r>
          </w:p>
        </w:tc>
        <w:tc>
          <w:tcPr>
            <w:tcW w:w="1701" w:type="dxa"/>
          </w:tcPr>
          <w:p w:rsidR="0015441F" w:rsidRDefault="0023338B" w:rsidP="0015441F">
            <w:pPr>
              <w:pStyle w:val="NoSpacing"/>
              <w:jc w:val="right"/>
            </w:pPr>
            <w:r>
              <w:t>52,698</w:t>
            </w:r>
          </w:p>
        </w:tc>
      </w:tr>
      <w:tr w:rsidR="0015441F" w:rsidTr="0015441F">
        <w:tc>
          <w:tcPr>
            <w:tcW w:w="2978" w:type="dxa"/>
          </w:tcPr>
          <w:p w:rsidR="0015441F" w:rsidRDefault="0015441F" w:rsidP="0015441F">
            <w:pPr>
              <w:pStyle w:val="NoSpacing"/>
            </w:pPr>
            <w:r>
              <w:t>Total land at fair value</w:t>
            </w:r>
          </w:p>
        </w:tc>
        <w:tc>
          <w:tcPr>
            <w:tcW w:w="1984" w:type="dxa"/>
          </w:tcPr>
          <w:p w:rsidR="0015441F" w:rsidRDefault="0023338B" w:rsidP="0015441F">
            <w:pPr>
              <w:pStyle w:val="NoSpacing"/>
              <w:jc w:val="right"/>
            </w:pPr>
            <w:r>
              <w:t>58,196</w:t>
            </w:r>
          </w:p>
        </w:tc>
        <w:tc>
          <w:tcPr>
            <w:tcW w:w="2127" w:type="dxa"/>
          </w:tcPr>
          <w:p w:rsidR="0015441F" w:rsidRDefault="0023338B" w:rsidP="0015441F">
            <w:pPr>
              <w:pStyle w:val="NoSpacing"/>
              <w:jc w:val="right"/>
            </w:pPr>
            <w:r>
              <w:t>-</w:t>
            </w:r>
          </w:p>
        </w:tc>
        <w:tc>
          <w:tcPr>
            <w:tcW w:w="1984" w:type="dxa"/>
          </w:tcPr>
          <w:p w:rsidR="0015441F" w:rsidRDefault="0023338B" w:rsidP="0015441F">
            <w:pPr>
              <w:pStyle w:val="NoSpacing"/>
              <w:jc w:val="right"/>
            </w:pPr>
            <w:r>
              <w:t>5,498</w:t>
            </w:r>
          </w:p>
        </w:tc>
        <w:tc>
          <w:tcPr>
            <w:tcW w:w="1701" w:type="dxa"/>
          </w:tcPr>
          <w:p w:rsidR="0015441F" w:rsidRDefault="0023338B" w:rsidP="0015441F">
            <w:pPr>
              <w:pStyle w:val="NoSpacing"/>
              <w:jc w:val="right"/>
            </w:pPr>
            <w:r>
              <w:t>52,698</w:t>
            </w:r>
          </w:p>
        </w:tc>
      </w:tr>
    </w:tbl>
    <w:p w:rsidR="0015441F" w:rsidRDefault="0015441F" w:rsidP="0015441F">
      <w:pPr>
        <w:pStyle w:val="NoSpacing"/>
      </w:pPr>
    </w:p>
    <w:tbl>
      <w:tblPr>
        <w:tblStyle w:val="TableGrid"/>
        <w:tblW w:w="10774" w:type="dxa"/>
        <w:tblInd w:w="-998" w:type="dxa"/>
        <w:tblLook w:val="04A0" w:firstRow="1" w:lastRow="0" w:firstColumn="1" w:lastColumn="0" w:noHBand="0" w:noVBand="1"/>
      </w:tblPr>
      <w:tblGrid>
        <w:gridCol w:w="2978"/>
        <w:gridCol w:w="1984"/>
        <w:gridCol w:w="2127"/>
        <w:gridCol w:w="1984"/>
        <w:gridCol w:w="1701"/>
      </w:tblGrid>
      <w:tr w:rsidR="0015441F" w:rsidTr="0015441F">
        <w:tc>
          <w:tcPr>
            <w:tcW w:w="2978" w:type="dxa"/>
          </w:tcPr>
          <w:p w:rsidR="0015441F" w:rsidRDefault="0015441F" w:rsidP="0015441F">
            <w:pPr>
              <w:pStyle w:val="NoSpacing"/>
            </w:pPr>
            <w:r>
              <w:t>Non-specialised buildings</w:t>
            </w:r>
          </w:p>
        </w:tc>
        <w:tc>
          <w:tcPr>
            <w:tcW w:w="1984" w:type="dxa"/>
          </w:tcPr>
          <w:p w:rsidR="0015441F" w:rsidRDefault="0023338B" w:rsidP="0015441F">
            <w:pPr>
              <w:pStyle w:val="NoSpacing"/>
              <w:jc w:val="right"/>
            </w:pPr>
            <w:r>
              <w:t>3,468</w:t>
            </w:r>
          </w:p>
        </w:tc>
        <w:tc>
          <w:tcPr>
            <w:tcW w:w="2127" w:type="dxa"/>
          </w:tcPr>
          <w:p w:rsidR="0015441F" w:rsidRDefault="0023338B" w:rsidP="0015441F">
            <w:pPr>
              <w:pStyle w:val="NoSpacing"/>
              <w:jc w:val="right"/>
            </w:pPr>
            <w:r>
              <w:t>-</w:t>
            </w:r>
          </w:p>
        </w:tc>
        <w:tc>
          <w:tcPr>
            <w:tcW w:w="1984" w:type="dxa"/>
          </w:tcPr>
          <w:p w:rsidR="0015441F" w:rsidRDefault="0023338B" w:rsidP="0015441F">
            <w:pPr>
              <w:pStyle w:val="NoSpacing"/>
              <w:jc w:val="right"/>
            </w:pPr>
            <w:r>
              <w:t>3,468</w:t>
            </w:r>
          </w:p>
        </w:tc>
        <w:tc>
          <w:tcPr>
            <w:tcW w:w="1701" w:type="dxa"/>
          </w:tcPr>
          <w:p w:rsidR="0015441F" w:rsidRDefault="0023338B" w:rsidP="0015441F">
            <w:pPr>
              <w:pStyle w:val="NoSpacing"/>
              <w:jc w:val="right"/>
            </w:pPr>
            <w:r>
              <w:t>-</w:t>
            </w:r>
          </w:p>
        </w:tc>
      </w:tr>
      <w:tr w:rsidR="0015441F" w:rsidTr="0015441F">
        <w:tc>
          <w:tcPr>
            <w:tcW w:w="2978" w:type="dxa"/>
          </w:tcPr>
          <w:p w:rsidR="0015441F" w:rsidRDefault="0015441F" w:rsidP="0015441F">
            <w:pPr>
              <w:pStyle w:val="NoSpacing"/>
            </w:pPr>
            <w:r>
              <w:t>Specialised buildings</w:t>
            </w:r>
          </w:p>
        </w:tc>
        <w:tc>
          <w:tcPr>
            <w:tcW w:w="1984" w:type="dxa"/>
          </w:tcPr>
          <w:p w:rsidR="0015441F" w:rsidRDefault="0023338B" w:rsidP="0015441F">
            <w:pPr>
              <w:pStyle w:val="NoSpacing"/>
              <w:jc w:val="right"/>
            </w:pPr>
            <w:r>
              <w:t>282,574</w:t>
            </w:r>
          </w:p>
        </w:tc>
        <w:tc>
          <w:tcPr>
            <w:tcW w:w="2127" w:type="dxa"/>
          </w:tcPr>
          <w:p w:rsidR="0015441F" w:rsidRDefault="0023338B" w:rsidP="0015441F">
            <w:pPr>
              <w:pStyle w:val="NoSpacing"/>
              <w:jc w:val="right"/>
            </w:pPr>
            <w:r>
              <w:t>-</w:t>
            </w:r>
          </w:p>
        </w:tc>
        <w:tc>
          <w:tcPr>
            <w:tcW w:w="1984" w:type="dxa"/>
          </w:tcPr>
          <w:p w:rsidR="0015441F" w:rsidRDefault="0023338B" w:rsidP="0015441F">
            <w:pPr>
              <w:pStyle w:val="NoSpacing"/>
              <w:jc w:val="right"/>
            </w:pPr>
            <w:r>
              <w:t>-</w:t>
            </w:r>
          </w:p>
        </w:tc>
        <w:tc>
          <w:tcPr>
            <w:tcW w:w="1701" w:type="dxa"/>
          </w:tcPr>
          <w:p w:rsidR="0015441F" w:rsidRDefault="0023338B" w:rsidP="0015441F">
            <w:pPr>
              <w:pStyle w:val="NoSpacing"/>
              <w:jc w:val="right"/>
            </w:pPr>
            <w:r>
              <w:t>282,574</w:t>
            </w:r>
          </w:p>
        </w:tc>
      </w:tr>
      <w:tr w:rsidR="0015441F" w:rsidTr="0015441F">
        <w:tc>
          <w:tcPr>
            <w:tcW w:w="2978" w:type="dxa"/>
          </w:tcPr>
          <w:p w:rsidR="0015441F" w:rsidRDefault="0015441F" w:rsidP="0015441F">
            <w:pPr>
              <w:pStyle w:val="NoSpacing"/>
            </w:pPr>
            <w:r>
              <w:t>Total buildings at fair value</w:t>
            </w:r>
          </w:p>
        </w:tc>
        <w:tc>
          <w:tcPr>
            <w:tcW w:w="1984" w:type="dxa"/>
          </w:tcPr>
          <w:p w:rsidR="0015441F" w:rsidRDefault="0023338B" w:rsidP="0015441F">
            <w:pPr>
              <w:pStyle w:val="NoSpacing"/>
              <w:jc w:val="right"/>
            </w:pPr>
            <w:r>
              <w:t>286,042</w:t>
            </w:r>
          </w:p>
        </w:tc>
        <w:tc>
          <w:tcPr>
            <w:tcW w:w="2127" w:type="dxa"/>
          </w:tcPr>
          <w:p w:rsidR="0015441F" w:rsidRDefault="0023338B" w:rsidP="0015441F">
            <w:pPr>
              <w:pStyle w:val="NoSpacing"/>
              <w:jc w:val="right"/>
            </w:pPr>
            <w:r>
              <w:t>-</w:t>
            </w:r>
          </w:p>
        </w:tc>
        <w:tc>
          <w:tcPr>
            <w:tcW w:w="1984" w:type="dxa"/>
          </w:tcPr>
          <w:p w:rsidR="0015441F" w:rsidRDefault="0023338B" w:rsidP="0015441F">
            <w:pPr>
              <w:pStyle w:val="NoSpacing"/>
              <w:jc w:val="right"/>
            </w:pPr>
            <w:r>
              <w:t>3,468</w:t>
            </w:r>
          </w:p>
        </w:tc>
        <w:tc>
          <w:tcPr>
            <w:tcW w:w="1701" w:type="dxa"/>
          </w:tcPr>
          <w:p w:rsidR="0015441F" w:rsidRDefault="0023338B" w:rsidP="0015441F">
            <w:pPr>
              <w:pStyle w:val="NoSpacing"/>
              <w:jc w:val="right"/>
            </w:pPr>
            <w:r>
              <w:t>282,574</w:t>
            </w:r>
          </w:p>
        </w:tc>
      </w:tr>
    </w:tbl>
    <w:p w:rsidR="0015441F" w:rsidRDefault="0015441F" w:rsidP="0015441F">
      <w:pPr>
        <w:pStyle w:val="NoSpacing"/>
      </w:pPr>
    </w:p>
    <w:tbl>
      <w:tblPr>
        <w:tblStyle w:val="TableGrid"/>
        <w:tblW w:w="10774" w:type="dxa"/>
        <w:tblInd w:w="-998" w:type="dxa"/>
        <w:tblLook w:val="04A0" w:firstRow="1" w:lastRow="0" w:firstColumn="1" w:lastColumn="0" w:noHBand="0" w:noVBand="1"/>
      </w:tblPr>
      <w:tblGrid>
        <w:gridCol w:w="2978"/>
        <w:gridCol w:w="1984"/>
        <w:gridCol w:w="2127"/>
        <w:gridCol w:w="1984"/>
        <w:gridCol w:w="1701"/>
      </w:tblGrid>
      <w:tr w:rsidR="0015441F" w:rsidTr="0015441F">
        <w:tc>
          <w:tcPr>
            <w:tcW w:w="2978" w:type="dxa"/>
          </w:tcPr>
          <w:p w:rsidR="0015441F" w:rsidRDefault="0015441F" w:rsidP="0015441F">
            <w:pPr>
              <w:pStyle w:val="NoSpacing"/>
            </w:pPr>
            <w:r>
              <w:t>Plant and equipment</w:t>
            </w:r>
          </w:p>
        </w:tc>
        <w:tc>
          <w:tcPr>
            <w:tcW w:w="1984" w:type="dxa"/>
          </w:tcPr>
          <w:p w:rsidR="0015441F" w:rsidRDefault="0023338B" w:rsidP="0015441F">
            <w:pPr>
              <w:pStyle w:val="NoSpacing"/>
              <w:jc w:val="right"/>
            </w:pPr>
            <w:r>
              <w:t>13,099</w:t>
            </w:r>
          </w:p>
        </w:tc>
        <w:tc>
          <w:tcPr>
            <w:tcW w:w="2127" w:type="dxa"/>
          </w:tcPr>
          <w:p w:rsidR="0015441F" w:rsidRDefault="0023338B" w:rsidP="0015441F">
            <w:pPr>
              <w:pStyle w:val="NoSpacing"/>
              <w:jc w:val="right"/>
            </w:pPr>
            <w:r>
              <w:t>-</w:t>
            </w:r>
          </w:p>
        </w:tc>
        <w:tc>
          <w:tcPr>
            <w:tcW w:w="1984" w:type="dxa"/>
          </w:tcPr>
          <w:p w:rsidR="0015441F" w:rsidRDefault="0023338B" w:rsidP="0015441F">
            <w:pPr>
              <w:pStyle w:val="NoSpacing"/>
              <w:jc w:val="right"/>
            </w:pPr>
            <w:r>
              <w:t>-</w:t>
            </w:r>
          </w:p>
        </w:tc>
        <w:tc>
          <w:tcPr>
            <w:tcW w:w="1701" w:type="dxa"/>
          </w:tcPr>
          <w:p w:rsidR="0015441F" w:rsidRDefault="0023338B" w:rsidP="0015441F">
            <w:pPr>
              <w:pStyle w:val="NoSpacing"/>
              <w:jc w:val="right"/>
            </w:pPr>
            <w:r>
              <w:t>13,099</w:t>
            </w:r>
          </w:p>
        </w:tc>
      </w:tr>
      <w:tr w:rsidR="0015441F" w:rsidTr="0015441F">
        <w:tc>
          <w:tcPr>
            <w:tcW w:w="2978" w:type="dxa"/>
          </w:tcPr>
          <w:p w:rsidR="0015441F" w:rsidRDefault="0015441F" w:rsidP="0015441F">
            <w:pPr>
              <w:pStyle w:val="NoSpacing"/>
            </w:pPr>
            <w:r>
              <w:t>Vehicles</w:t>
            </w:r>
          </w:p>
        </w:tc>
        <w:tc>
          <w:tcPr>
            <w:tcW w:w="1984" w:type="dxa"/>
          </w:tcPr>
          <w:p w:rsidR="0015441F" w:rsidRDefault="0023338B" w:rsidP="0015441F">
            <w:pPr>
              <w:pStyle w:val="NoSpacing"/>
              <w:jc w:val="right"/>
            </w:pPr>
            <w:r>
              <w:t>333</w:t>
            </w:r>
          </w:p>
        </w:tc>
        <w:tc>
          <w:tcPr>
            <w:tcW w:w="2127" w:type="dxa"/>
          </w:tcPr>
          <w:p w:rsidR="0015441F" w:rsidRDefault="0023338B" w:rsidP="0015441F">
            <w:pPr>
              <w:pStyle w:val="NoSpacing"/>
              <w:jc w:val="right"/>
            </w:pPr>
            <w:r>
              <w:t>-</w:t>
            </w:r>
          </w:p>
        </w:tc>
        <w:tc>
          <w:tcPr>
            <w:tcW w:w="1984" w:type="dxa"/>
          </w:tcPr>
          <w:p w:rsidR="0015441F" w:rsidRDefault="0023338B" w:rsidP="0015441F">
            <w:pPr>
              <w:pStyle w:val="NoSpacing"/>
              <w:jc w:val="right"/>
            </w:pPr>
            <w:r>
              <w:t>-</w:t>
            </w:r>
          </w:p>
        </w:tc>
        <w:tc>
          <w:tcPr>
            <w:tcW w:w="1701" w:type="dxa"/>
          </w:tcPr>
          <w:p w:rsidR="0015441F" w:rsidRDefault="0023338B" w:rsidP="0015441F">
            <w:pPr>
              <w:pStyle w:val="NoSpacing"/>
              <w:jc w:val="right"/>
            </w:pPr>
            <w:r>
              <w:t>333</w:t>
            </w:r>
          </w:p>
        </w:tc>
      </w:tr>
      <w:tr w:rsidR="0015441F" w:rsidTr="0015441F">
        <w:tc>
          <w:tcPr>
            <w:tcW w:w="2978" w:type="dxa"/>
          </w:tcPr>
          <w:p w:rsidR="0015441F" w:rsidRDefault="0015441F" w:rsidP="0015441F">
            <w:pPr>
              <w:pStyle w:val="NoSpacing"/>
            </w:pPr>
            <w:r>
              <w:t>Leasehold improvements</w:t>
            </w:r>
          </w:p>
        </w:tc>
        <w:tc>
          <w:tcPr>
            <w:tcW w:w="1984" w:type="dxa"/>
          </w:tcPr>
          <w:p w:rsidR="0015441F" w:rsidRDefault="0023338B" w:rsidP="0015441F">
            <w:pPr>
              <w:pStyle w:val="NoSpacing"/>
              <w:jc w:val="right"/>
            </w:pPr>
            <w:r>
              <w:t>113</w:t>
            </w:r>
          </w:p>
        </w:tc>
        <w:tc>
          <w:tcPr>
            <w:tcW w:w="2127" w:type="dxa"/>
          </w:tcPr>
          <w:p w:rsidR="0015441F" w:rsidRDefault="0023338B" w:rsidP="0015441F">
            <w:pPr>
              <w:pStyle w:val="NoSpacing"/>
              <w:jc w:val="right"/>
            </w:pPr>
            <w:r>
              <w:t>-</w:t>
            </w:r>
          </w:p>
        </w:tc>
        <w:tc>
          <w:tcPr>
            <w:tcW w:w="1984" w:type="dxa"/>
          </w:tcPr>
          <w:p w:rsidR="0015441F" w:rsidRDefault="0023338B" w:rsidP="0015441F">
            <w:pPr>
              <w:pStyle w:val="NoSpacing"/>
              <w:jc w:val="right"/>
            </w:pPr>
            <w:r>
              <w:t>-</w:t>
            </w:r>
          </w:p>
        </w:tc>
        <w:tc>
          <w:tcPr>
            <w:tcW w:w="1701" w:type="dxa"/>
          </w:tcPr>
          <w:p w:rsidR="0015441F" w:rsidRDefault="0023338B" w:rsidP="0015441F">
            <w:pPr>
              <w:pStyle w:val="NoSpacing"/>
              <w:jc w:val="right"/>
            </w:pPr>
            <w:r>
              <w:t>113</w:t>
            </w:r>
          </w:p>
        </w:tc>
      </w:tr>
      <w:tr w:rsidR="0015441F" w:rsidTr="0015441F">
        <w:tc>
          <w:tcPr>
            <w:tcW w:w="2978" w:type="dxa"/>
          </w:tcPr>
          <w:p w:rsidR="0015441F" w:rsidRDefault="0015441F" w:rsidP="0015441F">
            <w:pPr>
              <w:pStyle w:val="NoSpacing"/>
            </w:pPr>
            <w:r>
              <w:t>Land improvements</w:t>
            </w:r>
          </w:p>
        </w:tc>
        <w:tc>
          <w:tcPr>
            <w:tcW w:w="1984" w:type="dxa"/>
          </w:tcPr>
          <w:p w:rsidR="0015441F" w:rsidRDefault="0023338B" w:rsidP="0015441F">
            <w:pPr>
              <w:pStyle w:val="NoSpacing"/>
              <w:jc w:val="right"/>
            </w:pPr>
            <w:r>
              <w:t>2,565</w:t>
            </w:r>
          </w:p>
        </w:tc>
        <w:tc>
          <w:tcPr>
            <w:tcW w:w="2127" w:type="dxa"/>
          </w:tcPr>
          <w:p w:rsidR="0015441F" w:rsidRDefault="0023338B" w:rsidP="0015441F">
            <w:pPr>
              <w:pStyle w:val="NoSpacing"/>
              <w:jc w:val="right"/>
            </w:pPr>
            <w:r>
              <w:t>-</w:t>
            </w:r>
          </w:p>
        </w:tc>
        <w:tc>
          <w:tcPr>
            <w:tcW w:w="1984" w:type="dxa"/>
          </w:tcPr>
          <w:p w:rsidR="0015441F" w:rsidRDefault="0023338B" w:rsidP="0015441F">
            <w:pPr>
              <w:pStyle w:val="NoSpacing"/>
              <w:jc w:val="right"/>
            </w:pPr>
            <w:r>
              <w:t>-</w:t>
            </w:r>
          </w:p>
        </w:tc>
        <w:tc>
          <w:tcPr>
            <w:tcW w:w="1701" w:type="dxa"/>
          </w:tcPr>
          <w:p w:rsidR="0015441F" w:rsidRDefault="0023338B" w:rsidP="0015441F">
            <w:pPr>
              <w:pStyle w:val="NoSpacing"/>
              <w:jc w:val="right"/>
            </w:pPr>
            <w:r>
              <w:t>2,565</w:t>
            </w:r>
          </w:p>
        </w:tc>
      </w:tr>
      <w:tr w:rsidR="0015441F" w:rsidTr="0015441F">
        <w:tc>
          <w:tcPr>
            <w:tcW w:w="2978" w:type="dxa"/>
          </w:tcPr>
          <w:p w:rsidR="0015441F" w:rsidRDefault="0015441F" w:rsidP="0015441F">
            <w:pPr>
              <w:pStyle w:val="NoSpacing"/>
            </w:pPr>
            <w:r>
              <w:t>Total other assets at fair value</w:t>
            </w:r>
          </w:p>
        </w:tc>
        <w:tc>
          <w:tcPr>
            <w:tcW w:w="1984" w:type="dxa"/>
          </w:tcPr>
          <w:p w:rsidR="0015441F" w:rsidRDefault="0023338B" w:rsidP="0015441F">
            <w:pPr>
              <w:pStyle w:val="NoSpacing"/>
              <w:jc w:val="right"/>
            </w:pPr>
            <w:r>
              <w:t>16,110</w:t>
            </w:r>
          </w:p>
        </w:tc>
        <w:tc>
          <w:tcPr>
            <w:tcW w:w="2127" w:type="dxa"/>
          </w:tcPr>
          <w:p w:rsidR="0015441F" w:rsidRDefault="0023338B" w:rsidP="0015441F">
            <w:pPr>
              <w:pStyle w:val="NoSpacing"/>
              <w:jc w:val="right"/>
            </w:pPr>
            <w:r>
              <w:t>-</w:t>
            </w:r>
          </w:p>
        </w:tc>
        <w:tc>
          <w:tcPr>
            <w:tcW w:w="1984" w:type="dxa"/>
          </w:tcPr>
          <w:p w:rsidR="0015441F" w:rsidRDefault="0023338B" w:rsidP="0015441F">
            <w:pPr>
              <w:pStyle w:val="NoSpacing"/>
              <w:jc w:val="right"/>
            </w:pPr>
            <w:r>
              <w:t>-</w:t>
            </w:r>
          </w:p>
        </w:tc>
        <w:tc>
          <w:tcPr>
            <w:tcW w:w="1701" w:type="dxa"/>
          </w:tcPr>
          <w:p w:rsidR="0015441F" w:rsidRDefault="0023338B" w:rsidP="0015441F">
            <w:pPr>
              <w:pStyle w:val="NoSpacing"/>
              <w:jc w:val="right"/>
            </w:pPr>
            <w:r>
              <w:t>16,110</w:t>
            </w:r>
          </w:p>
        </w:tc>
      </w:tr>
    </w:tbl>
    <w:p w:rsidR="0015441F" w:rsidRDefault="0015441F" w:rsidP="0015441F">
      <w:pPr>
        <w:pStyle w:val="NoSpacing"/>
      </w:pPr>
    </w:p>
    <w:tbl>
      <w:tblPr>
        <w:tblStyle w:val="TableGrid"/>
        <w:tblW w:w="10774" w:type="dxa"/>
        <w:tblInd w:w="-998" w:type="dxa"/>
        <w:tblLook w:val="04A0" w:firstRow="1" w:lastRow="0" w:firstColumn="1" w:lastColumn="0" w:noHBand="0" w:noVBand="1"/>
      </w:tblPr>
      <w:tblGrid>
        <w:gridCol w:w="2978"/>
        <w:gridCol w:w="1984"/>
        <w:gridCol w:w="2127"/>
        <w:gridCol w:w="1984"/>
        <w:gridCol w:w="1701"/>
      </w:tblGrid>
      <w:tr w:rsidR="0015441F" w:rsidTr="0015441F">
        <w:tc>
          <w:tcPr>
            <w:tcW w:w="10774" w:type="dxa"/>
            <w:gridSpan w:val="5"/>
          </w:tcPr>
          <w:p w:rsidR="0015441F" w:rsidRDefault="0015441F" w:rsidP="0015441F">
            <w:pPr>
              <w:pStyle w:val="NoSpacing"/>
            </w:pPr>
            <w:r>
              <w:t>Chisholm 2018</w:t>
            </w:r>
          </w:p>
        </w:tc>
      </w:tr>
      <w:tr w:rsidR="0015441F" w:rsidTr="0015441F">
        <w:tc>
          <w:tcPr>
            <w:tcW w:w="2978" w:type="dxa"/>
          </w:tcPr>
          <w:p w:rsidR="0015441F" w:rsidRDefault="0015441F" w:rsidP="0015441F">
            <w:pPr>
              <w:pStyle w:val="NoSpacing"/>
            </w:pPr>
            <w:r>
              <w:t>Non-specialised land</w:t>
            </w:r>
          </w:p>
        </w:tc>
        <w:tc>
          <w:tcPr>
            <w:tcW w:w="1984" w:type="dxa"/>
          </w:tcPr>
          <w:p w:rsidR="0015441F" w:rsidRDefault="0023338B" w:rsidP="0015441F">
            <w:pPr>
              <w:pStyle w:val="NoSpacing"/>
              <w:jc w:val="right"/>
            </w:pPr>
            <w:r>
              <w:t>5,498</w:t>
            </w:r>
          </w:p>
        </w:tc>
        <w:tc>
          <w:tcPr>
            <w:tcW w:w="2127" w:type="dxa"/>
          </w:tcPr>
          <w:p w:rsidR="0015441F" w:rsidRDefault="0023338B" w:rsidP="0015441F">
            <w:pPr>
              <w:pStyle w:val="NoSpacing"/>
              <w:jc w:val="right"/>
            </w:pPr>
            <w:r>
              <w:t>-</w:t>
            </w:r>
          </w:p>
        </w:tc>
        <w:tc>
          <w:tcPr>
            <w:tcW w:w="1984" w:type="dxa"/>
          </w:tcPr>
          <w:p w:rsidR="0015441F" w:rsidRDefault="0023338B" w:rsidP="0015441F">
            <w:pPr>
              <w:pStyle w:val="NoSpacing"/>
              <w:jc w:val="right"/>
            </w:pPr>
            <w:r>
              <w:t>5,498</w:t>
            </w:r>
          </w:p>
        </w:tc>
        <w:tc>
          <w:tcPr>
            <w:tcW w:w="1701" w:type="dxa"/>
          </w:tcPr>
          <w:p w:rsidR="0015441F" w:rsidRDefault="0023338B" w:rsidP="0015441F">
            <w:pPr>
              <w:pStyle w:val="NoSpacing"/>
              <w:jc w:val="right"/>
            </w:pPr>
            <w:r>
              <w:t>-</w:t>
            </w:r>
          </w:p>
        </w:tc>
      </w:tr>
      <w:tr w:rsidR="0015441F" w:rsidTr="0015441F">
        <w:tc>
          <w:tcPr>
            <w:tcW w:w="2978" w:type="dxa"/>
          </w:tcPr>
          <w:p w:rsidR="0015441F" w:rsidRDefault="0015441F" w:rsidP="0015441F">
            <w:pPr>
              <w:pStyle w:val="NoSpacing"/>
            </w:pPr>
            <w:r>
              <w:t>Specialised land</w:t>
            </w:r>
          </w:p>
        </w:tc>
        <w:tc>
          <w:tcPr>
            <w:tcW w:w="1984" w:type="dxa"/>
          </w:tcPr>
          <w:p w:rsidR="0015441F" w:rsidRDefault="0023338B" w:rsidP="0015441F">
            <w:pPr>
              <w:pStyle w:val="NoSpacing"/>
              <w:jc w:val="right"/>
            </w:pPr>
            <w:r>
              <w:t>52,698</w:t>
            </w:r>
          </w:p>
        </w:tc>
        <w:tc>
          <w:tcPr>
            <w:tcW w:w="2127" w:type="dxa"/>
          </w:tcPr>
          <w:p w:rsidR="0015441F" w:rsidRDefault="0023338B" w:rsidP="0015441F">
            <w:pPr>
              <w:pStyle w:val="NoSpacing"/>
              <w:jc w:val="right"/>
            </w:pPr>
            <w:r>
              <w:t>-</w:t>
            </w:r>
          </w:p>
        </w:tc>
        <w:tc>
          <w:tcPr>
            <w:tcW w:w="1984" w:type="dxa"/>
          </w:tcPr>
          <w:p w:rsidR="0015441F" w:rsidRDefault="0023338B" w:rsidP="0015441F">
            <w:pPr>
              <w:pStyle w:val="NoSpacing"/>
              <w:jc w:val="right"/>
            </w:pPr>
            <w:r>
              <w:t>-</w:t>
            </w:r>
          </w:p>
        </w:tc>
        <w:tc>
          <w:tcPr>
            <w:tcW w:w="1701" w:type="dxa"/>
          </w:tcPr>
          <w:p w:rsidR="0015441F" w:rsidRDefault="0023338B" w:rsidP="0015441F">
            <w:pPr>
              <w:pStyle w:val="NoSpacing"/>
              <w:jc w:val="right"/>
            </w:pPr>
            <w:r>
              <w:t>52,698</w:t>
            </w:r>
          </w:p>
        </w:tc>
      </w:tr>
      <w:tr w:rsidR="0015441F" w:rsidTr="0015441F">
        <w:tc>
          <w:tcPr>
            <w:tcW w:w="2978" w:type="dxa"/>
          </w:tcPr>
          <w:p w:rsidR="0015441F" w:rsidRDefault="0015441F" w:rsidP="0015441F">
            <w:pPr>
              <w:pStyle w:val="NoSpacing"/>
            </w:pPr>
            <w:r>
              <w:t>Total land at fair value</w:t>
            </w:r>
          </w:p>
        </w:tc>
        <w:tc>
          <w:tcPr>
            <w:tcW w:w="1984" w:type="dxa"/>
          </w:tcPr>
          <w:p w:rsidR="0015441F" w:rsidRDefault="0023338B" w:rsidP="0015441F">
            <w:pPr>
              <w:pStyle w:val="NoSpacing"/>
              <w:jc w:val="right"/>
            </w:pPr>
            <w:r>
              <w:t>58,196</w:t>
            </w:r>
          </w:p>
        </w:tc>
        <w:tc>
          <w:tcPr>
            <w:tcW w:w="2127" w:type="dxa"/>
          </w:tcPr>
          <w:p w:rsidR="0015441F" w:rsidRDefault="0023338B" w:rsidP="0015441F">
            <w:pPr>
              <w:pStyle w:val="NoSpacing"/>
              <w:jc w:val="right"/>
            </w:pPr>
            <w:r>
              <w:t>-</w:t>
            </w:r>
          </w:p>
        </w:tc>
        <w:tc>
          <w:tcPr>
            <w:tcW w:w="1984" w:type="dxa"/>
          </w:tcPr>
          <w:p w:rsidR="0015441F" w:rsidRDefault="0023338B" w:rsidP="0015441F">
            <w:pPr>
              <w:pStyle w:val="NoSpacing"/>
              <w:jc w:val="right"/>
            </w:pPr>
            <w:r>
              <w:t>5,498</w:t>
            </w:r>
          </w:p>
        </w:tc>
        <w:tc>
          <w:tcPr>
            <w:tcW w:w="1701" w:type="dxa"/>
          </w:tcPr>
          <w:p w:rsidR="0015441F" w:rsidRDefault="0023338B" w:rsidP="0015441F">
            <w:pPr>
              <w:pStyle w:val="NoSpacing"/>
              <w:jc w:val="right"/>
            </w:pPr>
            <w:r>
              <w:t>52,698</w:t>
            </w:r>
          </w:p>
        </w:tc>
      </w:tr>
    </w:tbl>
    <w:p w:rsidR="0015441F" w:rsidRDefault="0015441F" w:rsidP="0015441F">
      <w:pPr>
        <w:pStyle w:val="NoSpacing"/>
      </w:pPr>
    </w:p>
    <w:tbl>
      <w:tblPr>
        <w:tblStyle w:val="TableGrid"/>
        <w:tblW w:w="10774" w:type="dxa"/>
        <w:tblInd w:w="-998" w:type="dxa"/>
        <w:tblLook w:val="04A0" w:firstRow="1" w:lastRow="0" w:firstColumn="1" w:lastColumn="0" w:noHBand="0" w:noVBand="1"/>
      </w:tblPr>
      <w:tblGrid>
        <w:gridCol w:w="2978"/>
        <w:gridCol w:w="1984"/>
        <w:gridCol w:w="2127"/>
        <w:gridCol w:w="1984"/>
        <w:gridCol w:w="1701"/>
      </w:tblGrid>
      <w:tr w:rsidR="0015441F" w:rsidTr="0015441F">
        <w:tc>
          <w:tcPr>
            <w:tcW w:w="2978" w:type="dxa"/>
          </w:tcPr>
          <w:p w:rsidR="0015441F" w:rsidRDefault="0015441F" w:rsidP="0015441F">
            <w:pPr>
              <w:pStyle w:val="NoSpacing"/>
            </w:pPr>
            <w:r>
              <w:t>Non-specialised buildings</w:t>
            </w:r>
          </w:p>
        </w:tc>
        <w:tc>
          <w:tcPr>
            <w:tcW w:w="1984" w:type="dxa"/>
          </w:tcPr>
          <w:p w:rsidR="0015441F" w:rsidRDefault="0023338B" w:rsidP="0015441F">
            <w:pPr>
              <w:pStyle w:val="NoSpacing"/>
              <w:jc w:val="right"/>
            </w:pPr>
            <w:r>
              <w:t>3,686</w:t>
            </w:r>
          </w:p>
        </w:tc>
        <w:tc>
          <w:tcPr>
            <w:tcW w:w="2127" w:type="dxa"/>
          </w:tcPr>
          <w:p w:rsidR="0015441F" w:rsidRDefault="0023338B" w:rsidP="0015441F">
            <w:pPr>
              <w:pStyle w:val="NoSpacing"/>
              <w:jc w:val="right"/>
            </w:pPr>
            <w:r>
              <w:t>-</w:t>
            </w:r>
          </w:p>
        </w:tc>
        <w:tc>
          <w:tcPr>
            <w:tcW w:w="1984" w:type="dxa"/>
          </w:tcPr>
          <w:p w:rsidR="0015441F" w:rsidRDefault="0023338B" w:rsidP="0015441F">
            <w:pPr>
              <w:pStyle w:val="NoSpacing"/>
              <w:jc w:val="right"/>
            </w:pPr>
            <w:r>
              <w:t>3,686</w:t>
            </w:r>
          </w:p>
        </w:tc>
        <w:tc>
          <w:tcPr>
            <w:tcW w:w="1701" w:type="dxa"/>
          </w:tcPr>
          <w:p w:rsidR="0015441F" w:rsidRDefault="0023338B" w:rsidP="0015441F">
            <w:pPr>
              <w:pStyle w:val="NoSpacing"/>
              <w:jc w:val="right"/>
            </w:pPr>
            <w:r>
              <w:t>-</w:t>
            </w:r>
          </w:p>
        </w:tc>
      </w:tr>
      <w:tr w:rsidR="0015441F" w:rsidTr="0015441F">
        <w:tc>
          <w:tcPr>
            <w:tcW w:w="2978" w:type="dxa"/>
          </w:tcPr>
          <w:p w:rsidR="0015441F" w:rsidRDefault="0015441F" w:rsidP="0015441F">
            <w:pPr>
              <w:pStyle w:val="NoSpacing"/>
            </w:pPr>
            <w:r>
              <w:t>Specialised buildings</w:t>
            </w:r>
          </w:p>
        </w:tc>
        <w:tc>
          <w:tcPr>
            <w:tcW w:w="1984" w:type="dxa"/>
          </w:tcPr>
          <w:p w:rsidR="0015441F" w:rsidRDefault="0023338B" w:rsidP="0015441F">
            <w:pPr>
              <w:pStyle w:val="NoSpacing"/>
              <w:jc w:val="right"/>
            </w:pPr>
            <w:r>
              <w:t>199,302</w:t>
            </w:r>
          </w:p>
        </w:tc>
        <w:tc>
          <w:tcPr>
            <w:tcW w:w="2127" w:type="dxa"/>
          </w:tcPr>
          <w:p w:rsidR="0015441F" w:rsidRDefault="0023338B" w:rsidP="0015441F">
            <w:pPr>
              <w:pStyle w:val="NoSpacing"/>
              <w:jc w:val="right"/>
            </w:pPr>
            <w:r>
              <w:t>-</w:t>
            </w:r>
          </w:p>
        </w:tc>
        <w:tc>
          <w:tcPr>
            <w:tcW w:w="1984" w:type="dxa"/>
          </w:tcPr>
          <w:p w:rsidR="0015441F" w:rsidRDefault="0023338B" w:rsidP="0015441F">
            <w:pPr>
              <w:pStyle w:val="NoSpacing"/>
              <w:jc w:val="right"/>
            </w:pPr>
            <w:r>
              <w:t>-</w:t>
            </w:r>
          </w:p>
        </w:tc>
        <w:tc>
          <w:tcPr>
            <w:tcW w:w="1701" w:type="dxa"/>
          </w:tcPr>
          <w:p w:rsidR="0015441F" w:rsidRDefault="0023338B" w:rsidP="0015441F">
            <w:pPr>
              <w:pStyle w:val="NoSpacing"/>
              <w:jc w:val="right"/>
            </w:pPr>
            <w:r>
              <w:t>199,302</w:t>
            </w:r>
          </w:p>
        </w:tc>
      </w:tr>
      <w:tr w:rsidR="0015441F" w:rsidTr="0015441F">
        <w:tc>
          <w:tcPr>
            <w:tcW w:w="2978" w:type="dxa"/>
          </w:tcPr>
          <w:p w:rsidR="0015441F" w:rsidRDefault="0015441F" w:rsidP="0015441F">
            <w:pPr>
              <w:pStyle w:val="NoSpacing"/>
            </w:pPr>
            <w:r>
              <w:t>Total buildings at fair value</w:t>
            </w:r>
          </w:p>
        </w:tc>
        <w:tc>
          <w:tcPr>
            <w:tcW w:w="1984" w:type="dxa"/>
          </w:tcPr>
          <w:p w:rsidR="0015441F" w:rsidRDefault="0023338B" w:rsidP="0015441F">
            <w:pPr>
              <w:pStyle w:val="NoSpacing"/>
              <w:jc w:val="right"/>
            </w:pPr>
            <w:r>
              <w:t>202,988</w:t>
            </w:r>
          </w:p>
        </w:tc>
        <w:tc>
          <w:tcPr>
            <w:tcW w:w="2127" w:type="dxa"/>
          </w:tcPr>
          <w:p w:rsidR="0015441F" w:rsidRDefault="0023338B" w:rsidP="0015441F">
            <w:pPr>
              <w:pStyle w:val="NoSpacing"/>
              <w:jc w:val="right"/>
            </w:pPr>
            <w:r>
              <w:t>-</w:t>
            </w:r>
          </w:p>
        </w:tc>
        <w:tc>
          <w:tcPr>
            <w:tcW w:w="1984" w:type="dxa"/>
          </w:tcPr>
          <w:p w:rsidR="0015441F" w:rsidRDefault="0023338B" w:rsidP="0015441F">
            <w:pPr>
              <w:pStyle w:val="NoSpacing"/>
              <w:jc w:val="right"/>
            </w:pPr>
            <w:r>
              <w:t>3,686</w:t>
            </w:r>
          </w:p>
        </w:tc>
        <w:tc>
          <w:tcPr>
            <w:tcW w:w="1701" w:type="dxa"/>
          </w:tcPr>
          <w:p w:rsidR="0015441F" w:rsidRDefault="0023338B" w:rsidP="0015441F">
            <w:pPr>
              <w:pStyle w:val="NoSpacing"/>
              <w:jc w:val="right"/>
            </w:pPr>
            <w:r>
              <w:t>199,302</w:t>
            </w:r>
          </w:p>
        </w:tc>
      </w:tr>
    </w:tbl>
    <w:p w:rsidR="0015441F" w:rsidRDefault="0015441F" w:rsidP="0015441F">
      <w:pPr>
        <w:pStyle w:val="NoSpacing"/>
      </w:pPr>
    </w:p>
    <w:tbl>
      <w:tblPr>
        <w:tblStyle w:val="TableGrid"/>
        <w:tblW w:w="10774" w:type="dxa"/>
        <w:tblInd w:w="-998" w:type="dxa"/>
        <w:tblLook w:val="04A0" w:firstRow="1" w:lastRow="0" w:firstColumn="1" w:lastColumn="0" w:noHBand="0" w:noVBand="1"/>
      </w:tblPr>
      <w:tblGrid>
        <w:gridCol w:w="2978"/>
        <w:gridCol w:w="1984"/>
        <w:gridCol w:w="2127"/>
        <w:gridCol w:w="1984"/>
        <w:gridCol w:w="1701"/>
      </w:tblGrid>
      <w:tr w:rsidR="0015441F" w:rsidTr="0015441F">
        <w:tc>
          <w:tcPr>
            <w:tcW w:w="2978" w:type="dxa"/>
          </w:tcPr>
          <w:p w:rsidR="0015441F" w:rsidRDefault="0015441F" w:rsidP="0015441F">
            <w:pPr>
              <w:pStyle w:val="NoSpacing"/>
            </w:pPr>
            <w:r>
              <w:t>Plant and equipment</w:t>
            </w:r>
          </w:p>
        </w:tc>
        <w:tc>
          <w:tcPr>
            <w:tcW w:w="1984" w:type="dxa"/>
          </w:tcPr>
          <w:p w:rsidR="0015441F" w:rsidRDefault="0023338B" w:rsidP="0015441F">
            <w:pPr>
              <w:pStyle w:val="NoSpacing"/>
              <w:jc w:val="right"/>
            </w:pPr>
            <w:r>
              <w:t>6,589</w:t>
            </w:r>
          </w:p>
        </w:tc>
        <w:tc>
          <w:tcPr>
            <w:tcW w:w="2127" w:type="dxa"/>
          </w:tcPr>
          <w:p w:rsidR="0015441F" w:rsidRDefault="0023338B" w:rsidP="0015441F">
            <w:pPr>
              <w:pStyle w:val="NoSpacing"/>
              <w:jc w:val="right"/>
            </w:pPr>
            <w:r>
              <w:t>-</w:t>
            </w:r>
          </w:p>
        </w:tc>
        <w:tc>
          <w:tcPr>
            <w:tcW w:w="1984" w:type="dxa"/>
          </w:tcPr>
          <w:p w:rsidR="0015441F" w:rsidRDefault="0023338B" w:rsidP="0015441F">
            <w:pPr>
              <w:pStyle w:val="NoSpacing"/>
              <w:jc w:val="right"/>
            </w:pPr>
            <w:r>
              <w:t>-</w:t>
            </w:r>
          </w:p>
        </w:tc>
        <w:tc>
          <w:tcPr>
            <w:tcW w:w="1701" w:type="dxa"/>
          </w:tcPr>
          <w:p w:rsidR="0015441F" w:rsidRDefault="0023338B" w:rsidP="0015441F">
            <w:pPr>
              <w:pStyle w:val="NoSpacing"/>
              <w:jc w:val="right"/>
            </w:pPr>
            <w:r>
              <w:t>6,589</w:t>
            </w:r>
          </w:p>
        </w:tc>
      </w:tr>
      <w:tr w:rsidR="0015441F" w:rsidTr="0015441F">
        <w:tc>
          <w:tcPr>
            <w:tcW w:w="2978" w:type="dxa"/>
          </w:tcPr>
          <w:p w:rsidR="0015441F" w:rsidRDefault="0015441F" w:rsidP="0015441F">
            <w:pPr>
              <w:pStyle w:val="NoSpacing"/>
            </w:pPr>
            <w:r>
              <w:t>Vehicles</w:t>
            </w:r>
          </w:p>
        </w:tc>
        <w:tc>
          <w:tcPr>
            <w:tcW w:w="1984" w:type="dxa"/>
          </w:tcPr>
          <w:p w:rsidR="0015441F" w:rsidRDefault="0023338B" w:rsidP="0015441F">
            <w:pPr>
              <w:pStyle w:val="NoSpacing"/>
              <w:jc w:val="right"/>
            </w:pPr>
            <w:r>
              <w:t>416</w:t>
            </w:r>
          </w:p>
        </w:tc>
        <w:tc>
          <w:tcPr>
            <w:tcW w:w="2127" w:type="dxa"/>
          </w:tcPr>
          <w:p w:rsidR="0015441F" w:rsidRDefault="0023338B" w:rsidP="0015441F">
            <w:pPr>
              <w:pStyle w:val="NoSpacing"/>
              <w:jc w:val="right"/>
            </w:pPr>
            <w:r>
              <w:t>-</w:t>
            </w:r>
          </w:p>
        </w:tc>
        <w:tc>
          <w:tcPr>
            <w:tcW w:w="1984" w:type="dxa"/>
          </w:tcPr>
          <w:p w:rsidR="0015441F" w:rsidRDefault="0023338B" w:rsidP="0015441F">
            <w:pPr>
              <w:pStyle w:val="NoSpacing"/>
              <w:jc w:val="right"/>
            </w:pPr>
            <w:r>
              <w:t>-</w:t>
            </w:r>
          </w:p>
        </w:tc>
        <w:tc>
          <w:tcPr>
            <w:tcW w:w="1701" w:type="dxa"/>
          </w:tcPr>
          <w:p w:rsidR="0015441F" w:rsidRDefault="0023338B" w:rsidP="0015441F">
            <w:pPr>
              <w:pStyle w:val="NoSpacing"/>
              <w:jc w:val="right"/>
            </w:pPr>
            <w:r>
              <w:t>416</w:t>
            </w:r>
          </w:p>
        </w:tc>
      </w:tr>
      <w:tr w:rsidR="0015441F" w:rsidTr="0015441F">
        <w:tc>
          <w:tcPr>
            <w:tcW w:w="2978" w:type="dxa"/>
          </w:tcPr>
          <w:p w:rsidR="0015441F" w:rsidRDefault="0015441F" w:rsidP="0015441F">
            <w:pPr>
              <w:pStyle w:val="NoSpacing"/>
            </w:pPr>
            <w:r>
              <w:t>Leasehold improvements</w:t>
            </w:r>
          </w:p>
        </w:tc>
        <w:tc>
          <w:tcPr>
            <w:tcW w:w="1984" w:type="dxa"/>
          </w:tcPr>
          <w:p w:rsidR="0015441F" w:rsidRDefault="0023338B" w:rsidP="0015441F">
            <w:pPr>
              <w:pStyle w:val="NoSpacing"/>
              <w:jc w:val="right"/>
            </w:pPr>
            <w:r>
              <w:t>360</w:t>
            </w:r>
          </w:p>
        </w:tc>
        <w:tc>
          <w:tcPr>
            <w:tcW w:w="2127" w:type="dxa"/>
          </w:tcPr>
          <w:p w:rsidR="0015441F" w:rsidRDefault="0023338B" w:rsidP="0015441F">
            <w:pPr>
              <w:pStyle w:val="NoSpacing"/>
              <w:jc w:val="right"/>
            </w:pPr>
            <w:r>
              <w:t>-</w:t>
            </w:r>
          </w:p>
        </w:tc>
        <w:tc>
          <w:tcPr>
            <w:tcW w:w="1984" w:type="dxa"/>
          </w:tcPr>
          <w:p w:rsidR="0015441F" w:rsidRDefault="0023338B" w:rsidP="0015441F">
            <w:pPr>
              <w:pStyle w:val="NoSpacing"/>
              <w:jc w:val="right"/>
            </w:pPr>
            <w:r>
              <w:t>-</w:t>
            </w:r>
          </w:p>
        </w:tc>
        <w:tc>
          <w:tcPr>
            <w:tcW w:w="1701" w:type="dxa"/>
          </w:tcPr>
          <w:p w:rsidR="0015441F" w:rsidRDefault="0023338B" w:rsidP="0015441F">
            <w:pPr>
              <w:pStyle w:val="NoSpacing"/>
              <w:jc w:val="right"/>
            </w:pPr>
            <w:r>
              <w:t>360</w:t>
            </w:r>
          </w:p>
        </w:tc>
      </w:tr>
      <w:tr w:rsidR="0015441F" w:rsidTr="0015441F">
        <w:tc>
          <w:tcPr>
            <w:tcW w:w="2978" w:type="dxa"/>
          </w:tcPr>
          <w:p w:rsidR="0015441F" w:rsidRDefault="0015441F" w:rsidP="0015441F">
            <w:pPr>
              <w:pStyle w:val="NoSpacing"/>
            </w:pPr>
            <w:r>
              <w:t>Land improvements</w:t>
            </w:r>
          </w:p>
        </w:tc>
        <w:tc>
          <w:tcPr>
            <w:tcW w:w="1984" w:type="dxa"/>
          </w:tcPr>
          <w:p w:rsidR="0015441F" w:rsidRDefault="0023338B" w:rsidP="0015441F">
            <w:pPr>
              <w:pStyle w:val="NoSpacing"/>
              <w:jc w:val="right"/>
            </w:pPr>
            <w:r>
              <w:t>2,418</w:t>
            </w:r>
          </w:p>
        </w:tc>
        <w:tc>
          <w:tcPr>
            <w:tcW w:w="2127" w:type="dxa"/>
          </w:tcPr>
          <w:p w:rsidR="0015441F" w:rsidRDefault="0023338B" w:rsidP="0015441F">
            <w:pPr>
              <w:pStyle w:val="NoSpacing"/>
              <w:jc w:val="right"/>
            </w:pPr>
            <w:r>
              <w:t>-</w:t>
            </w:r>
          </w:p>
        </w:tc>
        <w:tc>
          <w:tcPr>
            <w:tcW w:w="1984" w:type="dxa"/>
          </w:tcPr>
          <w:p w:rsidR="0015441F" w:rsidRDefault="0023338B" w:rsidP="0015441F">
            <w:pPr>
              <w:pStyle w:val="NoSpacing"/>
              <w:jc w:val="right"/>
            </w:pPr>
            <w:r>
              <w:t>-</w:t>
            </w:r>
          </w:p>
        </w:tc>
        <w:tc>
          <w:tcPr>
            <w:tcW w:w="1701" w:type="dxa"/>
          </w:tcPr>
          <w:p w:rsidR="0015441F" w:rsidRDefault="0023338B" w:rsidP="0015441F">
            <w:pPr>
              <w:pStyle w:val="NoSpacing"/>
              <w:jc w:val="right"/>
            </w:pPr>
            <w:r>
              <w:t>2,418</w:t>
            </w:r>
          </w:p>
        </w:tc>
      </w:tr>
      <w:tr w:rsidR="0015441F" w:rsidTr="0015441F">
        <w:tc>
          <w:tcPr>
            <w:tcW w:w="2978" w:type="dxa"/>
          </w:tcPr>
          <w:p w:rsidR="0015441F" w:rsidRDefault="0015441F" w:rsidP="0015441F">
            <w:pPr>
              <w:pStyle w:val="NoSpacing"/>
            </w:pPr>
            <w:r>
              <w:lastRenderedPageBreak/>
              <w:t>Total other assets at fair value</w:t>
            </w:r>
          </w:p>
        </w:tc>
        <w:tc>
          <w:tcPr>
            <w:tcW w:w="1984" w:type="dxa"/>
          </w:tcPr>
          <w:p w:rsidR="0015441F" w:rsidRDefault="0023338B" w:rsidP="0015441F">
            <w:pPr>
              <w:pStyle w:val="NoSpacing"/>
              <w:jc w:val="right"/>
            </w:pPr>
            <w:r>
              <w:t>9,783</w:t>
            </w:r>
          </w:p>
        </w:tc>
        <w:tc>
          <w:tcPr>
            <w:tcW w:w="2127" w:type="dxa"/>
          </w:tcPr>
          <w:p w:rsidR="0015441F" w:rsidRDefault="0023338B" w:rsidP="0015441F">
            <w:pPr>
              <w:pStyle w:val="NoSpacing"/>
              <w:jc w:val="right"/>
            </w:pPr>
            <w:r>
              <w:t>-</w:t>
            </w:r>
          </w:p>
        </w:tc>
        <w:tc>
          <w:tcPr>
            <w:tcW w:w="1984" w:type="dxa"/>
          </w:tcPr>
          <w:p w:rsidR="0015441F" w:rsidRDefault="0023338B" w:rsidP="0015441F">
            <w:pPr>
              <w:pStyle w:val="NoSpacing"/>
              <w:jc w:val="right"/>
            </w:pPr>
            <w:r>
              <w:t>-</w:t>
            </w:r>
          </w:p>
        </w:tc>
        <w:tc>
          <w:tcPr>
            <w:tcW w:w="1701" w:type="dxa"/>
          </w:tcPr>
          <w:p w:rsidR="0015441F" w:rsidRDefault="0023338B" w:rsidP="0015441F">
            <w:pPr>
              <w:pStyle w:val="NoSpacing"/>
              <w:jc w:val="right"/>
            </w:pPr>
            <w:r>
              <w:t>9,783</w:t>
            </w:r>
          </w:p>
        </w:tc>
      </w:tr>
    </w:tbl>
    <w:p w:rsidR="00EC50E6" w:rsidRDefault="00EC50E6" w:rsidP="00EC50E6">
      <w:pPr>
        <w:pStyle w:val="NoSpacing"/>
        <w:tabs>
          <w:tab w:val="left" w:pos="1159"/>
        </w:tabs>
      </w:pPr>
      <w:r>
        <w:tab/>
      </w:r>
    </w:p>
    <w:p w:rsidR="00EC50E6" w:rsidRDefault="00EC50E6" w:rsidP="00EC50E6">
      <w:pPr>
        <w:pStyle w:val="NoSpacing"/>
        <w:tabs>
          <w:tab w:val="left" w:pos="1159"/>
        </w:tabs>
      </w:pPr>
      <w:r>
        <w:t>&lt;page 86&gt;</w:t>
      </w:r>
    </w:p>
    <w:p w:rsidR="00EC50E6" w:rsidRDefault="00EC50E6" w:rsidP="00EC50E6">
      <w:pPr>
        <w:pStyle w:val="NoSpacing"/>
        <w:tabs>
          <w:tab w:val="left" w:pos="1159"/>
        </w:tabs>
      </w:pPr>
    </w:p>
    <w:p w:rsidR="00EC50E6" w:rsidRDefault="00EC50E6" w:rsidP="00EC50E6">
      <w:pPr>
        <w:pStyle w:val="Heading2"/>
      </w:pPr>
      <w:r>
        <w:t>7. Managing risks and uncertainties (continued)</w:t>
      </w:r>
    </w:p>
    <w:p w:rsidR="0028573F" w:rsidRDefault="0028573F" w:rsidP="0028573F">
      <w:pPr>
        <w:pStyle w:val="NoSpacing"/>
      </w:pPr>
    </w:p>
    <w:p w:rsidR="00EC50E6" w:rsidRDefault="00EC50E6" w:rsidP="00EC50E6">
      <w:pPr>
        <w:pStyle w:val="Heading3"/>
      </w:pPr>
      <w:r>
        <w:t>7.3 Fair value determination (continued)</w:t>
      </w:r>
    </w:p>
    <w:p w:rsidR="00EC50E6" w:rsidRDefault="00EC50E6" w:rsidP="00EC50E6">
      <w:pPr>
        <w:pStyle w:val="NoSpacing"/>
        <w:tabs>
          <w:tab w:val="left" w:pos="1159"/>
        </w:tabs>
      </w:pPr>
    </w:p>
    <w:p w:rsidR="00EC50E6" w:rsidRDefault="00EC50E6" w:rsidP="00EC50E6">
      <w:pPr>
        <w:pStyle w:val="Heading4"/>
      </w:pPr>
      <w:r>
        <w:t>Impairment</w:t>
      </w:r>
    </w:p>
    <w:p w:rsidR="00EC50E6" w:rsidRPr="00EC50E6" w:rsidRDefault="00EC50E6" w:rsidP="00EC50E6">
      <w:pPr>
        <w:autoSpaceDE w:val="0"/>
        <w:autoSpaceDN w:val="0"/>
        <w:adjustRightInd w:val="0"/>
        <w:spacing w:after="0" w:line="240" w:lineRule="auto"/>
        <w:rPr>
          <w:rFonts w:cstheme="minorHAnsi"/>
          <w:color w:val="231F20"/>
        </w:rPr>
      </w:pPr>
      <w:r w:rsidRPr="00EC50E6">
        <w:rPr>
          <w:rFonts w:cstheme="minorHAnsi"/>
          <w:color w:val="231F20"/>
        </w:rPr>
        <w:t>Non-financial assets, including items</w:t>
      </w:r>
      <w:r w:rsidR="0035564B">
        <w:rPr>
          <w:rFonts w:cstheme="minorHAnsi"/>
          <w:color w:val="231F20"/>
        </w:rPr>
        <w:t xml:space="preserve"> </w:t>
      </w:r>
      <w:r w:rsidRPr="00EC50E6">
        <w:rPr>
          <w:rFonts w:cstheme="minorHAnsi"/>
          <w:color w:val="231F20"/>
        </w:rPr>
        <w:t>of software, property, plant and</w:t>
      </w:r>
      <w:r w:rsidR="0035564B">
        <w:rPr>
          <w:rFonts w:cstheme="minorHAnsi"/>
          <w:color w:val="231F20"/>
        </w:rPr>
        <w:t xml:space="preserve"> </w:t>
      </w:r>
      <w:r w:rsidRPr="00EC50E6">
        <w:rPr>
          <w:rFonts w:cstheme="minorHAnsi"/>
          <w:color w:val="231F20"/>
        </w:rPr>
        <w:t>equipment, are tested for impairment</w:t>
      </w:r>
      <w:r w:rsidR="0035564B">
        <w:rPr>
          <w:rFonts w:cstheme="minorHAnsi"/>
          <w:color w:val="231F20"/>
        </w:rPr>
        <w:t xml:space="preserve"> </w:t>
      </w:r>
      <w:r w:rsidRPr="00EC50E6">
        <w:rPr>
          <w:rFonts w:cstheme="minorHAnsi"/>
          <w:color w:val="231F20"/>
        </w:rPr>
        <w:t>whenever there is an indication that the</w:t>
      </w:r>
      <w:r w:rsidR="0035564B">
        <w:rPr>
          <w:rFonts w:cstheme="minorHAnsi"/>
          <w:color w:val="231F20"/>
        </w:rPr>
        <w:t xml:space="preserve"> </w:t>
      </w:r>
      <w:r w:rsidRPr="00EC50E6">
        <w:rPr>
          <w:rFonts w:cstheme="minorHAnsi"/>
          <w:color w:val="231F20"/>
        </w:rPr>
        <w:t>asset may be impaired.</w:t>
      </w:r>
    </w:p>
    <w:p w:rsidR="00EC50E6" w:rsidRDefault="00EC50E6" w:rsidP="00EC50E6">
      <w:pPr>
        <w:autoSpaceDE w:val="0"/>
        <w:autoSpaceDN w:val="0"/>
        <w:adjustRightInd w:val="0"/>
        <w:spacing w:after="0" w:line="240" w:lineRule="auto"/>
        <w:rPr>
          <w:rFonts w:cstheme="minorHAnsi"/>
          <w:color w:val="231F20"/>
        </w:rPr>
      </w:pPr>
    </w:p>
    <w:p w:rsidR="00EC50E6" w:rsidRPr="00EC50E6" w:rsidRDefault="00EC50E6" w:rsidP="00EC50E6">
      <w:pPr>
        <w:autoSpaceDE w:val="0"/>
        <w:autoSpaceDN w:val="0"/>
        <w:adjustRightInd w:val="0"/>
        <w:spacing w:after="0" w:line="240" w:lineRule="auto"/>
        <w:rPr>
          <w:rFonts w:cstheme="minorHAnsi"/>
          <w:color w:val="231F20"/>
        </w:rPr>
      </w:pPr>
      <w:r w:rsidRPr="00EC50E6">
        <w:rPr>
          <w:rFonts w:cstheme="minorHAnsi"/>
          <w:color w:val="231F20"/>
        </w:rPr>
        <w:t>The assets concerned are tested as to</w:t>
      </w:r>
      <w:r w:rsidR="0035564B">
        <w:rPr>
          <w:rFonts w:cstheme="minorHAnsi"/>
          <w:color w:val="231F20"/>
        </w:rPr>
        <w:t xml:space="preserve"> </w:t>
      </w:r>
      <w:r w:rsidRPr="00EC50E6">
        <w:rPr>
          <w:rFonts w:cstheme="minorHAnsi"/>
          <w:color w:val="231F20"/>
        </w:rPr>
        <w:t>whether their carrying value exceeds</w:t>
      </w:r>
      <w:r w:rsidR="0035564B">
        <w:rPr>
          <w:rFonts w:cstheme="minorHAnsi"/>
          <w:color w:val="231F20"/>
        </w:rPr>
        <w:t xml:space="preserve"> </w:t>
      </w:r>
      <w:r w:rsidRPr="00EC50E6">
        <w:rPr>
          <w:rFonts w:cstheme="minorHAnsi"/>
          <w:color w:val="231F20"/>
        </w:rPr>
        <w:t>their recoverable amount. Where an</w:t>
      </w:r>
      <w:r w:rsidR="0035564B">
        <w:rPr>
          <w:rFonts w:cstheme="minorHAnsi"/>
          <w:color w:val="231F20"/>
        </w:rPr>
        <w:t xml:space="preserve"> </w:t>
      </w:r>
      <w:r w:rsidRPr="00EC50E6">
        <w:rPr>
          <w:rFonts w:cstheme="minorHAnsi"/>
          <w:color w:val="231F20"/>
        </w:rPr>
        <w:t>asset’s carrying value exceeds its</w:t>
      </w:r>
      <w:r w:rsidR="0035564B">
        <w:rPr>
          <w:rFonts w:cstheme="minorHAnsi"/>
          <w:color w:val="231F20"/>
        </w:rPr>
        <w:t xml:space="preserve"> </w:t>
      </w:r>
      <w:r w:rsidRPr="00EC50E6">
        <w:rPr>
          <w:rFonts w:cstheme="minorHAnsi"/>
          <w:color w:val="231F20"/>
        </w:rPr>
        <w:t>recoverable amount, the difference</w:t>
      </w:r>
      <w:r w:rsidR="0035564B">
        <w:rPr>
          <w:rFonts w:cstheme="minorHAnsi"/>
          <w:color w:val="231F20"/>
        </w:rPr>
        <w:t xml:space="preserve"> </w:t>
      </w:r>
      <w:r w:rsidRPr="00EC50E6">
        <w:rPr>
          <w:rFonts w:cstheme="minorHAnsi"/>
          <w:color w:val="231F20"/>
        </w:rPr>
        <w:t>is written off as an ‘other economic</w:t>
      </w:r>
      <w:r w:rsidR="0035564B">
        <w:rPr>
          <w:rFonts w:cstheme="minorHAnsi"/>
          <w:color w:val="231F20"/>
        </w:rPr>
        <w:t xml:space="preserve"> </w:t>
      </w:r>
      <w:r w:rsidRPr="00EC50E6">
        <w:rPr>
          <w:rFonts w:cstheme="minorHAnsi"/>
          <w:color w:val="231F20"/>
        </w:rPr>
        <w:t>flow’, except to the extent that it can be</w:t>
      </w:r>
      <w:r w:rsidR="0035564B">
        <w:rPr>
          <w:rFonts w:cstheme="minorHAnsi"/>
          <w:color w:val="231F20"/>
        </w:rPr>
        <w:t xml:space="preserve"> </w:t>
      </w:r>
      <w:r w:rsidRPr="00EC50E6">
        <w:rPr>
          <w:rFonts w:cstheme="minorHAnsi"/>
          <w:color w:val="231F20"/>
        </w:rPr>
        <w:t>debited to an asset revaluation surplus</w:t>
      </w:r>
      <w:r w:rsidR="0035564B">
        <w:rPr>
          <w:rFonts w:cstheme="minorHAnsi"/>
          <w:color w:val="231F20"/>
        </w:rPr>
        <w:t xml:space="preserve"> </w:t>
      </w:r>
      <w:r w:rsidRPr="00EC50E6">
        <w:rPr>
          <w:rFonts w:cstheme="minorHAnsi"/>
          <w:color w:val="231F20"/>
        </w:rPr>
        <w:t>applicable to that class of asset.</w:t>
      </w:r>
    </w:p>
    <w:p w:rsidR="00EC50E6" w:rsidRDefault="00EC50E6" w:rsidP="00EC50E6">
      <w:pPr>
        <w:autoSpaceDE w:val="0"/>
        <w:autoSpaceDN w:val="0"/>
        <w:adjustRightInd w:val="0"/>
        <w:spacing w:after="0" w:line="240" w:lineRule="auto"/>
        <w:rPr>
          <w:rFonts w:cstheme="minorHAnsi"/>
          <w:color w:val="231F20"/>
        </w:rPr>
      </w:pPr>
    </w:p>
    <w:p w:rsidR="00EC50E6" w:rsidRPr="00EC50E6" w:rsidRDefault="00EC50E6" w:rsidP="00EC50E6">
      <w:pPr>
        <w:autoSpaceDE w:val="0"/>
        <w:autoSpaceDN w:val="0"/>
        <w:adjustRightInd w:val="0"/>
        <w:spacing w:after="0" w:line="240" w:lineRule="auto"/>
        <w:rPr>
          <w:rFonts w:cstheme="minorHAnsi"/>
          <w:color w:val="231F20"/>
        </w:rPr>
      </w:pPr>
      <w:r w:rsidRPr="00EC50E6">
        <w:rPr>
          <w:rFonts w:cstheme="minorHAnsi"/>
          <w:color w:val="231F20"/>
        </w:rPr>
        <w:t>If there is an indication that there has</w:t>
      </w:r>
      <w:r w:rsidR="0035564B">
        <w:rPr>
          <w:rFonts w:cstheme="minorHAnsi"/>
          <w:color w:val="231F20"/>
        </w:rPr>
        <w:t xml:space="preserve"> </w:t>
      </w:r>
      <w:r w:rsidRPr="00EC50E6">
        <w:rPr>
          <w:rFonts w:cstheme="minorHAnsi"/>
          <w:color w:val="231F20"/>
        </w:rPr>
        <w:t>been a reversal in impairment, the</w:t>
      </w:r>
      <w:r w:rsidR="0035564B">
        <w:rPr>
          <w:rFonts w:cstheme="minorHAnsi"/>
          <w:color w:val="231F20"/>
        </w:rPr>
        <w:t xml:space="preserve"> </w:t>
      </w:r>
      <w:r w:rsidRPr="00EC50E6">
        <w:rPr>
          <w:rFonts w:cstheme="minorHAnsi"/>
          <w:color w:val="231F20"/>
        </w:rPr>
        <w:t>carrying amount shall be increased</w:t>
      </w:r>
      <w:r w:rsidR="0035564B">
        <w:rPr>
          <w:rFonts w:cstheme="minorHAnsi"/>
          <w:color w:val="231F20"/>
        </w:rPr>
        <w:t xml:space="preserve"> </w:t>
      </w:r>
      <w:r w:rsidRPr="00EC50E6">
        <w:rPr>
          <w:rFonts w:cstheme="minorHAnsi"/>
          <w:color w:val="231F20"/>
        </w:rPr>
        <w:t>to its recoverable amount. However</w:t>
      </w:r>
      <w:r w:rsidR="0035564B">
        <w:rPr>
          <w:rFonts w:cstheme="minorHAnsi"/>
          <w:color w:val="231F20"/>
        </w:rPr>
        <w:t xml:space="preserve"> </w:t>
      </w:r>
      <w:r w:rsidRPr="00EC50E6">
        <w:rPr>
          <w:rFonts w:cstheme="minorHAnsi"/>
          <w:color w:val="231F20"/>
        </w:rPr>
        <w:t>this reversal should not increase the</w:t>
      </w:r>
      <w:r w:rsidR="0035564B">
        <w:rPr>
          <w:rFonts w:cstheme="minorHAnsi"/>
          <w:color w:val="231F20"/>
        </w:rPr>
        <w:t xml:space="preserve"> </w:t>
      </w:r>
      <w:r w:rsidRPr="00EC50E6">
        <w:rPr>
          <w:rFonts w:cstheme="minorHAnsi"/>
          <w:color w:val="231F20"/>
        </w:rPr>
        <w:t>asset’s carrying amount above what</w:t>
      </w:r>
      <w:r w:rsidR="0035564B">
        <w:rPr>
          <w:rFonts w:cstheme="minorHAnsi"/>
          <w:color w:val="231F20"/>
        </w:rPr>
        <w:t xml:space="preserve"> </w:t>
      </w:r>
      <w:r w:rsidRPr="00EC50E6">
        <w:rPr>
          <w:rFonts w:cstheme="minorHAnsi"/>
          <w:color w:val="231F20"/>
        </w:rPr>
        <w:t>would have been determined, net</w:t>
      </w:r>
      <w:r w:rsidR="0035564B">
        <w:rPr>
          <w:rFonts w:cstheme="minorHAnsi"/>
          <w:color w:val="231F20"/>
        </w:rPr>
        <w:t xml:space="preserve"> </w:t>
      </w:r>
      <w:r w:rsidRPr="00EC50E6">
        <w:rPr>
          <w:rFonts w:cstheme="minorHAnsi"/>
          <w:color w:val="231F20"/>
        </w:rPr>
        <w:t>of depreciation or amortisation, if no</w:t>
      </w:r>
      <w:r w:rsidR="0035564B">
        <w:rPr>
          <w:rFonts w:cstheme="minorHAnsi"/>
          <w:color w:val="231F20"/>
        </w:rPr>
        <w:t xml:space="preserve"> </w:t>
      </w:r>
      <w:r w:rsidRPr="00EC50E6">
        <w:rPr>
          <w:rFonts w:cstheme="minorHAnsi"/>
          <w:color w:val="231F20"/>
        </w:rPr>
        <w:t>impairment loss had been recognised in</w:t>
      </w:r>
      <w:r w:rsidR="0035564B">
        <w:rPr>
          <w:rFonts w:cstheme="minorHAnsi"/>
          <w:color w:val="231F20"/>
        </w:rPr>
        <w:t xml:space="preserve"> </w:t>
      </w:r>
      <w:r w:rsidRPr="00EC50E6">
        <w:rPr>
          <w:rFonts w:cstheme="minorHAnsi"/>
          <w:color w:val="231F20"/>
        </w:rPr>
        <w:t>prior years.</w:t>
      </w:r>
    </w:p>
    <w:p w:rsidR="00EC50E6" w:rsidRDefault="00EC50E6" w:rsidP="00EC50E6">
      <w:pPr>
        <w:autoSpaceDE w:val="0"/>
        <w:autoSpaceDN w:val="0"/>
        <w:adjustRightInd w:val="0"/>
        <w:spacing w:after="0" w:line="240" w:lineRule="auto"/>
        <w:rPr>
          <w:rFonts w:cstheme="minorHAnsi"/>
          <w:color w:val="231F20"/>
        </w:rPr>
      </w:pPr>
    </w:p>
    <w:p w:rsidR="00EC50E6" w:rsidRPr="00EC50E6" w:rsidRDefault="00EC50E6" w:rsidP="0035564B">
      <w:pPr>
        <w:autoSpaceDE w:val="0"/>
        <w:autoSpaceDN w:val="0"/>
        <w:adjustRightInd w:val="0"/>
        <w:spacing w:after="0" w:line="240" w:lineRule="auto"/>
        <w:rPr>
          <w:rFonts w:cstheme="minorHAnsi"/>
        </w:rPr>
      </w:pPr>
      <w:r w:rsidRPr="00EC50E6">
        <w:rPr>
          <w:rFonts w:cstheme="minorHAnsi"/>
          <w:color w:val="231F20"/>
        </w:rPr>
        <w:t>The recoverable amount for most assets</w:t>
      </w:r>
      <w:r w:rsidR="0035564B">
        <w:rPr>
          <w:rFonts w:cstheme="minorHAnsi"/>
          <w:color w:val="231F20"/>
        </w:rPr>
        <w:t xml:space="preserve"> </w:t>
      </w:r>
      <w:r w:rsidRPr="00EC50E6">
        <w:rPr>
          <w:rFonts w:cstheme="minorHAnsi"/>
          <w:color w:val="231F20"/>
        </w:rPr>
        <w:t>is measured at the higher of depreciated</w:t>
      </w:r>
      <w:r w:rsidR="0035564B">
        <w:rPr>
          <w:rFonts w:cstheme="minorHAnsi"/>
          <w:color w:val="231F20"/>
        </w:rPr>
        <w:t xml:space="preserve"> </w:t>
      </w:r>
      <w:r w:rsidRPr="00EC50E6">
        <w:rPr>
          <w:rFonts w:cstheme="minorHAnsi"/>
          <w:color w:val="231F20"/>
        </w:rPr>
        <w:t>replacement cost and fair value less</w:t>
      </w:r>
      <w:r w:rsidR="0035564B">
        <w:rPr>
          <w:rFonts w:cstheme="minorHAnsi"/>
          <w:color w:val="231F20"/>
        </w:rPr>
        <w:t xml:space="preserve"> </w:t>
      </w:r>
      <w:r w:rsidRPr="00EC50E6">
        <w:rPr>
          <w:rFonts w:cstheme="minorHAnsi"/>
          <w:color w:val="231F20"/>
        </w:rPr>
        <w:t>costs to sell. Recoverable amount for</w:t>
      </w:r>
      <w:r w:rsidR="0035564B">
        <w:rPr>
          <w:rFonts w:cstheme="minorHAnsi"/>
          <w:color w:val="231F20"/>
        </w:rPr>
        <w:t xml:space="preserve"> </w:t>
      </w:r>
      <w:r w:rsidRPr="00EC50E6">
        <w:rPr>
          <w:rFonts w:cstheme="minorHAnsi"/>
          <w:color w:val="231F20"/>
        </w:rPr>
        <w:t>assets held primarily to generate net</w:t>
      </w:r>
      <w:r w:rsidR="0035564B">
        <w:rPr>
          <w:rFonts w:cstheme="minorHAnsi"/>
          <w:color w:val="231F20"/>
        </w:rPr>
        <w:t xml:space="preserve"> </w:t>
      </w:r>
      <w:r w:rsidRPr="00EC50E6">
        <w:rPr>
          <w:rFonts w:cstheme="minorHAnsi"/>
          <w:color w:val="231F20"/>
        </w:rPr>
        <w:t>cash inflows is measured at the higher</w:t>
      </w:r>
      <w:r w:rsidR="0035564B">
        <w:rPr>
          <w:rFonts w:cstheme="minorHAnsi"/>
          <w:color w:val="231F20"/>
        </w:rPr>
        <w:t xml:space="preserve"> </w:t>
      </w:r>
      <w:r w:rsidRPr="00EC50E6">
        <w:rPr>
          <w:rFonts w:cstheme="minorHAnsi"/>
          <w:color w:val="231F20"/>
        </w:rPr>
        <w:t>of the present value of future cash flows</w:t>
      </w:r>
      <w:r w:rsidR="0035564B">
        <w:rPr>
          <w:rFonts w:cstheme="minorHAnsi"/>
          <w:color w:val="231F20"/>
        </w:rPr>
        <w:t xml:space="preserve"> </w:t>
      </w:r>
      <w:r w:rsidRPr="00EC50E6">
        <w:rPr>
          <w:rFonts w:cstheme="minorHAnsi"/>
          <w:color w:val="231F20"/>
        </w:rPr>
        <w:t>expected to be obtained from the asset</w:t>
      </w:r>
      <w:r w:rsidR="0035564B">
        <w:rPr>
          <w:rFonts w:cstheme="minorHAnsi"/>
          <w:color w:val="231F20"/>
        </w:rPr>
        <w:t xml:space="preserve"> </w:t>
      </w:r>
      <w:r w:rsidRPr="00EC50E6">
        <w:rPr>
          <w:rFonts w:cstheme="minorHAnsi"/>
          <w:color w:val="231F20"/>
        </w:rPr>
        <w:t>and fair value less costs to sell.</w:t>
      </w:r>
    </w:p>
    <w:p w:rsidR="00EC50E6" w:rsidRDefault="00EC50E6" w:rsidP="00EC50E6">
      <w:pPr>
        <w:pStyle w:val="NoSpacing"/>
      </w:pPr>
    </w:p>
    <w:p w:rsidR="00EC50E6" w:rsidRDefault="00EC50E6" w:rsidP="00EC50E6">
      <w:pPr>
        <w:pStyle w:val="Heading4"/>
      </w:pPr>
      <w:r>
        <w:t>(b) Valuations of property, plant and equipment</w:t>
      </w:r>
    </w:p>
    <w:p w:rsidR="00EC50E6" w:rsidRPr="00EC50E6" w:rsidRDefault="00EC50E6" w:rsidP="0035564B">
      <w:pPr>
        <w:autoSpaceDE w:val="0"/>
        <w:autoSpaceDN w:val="0"/>
        <w:adjustRightInd w:val="0"/>
        <w:spacing w:after="0" w:line="240" w:lineRule="auto"/>
        <w:rPr>
          <w:rFonts w:cstheme="minorHAnsi"/>
        </w:rPr>
      </w:pPr>
      <w:r w:rsidRPr="00EC50E6">
        <w:rPr>
          <w:rFonts w:cstheme="minorHAnsi"/>
          <w:color w:val="231F20"/>
        </w:rPr>
        <w:t>Non-financial physical assets are</w:t>
      </w:r>
      <w:r w:rsidR="0035564B">
        <w:rPr>
          <w:rFonts w:cstheme="minorHAnsi"/>
          <w:color w:val="231F20"/>
        </w:rPr>
        <w:t xml:space="preserve"> </w:t>
      </w:r>
      <w:r w:rsidRPr="00EC50E6">
        <w:rPr>
          <w:rFonts w:cstheme="minorHAnsi"/>
          <w:color w:val="231F20"/>
        </w:rPr>
        <w:t>measured at fair value on a cyclical</w:t>
      </w:r>
      <w:r w:rsidR="0035564B">
        <w:rPr>
          <w:rFonts w:cstheme="minorHAnsi"/>
          <w:color w:val="231F20"/>
        </w:rPr>
        <w:t xml:space="preserve"> </w:t>
      </w:r>
      <w:r w:rsidRPr="00EC50E6">
        <w:rPr>
          <w:rFonts w:cstheme="minorHAnsi"/>
          <w:color w:val="231F20"/>
        </w:rPr>
        <w:t>basis, in accordance with Financial</w:t>
      </w:r>
      <w:r w:rsidR="0035564B">
        <w:rPr>
          <w:rFonts w:cstheme="minorHAnsi"/>
          <w:color w:val="231F20"/>
        </w:rPr>
        <w:t xml:space="preserve"> </w:t>
      </w:r>
      <w:r w:rsidRPr="00EC50E6">
        <w:rPr>
          <w:rFonts w:cstheme="minorHAnsi"/>
          <w:color w:val="231F20"/>
        </w:rPr>
        <w:t>Reporting Direction (FRD) 103H Non</w:t>
      </w:r>
      <w:r w:rsidR="0035564B">
        <w:rPr>
          <w:rFonts w:cstheme="minorHAnsi"/>
          <w:color w:val="231F20"/>
        </w:rPr>
        <w:t>-</w:t>
      </w:r>
      <w:r w:rsidRPr="00EC50E6">
        <w:rPr>
          <w:rFonts w:cstheme="minorHAnsi"/>
          <w:color w:val="231F20"/>
        </w:rPr>
        <w:t>financial</w:t>
      </w:r>
      <w:r w:rsidR="0035564B">
        <w:rPr>
          <w:rFonts w:cstheme="minorHAnsi"/>
          <w:color w:val="231F20"/>
        </w:rPr>
        <w:t xml:space="preserve"> </w:t>
      </w:r>
      <w:r w:rsidRPr="00EC50E6">
        <w:rPr>
          <w:rFonts w:cstheme="minorHAnsi"/>
          <w:color w:val="231F20"/>
        </w:rPr>
        <w:t>Physical Assets issued by the</w:t>
      </w:r>
      <w:r w:rsidR="0035564B">
        <w:rPr>
          <w:rFonts w:cstheme="minorHAnsi"/>
          <w:color w:val="231F20"/>
        </w:rPr>
        <w:t xml:space="preserve"> </w:t>
      </w:r>
      <w:r w:rsidRPr="00EC50E6">
        <w:rPr>
          <w:rFonts w:cstheme="minorHAnsi"/>
          <w:color w:val="231F20"/>
        </w:rPr>
        <w:t>Assistant Treasurer. A full revaluation</w:t>
      </w:r>
      <w:r w:rsidR="0035564B">
        <w:rPr>
          <w:rFonts w:cstheme="minorHAnsi"/>
          <w:color w:val="231F20"/>
        </w:rPr>
        <w:t xml:space="preserve"> </w:t>
      </w:r>
      <w:r w:rsidRPr="00EC50E6">
        <w:rPr>
          <w:rFonts w:cstheme="minorHAnsi"/>
          <w:color w:val="231F20"/>
        </w:rPr>
        <w:t>of education assets normally occurs</w:t>
      </w:r>
      <w:r w:rsidR="0035564B">
        <w:rPr>
          <w:rFonts w:cstheme="minorHAnsi"/>
          <w:color w:val="231F20"/>
        </w:rPr>
        <w:t xml:space="preserve"> </w:t>
      </w:r>
      <w:r w:rsidRPr="00EC50E6">
        <w:rPr>
          <w:rFonts w:cstheme="minorHAnsi"/>
          <w:color w:val="231F20"/>
        </w:rPr>
        <w:t>every five years, but may occur more</w:t>
      </w:r>
      <w:r w:rsidR="0035564B">
        <w:rPr>
          <w:rFonts w:cstheme="minorHAnsi"/>
          <w:color w:val="231F20"/>
        </w:rPr>
        <w:t xml:space="preserve"> </w:t>
      </w:r>
      <w:r w:rsidRPr="00EC50E6">
        <w:rPr>
          <w:rFonts w:cstheme="minorHAnsi"/>
          <w:color w:val="231F20"/>
        </w:rPr>
        <w:t>frequently if fair value assessments</w:t>
      </w:r>
      <w:r w:rsidR="0035564B">
        <w:rPr>
          <w:rFonts w:cstheme="minorHAnsi"/>
          <w:color w:val="231F20"/>
        </w:rPr>
        <w:t xml:space="preserve"> </w:t>
      </w:r>
      <w:r w:rsidRPr="00EC50E6">
        <w:rPr>
          <w:rFonts w:cstheme="minorHAnsi"/>
          <w:color w:val="231F20"/>
        </w:rPr>
        <w:t>indicate material changes in values.</w:t>
      </w:r>
      <w:r w:rsidR="0035564B">
        <w:rPr>
          <w:rFonts w:cstheme="minorHAnsi"/>
          <w:color w:val="231F20"/>
        </w:rPr>
        <w:t xml:space="preserve"> </w:t>
      </w:r>
      <w:r w:rsidRPr="00EC50E6">
        <w:rPr>
          <w:rFonts w:cstheme="minorHAnsi"/>
          <w:color w:val="231F20"/>
        </w:rPr>
        <w:t>Independent valuers are generally</w:t>
      </w:r>
      <w:r w:rsidR="0035564B">
        <w:rPr>
          <w:rFonts w:cstheme="minorHAnsi"/>
          <w:color w:val="231F20"/>
        </w:rPr>
        <w:t xml:space="preserve"> </w:t>
      </w:r>
      <w:r w:rsidRPr="00EC50E6">
        <w:rPr>
          <w:rFonts w:cstheme="minorHAnsi"/>
          <w:color w:val="231F20"/>
        </w:rPr>
        <w:t>used to conduct these scheduled</w:t>
      </w:r>
      <w:r w:rsidR="0035564B">
        <w:rPr>
          <w:rFonts w:cstheme="minorHAnsi"/>
          <w:color w:val="231F20"/>
        </w:rPr>
        <w:t xml:space="preserve"> </w:t>
      </w:r>
      <w:r w:rsidRPr="00EC50E6">
        <w:rPr>
          <w:rFonts w:cstheme="minorHAnsi"/>
          <w:color w:val="231F20"/>
        </w:rPr>
        <w:t>revaluations with interim revaluations</w:t>
      </w:r>
      <w:r w:rsidR="0035564B">
        <w:rPr>
          <w:rFonts w:cstheme="minorHAnsi"/>
          <w:color w:val="231F20"/>
        </w:rPr>
        <w:t xml:space="preserve"> </w:t>
      </w:r>
      <w:r w:rsidRPr="00EC50E6">
        <w:rPr>
          <w:rFonts w:cstheme="minorHAnsi"/>
          <w:color w:val="231F20"/>
        </w:rPr>
        <w:t>determined in accordance with the</w:t>
      </w:r>
      <w:r w:rsidR="0035564B">
        <w:rPr>
          <w:rFonts w:cstheme="minorHAnsi"/>
          <w:color w:val="231F20"/>
        </w:rPr>
        <w:t xml:space="preserve"> </w:t>
      </w:r>
      <w:r w:rsidRPr="00EC50E6">
        <w:rPr>
          <w:rFonts w:cstheme="minorHAnsi"/>
          <w:color w:val="231F20"/>
        </w:rPr>
        <w:t>requirements of the FRD. Revaluation</w:t>
      </w:r>
      <w:r w:rsidR="0035564B">
        <w:rPr>
          <w:rFonts w:cstheme="minorHAnsi"/>
          <w:color w:val="231F20"/>
        </w:rPr>
        <w:t xml:space="preserve"> </w:t>
      </w:r>
      <w:r w:rsidRPr="00EC50E6">
        <w:rPr>
          <w:rFonts w:cstheme="minorHAnsi"/>
          <w:color w:val="231F20"/>
        </w:rPr>
        <w:t>increases and decreases arise from</w:t>
      </w:r>
      <w:r w:rsidR="0035564B">
        <w:rPr>
          <w:rFonts w:cstheme="minorHAnsi"/>
          <w:color w:val="231F20"/>
        </w:rPr>
        <w:t xml:space="preserve"> </w:t>
      </w:r>
      <w:r w:rsidRPr="00EC50E6">
        <w:rPr>
          <w:rFonts w:cstheme="minorHAnsi"/>
          <w:color w:val="231F20"/>
        </w:rPr>
        <w:t>differences between an asset’s carrying</w:t>
      </w:r>
      <w:r w:rsidR="0035564B">
        <w:rPr>
          <w:rFonts w:cstheme="minorHAnsi"/>
          <w:color w:val="231F20"/>
        </w:rPr>
        <w:t xml:space="preserve"> </w:t>
      </w:r>
      <w:r w:rsidRPr="00EC50E6">
        <w:rPr>
          <w:rFonts w:cstheme="minorHAnsi"/>
          <w:color w:val="231F20"/>
        </w:rPr>
        <w:t>value and the fair value. Consistent with</w:t>
      </w:r>
      <w:r w:rsidR="0035564B">
        <w:rPr>
          <w:rFonts w:cstheme="minorHAnsi"/>
          <w:color w:val="231F20"/>
        </w:rPr>
        <w:t xml:space="preserve"> </w:t>
      </w:r>
      <w:r w:rsidRPr="00EC50E6">
        <w:rPr>
          <w:rFonts w:cstheme="minorHAnsi"/>
          <w:color w:val="231F20"/>
        </w:rPr>
        <w:t>all government education assets, an</w:t>
      </w:r>
      <w:r w:rsidR="0035564B">
        <w:rPr>
          <w:rFonts w:cstheme="minorHAnsi"/>
          <w:color w:val="231F20"/>
        </w:rPr>
        <w:t xml:space="preserve"> </w:t>
      </w:r>
      <w:r w:rsidRPr="00EC50E6">
        <w:rPr>
          <w:rFonts w:cstheme="minorHAnsi"/>
          <w:color w:val="231F20"/>
        </w:rPr>
        <w:t>independent valuation of all land and</w:t>
      </w:r>
      <w:r w:rsidR="0035564B">
        <w:rPr>
          <w:rFonts w:cstheme="minorHAnsi"/>
          <w:color w:val="231F20"/>
        </w:rPr>
        <w:t xml:space="preserve"> </w:t>
      </w:r>
      <w:r w:rsidRPr="00EC50E6">
        <w:rPr>
          <w:rFonts w:cstheme="minorHAnsi"/>
          <w:color w:val="231F20"/>
        </w:rPr>
        <w:t>buildings was performed by the Valuer-General Victoria with an effective date</w:t>
      </w:r>
      <w:r w:rsidR="0035564B">
        <w:rPr>
          <w:rFonts w:cstheme="minorHAnsi"/>
          <w:color w:val="231F20"/>
        </w:rPr>
        <w:t xml:space="preserve"> </w:t>
      </w:r>
      <w:r w:rsidRPr="00EC50E6">
        <w:rPr>
          <w:rFonts w:cstheme="minorHAnsi"/>
          <w:color w:val="231F20"/>
        </w:rPr>
        <w:t>of 31 December 2017.</w:t>
      </w:r>
    </w:p>
    <w:p w:rsidR="00EC50E6" w:rsidRDefault="00EC50E6" w:rsidP="00EC50E6">
      <w:pPr>
        <w:pStyle w:val="NoSpacing"/>
      </w:pPr>
    </w:p>
    <w:p w:rsidR="00EC50E6" w:rsidRDefault="00EC50E6" w:rsidP="00EC50E6">
      <w:pPr>
        <w:pStyle w:val="NoSpacing"/>
      </w:pPr>
      <w:r w:rsidRPr="0035564B">
        <w:rPr>
          <w:rStyle w:val="Heading4Char"/>
        </w:rPr>
        <w:t>Non-specialised land and non-specialised buildings</w:t>
      </w:r>
      <w:r>
        <w:t xml:space="preserve"> are valued</w:t>
      </w:r>
      <w:r w:rsidR="0035564B">
        <w:t xml:space="preserve"> </w:t>
      </w:r>
      <w:r>
        <w:t>using the market approach. Under</w:t>
      </w:r>
      <w:r w:rsidR="0035564B">
        <w:t xml:space="preserve"> </w:t>
      </w:r>
      <w:r>
        <w:t>this valuation method, the assets are</w:t>
      </w:r>
      <w:r w:rsidR="0035564B">
        <w:t xml:space="preserve"> </w:t>
      </w:r>
      <w:r>
        <w:t>compared to recent comparable sale</w:t>
      </w:r>
      <w:r w:rsidR="0035564B">
        <w:t xml:space="preserve">s </w:t>
      </w:r>
      <w:r>
        <w:t>or sales of comparable assets which</w:t>
      </w:r>
      <w:r w:rsidR="0035564B">
        <w:t xml:space="preserve"> </w:t>
      </w:r>
      <w:r>
        <w:t>are considered to have nominal or no</w:t>
      </w:r>
      <w:r w:rsidR="0035564B">
        <w:t xml:space="preserve"> </w:t>
      </w:r>
      <w:r>
        <w:t>added improvement value.</w:t>
      </w:r>
    </w:p>
    <w:p w:rsidR="0035564B" w:rsidRDefault="0035564B" w:rsidP="00EC50E6">
      <w:pPr>
        <w:pStyle w:val="NoSpacing"/>
      </w:pPr>
    </w:p>
    <w:p w:rsidR="00EC50E6" w:rsidRDefault="00EC50E6" w:rsidP="00EC50E6">
      <w:pPr>
        <w:pStyle w:val="NoSpacing"/>
      </w:pPr>
      <w:r>
        <w:t>For non-specialised land and nonspecialised</w:t>
      </w:r>
      <w:r w:rsidR="0035564B">
        <w:t xml:space="preserve"> </w:t>
      </w:r>
      <w:r>
        <w:t>buildings, an independent</w:t>
      </w:r>
      <w:r w:rsidR="0035564B">
        <w:t xml:space="preserve"> </w:t>
      </w:r>
      <w:r>
        <w:t>valuation was performed by the Valuer-</w:t>
      </w:r>
      <w:r w:rsidR="0028573F">
        <w:t>G</w:t>
      </w:r>
      <w:r>
        <w:t>eneral Victoria with an effective date</w:t>
      </w:r>
      <w:r w:rsidR="0035564B">
        <w:t xml:space="preserve"> </w:t>
      </w:r>
      <w:r>
        <w:t>of 31 December 2017. Valuation of the</w:t>
      </w:r>
      <w:r w:rsidR="0035564B">
        <w:t xml:space="preserve"> </w:t>
      </w:r>
      <w:r>
        <w:t>assets was determined by analysing</w:t>
      </w:r>
      <w:r w:rsidR="0035564B">
        <w:t xml:space="preserve"> </w:t>
      </w:r>
      <w:r>
        <w:t>comparable sales and allowing for</w:t>
      </w:r>
      <w:r w:rsidR="0035564B">
        <w:t xml:space="preserve"> </w:t>
      </w:r>
      <w:r>
        <w:t>share, size, topography, location and</w:t>
      </w:r>
      <w:r w:rsidR="0035564B">
        <w:t xml:space="preserve"> </w:t>
      </w:r>
      <w:r>
        <w:t>other relevant factors specific to the</w:t>
      </w:r>
      <w:r w:rsidR="0035564B">
        <w:t xml:space="preserve"> </w:t>
      </w:r>
      <w:r>
        <w:t>asset being valued. From the sales</w:t>
      </w:r>
      <w:r w:rsidR="0035564B">
        <w:t xml:space="preserve"> </w:t>
      </w:r>
      <w:r>
        <w:t>analysed, an appropriate rate per</w:t>
      </w:r>
      <w:r w:rsidR="0035564B">
        <w:t xml:space="preserve"> </w:t>
      </w:r>
      <w:r>
        <w:t>square metre has been applied to the</w:t>
      </w:r>
      <w:r w:rsidR="0035564B">
        <w:t xml:space="preserve"> </w:t>
      </w:r>
      <w:r>
        <w:t>subject asset.</w:t>
      </w:r>
    </w:p>
    <w:p w:rsidR="0035564B" w:rsidRDefault="0035564B" w:rsidP="00EC50E6">
      <w:pPr>
        <w:pStyle w:val="NoSpacing"/>
      </w:pPr>
    </w:p>
    <w:p w:rsidR="00EC50E6" w:rsidRDefault="00EC50E6" w:rsidP="00EC50E6">
      <w:pPr>
        <w:pStyle w:val="NoSpacing"/>
      </w:pPr>
      <w:r>
        <w:lastRenderedPageBreak/>
        <w:t>To the extent that non-specialised land,</w:t>
      </w:r>
      <w:r w:rsidR="0035564B">
        <w:t xml:space="preserve"> </w:t>
      </w:r>
      <w:r>
        <w:t>non-specialised buildings and artworks</w:t>
      </w:r>
      <w:r w:rsidR="0035564B">
        <w:t xml:space="preserve"> </w:t>
      </w:r>
      <w:r>
        <w:t>do not contain significant, unobservable</w:t>
      </w:r>
      <w:r w:rsidR="0035564B">
        <w:t xml:space="preserve"> </w:t>
      </w:r>
      <w:r>
        <w:t>adjustments, these assets are classified</w:t>
      </w:r>
      <w:r w:rsidR="0035564B">
        <w:t xml:space="preserve"> </w:t>
      </w:r>
      <w:r>
        <w:t>as Level 2 under the market approach.</w:t>
      </w:r>
    </w:p>
    <w:p w:rsidR="0035564B" w:rsidRDefault="0035564B" w:rsidP="0035564B">
      <w:pPr>
        <w:pStyle w:val="NoSpacing"/>
      </w:pPr>
    </w:p>
    <w:p w:rsidR="0035564B" w:rsidRDefault="0035564B" w:rsidP="0035564B">
      <w:pPr>
        <w:pStyle w:val="NoSpacing"/>
      </w:pPr>
      <w:r w:rsidRPr="0035564B">
        <w:rPr>
          <w:rStyle w:val="Heading4Char"/>
        </w:rPr>
        <w:t>Specialised land and specialised buildings</w:t>
      </w:r>
      <w:r>
        <w:t xml:space="preserve"> the market approach is also used for specialised land, although is adjusted for the Community Service Obligation (CSO) to reflect the specialised nature of the land being valued.</w:t>
      </w:r>
    </w:p>
    <w:p w:rsidR="0035564B" w:rsidRDefault="0035564B" w:rsidP="0035564B">
      <w:pPr>
        <w:pStyle w:val="NoSpacing"/>
      </w:pPr>
    </w:p>
    <w:p w:rsidR="0035564B" w:rsidRDefault="0035564B" w:rsidP="0035564B">
      <w:pPr>
        <w:pStyle w:val="NoSpacing"/>
      </w:pPr>
      <w:r>
        <w:t>The CSO adjustment is a reflection of the valuer’s assessment of the impact of restrictions associated with an asset to the extent that is also equally applicable to market participants. This approach is in light of the highest and best use consideration required for fair value measurement, and takes into account the use of the asset that is physically possible, legally permissible, and financially feasible. As adjustments of CSO are considered as significant unobservable inputs, specialised land would be classified as a Level 3 asset.</w:t>
      </w:r>
    </w:p>
    <w:p w:rsidR="0035564B" w:rsidRDefault="0035564B" w:rsidP="0035564B">
      <w:pPr>
        <w:pStyle w:val="NoSpacing"/>
      </w:pPr>
    </w:p>
    <w:p w:rsidR="0035564B" w:rsidRDefault="0035564B" w:rsidP="0035564B">
      <w:pPr>
        <w:pStyle w:val="NoSpacing"/>
      </w:pPr>
      <w:r>
        <w:t>For Chisholm’s majority of specialised buildings, the depreciated replacement cost method is used. As depreciation adjustments are considered as significant, unobservable inputs in nature, specialised buildings are classified as Level 3 fair value measurements.</w:t>
      </w:r>
    </w:p>
    <w:p w:rsidR="0035564B" w:rsidRDefault="0035564B" w:rsidP="0035564B">
      <w:pPr>
        <w:pStyle w:val="NoSpacing"/>
      </w:pPr>
    </w:p>
    <w:p w:rsidR="0035564B" w:rsidRDefault="0035564B" w:rsidP="0035564B">
      <w:pPr>
        <w:pStyle w:val="NoSpacing"/>
      </w:pPr>
      <w:r>
        <w:t>An independent valuation of Chisholm’s specialised land and specialised buildings was performed by the Valuer-General Victoria. The valuation was performed using the market approach adjusted for CSO. The effective date of the valuation is 31 December 2017.</w:t>
      </w:r>
    </w:p>
    <w:p w:rsidR="0035564B" w:rsidRDefault="0035564B" w:rsidP="0035564B">
      <w:pPr>
        <w:pStyle w:val="NoSpacing"/>
        <w:rPr>
          <w:rFonts w:ascii="ProximaNovaA-Semibold" w:hAnsi="ProximaNovaA-Semibold" w:cs="ProximaNovaA-Semibold"/>
        </w:rPr>
      </w:pPr>
    </w:p>
    <w:p w:rsidR="0035564B" w:rsidRDefault="0035564B" w:rsidP="0035564B">
      <w:pPr>
        <w:pStyle w:val="NoSpacing"/>
      </w:pPr>
      <w:r w:rsidRPr="0028573F">
        <w:rPr>
          <w:rStyle w:val="Heading5Char"/>
        </w:rPr>
        <w:t>Construction in progress</w:t>
      </w:r>
      <w:r>
        <w:rPr>
          <w:rFonts w:ascii="ProximaNovaA-Semibold" w:hAnsi="ProximaNovaA-Semibold" w:cs="ProximaNovaA-Semibold"/>
        </w:rPr>
        <w:t xml:space="preserve"> </w:t>
      </w:r>
      <w:r>
        <w:t>assets are held at cost. Chisholm Group transfers the assets out of construction in progress and into the relevant asset category when they are ready for use.</w:t>
      </w:r>
    </w:p>
    <w:p w:rsidR="0035564B" w:rsidRDefault="0035564B" w:rsidP="0035564B">
      <w:pPr>
        <w:pStyle w:val="NoSpacing"/>
        <w:rPr>
          <w:rFonts w:ascii="ProximaNovaA-Semibold" w:hAnsi="ProximaNovaA-Semibold" w:cs="ProximaNovaA-Semibold"/>
        </w:rPr>
      </w:pPr>
    </w:p>
    <w:p w:rsidR="0035564B" w:rsidRDefault="0035564B" w:rsidP="0035564B">
      <w:pPr>
        <w:pStyle w:val="NoSpacing"/>
      </w:pPr>
      <w:r w:rsidRPr="0035564B">
        <w:rPr>
          <w:rStyle w:val="Heading5Char"/>
        </w:rPr>
        <w:t>Motor vehicles</w:t>
      </w:r>
      <w:r>
        <w:rPr>
          <w:rFonts w:ascii="ProximaNovaA-Semibold" w:hAnsi="ProximaNovaA-Semibold" w:cs="ProximaNovaA-Semibold"/>
        </w:rPr>
        <w:t xml:space="preserve"> </w:t>
      </w:r>
      <w:r>
        <w:t>are valued using the depreciated replacement cost method. Chisholm acquires new vehicles and at times disposes of them before the end of their economic life. The process of acquisition, use and disposal in the market is managed by experienced fleet managers in the Institute who set relevant depreciation rates during use to reflect the utilisation of the vehicles.</w:t>
      </w:r>
    </w:p>
    <w:p w:rsidR="0035564B" w:rsidRDefault="0035564B" w:rsidP="0035564B">
      <w:pPr>
        <w:pStyle w:val="NoSpacing"/>
        <w:rPr>
          <w:rFonts w:ascii="ProximaNovaA-Semibold" w:hAnsi="ProximaNovaA-Semibold" w:cs="ProximaNovaA-Semibold"/>
        </w:rPr>
      </w:pPr>
    </w:p>
    <w:p w:rsidR="0035564B" w:rsidRDefault="0035564B" w:rsidP="0035564B">
      <w:pPr>
        <w:pStyle w:val="NoSpacing"/>
      </w:pPr>
      <w:r w:rsidRPr="0035564B">
        <w:rPr>
          <w:rStyle w:val="Heading5Char"/>
        </w:rPr>
        <w:t>Plant and equipment</w:t>
      </w:r>
      <w:r>
        <w:rPr>
          <w:rFonts w:ascii="ProximaNovaA-Semibold" w:hAnsi="ProximaNovaA-Semibold" w:cs="ProximaNovaA-Semibold"/>
        </w:rPr>
        <w:t xml:space="preserve"> </w:t>
      </w:r>
      <w:r>
        <w:t>is held at fair value. When plant and equipment is specialised in use, such that it is rarely sold other than as part of a going concern, fair value is determined using the depreciated replacement cost method.</w:t>
      </w:r>
    </w:p>
    <w:p w:rsidR="0035564B" w:rsidRDefault="0035564B" w:rsidP="0035564B">
      <w:pPr>
        <w:pStyle w:val="NoSpacing"/>
        <w:rPr>
          <w:rFonts w:ascii="ProximaNovaA-Semibold" w:hAnsi="ProximaNovaA-Semibold" w:cs="ProximaNovaA-Semibold"/>
        </w:rPr>
      </w:pPr>
    </w:p>
    <w:p w:rsidR="0035564B" w:rsidRDefault="0035564B" w:rsidP="0035564B">
      <w:pPr>
        <w:pStyle w:val="NoSpacing"/>
      </w:pPr>
      <w:r w:rsidRPr="0035564B">
        <w:rPr>
          <w:rStyle w:val="Heading5Char"/>
        </w:rPr>
        <w:t>Leasehold improvements</w:t>
      </w:r>
      <w:r>
        <w:rPr>
          <w:rFonts w:ascii="ProximaNovaA-Semibold" w:hAnsi="ProximaNovaA-Semibold" w:cs="ProximaNovaA-Semibold"/>
        </w:rPr>
        <w:t xml:space="preserve"> </w:t>
      </w:r>
      <w:r>
        <w:t>are held at fair value being depreciated cost. As there is no evidence of a reliable market-based fair value (or other relevant fair value indicators) for leasehold improvements, depreciated cost is the fair value for these types of assets. The valuation of leasehold improvements is based on significant unobservable inputs and accordingly is classified as a Level 3 asset.</w:t>
      </w:r>
    </w:p>
    <w:p w:rsidR="0035564B" w:rsidRDefault="0035564B" w:rsidP="0035564B">
      <w:pPr>
        <w:pStyle w:val="NoSpacing"/>
      </w:pPr>
    </w:p>
    <w:p w:rsidR="0035564B" w:rsidRDefault="0035564B" w:rsidP="0035564B">
      <w:pPr>
        <w:pStyle w:val="NoSpacing"/>
      </w:pPr>
      <w:r>
        <w:t>There were no changes in valuation techniques throughout the period to 31 December 2019.</w:t>
      </w:r>
    </w:p>
    <w:p w:rsidR="00662703" w:rsidRDefault="00662703" w:rsidP="0035564B">
      <w:pPr>
        <w:pStyle w:val="NoSpacing"/>
      </w:pPr>
    </w:p>
    <w:p w:rsidR="00662703" w:rsidRDefault="00662703" w:rsidP="0035564B">
      <w:pPr>
        <w:pStyle w:val="NoSpacing"/>
      </w:pPr>
      <w:r>
        <w:t>&lt;page 87&gt;</w:t>
      </w:r>
    </w:p>
    <w:p w:rsidR="00662703" w:rsidRDefault="00662703" w:rsidP="0035564B">
      <w:pPr>
        <w:pStyle w:val="NoSpacing"/>
      </w:pPr>
    </w:p>
    <w:p w:rsidR="00662703" w:rsidRDefault="00662703" w:rsidP="00662703">
      <w:pPr>
        <w:pStyle w:val="Heading2"/>
      </w:pPr>
      <w:r>
        <w:t>7. Managing risks and uncertainties (continued)</w:t>
      </w:r>
    </w:p>
    <w:p w:rsidR="0028573F" w:rsidRDefault="0028573F" w:rsidP="00662703">
      <w:pPr>
        <w:pStyle w:val="Heading3"/>
      </w:pPr>
    </w:p>
    <w:p w:rsidR="00662703" w:rsidRDefault="00662703" w:rsidP="00662703">
      <w:pPr>
        <w:pStyle w:val="Heading3"/>
      </w:pPr>
      <w:r>
        <w:t>7.3 Fair value determination (continued)</w:t>
      </w:r>
    </w:p>
    <w:p w:rsidR="00662703" w:rsidRDefault="00662703" w:rsidP="0035564B">
      <w:pPr>
        <w:pStyle w:val="NoSpacing"/>
      </w:pPr>
    </w:p>
    <w:p w:rsidR="00E2253D" w:rsidRDefault="00662703" w:rsidP="0035564B">
      <w:pPr>
        <w:pStyle w:val="NoSpacing"/>
      </w:pPr>
      <w:r>
        <w:t>For all assets measured at fair value, the current use is considered the highest and best use.</w:t>
      </w:r>
    </w:p>
    <w:p w:rsidR="00662703" w:rsidRDefault="00662703" w:rsidP="0035564B">
      <w:pPr>
        <w:pStyle w:val="NoSpacing"/>
      </w:pPr>
    </w:p>
    <w:p w:rsidR="00662703" w:rsidRDefault="00662703" w:rsidP="0035564B">
      <w:pPr>
        <w:pStyle w:val="NoSpacing"/>
      </w:pPr>
      <w:r>
        <w:t>Description of significant unobservable inputs to Level 3 valuations</w:t>
      </w:r>
    </w:p>
    <w:tbl>
      <w:tblPr>
        <w:tblStyle w:val="TableGrid"/>
        <w:tblW w:w="10632" w:type="dxa"/>
        <w:tblInd w:w="-714" w:type="dxa"/>
        <w:tblLook w:val="04A0" w:firstRow="1" w:lastRow="0" w:firstColumn="1" w:lastColumn="0" w:noHBand="0" w:noVBand="1"/>
      </w:tblPr>
      <w:tblGrid>
        <w:gridCol w:w="2977"/>
        <w:gridCol w:w="3747"/>
        <w:gridCol w:w="3908"/>
      </w:tblGrid>
      <w:tr w:rsidR="00662703" w:rsidTr="00662703">
        <w:tc>
          <w:tcPr>
            <w:tcW w:w="2977" w:type="dxa"/>
          </w:tcPr>
          <w:p w:rsidR="00662703" w:rsidRDefault="00662703" w:rsidP="0035564B">
            <w:pPr>
              <w:pStyle w:val="NoSpacing"/>
            </w:pPr>
            <w:r>
              <w:lastRenderedPageBreak/>
              <w:t>2019 and 2018</w:t>
            </w:r>
          </w:p>
        </w:tc>
        <w:tc>
          <w:tcPr>
            <w:tcW w:w="3747" w:type="dxa"/>
          </w:tcPr>
          <w:p w:rsidR="00662703" w:rsidRDefault="00662703" w:rsidP="0035564B">
            <w:pPr>
              <w:pStyle w:val="NoSpacing"/>
            </w:pPr>
            <w:r>
              <w:t>Valuation technique</w:t>
            </w:r>
          </w:p>
        </w:tc>
        <w:tc>
          <w:tcPr>
            <w:tcW w:w="3908" w:type="dxa"/>
          </w:tcPr>
          <w:p w:rsidR="00662703" w:rsidRDefault="00662703" w:rsidP="000B17FD">
            <w:pPr>
              <w:pStyle w:val="NoSpacing"/>
            </w:pPr>
            <w:r>
              <w:t xml:space="preserve">Significant unobservable </w:t>
            </w:r>
            <w:r w:rsidR="000B17FD">
              <w:t>inputs</w:t>
            </w:r>
          </w:p>
        </w:tc>
      </w:tr>
      <w:tr w:rsidR="00662703" w:rsidTr="00662703">
        <w:tc>
          <w:tcPr>
            <w:tcW w:w="2977" w:type="dxa"/>
          </w:tcPr>
          <w:p w:rsidR="00662703" w:rsidRDefault="000B17FD" w:rsidP="0035564B">
            <w:pPr>
              <w:pStyle w:val="NoSpacing"/>
            </w:pPr>
            <w:r>
              <w:t>Specialised land</w:t>
            </w:r>
          </w:p>
        </w:tc>
        <w:tc>
          <w:tcPr>
            <w:tcW w:w="3747" w:type="dxa"/>
          </w:tcPr>
          <w:p w:rsidR="00662703" w:rsidRDefault="000B17FD" w:rsidP="0035564B">
            <w:pPr>
              <w:pStyle w:val="NoSpacing"/>
            </w:pPr>
            <w:r>
              <w:t xml:space="preserve">Market approach </w:t>
            </w:r>
          </w:p>
        </w:tc>
        <w:tc>
          <w:tcPr>
            <w:tcW w:w="3908" w:type="dxa"/>
          </w:tcPr>
          <w:p w:rsidR="00662703" w:rsidRDefault="000B17FD" w:rsidP="0035564B">
            <w:pPr>
              <w:pStyle w:val="NoSpacing"/>
            </w:pPr>
            <w:r>
              <w:t>Community Service Obligation (CSO)</w:t>
            </w:r>
          </w:p>
        </w:tc>
      </w:tr>
      <w:tr w:rsidR="00662703" w:rsidTr="00662703">
        <w:tc>
          <w:tcPr>
            <w:tcW w:w="2977" w:type="dxa"/>
          </w:tcPr>
          <w:p w:rsidR="00662703" w:rsidRDefault="000B17FD" w:rsidP="0035564B">
            <w:pPr>
              <w:pStyle w:val="NoSpacing"/>
            </w:pPr>
            <w:r>
              <w:t>Specialised buildings</w:t>
            </w:r>
          </w:p>
        </w:tc>
        <w:tc>
          <w:tcPr>
            <w:tcW w:w="3747" w:type="dxa"/>
          </w:tcPr>
          <w:p w:rsidR="00662703" w:rsidRDefault="000B17FD" w:rsidP="0035564B">
            <w:pPr>
              <w:pStyle w:val="NoSpacing"/>
            </w:pPr>
            <w:r>
              <w:t>Depreciated replacement cost</w:t>
            </w:r>
          </w:p>
        </w:tc>
        <w:tc>
          <w:tcPr>
            <w:tcW w:w="3908" w:type="dxa"/>
          </w:tcPr>
          <w:p w:rsidR="00662703" w:rsidRDefault="000B17FD" w:rsidP="0035564B">
            <w:pPr>
              <w:pStyle w:val="NoSpacing"/>
            </w:pPr>
            <w:r>
              <w:t>Useful life of buildings and cost per square metre</w:t>
            </w:r>
          </w:p>
        </w:tc>
      </w:tr>
      <w:tr w:rsidR="00662703" w:rsidTr="00662703">
        <w:tc>
          <w:tcPr>
            <w:tcW w:w="2977" w:type="dxa"/>
          </w:tcPr>
          <w:p w:rsidR="00662703" w:rsidRDefault="000B17FD" w:rsidP="0035564B">
            <w:pPr>
              <w:pStyle w:val="NoSpacing"/>
            </w:pPr>
            <w:r>
              <w:t>Motor vehicles</w:t>
            </w:r>
          </w:p>
        </w:tc>
        <w:tc>
          <w:tcPr>
            <w:tcW w:w="3747" w:type="dxa"/>
          </w:tcPr>
          <w:p w:rsidR="00662703" w:rsidRDefault="000B17FD" w:rsidP="0035564B">
            <w:pPr>
              <w:pStyle w:val="NoSpacing"/>
            </w:pPr>
            <w:r>
              <w:t>Depreciated replacement cost</w:t>
            </w:r>
          </w:p>
        </w:tc>
        <w:tc>
          <w:tcPr>
            <w:tcW w:w="3908" w:type="dxa"/>
          </w:tcPr>
          <w:p w:rsidR="00662703" w:rsidRDefault="000B17FD" w:rsidP="0035564B">
            <w:pPr>
              <w:pStyle w:val="NoSpacing"/>
            </w:pPr>
            <w:r>
              <w:t>Useful life of vehicles</w:t>
            </w:r>
          </w:p>
        </w:tc>
      </w:tr>
      <w:tr w:rsidR="00662703" w:rsidTr="00662703">
        <w:tc>
          <w:tcPr>
            <w:tcW w:w="2977" w:type="dxa"/>
          </w:tcPr>
          <w:p w:rsidR="00662703" w:rsidRDefault="000B17FD" w:rsidP="0035564B">
            <w:pPr>
              <w:pStyle w:val="NoSpacing"/>
            </w:pPr>
            <w:r>
              <w:t>Plant and equipment</w:t>
            </w:r>
          </w:p>
        </w:tc>
        <w:tc>
          <w:tcPr>
            <w:tcW w:w="3747" w:type="dxa"/>
          </w:tcPr>
          <w:p w:rsidR="00662703" w:rsidRDefault="000B17FD" w:rsidP="0035564B">
            <w:pPr>
              <w:pStyle w:val="NoSpacing"/>
            </w:pPr>
            <w:r>
              <w:t>Depreciated replacement cost</w:t>
            </w:r>
          </w:p>
        </w:tc>
        <w:tc>
          <w:tcPr>
            <w:tcW w:w="3908" w:type="dxa"/>
          </w:tcPr>
          <w:p w:rsidR="00662703" w:rsidRDefault="000B17FD" w:rsidP="0035564B">
            <w:pPr>
              <w:pStyle w:val="NoSpacing"/>
            </w:pPr>
            <w:r>
              <w:t>Useful life of plant and equipment</w:t>
            </w:r>
          </w:p>
        </w:tc>
      </w:tr>
      <w:tr w:rsidR="00662703" w:rsidTr="00662703">
        <w:tc>
          <w:tcPr>
            <w:tcW w:w="2977" w:type="dxa"/>
          </w:tcPr>
          <w:p w:rsidR="00662703" w:rsidRDefault="000B17FD" w:rsidP="0035564B">
            <w:pPr>
              <w:pStyle w:val="NoSpacing"/>
            </w:pPr>
            <w:r>
              <w:t>Leasehold improvements</w:t>
            </w:r>
          </w:p>
        </w:tc>
        <w:tc>
          <w:tcPr>
            <w:tcW w:w="3747" w:type="dxa"/>
          </w:tcPr>
          <w:p w:rsidR="00662703" w:rsidRDefault="000B17FD" w:rsidP="0035564B">
            <w:pPr>
              <w:pStyle w:val="NoSpacing"/>
            </w:pPr>
            <w:r>
              <w:t>Depreciated replacement cost</w:t>
            </w:r>
          </w:p>
        </w:tc>
        <w:tc>
          <w:tcPr>
            <w:tcW w:w="3908" w:type="dxa"/>
          </w:tcPr>
          <w:p w:rsidR="00662703" w:rsidRDefault="000B17FD" w:rsidP="0035564B">
            <w:pPr>
              <w:pStyle w:val="NoSpacing"/>
            </w:pPr>
            <w:r>
              <w:t>Useful life of lease</w:t>
            </w:r>
          </w:p>
        </w:tc>
      </w:tr>
    </w:tbl>
    <w:p w:rsidR="00662703" w:rsidRDefault="00662703" w:rsidP="0035564B">
      <w:pPr>
        <w:pStyle w:val="NoSpacing"/>
      </w:pPr>
      <w:r>
        <w:t xml:space="preserve"> </w:t>
      </w:r>
    </w:p>
    <w:p w:rsidR="00662703" w:rsidRDefault="00662703" w:rsidP="0035564B">
      <w:pPr>
        <w:pStyle w:val="NoSpacing"/>
      </w:pPr>
    </w:p>
    <w:p w:rsidR="000B17FD" w:rsidRDefault="000B17FD" w:rsidP="0028573F">
      <w:pPr>
        <w:pStyle w:val="Heading4"/>
      </w:pPr>
      <w:r>
        <w:t>(c)  Valuations of inventories</w:t>
      </w:r>
    </w:p>
    <w:p w:rsidR="000B17FD" w:rsidRDefault="000B17FD" w:rsidP="0035564B">
      <w:pPr>
        <w:pStyle w:val="NoSpacing"/>
      </w:pPr>
      <w:r>
        <w:t>Inventories are measures of cost basis, in accordance with Financial Reporting Direction (FRD) 102A Inventories. A full stocktake of inventories occurs at each year end to allow inventories to be measured on an item-by-item basis at the lower of cost and current replacement cost.</w:t>
      </w:r>
    </w:p>
    <w:p w:rsidR="000B17FD" w:rsidRDefault="000B17FD" w:rsidP="0035564B">
      <w:pPr>
        <w:pStyle w:val="NoSpacing"/>
      </w:pPr>
    </w:p>
    <w:p w:rsidR="000B17FD" w:rsidRDefault="000B17FD" w:rsidP="000B17FD">
      <w:pPr>
        <w:pStyle w:val="Heading2"/>
      </w:pPr>
      <w:r>
        <w:t xml:space="preserve">8. Governance Disclosures </w:t>
      </w:r>
    </w:p>
    <w:p w:rsidR="0028573F" w:rsidRDefault="0028573F" w:rsidP="0028573F">
      <w:pPr>
        <w:pStyle w:val="NoSpacing"/>
      </w:pPr>
    </w:p>
    <w:p w:rsidR="000B17FD" w:rsidRDefault="000B17FD" w:rsidP="000B17FD">
      <w:pPr>
        <w:pStyle w:val="Heading3"/>
      </w:pPr>
      <w:r>
        <w:t>8.1 Responsible persons</w:t>
      </w:r>
    </w:p>
    <w:p w:rsidR="000B17FD" w:rsidRDefault="000B17FD" w:rsidP="0035564B">
      <w:pPr>
        <w:pStyle w:val="NoSpacing"/>
      </w:pPr>
    </w:p>
    <w:p w:rsidR="000B17FD" w:rsidRDefault="000B17FD" w:rsidP="0035564B">
      <w:pPr>
        <w:pStyle w:val="NoSpacing"/>
      </w:pPr>
      <w:r>
        <w:t>In accordance with the Ministerial Directions issued by the Assistant Treasurer under the Financial Management Act 1994, the following disclosures are made regarding responsible persons and executive officers for the reporting period.</w:t>
      </w:r>
    </w:p>
    <w:p w:rsidR="000B17FD" w:rsidRDefault="000B17FD" w:rsidP="0035564B">
      <w:pPr>
        <w:pStyle w:val="NoSpacing"/>
      </w:pPr>
    </w:p>
    <w:p w:rsidR="000B17FD" w:rsidRDefault="000B17FD" w:rsidP="0035564B">
      <w:pPr>
        <w:pStyle w:val="NoSpacing"/>
      </w:pPr>
      <w:r>
        <w:t>The persons who held the positions of Ministers and Accountable Officers in Chisholm were as follows:</w:t>
      </w:r>
    </w:p>
    <w:p w:rsidR="000B17FD" w:rsidRDefault="000B17FD" w:rsidP="0035564B">
      <w:pPr>
        <w:pStyle w:val="NoSpacing"/>
      </w:pPr>
    </w:p>
    <w:tbl>
      <w:tblPr>
        <w:tblStyle w:val="TableGrid"/>
        <w:tblW w:w="10916" w:type="dxa"/>
        <w:tblInd w:w="-856" w:type="dxa"/>
        <w:tblLook w:val="04A0" w:firstRow="1" w:lastRow="0" w:firstColumn="1" w:lastColumn="0" w:noHBand="0" w:noVBand="1"/>
      </w:tblPr>
      <w:tblGrid>
        <w:gridCol w:w="4112"/>
        <w:gridCol w:w="2835"/>
        <w:gridCol w:w="3969"/>
      </w:tblGrid>
      <w:tr w:rsidR="000B17FD" w:rsidTr="0062605C">
        <w:tc>
          <w:tcPr>
            <w:tcW w:w="4112" w:type="dxa"/>
          </w:tcPr>
          <w:p w:rsidR="000B17FD" w:rsidRDefault="000B17FD" w:rsidP="0035564B">
            <w:pPr>
              <w:pStyle w:val="NoSpacing"/>
            </w:pPr>
            <w:r>
              <w:t>Position</w:t>
            </w:r>
          </w:p>
        </w:tc>
        <w:tc>
          <w:tcPr>
            <w:tcW w:w="2835" w:type="dxa"/>
          </w:tcPr>
          <w:p w:rsidR="000B17FD" w:rsidRDefault="000B17FD" w:rsidP="0035564B">
            <w:pPr>
              <w:pStyle w:val="NoSpacing"/>
            </w:pPr>
            <w:r>
              <w:t>Name</w:t>
            </w:r>
          </w:p>
        </w:tc>
        <w:tc>
          <w:tcPr>
            <w:tcW w:w="3969" w:type="dxa"/>
          </w:tcPr>
          <w:p w:rsidR="000B17FD" w:rsidRDefault="000B17FD" w:rsidP="0035564B">
            <w:pPr>
              <w:pStyle w:val="NoSpacing"/>
            </w:pPr>
            <w:r>
              <w:t>Relevant period</w:t>
            </w:r>
          </w:p>
        </w:tc>
      </w:tr>
      <w:tr w:rsidR="000B17FD" w:rsidTr="0062605C">
        <w:tc>
          <w:tcPr>
            <w:tcW w:w="4112" w:type="dxa"/>
          </w:tcPr>
          <w:p w:rsidR="000B17FD" w:rsidRDefault="000B17FD" w:rsidP="0035564B">
            <w:pPr>
              <w:pStyle w:val="NoSpacing"/>
            </w:pPr>
            <w:r>
              <w:t>Minister for Training and Skills and Minister for Higher Education</w:t>
            </w:r>
          </w:p>
        </w:tc>
        <w:tc>
          <w:tcPr>
            <w:tcW w:w="2835" w:type="dxa"/>
          </w:tcPr>
          <w:p w:rsidR="000B17FD" w:rsidRDefault="000B17FD" w:rsidP="0035564B">
            <w:pPr>
              <w:pStyle w:val="NoSpacing"/>
            </w:pPr>
            <w:r>
              <w:t>The Hon. Gayle Tierney MP</w:t>
            </w:r>
          </w:p>
        </w:tc>
        <w:tc>
          <w:tcPr>
            <w:tcW w:w="3969" w:type="dxa"/>
          </w:tcPr>
          <w:p w:rsidR="000B17FD" w:rsidRDefault="000B17FD" w:rsidP="0035564B">
            <w:pPr>
              <w:pStyle w:val="NoSpacing"/>
            </w:pPr>
            <w:r>
              <w:t>1 January 2019 to 31 December 2019</w:t>
            </w:r>
          </w:p>
        </w:tc>
      </w:tr>
      <w:tr w:rsidR="000B17FD" w:rsidTr="0062605C">
        <w:tc>
          <w:tcPr>
            <w:tcW w:w="4112" w:type="dxa"/>
          </w:tcPr>
          <w:p w:rsidR="000B17FD" w:rsidRDefault="000B17FD" w:rsidP="0035564B">
            <w:pPr>
              <w:pStyle w:val="NoSpacing"/>
            </w:pPr>
            <w:r>
              <w:t>Director and Chief Executive Officer (Accountable Officer)</w:t>
            </w:r>
          </w:p>
        </w:tc>
        <w:tc>
          <w:tcPr>
            <w:tcW w:w="2835" w:type="dxa"/>
          </w:tcPr>
          <w:p w:rsidR="000B17FD" w:rsidRDefault="000B17FD" w:rsidP="0035564B">
            <w:pPr>
              <w:pStyle w:val="NoSpacing"/>
            </w:pPr>
            <w:r>
              <w:t>Dr Rick Ede</w:t>
            </w:r>
          </w:p>
        </w:tc>
        <w:tc>
          <w:tcPr>
            <w:tcW w:w="3969" w:type="dxa"/>
          </w:tcPr>
          <w:p w:rsidR="000B17FD" w:rsidRDefault="000B17FD" w:rsidP="0035564B">
            <w:pPr>
              <w:pStyle w:val="NoSpacing"/>
            </w:pPr>
            <w:r>
              <w:t>1 January 2019 to 8 April 2019</w:t>
            </w:r>
          </w:p>
        </w:tc>
      </w:tr>
      <w:tr w:rsidR="000B17FD" w:rsidTr="0062605C">
        <w:tc>
          <w:tcPr>
            <w:tcW w:w="4112" w:type="dxa"/>
          </w:tcPr>
          <w:p w:rsidR="000B17FD" w:rsidRDefault="000B17FD" w:rsidP="0035564B">
            <w:pPr>
              <w:pStyle w:val="NoSpacing"/>
            </w:pPr>
            <w:r>
              <w:t>Director and Chief Executive Officer (Accountable Officer)</w:t>
            </w:r>
          </w:p>
        </w:tc>
        <w:tc>
          <w:tcPr>
            <w:tcW w:w="2835" w:type="dxa"/>
          </w:tcPr>
          <w:p w:rsidR="000B17FD" w:rsidRDefault="000B17FD" w:rsidP="0035564B">
            <w:pPr>
              <w:pStyle w:val="NoSpacing"/>
            </w:pPr>
            <w:r>
              <w:t>Mr Stephen Varty</w:t>
            </w:r>
          </w:p>
        </w:tc>
        <w:tc>
          <w:tcPr>
            <w:tcW w:w="3969" w:type="dxa"/>
          </w:tcPr>
          <w:p w:rsidR="000B17FD" w:rsidRDefault="000B17FD" w:rsidP="0035564B">
            <w:pPr>
              <w:pStyle w:val="NoSpacing"/>
            </w:pPr>
            <w:r>
              <w:t>9 April 2019 to 31 December 2019</w:t>
            </w:r>
          </w:p>
        </w:tc>
      </w:tr>
      <w:tr w:rsidR="000B17FD" w:rsidTr="0062605C">
        <w:tc>
          <w:tcPr>
            <w:tcW w:w="4112" w:type="dxa"/>
          </w:tcPr>
          <w:p w:rsidR="000B17FD" w:rsidRDefault="000B17FD" w:rsidP="0035564B">
            <w:pPr>
              <w:pStyle w:val="NoSpacing"/>
            </w:pPr>
            <w:r>
              <w:t>Board Member</w:t>
            </w:r>
          </w:p>
        </w:tc>
        <w:tc>
          <w:tcPr>
            <w:tcW w:w="2835" w:type="dxa"/>
          </w:tcPr>
          <w:p w:rsidR="000B17FD" w:rsidRDefault="000B17FD" w:rsidP="0035564B">
            <w:pPr>
              <w:pStyle w:val="NoSpacing"/>
            </w:pPr>
            <w:r>
              <w:t>Mr Stephen G. Marks (Chair)</w:t>
            </w:r>
          </w:p>
        </w:tc>
        <w:tc>
          <w:tcPr>
            <w:tcW w:w="3969" w:type="dxa"/>
          </w:tcPr>
          <w:p w:rsidR="000B17FD" w:rsidRDefault="0062605C" w:rsidP="0035564B">
            <w:pPr>
              <w:pStyle w:val="NoSpacing"/>
            </w:pPr>
            <w:r>
              <w:t>1 January 2019 to 31 December 2019</w:t>
            </w:r>
          </w:p>
        </w:tc>
      </w:tr>
      <w:tr w:rsidR="000B17FD" w:rsidTr="0062605C">
        <w:tc>
          <w:tcPr>
            <w:tcW w:w="4112" w:type="dxa"/>
          </w:tcPr>
          <w:p w:rsidR="000B17FD" w:rsidRDefault="000B17FD" w:rsidP="0035564B">
            <w:pPr>
              <w:pStyle w:val="NoSpacing"/>
            </w:pPr>
            <w:r>
              <w:t>Board Member</w:t>
            </w:r>
          </w:p>
        </w:tc>
        <w:tc>
          <w:tcPr>
            <w:tcW w:w="2835" w:type="dxa"/>
          </w:tcPr>
          <w:p w:rsidR="000B17FD" w:rsidRDefault="0062605C" w:rsidP="0035564B">
            <w:pPr>
              <w:pStyle w:val="NoSpacing"/>
            </w:pPr>
            <w:r>
              <w:t>Ms Sandra Andersen</w:t>
            </w:r>
          </w:p>
        </w:tc>
        <w:tc>
          <w:tcPr>
            <w:tcW w:w="3969" w:type="dxa"/>
          </w:tcPr>
          <w:p w:rsidR="000B17FD" w:rsidRDefault="0062605C" w:rsidP="0062605C">
            <w:pPr>
              <w:pStyle w:val="NoSpacing"/>
            </w:pPr>
            <w:r>
              <w:t>1 January 2019 to 31 July 2019</w:t>
            </w:r>
          </w:p>
        </w:tc>
      </w:tr>
      <w:tr w:rsidR="000B17FD" w:rsidTr="0062605C">
        <w:tc>
          <w:tcPr>
            <w:tcW w:w="4112" w:type="dxa"/>
          </w:tcPr>
          <w:p w:rsidR="000B17FD" w:rsidRDefault="000B17FD" w:rsidP="0035564B">
            <w:pPr>
              <w:pStyle w:val="NoSpacing"/>
            </w:pPr>
            <w:r>
              <w:t>Board Member</w:t>
            </w:r>
          </w:p>
        </w:tc>
        <w:tc>
          <w:tcPr>
            <w:tcW w:w="2835" w:type="dxa"/>
          </w:tcPr>
          <w:p w:rsidR="000B17FD" w:rsidRDefault="0062605C" w:rsidP="0035564B">
            <w:pPr>
              <w:pStyle w:val="NoSpacing"/>
            </w:pPr>
            <w:r>
              <w:t>Mr John Bennie</w:t>
            </w:r>
          </w:p>
        </w:tc>
        <w:tc>
          <w:tcPr>
            <w:tcW w:w="3969" w:type="dxa"/>
          </w:tcPr>
          <w:p w:rsidR="000B17FD" w:rsidRDefault="0062605C" w:rsidP="0035564B">
            <w:pPr>
              <w:pStyle w:val="NoSpacing"/>
            </w:pPr>
            <w:r>
              <w:t>1 January 2019 to 31 December 2019</w:t>
            </w:r>
          </w:p>
        </w:tc>
      </w:tr>
      <w:tr w:rsidR="000B17FD" w:rsidTr="0062605C">
        <w:tc>
          <w:tcPr>
            <w:tcW w:w="4112" w:type="dxa"/>
          </w:tcPr>
          <w:p w:rsidR="000B17FD" w:rsidRDefault="000B17FD" w:rsidP="0035564B">
            <w:pPr>
              <w:pStyle w:val="NoSpacing"/>
            </w:pPr>
            <w:r>
              <w:t>Board Member</w:t>
            </w:r>
          </w:p>
        </w:tc>
        <w:tc>
          <w:tcPr>
            <w:tcW w:w="2835" w:type="dxa"/>
          </w:tcPr>
          <w:p w:rsidR="000B17FD" w:rsidRDefault="0062605C" w:rsidP="0035564B">
            <w:pPr>
              <w:pStyle w:val="NoSpacing"/>
            </w:pPr>
            <w:r>
              <w:t>Mr Geoffrey Cullen</w:t>
            </w:r>
          </w:p>
        </w:tc>
        <w:tc>
          <w:tcPr>
            <w:tcW w:w="3969" w:type="dxa"/>
          </w:tcPr>
          <w:p w:rsidR="000B17FD" w:rsidRDefault="0062605C" w:rsidP="0035564B">
            <w:pPr>
              <w:pStyle w:val="NoSpacing"/>
            </w:pPr>
            <w:r>
              <w:t>12 November 2019 to 31 December 2019</w:t>
            </w:r>
          </w:p>
        </w:tc>
      </w:tr>
      <w:tr w:rsidR="000B17FD" w:rsidTr="0062605C">
        <w:tc>
          <w:tcPr>
            <w:tcW w:w="4112" w:type="dxa"/>
          </w:tcPr>
          <w:p w:rsidR="000B17FD" w:rsidRDefault="000B17FD" w:rsidP="0035564B">
            <w:pPr>
              <w:pStyle w:val="NoSpacing"/>
            </w:pPr>
            <w:r>
              <w:t>Board Member</w:t>
            </w:r>
          </w:p>
        </w:tc>
        <w:tc>
          <w:tcPr>
            <w:tcW w:w="2835" w:type="dxa"/>
          </w:tcPr>
          <w:p w:rsidR="000B17FD" w:rsidRDefault="0062605C" w:rsidP="0035564B">
            <w:pPr>
              <w:pStyle w:val="NoSpacing"/>
            </w:pPr>
            <w:r>
              <w:t>Ms Prue Digby</w:t>
            </w:r>
          </w:p>
        </w:tc>
        <w:tc>
          <w:tcPr>
            <w:tcW w:w="3969" w:type="dxa"/>
          </w:tcPr>
          <w:p w:rsidR="000B17FD" w:rsidRDefault="0062605C" w:rsidP="0035564B">
            <w:pPr>
              <w:pStyle w:val="NoSpacing"/>
            </w:pPr>
            <w:r>
              <w:t>1 January 2019 to 31 December 2019</w:t>
            </w:r>
          </w:p>
        </w:tc>
      </w:tr>
      <w:tr w:rsidR="000B17FD" w:rsidTr="0062605C">
        <w:tc>
          <w:tcPr>
            <w:tcW w:w="4112" w:type="dxa"/>
          </w:tcPr>
          <w:p w:rsidR="000B17FD" w:rsidRDefault="000B17FD" w:rsidP="0035564B">
            <w:pPr>
              <w:pStyle w:val="NoSpacing"/>
            </w:pPr>
            <w:r>
              <w:t>Board Member</w:t>
            </w:r>
          </w:p>
        </w:tc>
        <w:tc>
          <w:tcPr>
            <w:tcW w:w="2835" w:type="dxa"/>
          </w:tcPr>
          <w:p w:rsidR="000B17FD" w:rsidRDefault="0062605C" w:rsidP="0035564B">
            <w:pPr>
              <w:pStyle w:val="NoSpacing"/>
            </w:pPr>
            <w:r>
              <w:t>Dr Mei Ling Doery</w:t>
            </w:r>
          </w:p>
        </w:tc>
        <w:tc>
          <w:tcPr>
            <w:tcW w:w="3969" w:type="dxa"/>
          </w:tcPr>
          <w:p w:rsidR="000B17FD" w:rsidRDefault="0062605C" w:rsidP="0035564B">
            <w:pPr>
              <w:pStyle w:val="NoSpacing"/>
            </w:pPr>
            <w:r>
              <w:t>1 January 2019 to 31 December 2019</w:t>
            </w:r>
          </w:p>
        </w:tc>
      </w:tr>
      <w:tr w:rsidR="000B17FD" w:rsidTr="0062605C">
        <w:tc>
          <w:tcPr>
            <w:tcW w:w="4112" w:type="dxa"/>
          </w:tcPr>
          <w:p w:rsidR="000B17FD" w:rsidRDefault="000B17FD" w:rsidP="0035564B">
            <w:pPr>
              <w:pStyle w:val="NoSpacing"/>
            </w:pPr>
            <w:r>
              <w:t>Board Member</w:t>
            </w:r>
          </w:p>
        </w:tc>
        <w:tc>
          <w:tcPr>
            <w:tcW w:w="2835" w:type="dxa"/>
          </w:tcPr>
          <w:p w:rsidR="000B17FD" w:rsidRDefault="0062605C" w:rsidP="0035564B">
            <w:pPr>
              <w:pStyle w:val="NoSpacing"/>
            </w:pPr>
            <w:r>
              <w:t>Dr Anne Jones</w:t>
            </w:r>
          </w:p>
        </w:tc>
        <w:tc>
          <w:tcPr>
            <w:tcW w:w="3969" w:type="dxa"/>
          </w:tcPr>
          <w:p w:rsidR="000B17FD" w:rsidRDefault="0062605C" w:rsidP="0035564B">
            <w:pPr>
              <w:pStyle w:val="NoSpacing"/>
            </w:pPr>
            <w:r>
              <w:t>1 January 2019 to 31 December 2019</w:t>
            </w:r>
          </w:p>
        </w:tc>
      </w:tr>
      <w:tr w:rsidR="000B17FD" w:rsidTr="0062605C">
        <w:tc>
          <w:tcPr>
            <w:tcW w:w="4112" w:type="dxa"/>
          </w:tcPr>
          <w:p w:rsidR="000B17FD" w:rsidRDefault="000B17FD" w:rsidP="0035564B">
            <w:pPr>
              <w:pStyle w:val="NoSpacing"/>
            </w:pPr>
            <w:r>
              <w:t>Board Member</w:t>
            </w:r>
          </w:p>
        </w:tc>
        <w:tc>
          <w:tcPr>
            <w:tcW w:w="2835" w:type="dxa"/>
          </w:tcPr>
          <w:p w:rsidR="000B17FD" w:rsidRDefault="0062605C" w:rsidP="0035564B">
            <w:pPr>
              <w:pStyle w:val="NoSpacing"/>
            </w:pPr>
            <w:r>
              <w:t>Mr Peter Malone</w:t>
            </w:r>
          </w:p>
        </w:tc>
        <w:tc>
          <w:tcPr>
            <w:tcW w:w="3969" w:type="dxa"/>
          </w:tcPr>
          <w:p w:rsidR="000B17FD" w:rsidRDefault="0062605C" w:rsidP="0035564B">
            <w:pPr>
              <w:pStyle w:val="NoSpacing"/>
            </w:pPr>
            <w:r>
              <w:t>1 January 2019 to 31 December 2019</w:t>
            </w:r>
          </w:p>
        </w:tc>
      </w:tr>
      <w:tr w:rsidR="000B17FD" w:rsidTr="0062605C">
        <w:tc>
          <w:tcPr>
            <w:tcW w:w="4112" w:type="dxa"/>
          </w:tcPr>
          <w:p w:rsidR="000B17FD" w:rsidRDefault="000B17FD" w:rsidP="0035564B">
            <w:pPr>
              <w:pStyle w:val="NoSpacing"/>
            </w:pPr>
            <w:r>
              <w:t>Board Member</w:t>
            </w:r>
          </w:p>
        </w:tc>
        <w:tc>
          <w:tcPr>
            <w:tcW w:w="2835" w:type="dxa"/>
          </w:tcPr>
          <w:p w:rsidR="000B17FD" w:rsidRDefault="0062605C" w:rsidP="0035564B">
            <w:pPr>
              <w:pStyle w:val="NoSpacing"/>
            </w:pPr>
            <w:r>
              <w:t>Mr David Mann</w:t>
            </w:r>
          </w:p>
        </w:tc>
        <w:tc>
          <w:tcPr>
            <w:tcW w:w="3969" w:type="dxa"/>
          </w:tcPr>
          <w:p w:rsidR="000B17FD" w:rsidRDefault="0062605C" w:rsidP="0035564B">
            <w:pPr>
              <w:pStyle w:val="NoSpacing"/>
            </w:pPr>
            <w:r>
              <w:t>1 January 2019 to 31 December 2019</w:t>
            </w:r>
          </w:p>
        </w:tc>
      </w:tr>
      <w:tr w:rsidR="000B17FD" w:rsidTr="0062605C">
        <w:tc>
          <w:tcPr>
            <w:tcW w:w="4112" w:type="dxa"/>
          </w:tcPr>
          <w:p w:rsidR="000B17FD" w:rsidRDefault="000B17FD" w:rsidP="0035564B">
            <w:pPr>
              <w:pStyle w:val="NoSpacing"/>
            </w:pPr>
            <w:r>
              <w:t>Board Member</w:t>
            </w:r>
          </w:p>
        </w:tc>
        <w:tc>
          <w:tcPr>
            <w:tcW w:w="2835" w:type="dxa"/>
          </w:tcPr>
          <w:p w:rsidR="000B17FD" w:rsidRDefault="0062605C" w:rsidP="0035564B">
            <w:pPr>
              <w:pStyle w:val="NoSpacing"/>
            </w:pPr>
            <w:r>
              <w:t>Ms Lisa Norman</w:t>
            </w:r>
          </w:p>
        </w:tc>
        <w:tc>
          <w:tcPr>
            <w:tcW w:w="3969" w:type="dxa"/>
          </w:tcPr>
          <w:p w:rsidR="000B17FD" w:rsidRDefault="0062605C" w:rsidP="0035564B">
            <w:pPr>
              <w:pStyle w:val="NoSpacing"/>
            </w:pPr>
            <w:r>
              <w:t>1 January 2019 to 31 December 2019</w:t>
            </w:r>
          </w:p>
        </w:tc>
      </w:tr>
    </w:tbl>
    <w:p w:rsidR="000B17FD" w:rsidRDefault="000B17FD" w:rsidP="0035564B">
      <w:pPr>
        <w:pStyle w:val="NoSpacing"/>
      </w:pPr>
    </w:p>
    <w:p w:rsidR="006751AD" w:rsidRDefault="006751AD" w:rsidP="0028573F">
      <w:pPr>
        <w:pStyle w:val="Heading4"/>
      </w:pPr>
      <w:r>
        <w:t>Remuneration</w:t>
      </w:r>
    </w:p>
    <w:p w:rsidR="006751AD" w:rsidRDefault="006751AD" w:rsidP="0035564B">
      <w:pPr>
        <w:pStyle w:val="NoSpacing"/>
      </w:pPr>
      <w:r>
        <w:t>Remuneration received or receivable by the Accountable Officers in connection with the management of Chisholm Group during the reporting period was in the range: $660,000 - $669,999 (2018: $250,000 – 259,999). This significant increase was due to there being two Accountable Officers during 2019 (Stephen Varty and Rick Ede). Rick Ede also received termination benefits in 2019.</w:t>
      </w:r>
    </w:p>
    <w:p w:rsidR="006751AD" w:rsidRDefault="006751AD" w:rsidP="0035564B">
      <w:pPr>
        <w:pStyle w:val="NoSpacing"/>
      </w:pPr>
    </w:p>
    <w:p w:rsidR="006751AD" w:rsidRDefault="006751AD" w:rsidP="0035564B">
      <w:pPr>
        <w:pStyle w:val="NoSpacing"/>
      </w:pPr>
      <w:r>
        <w:t>Included in the 2019 remuneration above is payment of termination benefits in the range: $120,000 - $129,999.</w:t>
      </w:r>
    </w:p>
    <w:p w:rsidR="006751AD" w:rsidRDefault="006751AD" w:rsidP="0035564B">
      <w:pPr>
        <w:pStyle w:val="NoSpacing"/>
      </w:pPr>
    </w:p>
    <w:p w:rsidR="006751AD" w:rsidRDefault="006751AD" w:rsidP="0035564B">
      <w:pPr>
        <w:pStyle w:val="NoSpacing"/>
      </w:pPr>
      <w:r>
        <w:t>&lt;page 88&gt;</w:t>
      </w:r>
    </w:p>
    <w:p w:rsidR="006751AD" w:rsidRDefault="006751AD" w:rsidP="0035564B">
      <w:pPr>
        <w:pStyle w:val="NoSpacing"/>
      </w:pPr>
    </w:p>
    <w:p w:rsidR="006751AD" w:rsidRDefault="006751AD" w:rsidP="006751AD">
      <w:pPr>
        <w:pStyle w:val="Heading2"/>
      </w:pPr>
      <w:r>
        <w:t>8. Governance Disclosures (continued)</w:t>
      </w:r>
    </w:p>
    <w:p w:rsidR="0028573F" w:rsidRDefault="0028573F" w:rsidP="0028573F">
      <w:pPr>
        <w:pStyle w:val="NoSpacing"/>
      </w:pPr>
    </w:p>
    <w:p w:rsidR="00AE4697" w:rsidRDefault="006751AD" w:rsidP="006751AD">
      <w:pPr>
        <w:pStyle w:val="Heading3"/>
      </w:pPr>
      <w:r>
        <w:t>8.1 Responsible persons (continued)</w:t>
      </w:r>
    </w:p>
    <w:p w:rsidR="006751AD" w:rsidRDefault="006751AD" w:rsidP="006751AD">
      <w:pPr>
        <w:pStyle w:val="NoSpacing"/>
      </w:pPr>
    </w:p>
    <w:p w:rsidR="006751AD" w:rsidRDefault="006751AD" w:rsidP="006751AD">
      <w:pPr>
        <w:pStyle w:val="Heading4"/>
      </w:pPr>
      <w:r>
        <w:t>Remuneration (continued)</w:t>
      </w:r>
    </w:p>
    <w:p w:rsidR="00AE4697" w:rsidRDefault="006751AD" w:rsidP="00F02D69">
      <w:pPr>
        <w:pStyle w:val="NoSpacing"/>
      </w:pPr>
      <w:r>
        <w:t>Remuneration received or receivable by the Responsible Persons, excluding the Accountable Officer, during the reporting period was in the range:</w:t>
      </w:r>
    </w:p>
    <w:tbl>
      <w:tblPr>
        <w:tblStyle w:val="TableGrid"/>
        <w:tblW w:w="10916" w:type="dxa"/>
        <w:tblInd w:w="-998" w:type="dxa"/>
        <w:tblLook w:val="04A0" w:firstRow="1" w:lastRow="0" w:firstColumn="1" w:lastColumn="0" w:noHBand="0" w:noVBand="1"/>
      </w:tblPr>
      <w:tblGrid>
        <w:gridCol w:w="8081"/>
        <w:gridCol w:w="1417"/>
        <w:gridCol w:w="1418"/>
      </w:tblGrid>
      <w:tr w:rsidR="00EE1955" w:rsidTr="00EE1955">
        <w:trPr>
          <w:gridBefore w:val="1"/>
          <w:wBefore w:w="8081" w:type="dxa"/>
        </w:trPr>
        <w:tc>
          <w:tcPr>
            <w:tcW w:w="1417" w:type="dxa"/>
          </w:tcPr>
          <w:p w:rsidR="00EE1955" w:rsidRDefault="00EE1955" w:rsidP="00EE1955">
            <w:pPr>
              <w:pStyle w:val="NoSpacing"/>
              <w:jc w:val="right"/>
            </w:pPr>
            <w:r>
              <w:t>2019</w:t>
            </w:r>
          </w:p>
        </w:tc>
        <w:tc>
          <w:tcPr>
            <w:tcW w:w="1418" w:type="dxa"/>
          </w:tcPr>
          <w:p w:rsidR="00EE1955" w:rsidRDefault="00EE1955" w:rsidP="00EE1955">
            <w:pPr>
              <w:pStyle w:val="NoSpacing"/>
              <w:jc w:val="right"/>
            </w:pPr>
            <w:r>
              <w:t>2018</w:t>
            </w:r>
          </w:p>
        </w:tc>
      </w:tr>
      <w:tr w:rsidR="00EE1955" w:rsidTr="00730D00">
        <w:tc>
          <w:tcPr>
            <w:tcW w:w="10916" w:type="dxa"/>
            <w:gridSpan w:val="3"/>
          </w:tcPr>
          <w:p w:rsidR="00EE1955" w:rsidRDefault="00EE1955" w:rsidP="00F02D69">
            <w:pPr>
              <w:pStyle w:val="NoSpacing"/>
            </w:pPr>
            <w:r>
              <w:t>Income range</w:t>
            </w:r>
          </w:p>
        </w:tc>
      </w:tr>
      <w:tr w:rsidR="00EE1955" w:rsidTr="00EE1955">
        <w:tc>
          <w:tcPr>
            <w:tcW w:w="8081" w:type="dxa"/>
          </w:tcPr>
          <w:p w:rsidR="00EE1955" w:rsidRDefault="00EE1955" w:rsidP="00F02D69">
            <w:pPr>
              <w:pStyle w:val="NoSpacing"/>
            </w:pPr>
            <w:r>
              <w:t>Less than $10,000</w:t>
            </w:r>
          </w:p>
        </w:tc>
        <w:tc>
          <w:tcPr>
            <w:tcW w:w="1417" w:type="dxa"/>
          </w:tcPr>
          <w:p w:rsidR="00EE1955" w:rsidRDefault="006751AD" w:rsidP="006751AD">
            <w:pPr>
              <w:pStyle w:val="NoSpacing"/>
              <w:jc w:val="right"/>
            </w:pPr>
            <w:r>
              <w:t>2</w:t>
            </w:r>
          </w:p>
        </w:tc>
        <w:tc>
          <w:tcPr>
            <w:tcW w:w="1418" w:type="dxa"/>
          </w:tcPr>
          <w:p w:rsidR="00EE1955" w:rsidRDefault="006751AD" w:rsidP="006751AD">
            <w:pPr>
              <w:pStyle w:val="NoSpacing"/>
              <w:jc w:val="right"/>
            </w:pPr>
            <w:r>
              <w:t>1</w:t>
            </w:r>
          </w:p>
        </w:tc>
      </w:tr>
      <w:tr w:rsidR="00EE1955" w:rsidTr="00EE1955">
        <w:tc>
          <w:tcPr>
            <w:tcW w:w="8081" w:type="dxa"/>
          </w:tcPr>
          <w:p w:rsidR="00EE1955" w:rsidRDefault="00EE1955" w:rsidP="00F02D69">
            <w:pPr>
              <w:pStyle w:val="NoSpacing"/>
            </w:pPr>
            <w:r>
              <w:t>$10,000 - $19,999</w:t>
            </w:r>
          </w:p>
        </w:tc>
        <w:tc>
          <w:tcPr>
            <w:tcW w:w="1417" w:type="dxa"/>
          </w:tcPr>
          <w:p w:rsidR="00EE1955" w:rsidRDefault="006751AD" w:rsidP="006751AD">
            <w:pPr>
              <w:pStyle w:val="NoSpacing"/>
              <w:jc w:val="right"/>
            </w:pPr>
            <w:r>
              <w:t>-</w:t>
            </w:r>
          </w:p>
        </w:tc>
        <w:tc>
          <w:tcPr>
            <w:tcW w:w="1418" w:type="dxa"/>
          </w:tcPr>
          <w:p w:rsidR="00EE1955" w:rsidRDefault="006751AD" w:rsidP="006751AD">
            <w:pPr>
              <w:pStyle w:val="NoSpacing"/>
              <w:jc w:val="right"/>
            </w:pPr>
            <w:r>
              <w:t>1</w:t>
            </w:r>
          </w:p>
        </w:tc>
      </w:tr>
      <w:tr w:rsidR="00EE1955" w:rsidTr="00EE1955">
        <w:tc>
          <w:tcPr>
            <w:tcW w:w="8081" w:type="dxa"/>
          </w:tcPr>
          <w:p w:rsidR="00EE1955" w:rsidRDefault="00EE1955" w:rsidP="00EE1955">
            <w:pPr>
              <w:pStyle w:val="NoSpacing"/>
            </w:pPr>
            <w:r>
              <w:t>$20,000 - $29,999</w:t>
            </w:r>
          </w:p>
        </w:tc>
        <w:tc>
          <w:tcPr>
            <w:tcW w:w="1417" w:type="dxa"/>
          </w:tcPr>
          <w:p w:rsidR="00EE1955" w:rsidRDefault="006751AD" w:rsidP="006751AD">
            <w:pPr>
              <w:pStyle w:val="NoSpacing"/>
              <w:jc w:val="right"/>
            </w:pPr>
            <w:r>
              <w:t>1</w:t>
            </w:r>
          </w:p>
        </w:tc>
        <w:tc>
          <w:tcPr>
            <w:tcW w:w="1418" w:type="dxa"/>
          </w:tcPr>
          <w:p w:rsidR="00EE1955" w:rsidRDefault="006751AD" w:rsidP="006751AD">
            <w:pPr>
              <w:pStyle w:val="NoSpacing"/>
              <w:jc w:val="right"/>
            </w:pPr>
            <w:r>
              <w:t>1</w:t>
            </w:r>
          </w:p>
        </w:tc>
      </w:tr>
      <w:tr w:rsidR="00EE1955" w:rsidTr="00EE1955">
        <w:tc>
          <w:tcPr>
            <w:tcW w:w="8081" w:type="dxa"/>
          </w:tcPr>
          <w:p w:rsidR="00EE1955" w:rsidRDefault="00EE1955" w:rsidP="00EE1955">
            <w:pPr>
              <w:pStyle w:val="NoSpacing"/>
            </w:pPr>
            <w:r>
              <w:t>$30,000 - $39,999</w:t>
            </w:r>
          </w:p>
        </w:tc>
        <w:tc>
          <w:tcPr>
            <w:tcW w:w="1417" w:type="dxa"/>
          </w:tcPr>
          <w:p w:rsidR="00EE1955" w:rsidRDefault="006751AD" w:rsidP="006751AD">
            <w:pPr>
              <w:pStyle w:val="NoSpacing"/>
              <w:jc w:val="right"/>
            </w:pPr>
            <w:r>
              <w:t>5</w:t>
            </w:r>
          </w:p>
        </w:tc>
        <w:tc>
          <w:tcPr>
            <w:tcW w:w="1418" w:type="dxa"/>
          </w:tcPr>
          <w:p w:rsidR="00EE1955" w:rsidRDefault="006751AD" w:rsidP="006751AD">
            <w:pPr>
              <w:pStyle w:val="NoSpacing"/>
              <w:jc w:val="right"/>
            </w:pPr>
            <w:r>
              <w:t>6</w:t>
            </w:r>
          </w:p>
        </w:tc>
      </w:tr>
      <w:tr w:rsidR="00EE1955" w:rsidTr="00EE1955">
        <w:tc>
          <w:tcPr>
            <w:tcW w:w="8081" w:type="dxa"/>
          </w:tcPr>
          <w:p w:rsidR="00EE1955" w:rsidRDefault="00EE1955" w:rsidP="00EE1955">
            <w:pPr>
              <w:pStyle w:val="NoSpacing"/>
            </w:pPr>
            <w:r>
              <w:t>$40,000 - $49,999</w:t>
            </w:r>
          </w:p>
        </w:tc>
        <w:tc>
          <w:tcPr>
            <w:tcW w:w="1417" w:type="dxa"/>
          </w:tcPr>
          <w:p w:rsidR="00EE1955" w:rsidRDefault="006751AD" w:rsidP="006751AD">
            <w:pPr>
              <w:pStyle w:val="NoSpacing"/>
              <w:jc w:val="right"/>
            </w:pPr>
            <w:r>
              <w:t>1</w:t>
            </w:r>
          </w:p>
        </w:tc>
        <w:tc>
          <w:tcPr>
            <w:tcW w:w="1418" w:type="dxa"/>
          </w:tcPr>
          <w:p w:rsidR="00EE1955" w:rsidRDefault="006751AD" w:rsidP="006751AD">
            <w:pPr>
              <w:pStyle w:val="NoSpacing"/>
              <w:jc w:val="right"/>
            </w:pPr>
            <w:r>
              <w:t>-</w:t>
            </w:r>
          </w:p>
        </w:tc>
      </w:tr>
      <w:tr w:rsidR="00EE1955" w:rsidTr="00EE1955">
        <w:tc>
          <w:tcPr>
            <w:tcW w:w="8081" w:type="dxa"/>
          </w:tcPr>
          <w:p w:rsidR="00EE1955" w:rsidRDefault="00EE1955" w:rsidP="00EE1955">
            <w:pPr>
              <w:pStyle w:val="NoSpacing"/>
            </w:pPr>
            <w:r>
              <w:t>$70,000 - $79,999</w:t>
            </w:r>
          </w:p>
        </w:tc>
        <w:tc>
          <w:tcPr>
            <w:tcW w:w="1417" w:type="dxa"/>
          </w:tcPr>
          <w:p w:rsidR="00EE1955" w:rsidRDefault="006751AD" w:rsidP="006751AD">
            <w:pPr>
              <w:pStyle w:val="NoSpacing"/>
              <w:jc w:val="right"/>
            </w:pPr>
            <w:r>
              <w:t>1</w:t>
            </w:r>
          </w:p>
        </w:tc>
        <w:tc>
          <w:tcPr>
            <w:tcW w:w="1418" w:type="dxa"/>
          </w:tcPr>
          <w:p w:rsidR="00EE1955" w:rsidRDefault="006751AD" w:rsidP="006751AD">
            <w:pPr>
              <w:pStyle w:val="NoSpacing"/>
              <w:jc w:val="right"/>
            </w:pPr>
            <w:r>
              <w:t>1</w:t>
            </w:r>
          </w:p>
        </w:tc>
      </w:tr>
      <w:tr w:rsidR="00EE1955" w:rsidTr="00EE1955">
        <w:tc>
          <w:tcPr>
            <w:tcW w:w="8081" w:type="dxa"/>
          </w:tcPr>
          <w:p w:rsidR="00EE1955" w:rsidRDefault="00EE1955" w:rsidP="00EE1955">
            <w:pPr>
              <w:pStyle w:val="NoSpacing"/>
            </w:pPr>
            <w:r>
              <w:t xml:space="preserve">Total number </w:t>
            </w:r>
          </w:p>
        </w:tc>
        <w:tc>
          <w:tcPr>
            <w:tcW w:w="1417" w:type="dxa"/>
          </w:tcPr>
          <w:p w:rsidR="00EE1955" w:rsidRDefault="006751AD" w:rsidP="006751AD">
            <w:pPr>
              <w:pStyle w:val="NoSpacing"/>
              <w:jc w:val="right"/>
            </w:pPr>
            <w:r>
              <w:t>10</w:t>
            </w:r>
          </w:p>
        </w:tc>
        <w:tc>
          <w:tcPr>
            <w:tcW w:w="1418" w:type="dxa"/>
          </w:tcPr>
          <w:p w:rsidR="00EE1955" w:rsidRDefault="006751AD" w:rsidP="006751AD">
            <w:pPr>
              <w:pStyle w:val="NoSpacing"/>
              <w:jc w:val="right"/>
            </w:pPr>
            <w:r>
              <w:t>10</w:t>
            </w:r>
          </w:p>
        </w:tc>
      </w:tr>
      <w:tr w:rsidR="00EE1955" w:rsidTr="00EE1955">
        <w:tc>
          <w:tcPr>
            <w:tcW w:w="8081" w:type="dxa"/>
          </w:tcPr>
          <w:p w:rsidR="00EE1955" w:rsidRDefault="00EE1955" w:rsidP="00EE1955">
            <w:pPr>
              <w:pStyle w:val="NoSpacing"/>
            </w:pPr>
            <w:r>
              <w:t>Total remuneration ($’000)</w:t>
            </w:r>
          </w:p>
        </w:tc>
        <w:tc>
          <w:tcPr>
            <w:tcW w:w="1417" w:type="dxa"/>
          </w:tcPr>
          <w:p w:rsidR="00EE1955" w:rsidRDefault="006751AD" w:rsidP="006751AD">
            <w:pPr>
              <w:pStyle w:val="NoSpacing"/>
              <w:jc w:val="right"/>
            </w:pPr>
            <w:r>
              <w:t>340</w:t>
            </w:r>
          </w:p>
        </w:tc>
        <w:tc>
          <w:tcPr>
            <w:tcW w:w="1418" w:type="dxa"/>
          </w:tcPr>
          <w:p w:rsidR="00EE1955" w:rsidRDefault="006751AD" w:rsidP="006751AD">
            <w:pPr>
              <w:pStyle w:val="NoSpacing"/>
              <w:jc w:val="right"/>
            </w:pPr>
            <w:r>
              <w:t>335</w:t>
            </w:r>
          </w:p>
        </w:tc>
      </w:tr>
    </w:tbl>
    <w:p w:rsidR="00DE33BC" w:rsidRDefault="00DE33BC" w:rsidP="00F02D69">
      <w:pPr>
        <w:pStyle w:val="NoSpacing"/>
      </w:pPr>
    </w:p>
    <w:p w:rsidR="006751AD" w:rsidRDefault="006751AD" w:rsidP="00F02D69">
      <w:pPr>
        <w:pStyle w:val="NoSpacing"/>
      </w:pPr>
      <w:r>
        <w:t>Remuneration of the Responsible Minister is included in t</w:t>
      </w:r>
      <w:r w:rsidR="006C3889">
        <w:t>he financial statements of the D</w:t>
      </w:r>
      <w:r>
        <w:t>epartment of Parliamentary Services.</w:t>
      </w:r>
    </w:p>
    <w:p w:rsidR="00EE1955" w:rsidRDefault="00EE1955" w:rsidP="00F02D69">
      <w:pPr>
        <w:pStyle w:val="NoSpacing"/>
      </w:pPr>
    </w:p>
    <w:p w:rsidR="00EE1955" w:rsidRDefault="00EE1955" w:rsidP="006751AD">
      <w:pPr>
        <w:pStyle w:val="Heading3"/>
      </w:pPr>
      <w:r>
        <w:t>8.2 Remuneration of executives</w:t>
      </w:r>
    </w:p>
    <w:p w:rsidR="00730D00" w:rsidRDefault="00730D00" w:rsidP="00F02D69">
      <w:pPr>
        <w:pStyle w:val="NoSpacing"/>
      </w:pPr>
    </w:p>
    <w:p w:rsidR="006751AD" w:rsidRDefault="006751AD" w:rsidP="00F02D69">
      <w:pPr>
        <w:pStyle w:val="NoSpacing"/>
      </w:pPr>
      <w:r>
        <w:t>The number of executive officers, other than the Accountable Officers, and their total remuneration during the reporting period is shown in the table below. Total annualised employee equivalents provides a measure of full time equivalent executive officers over the reporting period.</w:t>
      </w:r>
    </w:p>
    <w:p w:rsidR="006751AD" w:rsidRDefault="006751AD" w:rsidP="00F02D69">
      <w:pPr>
        <w:pStyle w:val="NoSpacing"/>
      </w:pPr>
    </w:p>
    <w:p w:rsidR="006751AD" w:rsidRDefault="006C3889" w:rsidP="00F02D69">
      <w:pPr>
        <w:pStyle w:val="NoSpacing"/>
      </w:pPr>
      <w:r>
        <w:t>Remuneration comprises employee benefits in all forms of consideration paid, payable or provided by the entity, or on behalf of the entity, in exchange for services rendered, and is disclosed in the following categories.</w:t>
      </w:r>
    </w:p>
    <w:p w:rsidR="006C3889" w:rsidRDefault="006C3889" w:rsidP="00F02D69">
      <w:pPr>
        <w:pStyle w:val="NoSpacing"/>
      </w:pPr>
    </w:p>
    <w:p w:rsidR="006C3889" w:rsidRDefault="006C3889" w:rsidP="00F02D69">
      <w:pPr>
        <w:pStyle w:val="NoSpacing"/>
      </w:pPr>
      <w:r w:rsidRPr="006C3889">
        <w:rPr>
          <w:rStyle w:val="Heading4Char"/>
        </w:rPr>
        <w:t>Short-term employee benefits</w:t>
      </w:r>
      <w:r>
        <w:t xml:space="preserve"> include amounts such as wages, salaries, annual leave or sick leave that are usually paid or payable on a regular basis, as well as non-monetary benefits such as allowances and free or subsidised goods or services.</w:t>
      </w:r>
    </w:p>
    <w:p w:rsidR="006C3889" w:rsidRDefault="006C3889" w:rsidP="00F02D69">
      <w:pPr>
        <w:pStyle w:val="NoSpacing"/>
      </w:pPr>
    </w:p>
    <w:p w:rsidR="006C3889" w:rsidRDefault="006C3889" w:rsidP="00F02D69">
      <w:pPr>
        <w:pStyle w:val="NoSpacing"/>
      </w:pPr>
      <w:r w:rsidRPr="006C3889">
        <w:rPr>
          <w:rStyle w:val="Heading4Char"/>
        </w:rPr>
        <w:t>Post-employment benefits</w:t>
      </w:r>
      <w:r>
        <w:t xml:space="preserve"> include pensions and other retirement benefits paid or payable on a discrete basis when employment has ceased.</w:t>
      </w:r>
    </w:p>
    <w:p w:rsidR="006C3889" w:rsidRDefault="006C3889" w:rsidP="00F02D69">
      <w:pPr>
        <w:pStyle w:val="NoSpacing"/>
      </w:pPr>
    </w:p>
    <w:p w:rsidR="006C3889" w:rsidRDefault="006C3889" w:rsidP="00F02D69">
      <w:pPr>
        <w:pStyle w:val="NoSpacing"/>
      </w:pPr>
      <w:r w:rsidRPr="006C3889">
        <w:rPr>
          <w:rStyle w:val="Heading4Char"/>
        </w:rPr>
        <w:t>Other long-term benefits</w:t>
      </w:r>
      <w:r>
        <w:t xml:space="preserve"> include long service leave, other long service benefits or deferred compensation.</w:t>
      </w:r>
    </w:p>
    <w:p w:rsidR="006C3889" w:rsidRDefault="006C3889" w:rsidP="00F02D69">
      <w:pPr>
        <w:pStyle w:val="NoSpacing"/>
      </w:pPr>
    </w:p>
    <w:p w:rsidR="006C3889" w:rsidRDefault="006C3889" w:rsidP="00F02D69">
      <w:pPr>
        <w:pStyle w:val="NoSpacing"/>
      </w:pPr>
      <w:r w:rsidRPr="006C3889">
        <w:rPr>
          <w:rStyle w:val="Heading4Char"/>
        </w:rPr>
        <w:t>Termination benefits</w:t>
      </w:r>
      <w:r>
        <w:t xml:space="preserve"> include termination of employment payments, such as severance packages.</w:t>
      </w:r>
    </w:p>
    <w:p w:rsidR="006C3889" w:rsidRDefault="006C3889" w:rsidP="00F02D69">
      <w:pPr>
        <w:pStyle w:val="NoSpacing"/>
      </w:pPr>
    </w:p>
    <w:p w:rsidR="006751AD" w:rsidRDefault="006751AD" w:rsidP="00F02D69">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730D00" w:rsidTr="00730D00">
        <w:trPr>
          <w:gridBefore w:val="1"/>
          <w:wBefore w:w="5529" w:type="dxa"/>
        </w:trPr>
        <w:tc>
          <w:tcPr>
            <w:tcW w:w="2552" w:type="dxa"/>
            <w:gridSpan w:val="2"/>
          </w:tcPr>
          <w:p w:rsidR="00730D00" w:rsidRDefault="00730D00" w:rsidP="00730D00">
            <w:pPr>
              <w:pStyle w:val="NoSpacing"/>
              <w:jc w:val="right"/>
            </w:pPr>
            <w:r>
              <w:lastRenderedPageBreak/>
              <w:t>Consolidated</w:t>
            </w:r>
          </w:p>
        </w:tc>
        <w:tc>
          <w:tcPr>
            <w:tcW w:w="2551" w:type="dxa"/>
            <w:gridSpan w:val="2"/>
          </w:tcPr>
          <w:p w:rsidR="00730D00" w:rsidRDefault="00730D00" w:rsidP="00730D00">
            <w:pPr>
              <w:pStyle w:val="NoSpacing"/>
              <w:jc w:val="right"/>
            </w:pPr>
            <w:r>
              <w:t>Chisholm</w:t>
            </w:r>
          </w:p>
        </w:tc>
      </w:tr>
      <w:tr w:rsidR="00730D00" w:rsidTr="00730D00">
        <w:trPr>
          <w:gridBefore w:val="1"/>
          <w:wBefore w:w="5529" w:type="dxa"/>
        </w:trPr>
        <w:tc>
          <w:tcPr>
            <w:tcW w:w="1276" w:type="dxa"/>
          </w:tcPr>
          <w:p w:rsidR="00730D00" w:rsidRDefault="00730D00" w:rsidP="00730D00">
            <w:pPr>
              <w:pStyle w:val="NoSpacing"/>
              <w:jc w:val="right"/>
            </w:pPr>
            <w:r>
              <w:t>2019</w:t>
            </w:r>
          </w:p>
        </w:tc>
        <w:tc>
          <w:tcPr>
            <w:tcW w:w="1276" w:type="dxa"/>
          </w:tcPr>
          <w:p w:rsidR="00730D00" w:rsidRDefault="00730D00" w:rsidP="00730D00">
            <w:pPr>
              <w:pStyle w:val="NoSpacing"/>
              <w:jc w:val="right"/>
            </w:pPr>
            <w:r>
              <w:t>2018</w:t>
            </w:r>
          </w:p>
        </w:tc>
        <w:tc>
          <w:tcPr>
            <w:tcW w:w="1275" w:type="dxa"/>
          </w:tcPr>
          <w:p w:rsidR="00730D00" w:rsidRDefault="00730D00" w:rsidP="00730D00">
            <w:pPr>
              <w:pStyle w:val="NoSpacing"/>
              <w:jc w:val="right"/>
            </w:pPr>
            <w:r>
              <w:t>2019</w:t>
            </w:r>
          </w:p>
        </w:tc>
        <w:tc>
          <w:tcPr>
            <w:tcW w:w="1276" w:type="dxa"/>
          </w:tcPr>
          <w:p w:rsidR="00730D00" w:rsidRDefault="00730D00" w:rsidP="00730D00">
            <w:pPr>
              <w:pStyle w:val="NoSpacing"/>
              <w:jc w:val="right"/>
            </w:pPr>
            <w:r>
              <w:t>2018</w:t>
            </w:r>
          </w:p>
        </w:tc>
      </w:tr>
      <w:tr w:rsidR="00730D00" w:rsidTr="00730D00">
        <w:trPr>
          <w:gridBefore w:val="1"/>
          <w:wBefore w:w="5529" w:type="dxa"/>
        </w:trPr>
        <w:tc>
          <w:tcPr>
            <w:tcW w:w="1276" w:type="dxa"/>
          </w:tcPr>
          <w:p w:rsidR="00730D00" w:rsidRDefault="00730D00" w:rsidP="00730D00">
            <w:pPr>
              <w:pStyle w:val="NoSpacing"/>
              <w:jc w:val="right"/>
            </w:pPr>
            <w:r>
              <w:t>$’000</w:t>
            </w:r>
          </w:p>
        </w:tc>
        <w:tc>
          <w:tcPr>
            <w:tcW w:w="1276" w:type="dxa"/>
          </w:tcPr>
          <w:p w:rsidR="00730D00" w:rsidRDefault="00730D00" w:rsidP="00730D00">
            <w:pPr>
              <w:jc w:val="right"/>
            </w:pPr>
            <w:r w:rsidRPr="00105D59">
              <w:t>$’000</w:t>
            </w:r>
          </w:p>
        </w:tc>
        <w:tc>
          <w:tcPr>
            <w:tcW w:w="1275" w:type="dxa"/>
          </w:tcPr>
          <w:p w:rsidR="00730D00" w:rsidRDefault="00730D00" w:rsidP="00730D00">
            <w:pPr>
              <w:jc w:val="right"/>
            </w:pPr>
            <w:r w:rsidRPr="00105D59">
              <w:t>$’000</w:t>
            </w:r>
          </w:p>
        </w:tc>
        <w:tc>
          <w:tcPr>
            <w:tcW w:w="1276" w:type="dxa"/>
          </w:tcPr>
          <w:p w:rsidR="00730D00" w:rsidRDefault="00730D00" w:rsidP="00730D00">
            <w:pPr>
              <w:jc w:val="right"/>
            </w:pPr>
            <w:r w:rsidRPr="00105D59">
              <w:t>$’000</w:t>
            </w:r>
          </w:p>
        </w:tc>
      </w:tr>
      <w:tr w:rsidR="006C3889" w:rsidTr="00BB6466">
        <w:tc>
          <w:tcPr>
            <w:tcW w:w="10632" w:type="dxa"/>
            <w:gridSpan w:val="5"/>
          </w:tcPr>
          <w:p w:rsidR="006C3889" w:rsidRDefault="006C3889" w:rsidP="006C3889">
            <w:pPr>
              <w:pStyle w:val="NoSpacing"/>
            </w:pPr>
            <w:r>
              <w:t>Remuneration</w:t>
            </w:r>
          </w:p>
        </w:tc>
      </w:tr>
      <w:tr w:rsidR="00730D00" w:rsidTr="00730D00">
        <w:tc>
          <w:tcPr>
            <w:tcW w:w="5529" w:type="dxa"/>
          </w:tcPr>
          <w:p w:rsidR="00730D00" w:rsidRDefault="00730D00" w:rsidP="00730D00">
            <w:pPr>
              <w:pStyle w:val="NoSpacing"/>
            </w:pPr>
            <w:r>
              <w:t>Short-term employee benefits</w:t>
            </w:r>
          </w:p>
        </w:tc>
        <w:tc>
          <w:tcPr>
            <w:tcW w:w="1276" w:type="dxa"/>
          </w:tcPr>
          <w:p w:rsidR="00730D00" w:rsidRDefault="006C3889" w:rsidP="00730D00">
            <w:pPr>
              <w:pStyle w:val="NoSpacing"/>
              <w:jc w:val="right"/>
            </w:pPr>
            <w:r>
              <w:t>2,037</w:t>
            </w:r>
          </w:p>
        </w:tc>
        <w:tc>
          <w:tcPr>
            <w:tcW w:w="1276" w:type="dxa"/>
          </w:tcPr>
          <w:p w:rsidR="00730D00" w:rsidRDefault="006C3889" w:rsidP="00730D00">
            <w:pPr>
              <w:pStyle w:val="NoSpacing"/>
              <w:jc w:val="right"/>
            </w:pPr>
            <w:r>
              <w:t>2,106</w:t>
            </w:r>
          </w:p>
        </w:tc>
        <w:tc>
          <w:tcPr>
            <w:tcW w:w="1275" w:type="dxa"/>
          </w:tcPr>
          <w:p w:rsidR="00730D00" w:rsidRDefault="006C3889" w:rsidP="00730D00">
            <w:pPr>
              <w:pStyle w:val="NoSpacing"/>
              <w:jc w:val="right"/>
            </w:pPr>
            <w:r>
              <w:t>1,909</w:t>
            </w:r>
          </w:p>
        </w:tc>
        <w:tc>
          <w:tcPr>
            <w:tcW w:w="1276" w:type="dxa"/>
          </w:tcPr>
          <w:p w:rsidR="00730D00" w:rsidRDefault="006C3889" w:rsidP="00730D00">
            <w:pPr>
              <w:pStyle w:val="NoSpacing"/>
              <w:jc w:val="right"/>
            </w:pPr>
            <w:r>
              <w:t>2,015</w:t>
            </w:r>
          </w:p>
        </w:tc>
      </w:tr>
      <w:tr w:rsidR="00730D00" w:rsidTr="00730D00">
        <w:tc>
          <w:tcPr>
            <w:tcW w:w="5529" w:type="dxa"/>
          </w:tcPr>
          <w:p w:rsidR="00730D00" w:rsidRDefault="006C3889" w:rsidP="00730D00">
            <w:pPr>
              <w:pStyle w:val="NoSpacing"/>
            </w:pPr>
            <w:r>
              <w:t>Post-employment benefits</w:t>
            </w:r>
          </w:p>
        </w:tc>
        <w:tc>
          <w:tcPr>
            <w:tcW w:w="1276" w:type="dxa"/>
          </w:tcPr>
          <w:p w:rsidR="00730D00" w:rsidRDefault="006C3889" w:rsidP="00730D00">
            <w:pPr>
              <w:pStyle w:val="NoSpacing"/>
              <w:jc w:val="right"/>
            </w:pPr>
            <w:r>
              <w:t>193</w:t>
            </w:r>
          </w:p>
        </w:tc>
        <w:tc>
          <w:tcPr>
            <w:tcW w:w="1276" w:type="dxa"/>
          </w:tcPr>
          <w:p w:rsidR="00730D00" w:rsidRDefault="006C3889" w:rsidP="00730D00">
            <w:pPr>
              <w:pStyle w:val="NoSpacing"/>
              <w:jc w:val="right"/>
            </w:pPr>
            <w:r>
              <w:t>185</w:t>
            </w:r>
          </w:p>
        </w:tc>
        <w:tc>
          <w:tcPr>
            <w:tcW w:w="1275" w:type="dxa"/>
          </w:tcPr>
          <w:p w:rsidR="00730D00" w:rsidRDefault="006C3889" w:rsidP="00730D00">
            <w:pPr>
              <w:pStyle w:val="NoSpacing"/>
              <w:jc w:val="right"/>
            </w:pPr>
            <w:r>
              <w:t>181</w:t>
            </w:r>
          </w:p>
        </w:tc>
        <w:tc>
          <w:tcPr>
            <w:tcW w:w="1276" w:type="dxa"/>
          </w:tcPr>
          <w:p w:rsidR="00730D00" w:rsidRDefault="006C3889" w:rsidP="00730D00">
            <w:pPr>
              <w:pStyle w:val="NoSpacing"/>
              <w:jc w:val="right"/>
            </w:pPr>
            <w:r>
              <w:t>176</w:t>
            </w:r>
          </w:p>
        </w:tc>
      </w:tr>
      <w:tr w:rsidR="006C3889" w:rsidTr="00730D00">
        <w:tc>
          <w:tcPr>
            <w:tcW w:w="5529" w:type="dxa"/>
          </w:tcPr>
          <w:p w:rsidR="006C3889" w:rsidRDefault="006C3889" w:rsidP="00730D00">
            <w:pPr>
              <w:pStyle w:val="NoSpacing"/>
            </w:pPr>
            <w:r>
              <w:t>Other long-term benefits</w:t>
            </w:r>
          </w:p>
        </w:tc>
        <w:tc>
          <w:tcPr>
            <w:tcW w:w="1276" w:type="dxa"/>
          </w:tcPr>
          <w:p w:rsidR="006C3889" w:rsidRDefault="006C3889" w:rsidP="00730D00">
            <w:pPr>
              <w:pStyle w:val="NoSpacing"/>
              <w:jc w:val="right"/>
            </w:pPr>
            <w:r>
              <w:t>12</w:t>
            </w:r>
          </w:p>
        </w:tc>
        <w:tc>
          <w:tcPr>
            <w:tcW w:w="1276" w:type="dxa"/>
          </w:tcPr>
          <w:p w:rsidR="006C3889" w:rsidRDefault="006C3889" w:rsidP="00730D00">
            <w:pPr>
              <w:pStyle w:val="NoSpacing"/>
              <w:jc w:val="right"/>
            </w:pPr>
            <w:r>
              <w:t>16</w:t>
            </w:r>
          </w:p>
        </w:tc>
        <w:tc>
          <w:tcPr>
            <w:tcW w:w="1275" w:type="dxa"/>
          </w:tcPr>
          <w:p w:rsidR="006C3889" w:rsidRDefault="006C3889" w:rsidP="00730D00">
            <w:pPr>
              <w:pStyle w:val="NoSpacing"/>
              <w:jc w:val="right"/>
            </w:pPr>
            <w:r>
              <w:t>12</w:t>
            </w:r>
          </w:p>
        </w:tc>
        <w:tc>
          <w:tcPr>
            <w:tcW w:w="1276" w:type="dxa"/>
          </w:tcPr>
          <w:p w:rsidR="006C3889" w:rsidRDefault="006C3889" w:rsidP="00730D00">
            <w:pPr>
              <w:pStyle w:val="NoSpacing"/>
              <w:jc w:val="right"/>
            </w:pPr>
            <w:r>
              <w:t>15</w:t>
            </w:r>
          </w:p>
        </w:tc>
      </w:tr>
      <w:tr w:rsidR="00730D00" w:rsidTr="00730D00">
        <w:tc>
          <w:tcPr>
            <w:tcW w:w="5529" w:type="dxa"/>
          </w:tcPr>
          <w:p w:rsidR="00730D00" w:rsidRDefault="00730D00" w:rsidP="00730D00">
            <w:pPr>
              <w:pStyle w:val="NoSpacing"/>
            </w:pPr>
            <w:r>
              <w:t>Termination benefits</w:t>
            </w:r>
          </w:p>
        </w:tc>
        <w:tc>
          <w:tcPr>
            <w:tcW w:w="1276" w:type="dxa"/>
          </w:tcPr>
          <w:p w:rsidR="00730D00" w:rsidRDefault="006C3889" w:rsidP="00730D00">
            <w:pPr>
              <w:pStyle w:val="NoSpacing"/>
              <w:jc w:val="right"/>
            </w:pPr>
            <w:r>
              <w:t>102</w:t>
            </w:r>
          </w:p>
        </w:tc>
        <w:tc>
          <w:tcPr>
            <w:tcW w:w="1276" w:type="dxa"/>
          </w:tcPr>
          <w:p w:rsidR="00730D00" w:rsidRDefault="006C3889" w:rsidP="00730D00">
            <w:pPr>
              <w:pStyle w:val="NoSpacing"/>
              <w:jc w:val="right"/>
            </w:pPr>
            <w:r>
              <w:t>586</w:t>
            </w:r>
          </w:p>
        </w:tc>
        <w:tc>
          <w:tcPr>
            <w:tcW w:w="1275" w:type="dxa"/>
          </w:tcPr>
          <w:p w:rsidR="00730D00" w:rsidRDefault="006C3889" w:rsidP="00730D00">
            <w:pPr>
              <w:pStyle w:val="NoSpacing"/>
              <w:jc w:val="right"/>
            </w:pPr>
            <w:r>
              <w:t>96</w:t>
            </w:r>
          </w:p>
        </w:tc>
        <w:tc>
          <w:tcPr>
            <w:tcW w:w="1276" w:type="dxa"/>
          </w:tcPr>
          <w:p w:rsidR="00730D00" w:rsidRDefault="00CB20D4" w:rsidP="00730D00">
            <w:pPr>
              <w:pStyle w:val="NoSpacing"/>
              <w:jc w:val="right"/>
            </w:pPr>
            <w:r>
              <w:t>586</w:t>
            </w:r>
          </w:p>
        </w:tc>
      </w:tr>
      <w:tr w:rsidR="00730D00" w:rsidTr="00730D00">
        <w:tc>
          <w:tcPr>
            <w:tcW w:w="5529" w:type="dxa"/>
          </w:tcPr>
          <w:p w:rsidR="00730D00" w:rsidRDefault="00730D00" w:rsidP="00730D00">
            <w:pPr>
              <w:pStyle w:val="NoSpacing"/>
            </w:pPr>
            <w:r>
              <w:t xml:space="preserve">Total remuneration </w:t>
            </w:r>
          </w:p>
        </w:tc>
        <w:tc>
          <w:tcPr>
            <w:tcW w:w="1276" w:type="dxa"/>
          </w:tcPr>
          <w:p w:rsidR="00730D00" w:rsidRDefault="006C3889" w:rsidP="00730D00">
            <w:pPr>
              <w:pStyle w:val="NoSpacing"/>
              <w:jc w:val="right"/>
            </w:pPr>
            <w:r>
              <w:t>2,344</w:t>
            </w:r>
          </w:p>
        </w:tc>
        <w:tc>
          <w:tcPr>
            <w:tcW w:w="1276" w:type="dxa"/>
          </w:tcPr>
          <w:p w:rsidR="00730D00" w:rsidRDefault="006C3889" w:rsidP="00730D00">
            <w:pPr>
              <w:pStyle w:val="NoSpacing"/>
              <w:jc w:val="right"/>
            </w:pPr>
            <w:r>
              <w:t>2,893</w:t>
            </w:r>
          </w:p>
        </w:tc>
        <w:tc>
          <w:tcPr>
            <w:tcW w:w="1275" w:type="dxa"/>
          </w:tcPr>
          <w:p w:rsidR="00730D00" w:rsidRDefault="006C3889" w:rsidP="00730D00">
            <w:pPr>
              <w:pStyle w:val="NoSpacing"/>
              <w:jc w:val="right"/>
            </w:pPr>
            <w:r>
              <w:t>2,198</w:t>
            </w:r>
          </w:p>
        </w:tc>
        <w:tc>
          <w:tcPr>
            <w:tcW w:w="1276" w:type="dxa"/>
          </w:tcPr>
          <w:p w:rsidR="00730D00" w:rsidRDefault="00CB20D4" w:rsidP="00730D00">
            <w:pPr>
              <w:pStyle w:val="NoSpacing"/>
              <w:jc w:val="right"/>
            </w:pPr>
            <w:r>
              <w:t>2,792</w:t>
            </w:r>
          </w:p>
        </w:tc>
      </w:tr>
      <w:tr w:rsidR="00730D00" w:rsidTr="00730D00">
        <w:tc>
          <w:tcPr>
            <w:tcW w:w="5529" w:type="dxa"/>
          </w:tcPr>
          <w:p w:rsidR="00730D00" w:rsidRDefault="009A6A2F" w:rsidP="00730D00">
            <w:pPr>
              <w:pStyle w:val="NoSpacing"/>
            </w:pPr>
            <w:r>
              <w:t>Total number of executives</w:t>
            </w:r>
          </w:p>
        </w:tc>
        <w:tc>
          <w:tcPr>
            <w:tcW w:w="1276" w:type="dxa"/>
          </w:tcPr>
          <w:p w:rsidR="00730D00" w:rsidRDefault="006C3889" w:rsidP="00730D00">
            <w:pPr>
              <w:pStyle w:val="NoSpacing"/>
              <w:jc w:val="right"/>
            </w:pPr>
            <w:r>
              <w:t>15</w:t>
            </w:r>
          </w:p>
        </w:tc>
        <w:tc>
          <w:tcPr>
            <w:tcW w:w="1276" w:type="dxa"/>
          </w:tcPr>
          <w:p w:rsidR="00730D00" w:rsidRDefault="006C3889" w:rsidP="00730D00">
            <w:pPr>
              <w:pStyle w:val="NoSpacing"/>
              <w:jc w:val="right"/>
            </w:pPr>
            <w:r>
              <w:t>14</w:t>
            </w:r>
          </w:p>
        </w:tc>
        <w:tc>
          <w:tcPr>
            <w:tcW w:w="1275" w:type="dxa"/>
          </w:tcPr>
          <w:p w:rsidR="00730D00" w:rsidRDefault="006C3889" w:rsidP="00730D00">
            <w:pPr>
              <w:pStyle w:val="NoSpacing"/>
              <w:jc w:val="right"/>
            </w:pPr>
            <w:r>
              <w:t>14</w:t>
            </w:r>
          </w:p>
        </w:tc>
        <w:tc>
          <w:tcPr>
            <w:tcW w:w="1276" w:type="dxa"/>
          </w:tcPr>
          <w:p w:rsidR="00730D00" w:rsidRDefault="00CB20D4" w:rsidP="00730D00">
            <w:pPr>
              <w:pStyle w:val="NoSpacing"/>
              <w:jc w:val="right"/>
            </w:pPr>
            <w:r>
              <w:t>13</w:t>
            </w:r>
          </w:p>
        </w:tc>
      </w:tr>
      <w:tr w:rsidR="00730D00" w:rsidTr="00730D00">
        <w:tc>
          <w:tcPr>
            <w:tcW w:w="5529" w:type="dxa"/>
          </w:tcPr>
          <w:p w:rsidR="00730D00" w:rsidRDefault="009A6A2F" w:rsidP="00730D00">
            <w:pPr>
              <w:pStyle w:val="NoSpacing"/>
            </w:pPr>
            <w:r>
              <w:t>Total annualised employee equivalents (i)</w:t>
            </w:r>
          </w:p>
        </w:tc>
        <w:tc>
          <w:tcPr>
            <w:tcW w:w="1276" w:type="dxa"/>
          </w:tcPr>
          <w:p w:rsidR="00730D00" w:rsidRDefault="006C3889" w:rsidP="00730D00">
            <w:pPr>
              <w:pStyle w:val="NoSpacing"/>
              <w:jc w:val="right"/>
            </w:pPr>
            <w:r>
              <w:t>9.9</w:t>
            </w:r>
          </w:p>
        </w:tc>
        <w:tc>
          <w:tcPr>
            <w:tcW w:w="1276" w:type="dxa"/>
          </w:tcPr>
          <w:p w:rsidR="00730D00" w:rsidRDefault="006C3889" w:rsidP="00730D00">
            <w:pPr>
              <w:pStyle w:val="NoSpacing"/>
              <w:jc w:val="right"/>
            </w:pPr>
            <w:r>
              <w:t>9.8</w:t>
            </w:r>
          </w:p>
        </w:tc>
        <w:tc>
          <w:tcPr>
            <w:tcW w:w="1275" w:type="dxa"/>
          </w:tcPr>
          <w:p w:rsidR="00730D00" w:rsidRDefault="006C3889" w:rsidP="00730D00">
            <w:pPr>
              <w:pStyle w:val="NoSpacing"/>
              <w:jc w:val="right"/>
            </w:pPr>
            <w:r>
              <w:t>9.2</w:t>
            </w:r>
          </w:p>
        </w:tc>
        <w:tc>
          <w:tcPr>
            <w:tcW w:w="1276" w:type="dxa"/>
          </w:tcPr>
          <w:p w:rsidR="00730D00" w:rsidRDefault="00CB20D4" w:rsidP="00730D00">
            <w:pPr>
              <w:pStyle w:val="NoSpacing"/>
              <w:jc w:val="right"/>
            </w:pPr>
            <w:r>
              <w:t>9.2</w:t>
            </w:r>
          </w:p>
        </w:tc>
      </w:tr>
    </w:tbl>
    <w:p w:rsidR="00730D00" w:rsidRDefault="006C3889" w:rsidP="00F02D69">
      <w:pPr>
        <w:pStyle w:val="NoSpacing"/>
      </w:pPr>
      <w:r>
        <w:t>(i) Annualised employee equivalent is based on paid working hours of 38 ordinary hours per week over the 52 weeks for a reporting period.</w:t>
      </w:r>
    </w:p>
    <w:p w:rsidR="009A6A2F" w:rsidRDefault="009A6A2F" w:rsidP="00F02D69">
      <w:pPr>
        <w:pStyle w:val="NoSpacing"/>
      </w:pPr>
    </w:p>
    <w:p w:rsidR="009B55DF" w:rsidRDefault="009B55DF" w:rsidP="00F02D69">
      <w:pPr>
        <w:pStyle w:val="NoSpacing"/>
      </w:pPr>
      <w:r>
        <w:t>&lt;page 89&gt;</w:t>
      </w:r>
    </w:p>
    <w:p w:rsidR="009B55DF" w:rsidRDefault="009B55DF" w:rsidP="00F02D69">
      <w:pPr>
        <w:pStyle w:val="NoSpacing"/>
      </w:pPr>
    </w:p>
    <w:p w:rsidR="009B55DF" w:rsidRDefault="009B55DF" w:rsidP="009B55DF">
      <w:pPr>
        <w:pStyle w:val="Heading2"/>
      </w:pPr>
      <w:r>
        <w:t>8. Governance Disclosures (continued)</w:t>
      </w:r>
    </w:p>
    <w:p w:rsidR="0028573F" w:rsidRDefault="0028573F" w:rsidP="0028573F">
      <w:pPr>
        <w:pStyle w:val="NoSpacing"/>
      </w:pPr>
    </w:p>
    <w:p w:rsidR="009A6A2F" w:rsidRDefault="009B55DF" w:rsidP="009B55DF">
      <w:pPr>
        <w:pStyle w:val="Heading3"/>
      </w:pPr>
      <w:r>
        <w:t>8.3 Related parties</w:t>
      </w:r>
    </w:p>
    <w:p w:rsidR="009A6A2F" w:rsidRDefault="009A6A2F" w:rsidP="00F02D69">
      <w:pPr>
        <w:pStyle w:val="NoSpacing"/>
      </w:pPr>
    </w:p>
    <w:p w:rsidR="009B55DF" w:rsidRDefault="009B55DF" w:rsidP="00F02D69">
      <w:pPr>
        <w:pStyle w:val="NoSpacing"/>
      </w:pPr>
      <w:r>
        <w:t>Related parties of Chisholm</w:t>
      </w:r>
      <w:r w:rsidR="00A43539">
        <w:t xml:space="preserve"> Institute and its consolidated group include:</w:t>
      </w:r>
    </w:p>
    <w:p w:rsidR="00A43539" w:rsidRDefault="00A43539" w:rsidP="00925530">
      <w:pPr>
        <w:pStyle w:val="NoSpacing"/>
        <w:numPr>
          <w:ilvl w:val="0"/>
          <w:numId w:val="59"/>
        </w:numPr>
      </w:pPr>
      <w:r>
        <w:t>all key management personnel and their close family members and personal business interests (controlled entities, joint ventures and entities they have significant influence over);</w:t>
      </w:r>
    </w:p>
    <w:p w:rsidR="00A43539" w:rsidRDefault="00A43539" w:rsidP="00925530">
      <w:pPr>
        <w:pStyle w:val="NoSpacing"/>
        <w:numPr>
          <w:ilvl w:val="0"/>
          <w:numId w:val="59"/>
        </w:numPr>
      </w:pPr>
      <w:r>
        <w:t xml:space="preserve">all departments and public sector entities that are controlled and consolidated into the whole of state consolidated financial statements; and </w:t>
      </w:r>
    </w:p>
    <w:p w:rsidR="00A43539" w:rsidRDefault="00A43539" w:rsidP="00925530">
      <w:pPr>
        <w:pStyle w:val="NoSpacing"/>
        <w:numPr>
          <w:ilvl w:val="0"/>
          <w:numId w:val="59"/>
        </w:numPr>
      </w:pPr>
      <w:r>
        <w:t>all entities that are controlled and consolidated into Chisholm’s consolidated financial statements.</w:t>
      </w:r>
    </w:p>
    <w:p w:rsidR="00A43539" w:rsidRDefault="00A43539" w:rsidP="00A43539">
      <w:pPr>
        <w:pStyle w:val="NoSpacing"/>
      </w:pPr>
    </w:p>
    <w:p w:rsidR="00A43539" w:rsidRDefault="00A43539" w:rsidP="00A43539">
      <w:pPr>
        <w:pStyle w:val="NoSpacing"/>
      </w:pPr>
      <w:r>
        <w:t>All related party transactions have been entered into on an arm’s length basis.</w:t>
      </w:r>
    </w:p>
    <w:p w:rsidR="00A43539" w:rsidRDefault="00A43539" w:rsidP="00A43539">
      <w:pPr>
        <w:pStyle w:val="NoSpacing"/>
      </w:pPr>
    </w:p>
    <w:p w:rsidR="00A43539" w:rsidRDefault="00A43539" w:rsidP="00A43539">
      <w:pPr>
        <w:pStyle w:val="NoSpacing"/>
      </w:pPr>
      <w:r>
        <w:t>The following entities have been consolidated into Chisholm Group’s financial statements in accordance with AASB 10:</w:t>
      </w:r>
    </w:p>
    <w:p w:rsidR="00A43539" w:rsidRDefault="00A43539" w:rsidP="00925530">
      <w:pPr>
        <w:pStyle w:val="NoSpacing"/>
        <w:numPr>
          <w:ilvl w:val="0"/>
          <w:numId w:val="60"/>
        </w:numPr>
      </w:pPr>
      <w:r>
        <w:t>TAFE Online Pty Ltd; and</w:t>
      </w:r>
    </w:p>
    <w:p w:rsidR="00A43539" w:rsidRDefault="00A43539" w:rsidP="00925530">
      <w:pPr>
        <w:pStyle w:val="NoSpacing"/>
        <w:numPr>
          <w:ilvl w:val="0"/>
          <w:numId w:val="60"/>
        </w:numPr>
      </w:pPr>
      <w:r>
        <w:t>Caroline Chisholm Education Foundation.</w:t>
      </w:r>
    </w:p>
    <w:p w:rsidR="00A43539" w:rsidRDefault="00A43539" w:rsidP="00A43539">
      <w:pPr>
        <w:pStyle w:val="NoSpacing"/>
      </w:pPr>
    </w:p>
    <w:p w:rsidR="00A43539" w:rsidRDefault="00A43539" w:rsidP="00A43539">
      <w:pPr>
        <w:pStyle w:val="Heading4"/>
      </w:pPr>
      <w:r>
        <w:t>Significant transactions with related entities</w:t>
      </w:r>
    </w:p>
    <w:p w:rsidR="00A43539" w:rsidRDefault="00A43539" w:rsidP="00A43539">
      <w:pPr>
        <w:pStyle w:val="NoSpacing"/>
      </w:pPr>
      <w:r>
        <w:t xml:space="preserve">In 2019, TAFE Online Pty Ltd repaid an </w:t>
      </w:r>
      <w:r w:rsidR="004D6699">
        <w:t>amount of $0.46 million to Chisholm Institute for a related party loan (2018 loan provided: $1.31 million).</w:t>
      </w:r>
    </w:p>
    <w:p w:rsidR="004D6699" w:rsidRDefault="004D6699" w:rsidP="00A43539">
      <w:pPr>
        <w:pStyle w:val="NoSpacing"/>
      </w:pPr>
    </w:p>
    <w:p w:rsidR="004D6699" w:rsidRDefault="004D6699" w:rsidP="00A43539">
      <w:pPr>
        <w:pStyle w:val="NoSpacing"/>
      </w:pPr>
      <w:r>
        <w:t>Chisholm Institute provided a donation of $133,750 (2018: $148,033) and resources free of charge of $177,470 (2018: $157,166) to Caroline Chisholm Education Foundation during the current financial year.</w:t>
      </w:r>
    </w:p>
    <w:p w:rsidR="009B55DF" w:rsidRDefault="009B55DF" w:rsidP="00F02D69">
      <w:pPr>
        <w:pStyle w:val="NoSpacing"/>
      </w:pPr>
    </w:p>
    <w:p w:rsidR="004D6699" w:rsidRDefault="004D6699" w:rsidP="004D6699">
      <w:pPr>
        <w:pStyle w:val="Heading4"/>
      </w:pPr>
      <w:r>
        <w:t>Related party transactions</w:t>
      </w:r>
    </w:p>
    <w:p w:rsidR="009B55DF" w:rsidRDefault="009B55DF" w:rsidP="00F02D69">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9A6A2F" w:rsidTr="009A6A2F">
        <w:trPr>
          <w:gridBefore w:val="1"/>
          <w:wBefore w:w="5529" w:type="dxa"/>
        </w:trPr>
        <w:tc>
          <w:tcPr>
            <w:tcW w:w="2552" w:type="dxa"/>
            <w:gridSpan w:val="2"/>
          </w:tcPr>
          <w:p w:rsidR="009A6A2F" w:rsidRDefault="009A6A2F" w:rsidP="00973738">
            <w:pPr>
              <w:pStyle w:val="NoSpacing"/>
              <w:jc w:val="right"/>
            </w:pPr>
            <w:r>
              <w:t>Transaction values for year ended 31 December</w:t>
            </w:r>
          </w:p>
        </w:tc>
        <w:tc>
          <w:tcPr>
            <w:tcW w:w="2551" w:type="dxa"/>
            <w:gridSpan w:val="2"/>
          </w:tcPr>
          <w:p w:rsidR="009A6A2F" w:rsidRDefault="009A6A2F" w:rsidP="00973738">
            <w:pPr>
              <w:pStyle w:val="NoSpacing"/>
              <w:jc w:val="right"/>
            </w:pPr>
            <w:r>
              <w:t>Balances outstanding as at 31 December</w:t>
            </w:r>
          </w:p>
        </w:tc>
      </w:tr>
      <w:tr w:rsidR="009A6A2F" w:rsidTr="009A6A2F">
        <w:trPr>
          <w:gridBefore w:val="1"/>
          <w:wBefore w:w="5529" w:type="dxa"/>
        </w:trPr>
        <w:tc>
          <w:tcPr>
            <w:tcW w:w="1276" w:type="dxa"/>
          </w:tcPr>
          <w:p w:rsidR="009A6A2F" w:rsidRDefault="009A6A2F" w:rsidP="00973738">
            <w:pPr>
              <w:pStyle w:val="NoSpacing"/>
              <w:jc w:val="right"/>
            </w:pPr>
            <w:r>
              <w:t>2019</w:t>
            </w:r>
          </w:p>
        </w:tc>
        <w:tc>
          <w:tcPr>
            <w:tcW w:w="1276" w:type="dxa"/>
          </w:tcPr>
          <w:p w:rsidR="009A6A2F" w:rsidRDefault="009A6A2F" w:rsidP="00973738">
            <w:pPr>
              <w:pStyle w:val="NoSpacing"/>
              <w:jc w:val="right"/>
            </w:pPr>
            <w:r>
              <w:t>2018</w:t>
            </w:r>
          </w:p>
        </w:tc>
        <w:tc>
          <w:tcPr>
            <w:tcW w:w="1275" w:type="dxa"/>
          </w:tcPr>
          <w:p w:rsidR="009A6A2F" w:rsidRDefault="009A6A2F" w:rsidP="00973738">
            <w:pPr>
              <w:pStyle w:val="NoSpacing"/>
              <w:jc w:val="right"/>
            </w:pPr>
            <w:r>
              <w:t>2019</w:t>
            </w:r>
          </w:p>
        </w:tc>
        <w:tc>
          <w:tcPr>
            <w:tcW w:w="1276" w:type="dxa"/>
          </w:tcPr>
          <w:p w:rsidR="009A6A2F" w:rsidRDefault="009A6A2F" w:rsidP="00973738">
            <w:pPr>
              <w:pStyle w:val="NoSpacing"/>
              <w:jc w:val="right"/>
            </w:pPr>
            <w:r>
              <w:t>2018</w:t>
            </w:r>
          </w:p>
        </w:tc>
      </w:tr>
      <w:tr w:rsidR="00973738" w:rsidTr="009A6A2F">
        <w:trPr>
          <w:gridBefore w:val="1"/>
          <w:wBefore w:w="5529" w:type="dxa"/>
        </w:trPr>
        <w:tc>
          <w:tcPr>
            <w:tcW w:w="1276" w:type="dxa"/>
          </w:tcPr>
          <w:p w:rsidR="00973738" w:rsidRDefault="00973738" w:rsidP="00973738">
            <w:pPr>
              <w:pStyle w:val="NoSpacing"/>
              <w:jc w:val="right"/>
            </w:pPr>
            <w:r>
              <w:lastRenderedPageBreak/>
              <w:t>$’000</w:t>
            </w:r>
          </w:p>
        </w:tc>
        <w:tc>
          <w:tcPr>
            <w:tcW w:w="1276" w:type="dxa"/>
          </w:tcPr>
          <w:p w:rsidR="00973738" w:rsidRDefault="00973738" w:rsidP="00973738">
            <w:pPr>
              <w:jc w:val="right"/>
            </w:pPr>
            <w:r w:rsidRPr="002A73C1">
              <w:t>$’000</w:t>
            </w:r>
          </w:p>
        </w:tc>
        <w:tc>
          <w:tcPr>
            <w:tcW w:w="1275" w:type="dxa"/>
          </w:tcPr>
          <w:p w:rsidR="00973738" w:rsidRDefault="00973738" w:rsidP="00973738">
            <w:pPr>
              <w:jc w:val="right"/>
            </w:pPr>
            <w:r w:rsidRPr="002A73C1">
              <w:t>$’000</w:t>
            </w:r>
          </w:p>
        </w:tc>
        <w:tc>
          <w:tcPr>
            <w:tcW w:w="1276" w:type="dxa"/>
          </w:tcPr>
          <w:p w:rsidR="00973738" w:rsidRDefault="00973738" w:rsidP="00973738">
            <w:pPr>
              <w:jc w:val="right"/>
            </w:pPr>
            <w:r w:rsidRPr="002A73C1">
              <w:t>$’000</w:t>
            </w:r>
          </w:p>
        </w:tc>
      </w:tr>
      <w:tr w:rsidR="00973738" w:rsidTr="0038251B">
        <w:tc>
          <w:tcPr>
            <w:tcW w:w="10632" w:type="dxa"/>
            <w:gridSpan w:val="5"/>
          </w:tcPr>
          <w:p w:rsidR="00973738" w:rsidRDefault="00973738" w:rsidP="00F02D69">
            <w:pPr>
              <w:pStyle w:val="NoSpacing"/>
            </w:pPr>
            <w:r>
              <w:t>Related party transactions</w:t>
            </w:r>
          </w:p>
        </w:tc>
      </w:tr>
      <w:tr w:rsidR="009A6A2F" w:rsidTr="009A6A2F">
        <w:tc>
          <w:tcPr>
            <w:tcW w:w="5529" w:type="dxa"/>
          </w:tcPr>
          <w:p w:rsidR="009A6A2F" w:rsidRDefault="00973738" w:rsidP="00F02D69">
            <w:pPr>
              <w:pStyle w:val="NoSpacing"/>
            </w:pPr>
            <w:r>
              <w:t>Debtor – TAFE Online Pty Ltd</w:t>
            </w:r>
          </w:p>
        </w:tc>
        <w:tc>
          <w:tcPr>
            <w:tcW w:w="1276" w:type="dxa"/>
          </w:tcPr>
          <w:p w:rsidR="009A6A2F" w:rsidRDefault="004D6699" w:rsidP="004D6699">
            <w:pPr>
              <w:pStyle w:val="NoSpacing"/>
              <w:jc w:val="right"/>
            </w:pPr>
            <w:r>
              <w:t>-</w:t>
            </w:r>
          </w:p>
        </w:tc>
        <w:tc>
          <w:tcPr>
            <w:tcW w:w="1276" w:type="dxa"/>
          </w:tcPr>
          <w:p w:rsidR="009A6A2F" w:rsidRDefault="004D6699" w:rsidP="004D6699">
            <w:pPr>
              <w:pStyle w:val="NoSpacing"/>
              <w:jc w:val="right"/>
            </w:pPr>
            <w:r>
              <w:t>-</w:t>
            </w:r>
          </w:p>
        </w:tc>
        <w:tc>
          <w:tcPr>
            <w:tcW w:w="1275" w:type="dxa"/>
          </w:tcPr>
          <w:p w:rsidR="009A6A2F" w:rsidRDefault="004D6699" w:rsidP="004D6699">
            <w:pPr>
              <w:pStyle w:val="NoSpacing"/>
              <w:jc w:val="right"/>
            </w:pPr>
            <w:r>
              <w:t>3,194</w:t>
            </w:r>
          </w:p>
        </w:tc>
        <w:tc>
          <w:tcPr>
            <w:tcW w:w="1276" w:type="dxa"/>
          </w:tcPr>
          <w:p w:rsidR="009A6A2F" w:rsidRDefault="004D6699" w:rsidP="004D6699">
            <w:pPr>
              <w:pStyle w:val="NoSpacing"/>
              <w:jc w:val="right"/>
            </w:pPr>
            <w:r>
              <w:t>3,240</w:t>
            </w:r>
          </w:p>
        </w:tc>
      </w:tr>
      <w:tr w:rsidR="009A6A2F" w:rsidTr="009A6A2F">
        <w:tc>
          <w:tcPr>
            <w:tcW w:w="5529" w:type="dxa"/>
          </w:tcPr>
          <w:p w:rsidR="009A6A2F" w:rsidRDefault="00973738" w:rsidP="00F02D69">
            <w:pPr>
              <w:pStyle w:val="NoSpacing"/>
            </w:pPr>
            <w:r>
              <w:t>Debtor – Caroline Chisholm Education Foundation (CCEF)</w:t>
            </w:r>
          </w:p>
        </w:tc>
        <w:tc>
          <w:tcPr>
            <w:tcW w:w="1276" w:type="dxa"/>
          </w:tcPr>
          <w:p w:rsidR="009A6A2F" w:rsidRDefault="004D6699" w:rsidP="004D6699">
            <w:pPr>
              <w:pStyle w:val="NoSpacing"/>
              <w:jc w:val="right"/>
            </w:pPr>
            <w:r>
              <w:t>-</w:t>
            </w:r>
          </w:p>
        </w:tc>
        <w:tc>
          <w:tcPr>
            <w:tcW w:w="1276" w:type="dxa"/>
          </w:tcPr>
          <w:p w:rsidR="009A6A2F" w:rsidRDefault="004D6699" w:rsidP="004D6699">
            <w:pPr>
              <w:pStyle w:val="NoSpacing"/>
              <w:jc w:val="right"/>
            </w:pPr>
            <w:r>
              <w:t>-</w:t>
            </w:r>
          </w:p>
        </w:tc>
        <w:tc>
          <w:tcPr>
            <w:tcW w:w="1275" w:type="dxa"/>
          </w:tcPr>
          <w:p w:rsidR="009A6A2F" w:rsidRDefault="004D6699" w:rsidP="004D6699">
            <w:pPr>
              <w:pStyle w:val="NoSpacing"/>
              <w:jc w:val="right"/>
            </w:pPr>
            <w:r>
              <w:t>1,216</w:t>
            </w:r>
          </w:p>
        </w:tc>
        <w:tc>
          <w:tcPr>
            <w:tcW w:w="1276" w:type="dxa"/>
          </w:tcPr>
          <w:p w:rsidR="009A6A2F" w:rsidRDefault="004D6699" w:rsidP="004D6699">
            <w:pPr>
              <w:pStyle w:val="NoSpacing"/>
              <w:jc w:val="right"/>
            </w:pPr>
            <w:r>
              <w:t>219</w:t>
            </w:r>
          </w:p>
        </w:tc>
      </w:tr>
      <w:tr w:rsidR="009A6A2F" w:rsidTr="009A6A2F">
        <w:tc>
          <w:tcPr>
            <w:tcW w:w="5529" w:type="dxa"/>
          </w:tcPr>
          <w:p w:rsidR="009A6A2F" w:rsidRDefault="00973738" w:rsidP="00F02D69">
            <w:pPr>
              <w:pStyle w:val="NoSpacing"/>
            </w:pPr>
            <w:r>
              <w:t>Donations provided to CCEF</w:t>
            </w:r>
          </w:p>
        </w:tc>
        <w:tc>
          <w:tcPr>
            <w:tcW w:w="1276" w:type="dxa"/>
          </w:tcPr>
          <w:p w:rsidR="009A6A2F" w:rsidRDefault="004D6699" w:rsidP="004D6699">
            <w:pPr>
              <w:pStyle w:val="NoSpacing"/>
              <w:jc w:val="right"/>
            </w:pPr>
            <w:r>
              <w:t>134</w:t>
            </w:r>
          </w:p>
        </w:tc>
        <w:tc>
          <w:tcPr>
            <w:tcW w:w="1276" w:type="dxa"/>
          </w:tcPr>
          <w:p w:rsidR="009A6A2F" w:rsidRDefault="004D6699" w:rsidP="004D6699">
            <w:pPr>
              <w:pStyle w:val="NoSpacing"/>
              <w:jc w:val="right"/>
            </w:pPr>
            <w:r>
              <w:t>148</w:t>
            </w:r>
          </w:p>
        </w:tc>
        <w:tc>
          <w:tcPr>
            <w:tcW w:w="1275" w:type="dxa"/>
          </w:tcPr>
          <w:p w:rsidR="009A6A2F" w:rsidRDefault="004D6699" w:rsidP="004D6699">
            <w:pPr>
              <w:pStyle w:val="NoSpacing"/>
              <w:jc w:val="right"/>
            </w:pPr>
            <w:r>
              <w:t>-</w:t>
            </w:r>
          </w:p>
        </w:tc>
        <w:tc>
          <w:tcPr>
            <w:tcW w:w="1276" w:type="dxa"/>
          </w:tcPr>
          <w:p w:rsidR="009A6A2F" w:rsidRDefault="004D6699" w:rsidP="004D6699">
            <w:pPr>
              <w:pStyle w:val="NoSpacing"/>
              <w:jc w:val="right"/>
            </w:pPr>
            <w:r>
              <w:t>-</w:t>
            </w:r>
          </w:p>
        </w:tc>
      </w:tr>
      <w:tr w:rsidR="009A6A2F" w:rsidTr="009A6A2F">
        <w:tc>
          <w:tcPr>
            <w:tcW w:w="5529" w:type="dxa"/>
          </w:tcPr>
          <w:p w:rsidR="009A6A2F" w:rsidRDefault="00973738" w:rsidP="00F02D69">
            <w:pPr>
              <w:pStyle w:val="NoSpacing"/>
            </w:pPr>
            <w:r>
              <w:t>Resources provided free of charge to CCEF</w:t>
            </w:r>
          </w:p>
        </w:tc>
        <w:tc>
          <w:tcPr>
            <w:tcW w:w="1276" w:type="dxa"/>
          </w:tcPr>
          <w:p w:rsidR="009A6A2F" w:rsidRDefault="004D6699" w:rsidP="004D6699">
            <w:pPr>
              <w:pStyle w:val="NoSpacing"/>
              <w:jc w:val="right"/>
            </w:pPr>
            <w:r>
              <w:t>177</w:t>
            </w:r>
          </w:p>
        </w:tc>
        <w:tc>
          <w:tcPr>
            <w:tcW w:w="1276" w:type="dxa"/>
          </w:tcPr>
          <w:p w:rsidR="009A6A2F" w:rsidRDefault="004D6699" w:rsidP="004D6699">
            <w:pPr>
              <w:pStyle w:val="NoSpacing"/>
              <w:jc w:val="right"/>
            </w:pPr>
            <w:r>
              <w:t>157</w:t>
            </w:r>
          </w:p>
        </w:tc>
        <w:tc>
          <w:tcPr>
            <w:tcW w:w="1275" w:type="dxa"/>
          </w:tcPr>
          <w:p w:rsidR="009A6A2F" w:rsidRDefault="004D6699" w:rsidP="004D6699">
            <w:pPr>
              <w:pStyle w:val="NoSpacing"/>
              <w:jc w:val="right"/>
            </w:pPr>
            <w:r>
              <w:t>-</w:t>
            </w:r>
          </w:p>
        </w:tc>
        <w:tc>
          <w:tcPr>
            <w:tcW w:w="1276" w:type="dxa"/>
          </w:tcPr>
          <w:p w:rsidR="009A6A2F" w:rsidRDefault="004D6699" w:rsidP="004D6699">
            <w:pPr>
              <w:pStyle w:val="NoSpacing"/>
              <w:jc w:val="right"/>
            </w:pPr>
            <w:r>
              <w:t>-</w:t>
            </w:r>
          </w:p>
        </w:tc>
      </w:tr>
      <w:tr w:rsidR="009A6A2F" w:rsidTr="009A6A2F">
        <w:tc>
          <w:tcPr>
            <w:tcW w:w="5529" w:type="dxa"/>
          </w:tcPr>
          <w:p w:rsidR="009A6A2F" w:rsidRDefault="00973738" w:rsidP="00F02D69">
            <w:pPr>
              <w:pStyle w:val="NoSpacing"/>
            </w:pPr>
            <w:r>
              <w:t>Revenue collected for TAFE Online Pty Ltd</w:t>
            </w:r>
          </w:p>
        </w:tc>
        <w:tc>
          <w:tcPr>
            <w:tcW w:w="1276" w:type="dxa"/>
          </w:tcPr>
          <w:p w:rsidR="009A6A2F" w:rsidRDefault="004D6699" w:rsidP="004D6699">
            <w:pPr>
              <w:pStyle w:val="NoSpacing"/>
              <w:jc w:val="right"/>
            </w:pPr>
            <w:r>
              <w:t>190</w:t>
            </w:r>
          </w:p>
        </w:tc>
        <w:tc>
          <w:tcPr>
            <w:tcW w:w="1276" w:type="dxa"/>
          </w:tcPr>
          <w:p w:rsidR="009A6A2F" w:rsidRDefault="004D6699" w:rsidP="004D6699">
            <w:pPr>
              <w:pStyle w:val="NoSpacing"/>
              <w:jc w:val="right"/>
            </w:pPr>
            <w:r>
              <w:t>92</w:t>
            </w:r>
          </w:p>
        </w:tc>
        <w:tc>
          <w:tcPr>
            <w:tcW w:w="1275" w:type="dxa"/>
          </w:tcPr>
          <w:p w:rsidR="009A6A2F" w:rsidRDefault="004D6699" w:rsidP="004D6699">
            <w:pPr>
              <w:pStyle w:val="NoSpacing"/>
              <w:jc w:val="right"/>
            </w:pPr>
            <w:r>
              <w:t>-</w:t>
            </w:r>
          </w:p>
        </w:tc>
        <w:tc>
          <w:tcPr>
            <w:tcW w:w="1276" w:type="dxa"/>
          </w:tcPr>
          <w:p w:rsidR="009A6A2F" w:rsidRDefault="004D6699" w:rsidP="004D6699">
            <w:pPr>
              <w:pStyle w:val="NoSpacing"/>
              <w:jc w:val="right"/>
            </w:pPr>
            <w:r>
              <w:t>-</w:t>
            </w:r>
          </w:p>
        </w:tc>
      </w:tr>
      <w:tr w:rsidR="009A6A2F" w:rsidTr="009A6A2F">
        <w:tc>
          <w:tcPr>
            <w:tcW w:w="5529" w:type="dxa"/>
          </w:tcPr>
          <w:p w:rsidR="009A6A2F" w:rsidRDefault="00973738" w:rsidP="00F02D69">
            <w:pPr>
              <w:pStyle w:val="NoSpacing"/>
            </w:pPr>
            <w:r>
              <w:t>Expenses paid for TAFE Online Pty Ltd</w:t>
            </w:r>
          </w:p>
        </w:tc>
        <w:tc>
          <w:tcPr>
            <w:tcW w:w="1276" w:type="dxa"/>
          </w:tcPr>
          <w:p w:rsidR="009A6A2F" w:rsidRDefault="004D6699" w:rsidP="004D6699">
            <w:pPr>
              <w:pStyle w:val="NoSpacing"/>
              <w:jc w:val="right"/>
            </w:pPr>
            <w:r>
              <w:t>224</w:t>
            </w:r>
          </w:p>
        </w:tc>
        <w:tc>
          <w:tcPr>
            <w:tcW w:w="1276" w:type="dxa"/>
          </w:tcPr>
          <w:p w:rsidR="009A6A2F" w:rsidRDefault="004D6699" w:rsidP="004D6699">
            <w:pPr>
              <w:pStyle w:val="NoSpacing"/>
              <w:jc w:val="right"/>
            </w:pPr>
            <w:r>
              <w:t>1,399</w:t>
            </w:r>
          </w:p>
        </w:tc>
        <w:tc>
          <w:tcPr>
            <w:tcW w:w="1275" w:type="dxa"/>
          </w:tcPr>
          <w:p w:rsidR="009A6A2F" w:rsidRDefault="004D6699" w:rsidP="004D6699">
            <w:pPr>
              <w:pStyle w:val="NoSpacing"/>
              <w:jc w:val="right"/>
            </w:pPr>
            <w:r>
              <w:t>-</w:t>
            </w:r>
          </w:p>
        </w:tc>
        <w:tc>
          <w:tcPr>
            <w:tcW w:w="1276" w:type="dxa"/>
          </w:tcPr>
          <w:p w:rsidR="009A6A2F" w:rsidRDefault="004D6699" w:rsidP="004D6699">
            <w:pPr>
              <w:pStyle w:val="NoSpacing"/>
              <w:jc w:val="right"/>
            </w:pPr>
            <w:r>
              <w:t>-</w:t>
            </w:r>
          </w:p>
        </w:tc>
      </w:tr>
      <w:tr w:rsidR="009A6A2F" w:rsidTr="009A6A2F">
        <w:tc>
          <w:tcPr>
            <w:tcW w:w="5529" w:type="dxa"/>
          </w:tcPr>
          <w:p w:rsidR="009A6A2F" w:rsidRDefault="00973738" w:rsidP="00F02D69">
            <w:pPr>
              <w:pStyle w:val="NoSpacing"/>
            </w:pPr>
            <w:r>
              <w:t xml:space="preserve">Total </w:t>
            </w:r>
          </w:p>
        </w:tc>
        <w:tc>
          <w:tcPr>
            <w:tcW w:w="1276" w:type="dxa"/>
          </w:tcPr>
          <w:p w:rsidR="009A6A2F" w:rsidRDefault="004D6699" w:rsidP="004D6699">
            <w:pPr>
              <w:pStyle w:val="NoSpacing"/>
              <w:jc w:val="right"/>
            </w:pPr>
            <w:r>
              <w:t>725</w:t>
            </w:r>
          </w:p>
        </w:tc>
        <w:tc>
          <w:tcPr>
            <w:tcW w:w="1276" w:type="dxa"/>
          </w:tcPr>
          <w:p w:rsidR="009A6A2F" w:rsidRDefault="004D6699" w:rsidP="004D6699">
            <w:pPr>
              <w:pStyle w:val="NoSpacing"/>
              <w:jc w:val="right"/>
            </w:pPr>
            <w:r>
              <w:t>1,796</w:t>
            </w:r>
          </w:p>
        </w:tc>
        <w:tc>
          <w:tcPr>
            <w:tcW w:w="1275" w:type="dxa"/>
          </w:tcPr>
          <w:p w:rsidR="009A6A2F" w:rsidRDefault="004D6699" w:rsidP="004D6699">
            <w:pPr>
              <w:pStyle w:val="NoSpacing"/>
              <w:jc w:val="right"/>
            </w:pPr>
            <w:r>
              <w:t>4,410</w:t>
            </w:r>
          </w:p>
        </w:tc>
        <w:tc>
          <w:tcPr>
            <w:tcW w:w="1276" w:type="dxa"/>
          </w:tcPr>
          <w:p w:rsidR="009A6A2F" w:rsidRDefault="004D6699" w:rsidP="004D6699">
            <w:pPr>
              <w:pStyle w:val="NoSpacing"/>
              <w:jc w:val="right"/>
            </w:pPr>
            <w:r>
              <w:t>3,459</w:t>
            </w:r>
          </w:p>
        </w:tc>
      </w:tr>
    </w:tbl>
    <w:p w:rsidR="009A6A2F" w:rsidRDefault="009A6A2F" w:rsidP="00F02D69">
      <w:pPr>
        <w:pStyle w:val="NoSpacing"/>
      </w:pPr>
    </w:p>
    <w:p w:rsidR="004D6699" w:rsidRDefault="004D6699" w:rsidP="00F02D69">
      <w:pPr>
        <w:pStyle w:val="NoSpacing"/>
      </w:pPr>
      <w:r>
        <w:t>Key management personnel of Chisholm includes the members of the Chisholm Institute Board, the Chief Executive Officer, the Chief Finance Officer, and the Chief Operating Officer.</w:t>
      </w:r>
    </w:p>
    <w:p w:rsidR="004D6699" w:rsidRDefault="004D6699" w:rsidP="00F02D69">
      <w:pPr>
        <w:pStyle w:val="NoSpacing"/>
      </w:pPr>
    </w:p>
    <w:p w:rsidR="004D6699" w:rsidRDefault="004D6699" w:rsidP="0028573F">
      <w:pPr>
        <w:pStyle w:val="Heading4"/>
      </w:pPr>
      <w:r>
        <w:t>Compensation of key management personnel</w:t>
      </w:r>
    </w:p>
    <w:p w:rsidR="00973738" w:rsidRDefault="00973738" w:rsidP="00F02D69">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973738" w:rsidTr="0038251B">
        <w:trPr>
          <w:gridBefore w:val="1"/>
          <w:wBefore w:w="5529" w:type="dxa"/>
        </w:trPr>
        <w:tc>
          <w:tcPr>
            <w:tcW w:w="2552" w:type="dxa"/>
            <w:gridSpan w:val="2"/>
          </w:tcPr>
          <w:p w:rsidR="00973738" w:rsidRDefault="00973738" w:rsidP="0038251B">
            <w:pPr>
              <w:pStyle w:val="NoSpacing"/>
              <w:jc w:val="right"/>
            </w:pPr>
            <w:r>
              <w:t>Consolidated</w:t>
            </w:r>
          </w:p>
        </w:tc>
        <w:tc>
          <w:tcPr>
            <w:tcW w:w="2551" w:type="dxa"/>
            <w:gridSpan w:val="2"/>
          </w:tcPr>
          <w:p w:rsidR="00973738" w:rsidRDefault="00973738" w:rsidP="0038251B">
            <w:pPr>
              <w:pStyle w:val="NoSpacing"/>
              <w:jc w:val="right"/>
            </w:pPr>
            <w:r>
              <w:t>Chisholm</w:t>
            </w:r>
          </w:p>
        </w:tc>
      </w:tr>
      <w:tr w:rsidR="00973738" w:rsidTr="0038251B">
        <w:trPr>
          <w:gridBefore w:val="1"/>
          <w:wBefore w:w="5529" w:type="dxa"/>
        </w:trPr>
        <w:tc>
          <w:tcPr>
            <w:tcW w:w="1276" w:type="dxa"/>
          </w:tcPr>
          <w:p w:rsidR="00973738" w:rsidRDefault="00973738" w:rsidP="0038251B">
            <w:pPr>
              <w:pStyle w:val="NoSpacing"/>
              <w:jc w:val="right"/>
            </w:pPr>
            <w:r>
              <w:t>2019</w:t>
            </w:r>
          </w:p>
        </w:tc>
        <w:tc>
          <w:tcPr>
            <w:tcW w:w="1276" w:type="dxa"/>
          </w:tcPr>
          <w:p w:rsidR="00973738" w:rsidRDefault="00973738" w:rsidP="0038251B">
            <w:pPr>
              <w:pStyle w:val="NoSpacing"/>
              <w:jc w:val="right"/>
            </w:pPr>
            <w:r>
              <w:t>2018</w:t>
            </w:r>
          </w:p>
        </w:tc>
        <w:tc>
          <w:tcPr>
            <w:tcW w:w="1275" w:type="dxa"/>
          </w:tcPr>
          <w:p w:rsidR="00973738" w:rsidRDefault="00973738" w:rsidP="0038251B">
            <w:pPr>
              <w:pStyle w:val="NoSpacing"/>
              <w:jc w:val="right"/>
            </w:pPr>
            <w:r>
              <w:t>2019</w:t>
            </w:r>
          </w:p>
        </w:tc>
        <w:tc>
          <w:tcPr>
            <w:tcW w:w="1276" w:type="dxa"/>
          </w:tcPr>
          <w:p w:rsidR="00973738" w:rsidRDefault="00973738" w:rsidP="0038251B">
            <w:pPr>
              <w:pStyle w:val="NoSpacing"/>
              <w:jc w:val="right"/>
            </w:pPr>
            <w:r>
              <w:t>2018</w:t>
            </w:r>
          </w:p>
        </w:tc>
      </w:tr>
      <w:tr w:rsidR="00973738" w:rsidTr="0038251B">
        <w:trPr>
          <w:gridBefore w:val="1"/>
          <w:wBefore w:w="5529" w:type="dxa"/>
        </w:trPr>
        <w:tc>
          <w:tcPr>
            <w:tcW w:w="1276" w:type="dxa"/>
          </w:tcPr>
          <w:p w:rsidR="00973738" w:rsidRDefault="00973738" w:rsidP="0038251B">
            <w:pPr>
              <w:pStyle w:val="NoSpacing"/>
              <w:jc w:val="right"/>
            </w:pPr>
            <w:r>
              <w:t>$’000</w:t>
            </w:r>
          </w:p>
        </w:tc>
        <w:tc>
          <w:tcPr>
            <w:tcW w:w="1276" w:type="dxa"/>
          </w:tcPr>
          <w:p w:rsidR="00973738" w:rsidRDefault="00973738" w:rsidP="0038251B">
            <w:pPr>
              <w:jc w:val="right"/>
            </w:pPr>
            <w:r w:rsidRPr="002A73C1">
              <w:t>$’000</w:t>
            </w:r>
          </w:p>
        </w:tc>
        <w:tc>
          <w:tcPr>
            <w:tcW w:w="1275" w:type="dxa"/>
          </w:tcPr>
          <w:p w:rsidR="00973738" w:rsidRDefault="00973738" w:rsidP="0038251B">
            <w:pPr>
              <w:jc w:val="right"/>
            </w:pPr>
            <w:r w:rsidRPr="002A73C1">
              <w:t>$’000</w:t>
            </w:r>
          </w:p>
        </w:tc>
        <w:tc>
          <w:tcPr>
            <w:tcW w:w="1276" w:type="dxa"/>
          </w:tcPr>
          <w:p w:rsidR="00973738" w:rsidRDefault="00973738" w:rsidP="0038251B">
            <w:pPr>
              <w:jc w:val="right"/>
            </w:pPr>
            <w:r w:rsidRPr="002A73C1">
              <w:t>$’000</w:t>
            </w:r>
          </w:p>
        </w:tc>
      </w:tr>
      <w:tr w:rsidR="00973738" w:rsidTr="0038251B">
        <w:tc>
          <w:tcPr>
            <w:tcW w:w="10632" w:type="dxa"/>
            <w:gridSpan w:val="5"/>
          </w:tcPr>
          <w:p w:rsidR="00973738" w:rsidRDefault="00973738" w:rsidP="0038251B">
            <w:pPr>
              <w:pStyle w:val="NoSpacing"/>
            </w:pPr>
            <w:r>
              <w:t>Remuneration</w:t>
            </w:r>
          </w:p>
        </w:tc>
      </w:tr>
      <w:tr w:rsidR="00973738" w:rsidTr="0038251B">
        <w:tc>
          <w:tcPr>
            <w:tcW w:w="5529" w:type="dxa"/>
          </w:tcPr>
          <w:p w:rsidR="00973738" w:rsidRDefault="00973738" w:rsidP="0038251B">
            <w:pPr>
              <w:pStyle w:val="NoSpacing"/>
            </w:pPr>
            <w:r>
              <w:t>Short-term employee benefits</w:t>
            </w:r>
          </w:p>
        </w:tc>
        <w:tc>
          <w:tcPr>
            <w:tcW w:w="1276" w:type="dxa"/>
          </w:tcPr>
          <w:p w:rsidR="00973738" w:rsidRDefault="004D6699" w:rsidP="004D6699">
            <w:pPr>
              <w:pStyle w:val="NoSpacing"/>
              <w:jc w:val="right"/>
            </w:pPr>
            <w:r>
              <w:t>1,211</w:t>
            </w:r>
          </w:p>
        </w:tc>
        <w:tc>
          <w:tcPr>
            <w:tcW w:w="1276" w:type="dxa"/>
          </w:tcPr>
          <w:p w:rsidR="00973738" w:rsidRDefault="004D6699" w:rsidP="004D6699">
            <w:pPr>
              <w:pStyle w:val="NoSpacing"/>
              <w:jc w:val="right"/>
            </w:pPr>
            <w:r>
              <w:t>987</w:t>
            </w:r>
          </w:p>
        </w:tc>
        <w:tc>
          <w:tcPr>
            <w:tcW w:w="1275" w:type="dxa"/>
          </w:tcPr>
          <w:p w:rsidR="00973738" w:rsidRDefault="004D6699" w:rsidP="004D6699">
            <w:pPr>
              <w:pStyle w:val="NoSpacing"/>
              <w:jc w:val="right"/>
            </w:pPr>
            <w:r>
              <w:t>1,211</w:t>
            </w:r>
          </w:p>
        </w:tc>
        <w:tc>
          <w:tcPr>
            <w:tcW w:w="1276" w:type="dxa"/>
          </w:tcPr>
          <w:p w:rsidR="00973738" w:rsidRDefault="004D6699" w:rsidP="004D6699">
            <w:pPr>
              <w:pStyle w:val="NoSpacing"/>
              <w:jc w:val="right"/>
            </w:pPr>
            <w:r>
              <w:t>987</w:t>
            </w:r>
          </w:p>
        </w:tc>
      </w:tr>
      <w:tr w:rsidR="00973738" w:rsidTr="0038251B">
        <w:tc>
          <w:tcPr>
            <w:tcW w:w="5529" w:type="dxa"/>
          </w:tcPr>
          <w:p w:rsidR="00973738" w:rsidRDefault="004D6699" w:rsidP="0038251B">
            <w:pPr>
              <w:pStyle w:val="NoSpacing"/>
            </w:pPr>
            <w:r>
              <w:t>Post-employment benefits</w:t>
            </w:r>
          </w:p>
        </w:tc>
        <w:tc>
          <w:tcPr>
            <w:tcW w:w="1276" w:type="dxa"/>
          </w:tcPr>
          <w:p w:rsidR="00973738" w:rsidRDefault="004D6699" w:rsidP="004D6699">
            <w:pPr>
              <w:pStyle w:val="NoSpacing"/>
              <w:jc w:val="right"/>
            </w:pPr>
            <w:r>
              <w:t>82</w:t>
            </w:r>
          </w:p>
        </w:tc>
        <w:tc>
          <w:tcPr>
            <w:tcW w:w="1276" w:type="dxa"/>
          </w:tcPr>
          <w:p w:rsidR="00973738" w:rsidRDefault="004D6699" w:rsidP="004D6699">
            <w:pPr>
              <w:pStyle w:val="NoSpacing"/>
              <w:jc w:val="right"/>
            </w:pPr>
            <w:r>
              <w:t>61</w:t>
            </w:r>
          </w:p>
        </w:tc>
        <w:tc>
          <w:tcPr>
            <w:tcW w:w="1275" w:type="dxa"/>
          </w:tcPr>
          <w:p w:rsidR="00973738" w:rsidRDefault="004D6699" w:rsidP="004D6699">
            <w:pPr>
              <w:pStyle w:val="NoSpacing"/>
              <w:jc w:val="right"/>
            </w:pPr>
            <w:r>
              <w:t>82</w:t>
            </w:r>
          </w:p>
        </w:tc>
        <w:tc>
          <w:tcPr>
            <w:tcW w:w="1276" w:type="dxa"/>
          </w:tcPr>
          <w:p w:rsidR="00973738" w:rsidRDefault="004D6699" w:rsidP="004D6699">
            <w:pPr>
              <w:pStyle w:val="NoSpacing"/>
              <w:jc w:val="right"/>
            </w:pPr>
            <w:r>
              <w:t>61</w:t>
            </w:r>
          </w:p>
        </w:tc>
      </w:tr>
      <w:tr w:rsidR="004D6699" w:rsidTr="0038251B">
        <w:tc>
          <w:tcPr>
            <w:tcW w:w="5529" w:type="dxa"/>
          </w:tcPr>
          <w:p w:rsidR="004D6699" w:rsidRDefault="004D6699" w:rsidP="0038251B">
            <w:pPr>
              <w:pStyle w:val="NoSpacing"/>
            </w:pPr>
            <w:r>
              <w:t>Termination benefits</w:t>
            </w:r>
          </w:p>
        </w:tc>
        <w:tc>
          <w:tcPr>
            <w:tcW w:w="1276" w:type="dxa"/>
          </w:tcPr>
          <w:p w:rsidR="004D6699" w:rsidRDefault="004D6699" w:rsidP="004D6699">
            <w:pPr>
              <w:pStyle w:val="NoSpacing"/>
              <w:jc w:val="right"/>
            </w:pPr>
            <w:r>
              <w:t>125</w:t>
            </w:r>
          </w:p>
        </w:tc>
        <w:tc>
          <w:tcPr>
            <w:tcW w:w="1276" w:type="dxa"/>
          </w:tcPr>
          <w:p w:rsidR="004D6699" w:rsidRDefault="004D6699" w:rsidP="004D6699">
            <w:pPr>
              <w:pStyle w:val="NoSpacing"/>
              <w:jc w:val="right"/>
            </w:pPr>
            <w:r>
              <w:t>85</w:t>
            </w:r>
          </w:p>
        </w:tc>
        <w:tc>
          <w:tcPr>
            <w:tcW w:w="1275" w:type="dxa"/>
          </w:tcPr>
          <w:p w:rsidR="004D6699" w:rsidRDefault="004D6699" w:rsidP="004D6699">
            <w:pPr>
              <w:pStyle w:val="NoSpacing"/>
              <w:jc w:val="right"/>
            </w:pPr>
            <w:r>
              <w:t>125</w:t>
            </w:r>
          </w:p>
        </w:tc>
        <w:tc>
          <w:tcPr>
            <w:tcW w:w="1276" w:type="dxa"/>
          </w:tcPr>
          <w:p w:rsidR="004D6699" w:rsidRDefault="004D6699" w:rsidP="004D6699">
            <w:pPr>
              <w:pStyle w:val="NoSpacing"/>
              <w:jc w:val="right"/>
            </w:pPr>
            <w:r>
              <w:t>85</w:t>
            </w:r>
          </w:p>
        </w:tc>
      </w:tr>
      <w:tr w:rsidR="00973738" w:rsidTr="0038251B">
        <w:tc>
          <w:tcPr>
            <w:tcW w:w="5529" w:type="dxa"/>
          </w:tcPr>
          <w:p w:rsidR="00973738" w:rsidRDefault="00973738" w:rsidP="0038251B">
            <w:pPr>
              <w:pStyle w:val="NoSpacing"/>
            </w:pPr>
            <w:r>
              <w:t>Total remuneration</w:t>
            </w:r>
          </w:p>
        </w:tc>
        <w:tc>
          <w:tcPr>
            <w:tcW w:w="1276" w:type="dxa"/>
          </w:tcPr>
          <w:p w:rsidR="00973738" w:rsidRDefault="004D6699" w:rsidP="004D6699">
            <w:pPr>
              <w:pStyle w:val="NoSpacing"/>
              <w:jc w:val="right"/>
            </w:pPr>
            <w:r>
              <w:t>1,418</w:t>
            </w:r>
          </w:p>
        </w:tc>
        <w:tc>
          <w:tcPr>
            <w:tcW w:w="1276" w:type="dxa"/>
          </w:tcPr>
          <w:p w:rsidR="00973738" w:rsidRDefault="004D6699" w:rsidP="004D6699">
            <w:pPr>
              <w:pStyle w:val="NoSpacing"/>
              <w:jc w:val="right"/>
            </w:pPr>
            <w:r>
              <w:t>1,133</w:t>
            </w:r>
          </w:p>
        </w:tc>
        <w:tc>
          <w:tcPr>
            <w:tcW w:w="1275" w:type="dxa"/>
          </w:tcPr>
          <w:p w:rsidR="00973738" w:rsidRDefault="004D6699" w:rsidP="004D6699">
            <w:pPr>
              <w:pStyle w:val="NoSpacing"/>
              <w:jc w:val="right"/>
            </w:pPr>
            <w:r>
              <w:t>1,418</w:t>
            </w:r>
          </w:p>
        </w:tc>
        <w:tc>
          <w:tcPr>
            <w:tcW w:w="1276" w:type="dxa"/>
          </w:tcPr>
          <w:p w:rsidR="00973738" w:rsidRDefault="004D6699" w:rsidP="004D6699">
            <w:pPr>
              <w:pStyle w:val="NoSpacing"/>
              <w:jc w:val="right"/>
            </w:pPr>
            <w:r>
              <w:t>1,133</w:t>
            </w:r>
          </w:p>
        </w:tc>
      </w:tr>
    </w:tbl>
    <w:p w:rsidR="009A6A2F" w:rsidRDefault="009A6A2F" w:rsidP="00F02D69">
      <w:pPr>
        <w:pStyle w:val="NoSpacing"/>
      </w:pPr>
    </w:p>
    <w:p w:rsidR="004D6699" w:rsidRDefault="004D6699" w:rsidP="0028573F">
      <w:pPr>
        <w:pStyle w:val="Heading4"/>
      </w:pPr>
      <w:r>
        <w:t>Transactions and balances with key management personnel and other related parties</w:t>
      </w:r>
    </w:p>
    <w:p w:rsidR="007C321B" w:rsidRDefault="007C321B" w:rsidP="00F02D69">
      <w:pPr>
        <w:pStyle w:val="NoSpacing"/>
      </w:pPr>
    </w:p>
    <w:p w:rsidR="007C321B" w:rsidRDefault="007C321B" w:rsidP="00F02D69">
      <w:pPr>
        <w:pStyle w:val="NoSpacing"/>
      </w:pPr>
      <w:r>
        <w:t>Chisholm Group had no related party transactions for the period ending 31 December 2019.</w:t>
      </w:r>
    </w:p>
    <w:p w:rsidR="007C321B" w:rsidRDefault="007C321B" w:rsidP="00F02D69">
      <w:pPr>
        <w:pStyle w:val="NoSpacing"/>
      </w:pPr>
    </w:p>
    <w:p w:rsidR="004D6699" w:rsidRDefault="007C321B" w:rsidP="00F02D69">
      <w:pPr>
        <w:pStyle w:val="NoSpacing"/>
      </w:pPr>
      <w:r>
        <w:t xml:space="preserve">&lt;page 90&gt; </w:t>
      </w:r>
    </w:p>
    <w:p w:rsidR="004D6699" w:rsidRDefault="004D6699" w:rsidP="00F02D69">
      <w:pPr>
        <w:pStyle w:val="NoSpacing"/>
      </w:pPr>
    </w:p>
    <w:p w:rsidR="007C321B" w:rsidRDefault="007C321B" w:rsidP="007C321B">
      <w:pPr>
        <w:pStyle w:val="Heading2"/>
      </w:pPr>
      <w:r>
        <w:t>8. Governance Disclosures (continued)</w:t>
      </w:r>
    </w:p>
    <w:p w:rsidR="0028573F" w:rsidRPr="0028573F" w:rsidRDefault="0028573F" w:rsidP="0028573F">
      <w:pPr>
        <w:pStyle w:val="NoSpacing"/>
        <w:rPr>
          <w:rStyle w:val="Heading3Char"/>
          <w:rFonts w:asciiTheme="minorHAnsi" w:eastAsiaTheme="minorHAnsi" w:hAnsiTheme="minorHAnsi" w:cstheme="minorBidi"/>
          <w:color w:val="auto"/>
          <w:sz w:val="22"/>
          <w:szCs w:val="22"/>
        </w:rPr>
      </w:pPr>
    </w:p>
    <w:p w:rsidR="007C321B" w:rsidRPr="007C321B" w:rsidRDefault="00257D81" w:rsidP="00F02D69">
      <w:pPr>
        <w:pStyle w:val="NoSpacing"/>
        <w:rPr>
          <w:rFonts w:asciiTheme="majorHAnsi" w:eastAsiaTheme="majorEastAsia" w:hAnsiTheme="majorHAnsi" w:cstheme="majorBidi"/>
          <w:color w:val="1F4D78" w:themeColor="accent1" w:themeShade="7F"/>
          <w:sz w:val="24"/>
          <w:szCs w:val="24"/>
        </w:rPr>
      </w:pPr>
      <w:r w:rsidRPr="007C321B">
        <w:rPr>
          <w:rStyle w:val="Heading3Char"/>
        </w:rPr>
        <w:t>8.4 Remuneration of auditors</w:t>
      </w: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257D81" w:rsidTr="0038251B">
        <w:trPr>
          <w:gridBefore w:val="1"/>
          <w:wBefore w:w="5529" w:type="dxa"/>
        </w:trPr>
        <w:tc>
          <w:tcPr>
            <w:tcW w:w="2552" w:type="dxa"/>
            <w:gridSpan w:val="2"/>
          </w:tcPr>
          <w:p w:rsidR="00257D81" w:rsidRDefault="00257D81" w:rsidP="0038251B">
            <w:pPr>
              <w:pStyle w:val="NoSpacing"/>
              <w:jc w:val="right"/>
            </w:pPr>
            <w:r>
              <w:t>Consolidated</w:t>
            </w:r>
          </w:p>
        </w:tc>
        <w:tc>
          <w:tcPr>
            <w:tcW w:w="2551" w:type="dxa"/>
            <w:gridSpan w:val="2"/>
          </w:tcPr>
          <w:p w:rsidR="00257D81" w:rsidRDefault="00257D81" w:rsidP="0038251B">
            <w:pPr>
              <w:pStyle w:val="NoSpacing"/>
              <w:jc w:val="right"/>
            </w:pPr>
            <w:r>
              <w:t>Chisholm</w:t>
            </w:r>
          </w:p>
        </w:tc>
      </w:tr>
      <w:tr w:rsidR="00257D81" w:rsidTr="0038251B">
        <w:trPr>
          <w:gridBefore w:val="1"/>
          <w:wBefore w:w="5529" w:type="dxa"/>
        </w:trPr>
        <w:tc>
          <w:tcPr>
            <w:tcW w:w="1276" w:type="dxa"/>
          </w:tcPr>
          <w:p w:rsidR="00257D81" w:rsidRDefault="00257D81" w:rsidP="0038251B">
            <w:pPr>
              <w:pStyle w:val="NoSpacing"/>
              <w:jc w:val="right"/>
            </w:pPr>
            <w:r>
              <w:t>2019</w:t>
            </w:r>
          </w:p>
        </w:tc>
        <w:tc>
          <w:tcPr>
            <w:tcW w:w="1276" w:type="dxa"/>
          </w:tcPr>
          <w:p w:rsidR="00257D81" w:rsidRDefault="00257D81" w:rsidP="0038251B">
            <w:pPr>
              <w:pStyle w:val="NoSpacing"/>
              <w:jc w:val="right"/>
            </w:pPr>
            <w:r>
              <w:t>2018</w:t>
            </w:r>
          </w:p>
        </w:tc>
        <w:tc>
          <w:tcPr>
            <w:tcW w:w="1275" w:type="dxa"/>
          </w:tcPr>
          <w:p w:rsidR="00257D81" w:rsidRDefault="00257D81" w:rsidP="0038251B">
            <w:pPr>
              <w:pStyle w:val="NoSpacing"/>
              <w:jc w:val="right"/>
            </w:pPr>
            <w:r>
              <w:t>2019</w:t>
            </w:r>
          </w:p>
        </w:tc>
        <w:tc>
          <w:tcPr>
            <w:tcW w:w="1276" w:type="dxa"/>
          </w:tcPr>
          <w:p w:rsidR="00257D81" w:rsidRDefault="00257D81" w:rsidP="0038251B">
            <w:pPr>
              <w:pStyle w:val="NoSpacing"/>
              <w:jc w:val="right"/>
            </w:pPr>
            <w:r>
              <w:t>2018</w:t>
            </w:r>
          </w:p>
        </w:tc>
      </w:tr>
      <w:tr w:rsidR="00257D81" w:rsidTr="0038251B">
        <w:trPr>
          <w:gridBefore w:val="1"/>
          <w:wBefore w:w="5529" w:type="dxa"/>
        </w:trPr>
        <w:tc>
          <w:tcPr>
            <w:tcW w:w="1276" w:type="dxa"/>
          </w:tcPr>
          <w:p w:rsidR="00257D81" w:rsidRDefault="00257D81" w:rsidP="0038251B">
            <w:pPr>
              <w:pStyle w:val="NoSpacing"/>
              <w:jc w:val="right"/>
            </w:pPr>
            <w:r>
              <w:t>$’000</w:t>
            </w:r>
          </w:p>
        </w:tc>
        <w:tc>
          <w:tcPr>
            <w:tcW w:w="1276" w:type="dxa"/>
          </w:tcPr>
          <w:p w:rsidR="00257D81" w:rsidRDefault="00257D81" w:rsidP="0038251B">
            <w:pPr>
              <w:jc w:val="right"/>
            </w:pPr>
            <w:r w:rsidRPr="002A73C1">
              <w:t>$’000</w:t>
            </w:r>
          </w:p>
        </w:tc>
        <w:tc>
          <w:tcPr>
            <w:tcW w:w="1275" w:type="dxa"/>
          </w:tcPr>
          <w:p w:rsidR="00257D81" w:rsidRDefault="00257D81" w:rsidP="0038251B">
            <w:pPr>
              <w:jc w:val="right"/>
            </w:pPr>
            <w:r w:rsidRPr="002A73C1">
              <w:t>$’000</w:t>
            </w:r>
          </w:p>
        </w:tc>
        <w:tc>
          <w:tcPr>
            <w:tcW w:w="1276" w:type="dxa"/>
          </w:tcPr>
          <w:p w:rsidR="00257D81" w:rsidRDefault="00257D81" w:rsidP="0038251B">
            <w:pPr>
              <w:jc w:val="right"/>
            </w:pPr>
            <w:r w:rsidRPr="002A73C1">
              <w:t>$’000</w:t>
            </w:r>
          </w:p>
        </w:tc>
      </w:tr>
      <w:tr w:rsidR="00257D81" w:rsidTr="0038251B">
        <w:tc>
          <w:tcPr>
            <w:tcW w:w="10632" w:type="dxa"/>
            <w:gridSpan w:val="5"/>
          </w:tcPr>
          <w:p w:rsidR="00257D81" w:rsidRDefault="00257D81" w:rsidP="0038251B">
            <w:pPr>
              <w:pStyle w:val="NoSpacing"/>
            </w:pPr>
            <w:r>
              <w:t>Remuneration of the Victorian Auditor-General’s Office for:</w:t>
            </w:r>
          </w:p>
        </w:tc>
      </w:tr>
      <w:tr w:rsidR="00257D81" w:rsidTr="0038251B">
        <w:tc>
          <w:tcPr>
            <w:tcW w:w="5529" w:type="dxa"/>
          </w:tcPr>
          <w:p w:rsidR="00257D81" w:rsidRDefault="00257D81" w:rsidP="0038251B">
            <w:pPr>
              <w:pStyle w:val="NoSpacing"/>
            </w:pPr>
            <w:r>
              <w:t>Audit of the financial statements</w:t>
            </w:r>
          </w:p>
        </w:tc>
        <w:tc>
          <w:tcPr>
            <w:tcW w:w="1276" w:type="dxa"/>
          </w:tcPr>
          <w:p w:rsidR="00257D81" w:rsidRDefault="007C321B" w:rsidP="007C321B">
            <w:pPr>
              <w:pStyle w:val="NoSpacing"/>
              <w:jc w:val="right"/>
            </w:pPr>
            <w:r>
              <w:t>66</w:t>
            </w:r>
          </w:p>
        </w:tc>
        <w:tc>
          <w:tcPr>
            <w:tcW w:w="1276" w:type="dxa"/>
          </w:tcPr>
          <w:p w:rsidR="00257D81" w:rsidRDefault="007C321B" w:rsidP="007C321B">
            <w:pPr>
              <w:pStyle w:val="NoSpacing"/>
              <w:jc w:val="right"/>
            </w:pPr>
            <w:r>
              <w:t>58</w:t>
            </w:r>
          </w:p>
        </w:tc>
        <w:tc>
          <w:tcPr>
            <w:tcW w:w="1275" w:type="dxa"/>
          </w:tcPr>
          <w:p w:rsidR="00257D81" w:rsidRDefault="007C321B" w:rsidP="007C321B">
            <w:pPr>
              <w:pStyle w:val="NoSpacing"/>
              <w:jc w:val="right"/>
            </w:pPr>
            <w:r>
              <w:t>60</w:t>
            </w:r>
          </w:p>
        </w:tc>
        <w:tc>
          <w:tcPr>
            <w:tcW w:w="1276" w:type="dxa"/>
          </w:tcPr>
          <w:p w:rsidR="00257D81" w:rsidRDefault="007C321B" w:rsidP="007C321B">
            <w:pPr>
              <w:pStyle w:val="NoSpacing"/>
              <w:jc w:val="right"/>
            </w:pPr>
            <w:r>
              <w:t>53</w:t>
            </w:r>
          </w:p>
        </w:tc>
      </w:tr>
      <w:tr w:rsidR="00257D81" w:rsidTr="0038251B">
        <w:tc>
          <w:tcPr>
            <w:tcW w:w="5529" w:type="dxa"/>
          </w:tcPr>
          <w:p w:rsidR="00257D81" w:rsidRDefault="00257D81" w:rsidP="0038251B">
            <w:pPr>
              <w:pStyle w:val="NoSpacing"/>
            </w:pPr>
            <w:r>
              <w:t>Total remuneration of the Victorian Auditor-General’s Office</w:t>
            </w:r>
          </w:p>
        </w:tc>
        <w:tc>
          <w:tcPr>
            <w:tcW w:w="1276" w:type="dxa"/>
          </w:tcPr>
          <w:p w:rsidR="00257D81" w:rsidRDefault="007C321B" w:rsidP="007C321B">
            <w:pPr>
              <w:pStyle w:val="NoSpacing"/>
              <w:jc w:val="right"/>
            </w:pPr>
            <w:r>
              <w:t>66</w:t>
            </w:r>
          </w:p>
        </w:tc>
        <w:tc>
          <w:tcPr>
            <w:tcW w:w="1276" w:type="dxa"/>
          </w:tcPr>
          <w:p w:rsidR="00257D81" w:rsidRDefault="007C321B" w:rsidP="007C321B">
            <w:pPr>
              <w:pStyle w:val="NoSpacing"/>
              <w:jc w:val="right"/>
            </w:pPr>
            <w:r>
              <w:t>58</w:t>
            </w:r>
          </w:p>
        </w:tc>
        <w:tc>
          <w:tcPr>
            <w:tcW w:w="1275" w:type="dxa"/>
          </w:tcPr>
          <w:p w:rsidR="00257D81" w:rsidRDefault="007C321B" w:rsidP="007C321B">
            <w:pPr>
              <w:pStyle w:val="NoSpacing"/>
              <w:jc w:val="right"/>
            </w:pPr>
            <w:r>
              <w:t>60</w:t>
            </w:r>
          </w:p>
        </w:tc>
        <w:tc>
          <w:tcPr>
            <w:tcW w:w="1276" w:type="dxa"/>
          </w:tcPr>
          <w:p w:rsidR="00257D81" w:rsidRDefault="007C321B" w:rsidP="007C321B">
            <w:pPr>
              <w:pStyle w:val="NoSpacing"/>
              <w:jc w:val="right"/>
            </w:pPr>
            <w:r>
              <w:t>53</w:t>
            </w:r>
          </w:p>
        </w:tc>
      </w:tr>
    </w:tbl>
    <w:p w:rsidR="00257D81" w:rsidRDefault="00257D81" w:rsidP="00F02D69">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257D81" w:rsidTr="0038251B">
        <w:tc>
          <w:tcPr>
            <w:tcW w:w="10632" w:type="dxa"/>
            <w:gridSpan w:val="5"/>
          </w:tcPr>
          <w:p w:rsidR="00257D81" w:rsidRDefault="00257D81" w:rsidP="0038251B">
            <w:pPr>
              <w:pStyle w:val="NoSpacing"/>
            </w:pPr>
            <w:r>
              <w:t>Remuneration of other auditors</w:t>
            </w:r>
          </w:p>
        </w:tc>
      </w:tr>
      <w:tr w:rsidR="00257D81" w:rsidTr="0038251B">
        <w:tc>
          <w:tcPr>
            <w:tcW w:w="5529" w:type="dxa"/>
          </w:tcPr>
          <w:p w:rsidR="00257D81" w:rsidRDefault="00257D81" w:rsidP="0038251B">
            <w:pPr>
              <w:pStyle w:val="NoSpacing"/>
            </w:pPr>
            <w:r>
              <w:t>Internal audit services</w:t>
            </w:r>
          </w:p>
        </w:tc>
        <w:tc>
          <w:tcPr>
            <w:tcW w:w="1276" w:type="dxa"/>
          </w:tcPr>
          <w:p w:rsidR="00257D81" w:rsidRDefault="007C321B" w:rsidP="007C321B">
            <w:pPr>
              <w:pStyle w:val="NoSpacing"/>
              <w:jc w:val="right"/>
            </w:pPr>
            <w:r>
              <w:t>110</w:t>
            </w:r>
          </w:p>
        </w:tc>
        <w:tc>
          <w:tcPr>
            <w:tcW w:w="1276" w:type="dxa"/>
          </w:tcPr>
          <w:p w:rsidR="00257D81" w:rsidRDefault="007C321B" w:rsidP="007C321B">
            <w:pPr>
              <w:pStyle w:val="NoSpacing"/>
              <w:jc w:val="right"/>
            </w:pPr>
            <w:r>
              <w:t>198</w:t>
            </w:r>
          </w:p>
        </w:tc>
        <w:tc>
          <w:tcPr>
            <w:tcW w:w="1275" w:type="dxa"/>
          </w:tcPr>
          <w:p w:rsidR="00257D81" w:rsidRDefault="007C321B" w:rsidP="007C321B">
            <w:pPr>
              <w:pStyle w:val="NoSpacing"/>
              <w:jc w:val="right"/>
            </w:pPr>
            <w:r>
              <w:t>110</w:t>
            </w:r>
          </w:p>
        </w:tc>
        <w:tc>
          <w:tcPr>
            <w:tcW w:w="1276" w:type="dxa"/>
          </w:tcPr>
          <w:p w:rsidR="00257D81" w:rsidRDefault="007C321B" w:rsidP="007C321B">
            <w:pPr>
              <w:pStyle w:val="NoSpacing"/>
              <w:jc w:val="right"/>
            </w:pPr>
            <w:r>
              <w:t>198</w:t>
            </w:r>
          </w:p>
        </w:tc>
      </w:tr>
      <w:tr w:rsidR="00257D81" w:rsidTr="0038251B">
        <w:tc>
          <w:tcPr>
            <w:tcW w:w="5529" w:type="dxa"/>
          </w:tcPr>
          <w:p w:rsidR="00257D81" w:rsidRDefault="00257D81" w:rsidP="0038251B">
            <w:pPr>
              <w:pStyle w:val="NoSpacing"/>
            </w:pPr>
            <w:r>
              <w:t>Total remuneration of other auditors</w:t>
            </w:r>
          </w:p>
        </w:tc>
        <w:tc>
          <w:tcPr>
            <w:tcW w:w="1276" w:type="dxa"/>
          </w:tcPr>
          <w:p w:rsidR="00257D81" w:rsidRDefault="007C321B" w:rsidP="007C321B">
            <w:pPr>
              <w:pStyle w:val="NoSpacing"/>
              <w:jc w:val="right"/>
            </w:pPr>
            <w:r>
              <w:t>110</w:t>
            </w:r>
          </w:p>
        </w:tc>
        <w:tc>
          <w:tcPr>
            <w:tcW w:w="1276" w:type="dxa"/>
          </w:tcPr>
          <w:p w:rsidR="00257D81" w:rsidRDefault="007C321B" w:rsidP="007C321B">
            <w:pPr>
              <w:pStyle w:val="NoSpacing"/>
              <w:jc w:val="right"/>
            </w:pPr>
            <w:r>
              <w:t>198</w:t>
            </w:r>
          </w:p>
        </w:tc>
        <w:tc>
          <w:tcPr>
            <w:tcW w:w="1275" w:type="dxa"/>
          </w:tcPr>
          <w:p w:rsidR="00257D81" w:rsidRDefault="007C321B" w:rsidP="007C321B">
            <w:pPr>
              <w:pStyle w:val="NoSpacing"/>
              <w:jc w:val="right"/>
            </w:pPr>
            <w:r>
              <w:t>110</w:t>
            </w:r>
          </w:p>
        </w:tc>
        <w:tc>
          <w:tcPr>
            <w:tcW w:w="1276" w:type="dxa"/>
          </w:tcPr>
          <w:p w:rsidR="00257D81" w:rsidRDefault="007C321B" w:rsidP="007C321B">
            <w:pPr>
              <w:pStyle w:val="NoSpacing"/>
              <w:jc w:val="right"/>
            </w:pPr>
            <w:r>
              <w:t>198</w:t>
            </w:r>
          </w:p>
        </w:tc>
      </w:tr>
    </w:tbl>
    <w:p w:rsidR="009A6A2F" w:rsidRDefault="009A6A2F" w:rsidP="00F02D69">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257D81" w:rsidTr="0038251B">
        <w:tc>
          <w:tcPr>
            <w:tcW w:w="5529" w:type="dxa"/>
          </w:tcPr>
          <w:p w:rsidR="00257D81" w:rsidRDefault="00257D81" w:rsidP="0038251B">
            <w:pPr>
              <w:pStyle w:val="NoSpacing"/>
            </w:pPr>
            <w:r>
              <w:t xml:space="preserve">Total </w:t>
            </w:r>
          </w:p>
        </w:tc>
        <w:tc>
          <w:tcPr>
            <w:tcW w:w="1276" w:type="dxa"/>
          </w:tcPr>
          <w:p w:rsidR="00257D81" w:rsidRDefault="007C321B" w:rsidP="007C321B">
            <w:pPr>
              <w:pStyle w:val="NoSpacing"/>
              <w:jc w:val="right"/>
            </w:pPr>
            <w:r>
              <w:t>176</w:t>
            </w:r>
          </w:p>
        </w:tc>
        <w:tc>
          <w:tcPr>
            <w:tcW w:w="1276" w:type="dxa"/>
          </w:tcPr>
          <w:p w:rsidR="00257D81" w:rsidRDefault="007C321B" w:rsidP="007C321B">
            <w:pPr>
              <w:pStyle w:val="NoSpacing"/>
              <w:jc w:val="right"/>
            </w:pPr>
            <w:r>
              <w:t>256</w:t>
            </w:r>
          </w:p>
        </w:tc>
        <w:tc>
          <w:tcPr>
            <w:tcW w:w="1275" w:type="dxa"/>
          </w:tcPr>
          <w:p w:rsidR="00257D81" w:rsidRDefault="007C321B" w:rsidP="007C321B">
            <w:pPr>
              <w:pStyle w:val="NoSpacing"/>
              <w:jc w:val="right"/>
            </w:pPr>
            <w:r>
              <w:t>170</w:t>
            </w:r>
          </w:p>
        </w:tc>
        <w:tc>
          <w:tcPr>
            <w:tcW w:w="1276" w:type="dxa"/>
          </w:tcPr>
          <w:p w:rsidR="00257D81" w:rsidRDefault="007C321B" w:rsidP="007C321B">
            <w:pPr>
              <w:pStyle w:val="NoSpacing"/>
              <w:jc w:val="right"/>
            </w:pPr>
            <w:r>
              <w:t>251</w:t>
            </w:r>
          </w:p>
        </w:tc>
      </w:tr>
    </w:tbl>
    <w:p w:rsidR="00257D81" w:rsidRDefault="00257D81" w:rsidP="00F02D69">
      <w:pPr>
        <w:pStyle w:val="NoSpacing"/>
      </w:pPr>
    </w:p>
    <w:p w:rsidR="007C321B" w:rsidRDefault="007C321B" w:rsidP="00F02D69">
      <w:pPr>
        <w:pStyle w:val="NoSpacing"/>
      </w:pPr>
      <w:r>
        <w:t xml:space="preserve">The Victorian Auditor-General’s Office is not allowed to provide non-audit services. </w:t>
      </w:r>
    </w:p>
    <w:p w:rsidR="007C321B" w:rsidRDefault="007C321B" w:rsidP="00F02D69">
      <w:pPr>
        <w:pStyle w:val="NoSpacing"/>
      </w:pPr>
    </w:p>
    <w:p w:rsidR="00257D81" w:rsidRDefault="00257D81" w:rsidP="007C321B">
      <w:pPr>
        <w:pStyle w:val="Heading2"/>
      </w:pPr>
      <w:r>
        <w:lastRenderedPageBreak/>
        <w:t>9. Other disclosures</w:t>
      </w:r>
    </w:p>
    <w:p w:rsidR="0028573F" w:rsidRDefault="0028573F" w:rsidP="0028573F">
      <w:pPr>
        <w:pStyle w:val="NoSpacing"/>
      </w:pPr>
    </w:p>
    <w:p w:rsidR="00257D81" w:rsidRDefault="00257D81" w:rsidP="007C321B">
      <w:pPr>
        <w:pStyle w:val="Heading3"/>
      </w:pPr>
      <w:r>
        <w:t>9.1 Other economic flows included in net result</w:t>
      </w: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257D81" w:rsidTr="0038251B">
        <w:trPr>
          <w:gridBefore w:val="1"/>
          <w:wBefore w:w="5529" w:type="dxa"/>
        </w:trPr>
        <w:tc>
          <w:tcPr>
            <w:tcW w:w="2552" w:type="dxa"/>
            <w:gridSpan w:val="2"/>
          </w:tcPr>
          <w:p w:rsidR="00257D81" w:rsidRDefault="00257D81" w:rsidP="0038251B">
            <w:pPr>
              <w:pStyle w:val="NoSpacing"/>
              <w:jc w:val="right"/>
            </w:pPr>
            <w:r>
              <w:t>Consolidated</w:t>
            </w:r>
          </w:p>
        </w:tc>
        <w:tc>
          <w:tcPr>
            <w:tcW w:w="2551" w:type="dxa"/>
            <w:gridSpan w:val="2"/>
          </w:tcPr>
          <w:p w:rsidR="00257D81" w:rsidRDefault="00257D81" w:rsidP="0038251B">
            <w:pPr>
              <w:pStyle w:val="NoSpacing"/>
              <w:jc w:val="right"/>
            </w:pPr>
            <w:r>
              <w:t>Chisholm</w:t>
            </w:r>
          </w:p>
        </w:tc>
      </w:tr>
      <w:tr w:rsidR="00257D81" w:rsidTr="0038251B">
        <w:trPr>
          <w:gridBefore w:val="1"/>
          <w:wBefore w:w="5529" w:type="dxa"/>
        </w:trPr>
        <w:tc>
          <w:tcPr>
            <w:tcW w:w="1276" w:type="dxa"/>
          </w:tcPr>
          <w:p w:rsidR="00257D81" w:rsidRDefault="00257D81" w:rsidP="0038251B">
            <w:pPr>
              <w:pStyle w:val="NoSpacing"/>
              <w:jc w:val="right"/>
            </w:pPr>
            <w:r>
              <w:t>2019</w:t>
            </w:r>
          </w:p>
        </w:tc>
        <w:tc>
          <w:tcPr>
            <w:tcW w:w="1276" w:type="dxa"/>
          </w:tcPr>
          <w:p w:rsidR="00257D81" w:rsidRDefault="00257D81" w:rsidP="0038251B">
            <w:pPr>
              <w:pStyle w:val="NoSpacing"/>
              <w:jc w:val="right"/>
            </w:pPr>
            <w:r>
              <w:t>2018</w:t>
            </w:r>
          </w:p>
        </w:tc>
        <w:tc>
          <w:tcPr>
            <w:tcW w:w="1275" w:type="dxa"/>
          </w:tcPr>
          <w:p w:rsidR="00257D81" w:rsidRDefault="00257D81" w:rsidP="0038251B">
            <w:pPr>
              <w:pStyle w:val="NoSpacing"/>
              <w:jc w:val="right"/>
            </w:pPr>
            <w:r>
              <w:t>2019</w:t>
            </w:r>
          </w:p>
        </w:tc>
        <w:tc>
          <w:tcPr>
            <w:tcW w:w="1276" w:type="dxa"/>
          </w:tcPr>
          <w:p w:rsidR="00257D81" w:rsidRDefault="00257D81" w:rsidP="0038251B">
            <w:pPr>
              <w:pStyle w:val="NoSpacing"/>
              <w:jc w:val="right"/>
            </w:pPr>
            <w:r>
              <w:t>2018</w:t>
            </w:r>
          </w:p>
        </w:tc>
      </w:tr>
      <w:tr w:rsidR="00257D81" w:rsidTr="0038251B">
        <w:trPr>
          <w:gridBefore w:val="1"/>
          <w:wBefore w:w="5529" w:type="dxa"/>
        </w:trPr>
        <w:tc>
          <w:tcPr>
            <w:tcW w:w="1276" w:type="dxa"/>
          </w:tcPr>
          <w:p w:rsidR="00257D81" w:rsidRDefault="00257D81" w:rsidP="0038251B">
            <w:pPr>
              <w:pStyle w:val="NoSpacing"/>
              <w:jc w:val="right"/>
            </w:pPr>
            <w:r>
              <w:t>$’000</w:t>
            </w:r>
          </w:p>
        </w:tc>
        <w:tc>
          <w:tcPr>
            <w:tcW w:w="1276" w:type="dxa"/>
          </w:tcPr>
          <w:p w:rsidR="00257D81" w:rsidRDefault="00257D81" w:rsidP="0038251B">
            <w:pPr>
              <w:jc w:val="right"/>
            </w:pPr>
            <w:r w:rsidRPr="002A73C1">
              <w:t>$’000</w:t>
            </w:r>
          </w:p>
        </w:tc>
        <w:tc>
          <w:tcPr>
            <w:tcW w:w="1275" w:type="dxa"/>
          </w:tcPr>
          <w:p w:rsidR="00257D81" w:rsidRDefault="00257D81" w:rsidP="0038251B">
            <w:pPr>
              <w:jc w:val="right"/>
            </w:pPr>
            <w:r w:rsidRPr="002A73C1">
              <w:t>$’000</w:t>
            </w:r>
          </w:p>
        </w:tc>
        <w:tc>
          <w:tcPr>
            <w:tcW w:w="1276" w:type="dxa"/>
          </w:tcPr>
          <w:p w:rsidR="00257D81" w:rsidRDefault="00257D81" w:rsidP="0038251B">
            <w:pPr>
              <w:jc w:val="right"/>
            </w:pPr>
            <w:r w:rsidRPr="002A73C1">
              <w:t>$’000</w:t>
            </w:r>
          </w:p>
        </w:tc>
      </w:tr>
      <w:tr w:rsidR="00257D81" w:rsidTr="0038251B">
        <w:tc>
          <w:tcPr>
            <w:tcW w:w="10632" w:type="dxa"/>
            <w:gridSpan w:val="5"/>
          </w:tcPr>
          <w:p w:rsidR="00257D81" w:rsidRDefault="00257D81" w:rsidP="0038251B">
            <w:pPr>
              <w:pStyle w:val="NoSpacing"/>
            </w:pPr>
            <w:r>
              <w:t>(a) Net gain/(loss) on financial instruments</w:t>
            </w:r>
          </w:p>
        </w:tc>
      </w:tr>
      <w:tr w:rsidR="00257D81" w:rsidTr="0038251B">
        <w:tc>
          <w:tcPr>
            <w:tcW w:w="5529" w:type="dxa"/>
          </w:tcPr>
          <w:p w:rsidR="00257D81" w:rsidRDefault="00257D81" w:rsidP="0038251B">
            <w:pPr>
              <w:pStyle w:val="NoSpacing"/>
            </w:pPr>
            <w:r>
              <w:t>Foreign currency exchange gain/(loss)</w:t>
            </w:r>
          </w:p>
        </w:tc>
        <w:tc>
          <w:tcPr>
            <w:tcW w:w="1276" w:type="dxa"/>
          </w:tcPr>
          <w:p w:rsidR="00257D81" w:rsidRDefault="00C470DB" w:rsidP="00C470DB">
            <w:pPr>
              <w:pStyle w:val="NoSpacing"/>
              <w:jc w:val="right"/>
            </w:pPr>
            <w:r>
              <w:t>87</w:t>
            </w:r>
          </w:p>
        </w:tc>
        <w:tc>
          <w:tcPr>
            <w:tcW w:w="1276" w:type="dxa"/>
          </w:tcPr>
          <w:p w:rsidR="00257D81" w:rsidRDefault="00C470DB" w:rsidP="00C470DB">
            <w:pPr>
              <w:pStyle w:val="NoSpacing"/>
              <w:jc w:val="right"/>
            </w:pPr>
            <w:r>
              <w:t>12</w:t>
            </w:r>
          </w:p>
        </w:tc>
        <w:tc>
          <w:tcPr>
            <w:tcW w:w="1275" w:type="dxa"/>
          </w:tcPr>
          <w:p w:rsidR="00257D81" w:rsidRDefault="00C470DB" w:rsidP="00C470DB">
            <w:pPr>
              <w:pStyle w:val="NoSpacing"/>
              <w:jc w:val="right"/>
            </w:pPr>
            <w:r>
              <w:t>87</w:t>
            </w:r>
          </w:p>
        </w:tc>
        <w:tc>
          <w:tcPr>
            <w:tcW w:w="1276" w:type="dxa"/>
          </w:tcPr>
          <w:p w:rsidR="00257D81" w:rsidRDefault="00C470DB" w:rsidP="00C470DB">
            <w:pPr>
              <w:pStyle w:val="NoSpacing"/>
              <w:jc w:val="right"/>
            </w:pPr>
            <w:r>
              <w:t>12</w:t>
            </w:r>
          </w:p>
        </w:tc>
      </w:tr>
      <w:tr w:rsidR="00257D81" w:rsidTr="0038251B">
        <w:tc>
          <w:tcPr>
            <w:tcW w:w="5529" w:type="dxa"/>
          </w:tcPr>
          <w:p w:rsidR="00257D81" w:rsidRDefault="00257D81" w:rsidP="0038251B">
            <w:pPr>
              <w:pStyle w:val="NoSpacing"/>
            </w:pPr>
            <w:r>
              <w:t>Greener Government loan discount</w:t>
            </w:r>
          </w:p>
        </w:tc>
        <w:tc>
          <w:tcPr>
            <w:tcW w:w="1276" w:type="dxa"/>
          </w:tcPr>
          <w:p w:rsidR="00257D81" w:rsidRDefault="00C470DB" w:rsidP="00C470DB">
            <w:pPr>
              <w:pStyle w:val="NoSpacing"/>
              <w:jc w:val="right"/>
            </w:pPr>
            <w:r>
              <w:t>(36)</w:t>
            </w:r>
          </w:p>
        </w:tc>
        <w:tc>
          <w:tcPr>
            <w:tcW w:w="1276" w:type="dxa"/>
          </w:tcPr>
          <w:p w:rsidR="00257D81" w:rsidRDefault="00C470DB" w:rsidP="00C470DB">
            <w:pPr>
              <w:pStyle w:val="NoSpacing"/>
              <w:jc w:val="right"/>
            </w:pPr>
            <w:r>
              <w:t>(46)</w:t>
            </w:r>
          </w:p>
        </w:tc>
        <w:tc>
          <w:tcPr>
            <w:tcW w:w="1275" w:type="dxa"/>
          </w:tcPr>
          <w:p w:rsidR="00257D81" w:rsidRDefault="00C470DB" w:rsidP="00C470DB">
            <w:pPr>
              <w:pStyle w:val="NoSpacing"/>
              <w:jc w:val="right"/>
            </w:pPr>
            <w:r>
              <w:t>(36)</w:t>
            </w:r>
          </w:p>
        </w:tc>
        <w:tc>
          <w:tcPr>
            <w:tcW w:w="1276" w:type="dxa"/>
          </w:tcPr>
          <w:p w:rsidR="00257D81" w:rsidRDefault="00C470DB" w:rsidP="00C470DB">
            <w:pPr>
              <w:pStyle w:val="NoSpacing"/>
              <w:jc w:val="right"/>
            </w:pPr>
            <w:r>
              <w:t>(46)</w:t>
            </w:r>
          </w:p>
        </w:tc>
      </w:tr>
      <w:tr w:rsidR="00257D81" w:rsidTr="0038251B">
        <w:tc>
          <w:tcPr>
            <w:tcW w:w="5529" w:type="dxa"/>
          </w:tcPr>
          <w:p w:rsidR="00257D81" w:rsidRDefault="00257D81" w:rsidP="0038251B">
            <w:pPr>
              <w:pStyle w:val="NoSpacing"/>
            </w:pPr>
            <w:r>
              <w:t xml:space="preserve">Total net gain/(loss) on financial instruments </w:t>
            </w:r>
          </w:p>
        </w:tc>
        <w:tc>
          <w:tcPr>
            <w:tcW w:w="1276" w:type="dxa"/>
          </w:tcPr>
          <w:p w:rsidR="00257D81" w:rsidRDefault="00C470DB" w:rsidP="00C470DB">
            <w:pPr>
              <w:pStyle w:val="NoSpacing"/>
              <w:jc w:val="right"/>
            </w:pPr>
            <w:r>
              <w:t>51</w:t>
            </w:r>
          </w:p>
        </w:tc>
        <w:tc>
          <w:tcPr>
            <w:tcW w:w="1276" w:type="dxa"/>
          </w:tcPr>
          <w:p w:rsidR="00257D81" w:rsidRDefault="00C470DB" w:rsidP="00C470DB">
            <w:pPr>
              <w:pStyle w:val="NoSpacing"/>
              <w:jc w:val="right"/>
            </w:pPr>
            <w:r>
              <w:t>(32)</w:t>
            </w:r>
          </w:p>
        </w:tc>
        <w:tc>
          <w:tcPr>
            <w:tcW w:w="1275" w:type="dxa"/>
          </w:tcPr>
          <w:p w:rsidR="00257D81" w:rsidRDefault="00C470DB" w:rsidP="00C470DB">
            <w:pPr>
              <w:pStyle w:val="NoSpacing"/>
              <w:jc w:val="right"/>
            </w:pPr>
            <w:r>
              <w:t>51</w:t>
            </w:r>
          </w:p>
        </w:tc>
        <w:tc>
          <w:tcPr>
            <w:tcW w:w="1276" w:type="dxa"/>
          </w:tcPr>
          <w:p w:rsidR="00257D81" w:rsidRDefault="00C470DB" w:rsidP="00C470DB">
            <w:pPr>
              <w:pStyle w:val="NoSpacing"/>
              <w:jc w:val="right"/>
            </w:pPr>
            <w:r>
              <w:t>(32)</w:t>
            </w:r>
          </w:p>
        </w:tc>
      </w:tr>
    </w:tbl>
    <w:p w:rsidR="00257D81" w:rsidRDefault="00257D81" w:rsidP="00F02D69">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257D81" w:rsidTr="0038251B">
        <w:tc>
          <w:tcPr>
            <w:tcW w:w="10632" w:type="dxa"/>
            <w:gridSpan w:val="5"/>
          </w:tcPr>
          <w:p w:rsidR="00257D81" w:rsidRDefault="00257D81" w:rsidP="0038251B">
            <w:pPr>
              <w:pStyle w:val="NoSpacing"/>
            </w:pPr>
            <w:r>
              <w:t>(b) Other gains/(losses) from other economic flows</w:t>
            </w:r>
          </w:p>
        </w:tc>
      </w:tr>
      <w:tr w:rsidR="00257D81" w:rsidTr="0038251B">
        <w:tc>
          <w:tcPr>
            <w:tcW w:w="5529" w:type="dxa"/>
          </w:tcPr>
          <w:p w:rsidR="00257D81" w:rsidRDefault="00835996" w:rsidP="0038251B">
            <w:pPr>
              <w:pStyle w:val="NoSpacing"/>
            </w:pPr>
            <w:r>
              <w:t>Net gain/(loss) on non-financial assets (including PPE and intangible assets)</w:t>
            </w:r>
          </w:p>
        </w:tc>
        <w:tc>
          <w:tcPr>
            <w:tcW w:w="1276" w:type="dxa"/>
          </w:tcPr>
          <w:p w:rsidR="00257D81" w:rsidRDefault="00C470DB" w:rsidP="00C470DB">
            <w:pPr>
              <w:pStyle w:val="NoSpacing"/>
              <w:jc w:val="right"/>
            </w:pPr>
            <w:r>
              <w:t>7</w:t>
            </w:r>
          </w:p>
        </w:tc>
        <w:tc>
          <w:tcPr>
            <w:tcW w:w="1276" w:type="dxa"/>
          </w:tcPr>
          <w:p w:rsidR="00257D81" w:rsidRDefault="00C470DB" w:rsidP="00C470DB">
            <w:pPr>
              <w:pStyle w:val="NoSpacing"/>
              <w:jc w:val="right"/>
            </w:pPr>
            <w:r>
              <w:t>9</w:t>
            </w:r>
          </w:p>
        </w:tc>
        <w:tc>
          <w:tcPr>
            <w:tcW w:w="1275" w:type="dxa"/>
          </w:tcPr>
          <w:p w:rsidR="00257D81" w:rsidRDefault="00C470DB" w:rsidP="00C470DB">
            <w:pPr>
              <w:pStyle w:val="NoSpacing"/>
              <w:jc w:val="right"/>
            </w:pPr>
            <w:r>
              <w:t>7</w:t>
            </w:r>
          </w:p>
        </w:tc>
        <w:tc>
          <w:tcPr>
            <w:tcW w:w="1276" w:type="dxa"/>
          </w:tcPr>
          <w:p w:rsidR="00257D81" w:rsidRDefault="00C470DB" w:rsidP="00C470DB">
            <w:pPr>
              <w:pStyle w:val="NoSpacing"/>
              <w:jc w:val="right"/>
            </w:pPr>
            <w:r>
              <w:t>9</w:t>
            </w:r>
          </w:p>
        </w:tc>
      </w:tr>
      <w:tr w:rsidR="00257D81" w:rsidTr="0038251B">
        <w:tc>
          <w:tcPr>
            <w:tcW w:w="5529" w:type="dxa"/>
          </w:tcPr>
          <w:p w:rsidR="00257D81" w:rsidRDefault="00835996" w:rsidP="0038251B">
            <w:pPr>
              <w:pStyle w:val="NoSpacing"/>
            </w:pPr>
            <w:r>
              <w:t>Total other gains/(losses) from other economic flows</w:t>
            </w:r>
          </w:p>
        </w:tc>
        <w:tc>
          <w:tcPr>
            <w:tcW w:w="1276" w:type="dxa"/>
          </w:tcPr>
          <w:p w:rsidR="00257D81" w:rsidRDefault="00C470DB" w:rsidP="00C470DB">
            <w:pPr>
              <w:pStyle w:val="NoSpacing"/>
              <w:jc w:val="right"/>
            </w:pPr>
            <w:r>
              <w:t>7</w:t>
            </w:r>
          </w:p>
        </w:tc>
        <w:tc>
          <w:tcPr>
            <w:tcW w:w="1276" w:type="dxa"/>
          </w:tcPr>
          <w:p w:rsidR="00257D81" w:rsidRDefault="00C470DB" w:rsidP="00C470DB">
            <w:pPr>
              <w:pStyle w:val="NoSpacing"/>
              <w:jc w:val="right"/>
            </w:pPr>
            <w:r>
              <w:t>9</w:t>
            </w:r>
          </w:p>
        </w:tc>
        <w:tc>
          <w:tcPr>
            <w:tcW w:w="1275" w:type="dxa"/>
          </w:tcPr>
          <w:p w:rsidR="00257D81" w:rsidRDefault="00C470DB" w:rsidP="00C470DB">
            <w:pPr>
              <w:pStyle w:val="NoSpacing"/>
              <w:jc w:val="right"/>
            </w:pPr>
            <w:r>
              <w:t>7</w:t>
            </w:r>
          </w:p>
        </w:tc>
        <w:tc>
          <w:tcPr>
            <w:tcW w:w="1276" w:type="dxa"/>
          </w:tcPr>
          <w:p w:rsidR="00257D81" w:rsidRDefault="00C470DB" w:rsidP="00C470DB">
            <w:pPr>
              <w:pStyle w:val="NoSpacing"/>
              <w:jc w:val="right"/>
            </w:pPr>
            <w:r>
              <w:t>9</w:t>
            </w:r>
          </w:p>
        </w:tc>
      </w:tr>
    </w:tbl>
    <w:p w:rsidR="00257D81" w:rsidRDefault="00257D81" w:rsidP="00F02D69">
      <w:pPr>
        <w:pStyle w:val="NoSpacing"/>
      </w:pP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257D81" w:rsidTr="0038251B">
        <w:tc>
          <w:tcPr>
            <w:tcW w:w="5529" w:type="dxa"/>
          </w:tcPr>
          <w:p w:rsidR="00257D81" w:rsidRDefault="00835996" w:rsidP="0038251B">
            <w:pPr>
              <w:pStyle w:val="NoSpacing"/>
            </w:pPr>
            <w:r>
              <w:t>Total other economic flows included in net result</w:t>
            </w:r>
          </w:p>
        </w:tc>
        <w:tc>
          <w:tcPr>
            <w:tcW w:w="1276" w:type="dxa"/>
          </w:tcPr>
          <w:p w:rsidR="00257D81" w:rsidRDefault="00C470DB" w:rsidP="00C470DB">
            <w:pPr>
              <w:pStyle w:val="NoSpacing"/>
              <w:jc w:val="right"/>
            </w:pPr>
            <w:r>
              <w:t>58</w:t>
            </w:r>
          </w:p>
        </w:tc>
        <w:tc>
          <w:tcPr>
            <w:tcW w:w="1276" w:type="dxa"/>
          </w:tcPr>
          <w:p w:rsidR="00257D81" w:rsidRDefault="00C470DB" w:rsidP="00C470DB">
            <w:pPr>
              <w:pStyle w:val="NoSpacing"/>
              <w:jc w:val="right"/>
            </w:pPr>
            <w:r>
              <w:t>(23)</w:t>
            </w:r>
          </w:p>
        </w:tc>
        <w:tc>
          <w:tcPr>
            <w:tcW w:w="1275" w:type="dxa"/>
          </w:tcPr>
          <w:p w:rsidR="00257D81" w:rsidRDefault="00C470DB" w:rsidP="00C470DB">
            <w:pPr>
              <w:pStyle w:val="NoSpacing"/>
              <w:jc w:val="right"/>
            </w:pPr>
            <w:r>
              <w:t>58</w:t>
            </w:r>
          </w:p>
        </w:tc>
        <w:tc>
          <w:tcPr>
            <w:tcW w:w="1276" w:type="dxa"/>
          </w:tcPr>
          <w:p w:rsidR="00257D81" w:rsidRDefault="00C470DB" w:rsidP="00C470DB">
            <w:pPr>
              <w:pStyle w:val="NoSpacing"/>
              <w:jc w:val="right"/>
            </w:pPr>
            <w:r>
              <w:t>(23)</w:t>
            </w:r>
          </w:p>
        </w:tc>
      </w:tr>
    </w:tbl>
    <w:p w:rsidR="00257D81" w:rsidRDefault="00FC1ABF" w:rsidP="00F02D69">
      <w:pPr>
        <w:pStyle w:val="NoSpacing"/>
      </w:pPr>
      <w:r>
        <w:t>Note: The 2018 Annual Report included net gain/(loss) on revaluation of leave liabilities and impairment of loans and receivables. In 2019, these items have been reclassified to revenue or expenses from transactions. The 2018 figures have been restated for comparative purposes; the net result for 2018 remains unchanged.</w:t>
      </w:r>
    </w:p>
    <w:p w:rsidR="00FC1ABF" w:rsidRDefault="00FC1ABF" w:rsidP="00F02D69">
      <w:pPr>
        <w:pStyle w:val="NoSpacing"/>
      </w:pPr>
    </w:p>
    <w:p w:rsidR="00FC1ABF" w:rsidRDefault="00FC1ABF" w:rsidP="00F02D69">
      <w:pPr>
        <w:pStyle w:val="NoSpacing"/>
      </w:pPr>
      <w:r>
        <w:t>&lt;page 91&gt;</w:t>
      </w:r>
    </w:p>
    <w:p w:rsidR="00FC1ABF" w:rsidRDefault="00FC1ABF" w:rsidP="00F02D69">
      <w:pPr>
        <w:pStyle w:val="NoSpacing"/>
      </w:pPr>
    </w:p>
    <w:p w:rsidR="00FC1ABF" w:rsidRDefault="00FC1ABF" w:rsidP="00FC1ABF">
      <w:pPr>
        <w:pStyle w:val="Heading2"/>
      </w:pPr>
      <w:r>
        <w:t>9. Other disclosures (continued)</w:t>
      </w:r>
    </w:p>
    <w:p w:rsidR="0028573F" w:rsidRDefault="0028573F" w:rsidP="0028573F">
      <w:pPr>
        <w:pStyle w:val="NoSpacing"/>
      </w:pPr>
    </w:p>
    <w:p w:rsidR="00FC1ABF" w:rsidRDefault="00FC1ABF" w:rsidP="00FC1ABF">
      <w:pPr>
        <w:pStyle w:val="Heading3"/>
      </w:pPr>
      <w:r>
        <w:t>9.1 Other economic flows included in net result (continued)</w:t>
      </w:r>
    </w:p>
    <w:p w:rsidR="00FC1ABF" w:rsidRDefault="00FC1ABF" w:rsidP="00F02D69">
      <w:pPr>
        <w:pStyle w:val="NoSpacing"/>
      </w:pPr>
    </w:p>
    <w:p w:rsidR="00C470DB" w:rsidRDefault="00FC1ABF" w:rsidP="00F02D69">
      <w:pPr>
        <w:pStyle w:val="NoSpacing"/>
      </w:pPr>
      <w:r>
        <w:t>‘Other economic flows’ are changes arising from market remeasurements. They include:</w:t>
      </w:r>
    </w:p>
    <w:p w:rsidR="00FC1ABF" w:rsidRDefault="00FC1ABF" w:rsidP="00925530">
      <w:pPr>
        <w:pStyle w:val="NoSpacing"/>
        <w:numPr>
          <w:ilvl w:val="0"/>
          <w:numId w:val="61"/>
        </w:numPr>
      </w:pPr>
      <w:r>
        <w:t>gains and losses from disposals of non-financial assets (refer to Note 4.1);</w:t>
      </w:r>
    </w:p>
    <w:p w:rsidR="00FC1ABF" w:rsidRDefault="00FC1ABF" w:rsidP="00925530">
      <w:pPr>
        <w:pStyle w:val="NoSpacing"/>
        <w:numPr>
          <w:ilvl w:val="0"/>
          <w:numId w:val="61"/>
        </w:numPr>
      </w:pPr>
      <w:r>
        <w:t>revaluations and impairments of non-financial physical and intangible assets (refer to Note 4.1 and Not 4.2);</w:t>
      </w:r>
    </w:p>
    <w:p w:rsidR="00FC1ABF" w:rsidRDefault="00FC1ABF" w:rsidP="00925530">
      <w:pPr>
        <w:pStyle w:val="NoSpacing"/>
        <w:numPr>
          <w:ilvl w:val="0"/>
          <w:numId w:val="61"/>
        </w:numPr>
      </w:pPr>
      <w:r>
        <w:t>remeasurement arising from employee benefits (refer to Note 3.1) and</w:t>
      </w:r>
    </w:p>
    <w:p w:rsidR="00FC1ABF" w:rsidRDefault="00FC1ABF" w:rsidP="00925530">
      <w:pPr>
        <w:pStyle w:val="NoSpacing"/>
        <w:numPr>
          <w:ilvl w:val="0"/>
          <w:numId w:val="61"/>
        </w:numPr>
      </w:pPr>
      <w:r>
        <w:t>fair value changes of financial instruments (refer to Note 7.3).</w:t>
      </w:r>
    </w:p>
    <w:p w:rsidR="00FC1ABF" w:rsidRDefault="00FC1ABF" w:rsidP="00FC1ABF">
      <w:pPr>
        <w:pStyle w:val="NoSpacing"/>
      </w:pPr>
      <w:r>
        <w:t>This classification is consistent with the whole government reporting format and is allowed under AASB 101 Presentation of Financial Statements.</w:t>
      </w:r>
    </w:p>
    <w:p w:rsidR="00C470DB" w:rsidRDefault="00C470DB" w:rsidP="00F02D69">
      <w:pPr>
        <w:pStyle w:val="NoSpacing"/>
      </w:pPr>
    </w:p>
    <w:p w:rsidR="00257D81" w:rsidRDefault="00257D81" w:rsidP="00FC1ABF">
      <w:pPr>
        <w:pStyle w:val="Heading3"/>
      </w:pPr>
      <w:r>
        <w:t>9.2 Other equity reserves</w:t>
      </w: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835996" w:rsidTr="0038251B">
        <w:trPr>
          <w:gridBefore w:val="1"/>
          <w:wBefore w:w="5529" w:type="dxa"/>
        </w:trPr>
        <w:tc>
          <w:tcPr>
            <w:tcW w:w="2552" w:type="dxa"/>
            <w:gridSpan w:val="2"/>
          </w:tcPr>
          <w:p w:rsidR="00835996" w:rsidRDefault="00835996" w:rsidP="0038251B">
            <w:pPr>
              <w:pStyle w:val="NoSpacing"/>
              <w:jc w:val="right"/>
            </w:pPr>
            <w:r>
              <w:t>Consolidated</w:t>
            </w:r>
          </w:p>
        </w:tc>
        <w:tc>
          <w:tcPr>
            <w:tcW w:w="2551" w:type="dxa"/>
            <w:gridSpan w:val="2"/>
          </w:tcPr>
          <w:p w:rsidR="00835996" w:rsidRDefault="00835996" w:rsidP="0038251B">
            <w:pPr>
              <w:pStyle w:val="NoSpacing"/>
              <w:jc w:val="right"/>
            </w:pPr>
            <w:r>
              <w:t>Chisholm</w:t>
            </w:r>
          </w:p>
        </w:tc>
      </w:tr>
      <w:tr w:rsidR="00835996" w:rsidTr="0038251B">
        <w:trPr>
          <w:gridBefore w:val="1"/>
          <w:wBefore w:w="5529" w:type="dxa"/>
        </w:trPr>
        <w:tc>
          <w:tcPr>
            <w:tcW w:w="1276" w:type="dxa"/>
          </w:tcPr>
          <w:p w:rsidR="00835996" w:rsidRDefault="00835996" w:rsidP="0038251B">
            <w:pPr>
              <w:pStyle w:val="NoSpacing"/>
              <w:jc w:val="right"/>
            </w:pPr>
            <w:r>
              <w:t>2019</w:t>
            </w:r>
          </w:p>
        </w:tc>
        <w:tc>
          <w:tcPr>
            <w:tcW w:w="1276" w:type="dxa"/>
          </w:tcPr>
          <w:p w:rsidR="00835996" w:rsidRDefault="00835996" w:rsidP="0038251B">
            <w:pPr>
              <w:pStyle w:val="NoSpacing"/>
              <w:jc w:val="right"/>
            </w:pPr>
            <w:r>
              <w:t>2018</w:t>
            </w:r>
          </w:p>
        </w:tc>
        <w:tc>
          <w:tcPr>
            <w:tcW w:w="1275" w:type="dxa"/>
          </w:tcPr>
          <w:p w:rsidR="00835996" w:rsidRDefault="00835996" w:rsidP="0038251B">
            <w:pPr>
              <w:pStyle w:val="NoSpacing"/>
              <w:jc w:val="right"/>
            </w:pPr>
            <w:r>
              <w:t>2019</w:t>
            </w:r>
          </w:p>
        </w:tc>
        <w:tc>
          <w:tcPr>
            <w:tcW w:w="1276" w:type="dxa"/>
          </w:tcPr>
          <w:p w:rsidR="00835996" w:rsidRDefault="00835996" w:rsidP="0038251B">
            <w:pPr>
              <w:pStyle w:val="NoSpacing"/>
              <w:jc w:val="right"/>
            </w:pPr>
            <w:r>
              <w:t>2018</w:t>
            </w:r>
          </w:p>
        </w:tc>
      </w:tr>
      <w:tr w:rsidR="00835996" w:rsidTr="0038251B">
        <w:trPr>
          <w:gridBefore w:val="1"/>
          <w:wBefore w:w="5529" w:type="dxa"/>
        </w:trPr>
        <w:tc>
          <w:tcPr>
            <w:tcW w:w="1276" w:type="dxa"/>
          </w:tcPr>
          <w:p w:rsidR="00835996" w:rsidRDefault="00835996" w:rsidP="0038251B">
            <w:pPr>
              <w:pStyle w:val="NoSpacing"/>
              <w:jc w:val="right"/>
            </w:pPr>
            <w:r>
              <w:t>$’000</w:t>
            </w:r>
          </w:p>
        </w:tc>
        <w:tc>
          <w:tcPr>
            <w:tcW w:w="1276" w:type="dxa"/>
          </w:tcPr>
          <w:p w:rsidR="00835996" w:rsidRDefault="00835996" w:rsidP="0038251B">
            <w:pPr>
              <w:jc w:val="right"/>
            </w:pPr>
            <w:r w:rsidRPr="002A73C1">
              <w:t>$’000</w:t>
            </w:r>
          </w:p>
        </w:tc>
        <w:tc>
          <w:tcPr>
            <w:tcW w:w="1275" w:type="dxa"/>
          </w:tcPr>
          <w:p w:rsidR="00835996" w:rsidRDefault="00835996" w:rsidP="0038251B">
            <w:pPr>
              <w:jc w:val="right"/>
            </w:pPr>
            <w:r w:rsidRPr="002A73C1">
              <w:t>$’000</w:t>
            </w:r>
          </w:p>
        </w:tc>
        <w:tc>
          <w:tcPr>
            <w:tcW w:w="1276" w:type="dxa"/>
          </w:tcPr>
          <w:p w:rsidR="00835996" w:rsidRDefault="00835996" w:rsidP="0038251B">
            <w:pPr>
              <w:jc w:val="right"/>
            </w:pPr>
            <w:r w:rsidRPr="002A73C1">
              <w:t>$’000</w:t>
            </w:r>
          </w:p>
        </w:tc>
      </w:tr>
      <w:tr w:rsidR="00835996" w:rsidTr="0038251B">
        <w:tc>
          <w:tcPr>
            <w:tcW w:w="10632" w:type="dxa"/>
            <w:gridSpan w:val="5"/>
          </w:tcPr>
          <w:p w:rsidR="00835996" w:rsidRDefault="00835996" w:rsidP="0038251B">
            <w:pPr>
              <w:pStyle w:val="NoSpacing"/>
            </w:pPr>
            <w:r>
              <w:t>Physical asset revaluation surplus</w:t>
            </w:r>
          </w:p>
        </w:tc>
      </w:tr>
      <w:tr w:rsidR="00835996" w:rsidTr="0038251B">
        <w:tc>
          <w:tcPr>
            <w:tcW w:w="5529" w:type="dxa"/>
          </w:tcPr>
          <w:p w:rsidR="00835996" w:rsidRDefault="00835996" w:rsidP="0038251B">
            <w:pPr>
              <w:pStyle w:val="NoSpacing"/>
            </w:pPr>
            <w:r>
              <w:t xml:space="preserve">Balance at 1 January </w:t>
            </w:r>
          </w:p>
        </w:tc>
        <w:tc>
          <w:tcPr>
            <w:tcW w:w="1276" w:type="dxa"/>
          </w:tcPr>
          <w:p w:rsidR="00835996" w:rsidRDefault="00210E0C" w:rsidP="00210E0C">
            <w:pPr>
              <w:pStyle w:val="NoSpacing"/>
              <w:jc w:val="right"/>
            </w:pPr>
            <w:r>
              <w:t>78,838</w:t>
            </w:r>
          </w:p>
        </w:tc>
        <w:tc>
          <w:tcPr>
            <w:tcW w:w="1276" w:type="dxa"/>
          </w:tcPr>
          <w:p w:rsidR="00835996" w:rsidRDefault="00210E0C" w:rsidP="00210E0C">
            <w:pPr>
              <w:pStyle w:val="NoSpacing"/>
              <w:jc w:val="right"/>
            </w:pPr>
            <w:r>
              <w:t>78,838</w:t>
            </w:r>
          </w:p>
        </w:tc>
        <w:tc>
          <w:tcPr>
            <w:tcW w:w="1275" w:type="dxa"/>
          </w:tcPr>
          <w:p w:rsidR="00835996" w:rsidRDefault="00210E0C" w:rsidP="00210E0C">
            <w:pPr>
              <w:pStyle w:val="NoSpacing"/>
              <w:jc w:val="right"/>
            </w:pPr>
            <w:r>
              <w:t>78,838</w:t>
            </w:r>
          </w:p>
        </w:tc>
        <w:tc>
          <w:tcPr>
            <w:tcW w:w="1276" w:type="dxa"/>
          </w:tcPr>
          <w:p w:rsidR="00835996" w:rsidRDefault="00210E0C" w:rsidP="00210E0C">
            <w:pPr>
              <w:pStyle w:val="NoSpacing"/>
              <w:jc w:val="right"/>
            </w:pPr>
            <w:r>
              <w:t>78,838</w:t>
            </w:r>
          </w:p>
        </w:tc>
      </w:tr>
      <w:tr w:rsidR="00835996" w:rsidTr="0038251B">
        <w:tc>
          <w:tcPr>
            <w:tcW w:w="5529" w:type="dxa"/>
          </w:tcPr>
          <w:p w:rsidR="00835996" w:rsidRDefault="00835996" w:rsidP="0038251B">
            <w:pPr>
              <w:pStyle w:val="NoSpacing"/>
            </w:pPr>
            <w:r>
              <w:t xml:space="preserve">Balance at 31 December </w:t>
            </w:r>
          </w:p>
        </w:tc>
        <w:tc>
          <w:tcPr>
            <w:tcW w:w="1276" w:type="dxa"/>
          </w:tcPr>
          <w:p w:rsidR="00835996" w:rsidRDefault="00210E0C" w:rsidP="00210E0C">
            <w:pPr>
              <w:pStyle w:val="NoSpacing"/>
              <w:jc w:val="right"/>
            </w:pPr>
            <w:r>
              <w:t>78,838</w:t>
            </w:r>
          </w:p>
        </w:tc>
        <w:tc>
          <w:tcPr>
            <w:tcW w:w="1276" w:type="dxa"/>
          </w:tcPr>
          <w:p w:rsidR="00835996" w:rsidRDefault="00210E0C" w:rsidP="00210E0C">
            <w:pPr>
              <w:pStyle w:val="NoSpacing"/>
              <w:jc w:val="right"/>
            </w:pPr>
            <w:r>
              <w:t>78,838</w:t>
            </w:r>
          </w:p>
        </w:tc>
        <w:tc>
          <w:tcPr>
            <w:tcW w:w="1275" w:type="dxa"/>
          </w:tcPr>
          <w:p w:rsidR="00835996" w:rsidRDefault="00210E0C" w:rsidP="00210E0C">
            <w:pPr>
              <w:pStyle w:val="NoSpacing"/>
              <w:jc w:val="right"/>
            </w:pPr>
            <w:r>
              <w:t>78,838</w:t>
            </w:r>
          </w:p>
        </w:tc>
        <w:tc>
          <w:tcPr>
            <w:tcW w:w="1276" w:type="dxa"/>
          </w:tcPr>
          <w:p w:rsidR="00835996" w:rsidRDefault="00210E0C" w:rsidP="00210E0C">
            <w:pPr>
              <w:pStyle w:val="NoSpacing"/>
              <w:jc w:val="right"/>
            </w:pPr>
            <w:r>
              <w:t>78,838</w:t>
            </w:r>
          </w:p>
        </w:tc>
      </w:tr>
    </w:tbl>
    <w:p w:rsidR="00835996" w:rsidRDefault="00210E0C" w:rsidP="00F02D69">
      <w:pPr>
        <w:pStyle w:val="NoSpacing"/>
      </w:pPr>
      <w:r>
        <w:t>Note: The physical asset revaluation surplus arises on the revaluation of land and buildings.</w:t>
      </w:r>
    </w:p>
    <w:p w:rsidR="00210E0C" w:rsidRDefault="00210E0C" w:rsidP="00F02D69">
      <w:pPr>
        <w:pStyle w:val="NoSpacing"/>
      </w:pPr>
    </w:p>
    <w:p w:rsidR="00210E0C" w:rsidRDefault="00210E0C" w:rsidP="00F02D69">
      <w:pPr>
        <w:pStyle w:val="NoSpacing"/>
      </w:pPr>
    </w:p>
    <w:p w:rsidR="00835996" w:rsidRDefault="00835996" w:rsidP="00210E0C">
      <w:pPr>
        <w:pStyle w:val="Heading3"/>
      </w:pPr>
      <w:r>
        <w:lastRenderedPageBreak/>
        <w:t>9.3 Ex-gratia expenses</w:t>
      </w:r>
    </w:p>
    <w:tbl>
      <w:tblPr>
        <w:tblStyle w:val="TableGrid"/>
        <w:tblW w:w="10632" w:type="dxa"/>
        <w:tblInd w:w="-856" w:type="dxa"/>
        <w:tblLook w:val="04A0" w:firstRow="1" w:lastRow="0" w:firstColumn="1" w:lastColumn="0" w:noHBand="0" w:noVBand="1"/>
      </w:tblPr>
      <w:tblGrid>
        <w:gridCol w:w="5529"/>
        <w:gridCol w:w="1276"/>
        <w:gridCol w:w="1276"/>
        <w:gridCol w:w="1275"/>
        <w:gridCol w:w="1276"/>
      </w:tblGrid>
      <w:tr w:rsidR="00835996" w:rsidTr="0038251B">
        <w:trPr>
          <w:gridBefore w:val="1"/>
          <w:wBefore w:w="5529" w:type="dxa"/>
        </w:trPr>
        <w:tc>
          <w:tcPr>
            <w:tcW w:w="2552" w:type="dxa"/>
            <w:gridSpan w:val="2"/>
          </w:tcPr>
          <w:p w:rsidR="00835996" w:rsidRDefault="00835996" w:rsidP="0038251B">
            <w:pPr>
              <w:pStyle w:val="NoSpacing"/>
              <w:jc w:val="right"/>
            </w:pPr>
            <w:r>
              <w:t>Consolidated</w:t>
            </w:r>
          </w:p>
        </w:tc>
        <w:tc>
          <w:tcPr>
            <w:tcW w:w="2551" w:type="dxa"/>
            <w:gridSpan w:val="2"/>
          </w:tcPr>
          <w:p w:rsidR="00835996" w:rsidRDefault="00835996" w:rsidP="0038251B">
            <w:pPr>
              <w:pStyle w:val="NoSpacing"/>
              <w:jc w:val="right"/>
            </w:pPr>
            <w:r>
              <w:t>Chisholm</w:t>
            </w:r>
          </w:p>
        </w:tc>
      </w:tr>
      <w:tr w:rsidR="00835996" w:rsidTr="0038251B">
        <w:trPr>
          <w:gridBefore w:val="1"/>
          <w:wBefore w:w="5529" w:type="dxa"/>
        </w:trPr>
        <w:tc>
          <w:tcPr>
            <w:tcW w:w="1276" w:type="dxa"/>
          </w:tcPr>
          <w:p w:rsidR="00835996" w:rsidRDefault="00835996" w:rsidP="0038251B">
            <w:pPr>
              <w:pStyle w:val="NoSpacing"/>
              <w:jc w:val="right"/>
            </w:pPr>
            <w:r>
              <w:t>2019</w:t>
            </w:r>
          </w:p>
        </w:tc>
        <w:tc>
          <w:tcPr>
            <w:tcW w:w="1276" w:type="dxa"/>
          </w:tcPr>
          <w:p w:rsidR="00835996" w:rsidRDefault="00835996" w:rsidP="0038251B">
            <w:pPr>
              <w:pStyle w:val="NoSpacing"/>
              <w:jc w:val="right"/>
            </w:pPr>
            <w:r>
              <w:t>2018</w:t>
            </w:r>
          </w:p>
        </w:tc>
        <w:tc>
          <w:tcPr>
            <w:tcW w:w="1275" w:type="dxa"/>
          </w:tcPr>
          <w:p w:rsidR="00835996" w:rsidRDefault="00835996" w:rsidP="0038251B">
            <w:pPr>
              <w:pStyle w:val="NoSpacing"/>
              <w:jc w:val="right"/>
            </w:pPr>
            <w:r>
              <w:t>2019</w:t>
            </w:r>
          </w:p>
        </w:tc>
        <w:tc>
          <w:tcPr>
            <w:tcW w:w="1276" w:type="dxa"/>
          </w:tcPr>
          <w:p w:rsidR="00835996" w:rsidRDefault="00835996" w:rsidP="0038251B">
            <w:pPr>
              <w:pStyle w:val="NoSpacing"/>
              <w:jc w:val="right"/>
            </w:pPr>
            <w:r>
              <w:t>2018</w:t>
            </w:r>
          </w:p>
        </w:tc>
      </w:tr>
      <w:tr w:rsidR="00835996" w:rsidTr="0038251B">
        <w:trPr>
          <w:gridBefore w:val="1"/>
          <w:wBefore w:w="5529" w:type="dxa"/>
        </w:trPr>
        <w:tc>
          <w:tcPr>
            <w:tcW w:w="1276" w:type="dxa"/>
          </w:tcPr>
          <w:p w:rsidR="00835996" w:rsidRDefault="00835996" w:rsidP="0038251B">
            <w:pPr>
              <w:pStyle w:val="NoSpacing"/>
              <w:jc w:val="right"/>
            </w:pPr>
            <w:r>
              <w:t>$’000</w:t>
            </w:r>
          </w:p>
        </w:tc>
        <w:tc>
          <w:tcPr>
            <w:tcW w:w="1276" w:type="dxa"/>
          </w:tcPr>
          <w:p w:rsidR="00835996" w:rsidRDefault="00835996" w:rsidP="0038251B">
            <w:pPr>
              <w:jc w:val="right"/>
            </w:pPr>
            <w:r w:rsidRPr="002A73C1">
              <w:t>$’000</w:t>
            </w:r>
          </w:p>
        </w:tc>
        <w:tc>
          <w:tcPr>
            <w:tcW w:w="1275" w:type="dxa"/>
          </w:tcPr>
          <w:p w:rsidR="00835996" w:rsidRDefault="00835996" w:rsidP="0038251B">
            <w:pPr>
              <w:jc w:val="right"/>
            </w:pPr>
            <w:r w:rsidRPr="002A73C1">
              <w:t>$’000</w:t>
            </w:r>
          </w:p>
        </w:tc>
        <w:tc>
          <w:tcPr>
            <w:tcW w:w="1276" w:type="dxa"/>
          </w:tcPr>
          <w:p w:rsidR="00835996" w:rsidRDefault="00835996" w:rsidP="0038251B">
            <w:pPr>
              <w:jc w:val="right"/>
            </w:pPr>
            <w:r w:rsidRPr="002A73C1">
              <w:t>$’000</w:t>
            </w:r>
          </w:p>
        </w:tc>
      </w:tr>
      <w:tr w:rsidR="00835996" w:rsidTr="0038251B">
        <w:tc>
          <w:tcPr>
            <w:tcW w:w="5529" w:type="dxa"/>
          </w:tcPr>
          <w:p w:rsidR="00835996" w:rsidRDefault="00835996" w:rsidP="0038251B">
            <w:pPr>
              <w:pStyle w:val="NoSpacing"/>
            </w:pPr>
            <w:r>
              <w:t>Compensation for economic loss</w:t>
            </w:r>
          </w:p>
        </w:tc>
        <w:tc>
          <w:tcPr>
            <w:tcW w:w="1276" w:type="dxa"/>
          </w:tcPr>
          <w:p w:rsidR="00835996" w:rsidRDefault="00210E0C" w:rsidP="00210E0C">
            <w:pPr>
              <w:pStyle w:val="NoSpacing"/>
              <w:jc w:val="right"/>
            </w:pPr>
            <w:r>
              <w:t>137</w:t>
            </w:r>
          </w:p>
        </w:tc>
        <w:tc>
          <w:tcPr>
            <w:tcW w:w="1276" w:type="dxa"/>
          </w:tcPr>
          <w:p w:rsidR="00835996" w:rsidRDefault="00210E0C" w:rsidP="00210E0C">
            <w:pPr>
              <w:pStyle w:val="NoSpacing"/>
              <w:jc w:val="right"/>
            </w:pPr>
            <w:r>
              <w:t>106</w:t>
            </w:r>
          </w:p>
        </w:tc>
        <w:tc>
          <w:tcPr>
            <w:tcW w:w="1275" w:type="dxa"/>
          </w:tcPr>
          <w:p w:rsidR="00835996" w:rsidRDefault="00210E0C" w:rsidP="00210E0C">
            <w:pPr>
              <w:pStyle w:val="NoSpacing"/>
              <w:jc w:val="right"/>
            </w:pPr>
            <w:r>
              <w:t>137</w:t>
            </w:r>
          </w:p>
        </w:tc>
        <w:tc>
          <w:tcPr>
            <w:tcW w:w="1276" w:type="dxa"/>
          </w:tcPr>
          <w:p w:rsidR="00835996" w:rsidRDefault="00210E0C" w:rsidP="00210E0C">
            <w:pPr>
              <w:pStyle w:val="NoSpacing"/>
              <w:jc w:val="right"/>
            </w:pPr>
            <w:r>
              <w:t>106</w:t>
            </w:r>
          </w:p>
        </w:tc>
      </w:tr>
      <w:tr w:rsidR="00835996" w:rsidTr="0038251B">
        <w:tc>
          <w:tcPr>
            <w:tcW w:w="5529" w:type="dxa"/>
          </w:tcPr>
          <w:p w:rsidR="00835996" w:rsidRDefault="00835996" w:rsidP="0038251B">
            <w:pPr>
              <w:pStyle w:val="NoSpacing"/>
            </w:pPr>
            <w:r>
              <w:t xml:space="preserve">Total ex-gratia payments </w:t>
            </w:r>
          </w:p>
        </w:tc>
        <w:tc>
          <w:tcPr>
            <w:tcW w:w="1276" w:type="dxa"/>
          </w:tcPr>
          <w:p w:rsidR="00835996" w:rsidRDefault="00210E0C" w:rsidP="00210E0C">
            <w:pPr>
              <w:pStyle w:val="NoSpacing"/>
              <w:jc w:val="right"/>
            </w:pPr>
            <w:r>
              <w:t>137</w:t>
            </w:r>
          </w:p>
        </w:tc>
        <w:tc>
          <w:tcPr>
            <w:tcW w:w="1276" w:type="dxa"/>
          </w:tcPr>
          <w:p w:rsidR="00835996" w:rsidRDefault="00210E0C" w:rsidP="00210E0C">
            <w:pPr>
              <w:pStyle w:val="NoSpacing"/>
              <w:jc w:val="right"/>
            </w:pPr>
            <w:r>
              <w:t>106</w:t>
            </w:r>
          </w:p>
        </w:tc>
        <w:tc>
          <w:tcPr>
            <w:tcW w:w="1275" w:type="dxa"/>
          </w:tcPr>
          <w:p w:rsidR="00835996" w:rsidRDefault="00210E0C" w:rsidP="00210E0C">
            <w:pPr>
              <w:pStyle w:val="NoSpacing"/>
              <w:jc w:val="right"/>
            </w:pPr>
            <w:r>
              <w:t>137</w:t>
            </w:r>
          </w:p>
        </w:tc>
        <w:tc>
          <w:tcPr>
            <w:tcW w:w="1276" w:type="dxa"/>
          </w:tcPr>
          <w:p w:rsidR="00835996" w:rsidRDefault="00210E0C" w:rsidP="00210E0C">
            <w:pPr>
              <w:pStyle w:val="NoSpacing"/>
              <w:jc w:val="right"/>
            </w:pPr>
            <w:r>
              <w:t>106</w:t>
            </w:r>
          </w:p>
        </w:tc>
      </w:tr>
    </w:tbl>
    <w:p w:rsidR="00835996" w:rsidRDefault="00835996" w:rsidP="00F02D69">
      <w:pPr>
        <w:pStyle w:val="NoSpacing"/>
      </w:pPr>
    </w:p>
    <w:p w:rsidR="00210E0C" w:rsidRDefault="00210E0C" w:rsidP="00F02D69">
      <w:pPr>
        <w:pStyle w:val="NoSpacing"/>
      </w:pPr>
      <w:r>
        <w:t>All ex gratia payments made during 2019 and 2018 related to departing employees.</w:t>
      </w:r>
    </w:p>
    <w:p w:rsidR="00210E0C" w:rsidRDefault="00210E0C" w:rsidP="00F02D69">
      <w:pPr>
        <w:pStyle w:val="NoSpacing"/>
      </w:pPr>
    </w:p>
    <w:p w:rsidR="00835996" w:rsidRDefault="00835996" w:rsidP="00210E0C">
      <w:pPr>
        <w:pStyle w:val="Heading3"/>
      </w:pPr>
      <w:r>
        <w:t>9.4 Controlled entities</w:t>
      </w:r>
    </w:p>
    <w:p w:rsidR="00835996" w:rsidRDefault="00835996" w:rsidP="00F02D69">
      <w:pPr>
        <w:pStyle w:val="NoSpacing"/>
      </w:pPr>
    </w:p>
    <w:p w:rsidR="00210E0C" w:rsidRDefault="00210E0C" w:rsidP="00F02D69">
      <w:pPr>
        <w:pStyle w:val="NoSpacing"/>
      </w:pPr>
      <w:r>
        <w:t>The consolidated financial statements incorporate the assets, liabilities and results of the following controlled entities:</w:t>
      </w:r>
    </w:p>
    <w:p w:rsidR="00210E0C" w:rsidRDefault="00210E0C" w:rsidP="00F02D69">
      <w:pPr>
        <w:pStyle w:val="NoSpacing"/>
      </w:pPr>
    </w:p>
    <w:tbl>
      <w:tblPr>
        <w:tblStyle w:val="TableGrid"/>
        <w:tblW w:w="10632" w:type="dxa"/>
        <w:tblInd w:w="-856" w:type="dxa"/>
        <w:tblLook w:val="04A0" w:firstRow="1" w:lastRow="0" w:firstColumn="1" w:lastColumn="0" w:noHBand="0" w:noVBand="1"/>
      </w:tblPr>
      <w:tblGrid>
        <w:gridCol w:w="3897"/>
        <w:gridCol w:w="1360"/>
        <w:gridCol w:w="1637"/>
        <w:gridCol w:w="1255"/>
        <w:gridCol w:w="1241"/>
        <w:gridCol w:w="1242"/>
      </w:tblGrid>
      <w:tr w:rsidR="00835996" w:rsidTr="00835996">
        <w:tc>
          <w:tcPr>
            <w:tcW w:w="4112" w:type="dxa"/>
            <w:vAlign w:val="bottom"/>
          </w:tcPr>
          <w:p w:rsidR="00835996" w:rsidRDefault="00835996" w:rsidP="00F02D69">
            <w:pPr>
              <w:pStyle w:val="NoSpacing"/>
            </w:pPr>
            <w:r>
              <w:t>Controlled entities</w:t>
            </w:r>
          </w:p>
        </w:tc>
        <w:tc>
          <w:tcPr>
            <w:tcW w:w="1417" w:type="dxa"/>
            <w:vAlign w:val="bottom"/>
          </w:tcPr>
          <w:p w:rsidR="00835996" w:rsidRDefault="00835996" w:rsidP="00835996">
            <w:pPr>
              <w:pStyle w:val="NoSpacing"/>
              <w:jc w:val="right"/>
            </w:pPr>
            <w:r>
              <w:t>Note</w:t>
            </w:r>
          </w:p>
        </w:tc>
        <w:tc>
          <w:tcPr>
            <w:tcW w:w="1276" w:type="dxa"/>
            <w:vAlign w:val="bottom"/>
          </w:tcPr>
          <w:p w:rsidR="00835996" w:rsidRDefault="00835996" w:rsidP="00835996">
            <w:pPr>
              <w:pStyle w:val="NoSpacing"/>
              <w:jc w:val="right"/>
            </w:pPr>
            <w:r>
              <w:t>Country of incorporation</w:t>
            </w:r>
          </w:p>
        </w:tc>
        <w:tc>
          <w:tcPr>
            <w:tcW w:w="1276" w:type="dxa"/>
            <w:vAlign w:val="bottom"/>
          </w:tcPr>
          <w:p w:rsidR="00835996" w:rsidRDefault="00835996" w:rsidP="00835996">
            <w:pPr>
              <w:pStyle w:val="NoSpacing"/>
              <w:jc w:val="right"/>
            </w:pPr>
            <w:r>
              <w:t>Class of shares</w:t>
            </w:r>
          </w:p>
        </w:tc>
        <w:tc>
          <w:tcPr>
            <w:tcW w:w="1275" w:type="dxa"/>
            <w:vAlign w:val="bottom"/>
          </w:tcPr>
          <w:p w:rsidR="00835996" w:rsidRDefault="00835996" w:rsidP="00835996">
            <w:pPr>
              <w:pStyle w:val="NoSpacing"/>
              <w:jc w:val="right"/>
            </w:pPr>
            <w:r>
              <w:t>2019%</w:t>
            </w:r>
          </w:p>
        </w:tc>
        <w:tc>
          <w:tcPr>
            <w:tcW w:w="1276" w:type="dxa"/>
            <w:vAlign w:val="bottom"/>
          </w:tcPr>
          <w:p w:rsidR="00835996" w:rsidRDefault="00835996" w:rsidP="00835996">
            <w:pPr>
              <w:pStyle w:val="NoSpacing"/>
              <w:jc w:val="right"/>
            </w:pPr>
            <w:r>
              <w:t>2018%</w:t>
            </w:r>
          </w:p>
        </w:tc>
      </w:tr>
      <w:tr w:rsidR="00835996" w:rsidTr="00835996">
        <w:tc>
          <w:tcPr>
            <w:tcW w:w="4112" w:type="dxa"/>
          </w:tcPr>
          <w:p w:rsidR="00835996" w:rsidRDefault="00835996" w:rsidP="00F02D69">
            <w:pPr>
              <w:pStyle w:val="NoSpacing"/>
            </w:pPr>
            <w:r>
              <w:t>TAFE Online Pty Ltd</w:t>
            </w:r>
          </w:p>
        </w:tc>
        <w:tc>
          <w:tcPr>
            <w:tcW w:w="1417" w:type="dxa"/>
          </w:tcPr>
          <w:p w:rsidR="00835996" w:rsidRDefault="00210E0C" w:rsidP="00210E0C">
            <w:pPr>
              <w:pStyle w:val="NoSpacing"/>
              <w:jc w:val="right"/>
            </w:pPr>
            <w:r>
              <w:t>(a)</w:t>
            </w:r>
          </w:p>
        </w:tc>
        <w:tc>
          <w:tcPr>
            <w:tcW w:w="1276" w:type="dxa"/>
          </w:tcPr>
          <w:p w:rsidR="00835996" w:rsidRDefault="00210E0C" w:rsidP="00210E0C">
            <w:pPr>
              <w:pStyle w:val="NoSpacing"/>
              <w:jc w:val="right"/>
            </w:pPr>
            <w:r>
              <w:t>Australia</w:t>
            </w:r>
          </w:p>
        </w:tc>
        <w:tc>
          <w:tcPr>
            <w:tcW w:w="1276" w:type="dxa"/>
          </w:tcPr>
          <w:p w:rsidR="00835996" w:rsidRDefault="00210E0C" w:rsidP="00210E0C">
            <w:pPr>
              <w:pStyle w:val="NoSpacing"/>
              <w:jc w:val="right"/>
            </w:pPr>
            <w:r>
              <w:t>Ordinary</w:t>
            </w:r>
          </w:p>
        </w:tc>
        <w:tc>
          <w:tcPr>
            <w:tcW w:w="1275" w:type="dxa"/>
          </w:tcPr>
          <w:p w:rsidR="00835996" w:rsidRDefault="00210E0C" w:rsidP="00210E0C">
            <w:pPr>
              <w:pStyle w:val="NoSpacing"/>
              <w:jc w:val="right"/>
            </w:pPr>
            <w:r>
              <w:t>100</w:t>
            </w:r>
          </w:p>
        </w:tc>
        <w:tc>
          <w:tcPr>
            <w:tcW w:w="1276" w:type="dxa"/>
          </w:tcPr>
          <w:p w:rsidR="00835996" w:rsidRDefault="00210E0C" w:rsidP="00210E0C">
            <w:pPr>
              <w:pStyle w:val="NoSpacing"/>
              <w:jc w:val="right"/>
            </w:pPr>
            <w:r>
              <w:t>100</w:t>
            </w:r>
          </w:p>
        </w:tc>
      </w:tr>
      <w:tr w:rsidR="00835996" w:rsidTr="00835996">
        <w:tc>
          <w:tcPr>
            <w:tcW w:w="4112" w:type="dxa"/>
          </w:tcPr>
          <w:p w:rsidR="00835996" w:rsidRDefault="00835996" w:rsidP="00F02D69">
            <w:pPr>
              <w:pStyle w:val="NoSpacing"/>
            </w:pPr>
            <w:r>
              <w:t>Caroline Chisholm Education Foundation</w:t>
            </w:r>
          </w:p>
        </w:tc>
        <w:tc>
          <w:tcPr>
            <w:tcW w:w="1417" w:type="dxa"/>
          </w:tcPr>
          <w:p w:rsidR="00835996" w:rsidRDefault="00210E0C" w:rsidP="00210E0C">
            <w:pPr>
              <w:pStyle w:val="NoSpacing"/>
              <w:jc w:val="right"/>
            </w:pPr>
            <w:r>
              <w:t>(b)</w:t>
            </w:r>
          </w:p>
        </w:tc>
        <w:tc>
          <w:tcPr>
            <w:tcW w:w="1276" w:type="dxa"/>
          </w:tcPr>
          <w:p w:rsidR="00835996" w:rsidRDefault="00210E0C" w:rsidP="00210E0C">
            <w:pPr>
              <w:pStyle w:val="NoSpacing"/>
              <w:jc w:val="right"/>
            </w:pPr>
            <w:r>
              <w:t>Unincorporated entity</w:t>
            </w:r>
          </w:p>
        </w:tc>
        <w:tc>
          <w:tcPr>
            <w:tcW w:w="1276" w:type="dxa"/>
          </w:tcPr>
          <w:p w:rsidR="00835996" w:rsidRDefault="00835996" w:rsidP="00210E0C">
            <w:pPr>
              <w:pStyle w:val="NoSpacing"/>
              <w:jc w:val="right"/>
            </w:pPr>
          </w:p>
        </w:tc>
        <w:tc>
          <w:tcPr>
            <w:tcW w:w="1275" w:type="dxa"/>
          </w:tcPr>
          <w:p w:rsidR="00835996" w:rsidRDefault="00835996" w:rsidP="00210E0C">
            <w:pPr>
              <w:pStyle w:val="NoSpacing"/>
              <w:jc w:val="right"/>
            </w:pPr>
          </w:p>
        </w:tc>
        <w:tc>
          <w:tcPr>
            <w:tcW w:w="1276" w:type="dxa"/>
          </w:tcPr>
          <w:p w:rsidR="00835996" w:rsidRDefault="00835996" w:rsidP="00210E0C">
            <w:pPr>
              <w:pStyle w:val="NoSpacing"/>
              <w:jc w:val="right"/>
            </w:pPr>
          </w:p>
        </w:tc>
      </w:tr>
    </w:tbl>
    <w:p w:rsidR="00835996" w:rsidRDefault="00210E0C" w:rsidP="00F02D69">
      <w:pPr>
        <w:pStyle w:val="NoSpacing"/>
      </w:pPr>
      <w:r>
        <w:t xml:space="preserve">Note: </w:t>
      </w:r>
    </w:p>
    <w:p w:rsidR="00210E0C" w:rsidRDefault="00210E0C" w:rsidP="00F02D69">
      <w:pPr>
        <w:pStyle w:val="NoSpacing"/>
      </w:pPr>
      <w:r>
        <w:t>(a) TAFE Online Pty Ltd is a company incorporated under the Corporations Act 2001 with share capital of 6,000,000 ordinary shares at $1 each.</w:t>
      </w:r>
    </w:p>
    <w:p w:rsidR="00210E0C" w:rsidRDefault="00210E0C" w:rsidP="00F02D69">
      <w:pPr>
        <w:pStyle w:val="NoSpacing"/>
      </w:pPr>
      <w:r>
        <w:t>(b) Caroline Chisholm Education Foundation is a trust. Its principle purpose is to assist students in financial hardship receive a high quality vocational educational qualification from Chisholm.</w:t>
      </w:r>
    </w:p>
    <w:p w:rsidR="00210E0C" w:rsidRDefault="00210E0C" w:rsidP="00F02D69">
      <w:pPr>
        <w:pStyle w:val="NoSpacing"/>
      </w:pPr>
    </w:p>
    <w:p w:rsidR="00210E0C" w:rsidRDefault="00210E0C" w:rsidP="00F02D69">
      <w:pPr>
        <w:pStyle w:val="NoSpacing"/>
      </w:pPr>
      <w:r>
        <w:t>&lt;page 92&gt;</w:t>
      </w:r>
    </w:p>
    <w:p w:rsidR="00210E0C" w:rsidRDefault="00210E0C" w:rsidP="00F02D69">
      <w:pPr>
        <w:pStyle w:val="NoSpacing"/>
      </w:pPr>
    </w:p>
    <w:p w:rsidR="000D118B" w:rsidRDefault="000D118B" w:rsidP="000D118B">
      <w:pPr>
        <w:pStyle w:val="Heading2"/>
      </w:pPr>
      <w:r>
        <w:t>9. Other disclosures (continued)</w:t>
      </w:r>
    </w:p>
    <w:p w:rsidR="0028573F" w:rsidRDefault="0028573F" w:rsidP="0028573F">
      <w:pPr>
        <w:pStyle w:val="NoSpacing"/>
      </w:pPr>
    </w:p>
    <w:p w:rsidR="000D118B" w:rsidRDefault="000D118B" w:rsidP="000D118B">
      <w:pPr>
        <w:pStyle w:val="Heading3"/>
      </w:pPr>
      <w:r>
        <w:t>9.4 Controlled entities (continued)</w:t>
      </w:r>
    </w:p>
    <w:p w:rsidR="00210E0C" w:rsidRDefault="00210E0C" w:rsidP="00F02D69">
      <w:pPr>
        <w:pStyle w:val="NoSpacing"/>
      </w:pPr>
    </w:p>
    <w:p w:rsidR="000D118B" w:rsidRDefault="000D118B" w:rsidP="000D118B">
      <w:pPr>
        <w:pStyle w:val="Heading4"/>
      </w:pPr>
      <w:r>
        <w:t>TAFE Online Pty Ltd</w:t>
      </w:r>
    </w:p>
    <w:p w:rsidR="000D118B" w:rsidRDefault="000D118B" w:rsidP="00F02D69">
      <w:pPr>
        <w:pStyle w:val="NoSpacing"/>
      </w:pPr>
      <w:r>
        <w:t>TAFE Online Pty Ltd commenced operations in 2001 as a provider of nationally accredited vocational education courses online.</w:t>
      </w:r>
    </w:p>
    <w:p w:rsidR="000D118B" w:rsidRDefault="000D118B" w:rsidP="00F02D69">
      <w:pPr>
        <w:pStyle w:val="NoSpacing"/>
      </w:pPr>
    </w:p>
    <w:p w:rsidR="000D118B" w:rsidRDefault="000D118B" w:rsidP="00F02D69">
      <w:pPr>
        <w:pStyle w:val="NoSpacing"/>
      </w:pPr>
      <w:r>
        <w:t>Chisholm is deemed to have control over TAFE Online Pty Ltd as Chisholm holds 100% of the share capital issued by TAFE Online Pty Ltd.</w:t>
      </w:r>
    </w:p>
    <w:p w:rsidR="000D118B" w:rsidRDefault="000D118B" w:rsidP="00F02D69">
      <w:pPr>
        <w:pStyle w:val="NoSpacing"/>
      </w:pPr>
    </w:p>
    <w:p w:rsidR="000D118B" w:rsidRDefault="000D118B" w:rsidP="000D118B">
      <w:pPr>
        <w:pStyle w:val="Heading4"/>
      </w:pPr>
      <w:r>
        <w:t>Caroline Chisholm Education Foundation (CCEF)</w:t>
      </w:r>
    </w:p>
    <w:p w:rsidR="000D118B" w:rsidRDefault="000D118B" w:rsidP="00F02D69">
      <w:pPr>
        <w:pStyle w:val="NoSpacing"/>
      </w:pPr>
      <w:r>
        <w:t>CCEF was established in 2007 as an independent charitable trust which aims to assist students in financial hardship receive a high quality vocational educational qualification from Chisholm.</w:t>
      </w:r>
    </w:p>
    <w:p w:rsidR="000D118B" w:rsidRDefault="000D118B" w:rsidP="00F02D69">
      <w:pPr>
        <w:pStyle w:val="NoSpacing"/>
      </w:pPr>
    </w:p>
    <w:p w:rsidR="000D118B" w:rsidRDefault="000D118B" w:rsidP="00F02D69">
      <w:pPr>
        <w:pStyle w:val="NoSpacing"/>
      </w:pPr>
      <w:r>
        <w:t>Chisholm is deemed to have control over CCEF du to the following factors:</w:t>
      </w:r>
    </w:p>
    <w:p w:rsidR="000D118B" w:rsidRDefault="000D118B" w:rsidP="00925530">
      <w:pPr>
        <w:pStyle w:val="NoSpacing"/>
        <w:numPr>
          <w:ilvl w:val="0"/>
          <w:numId w:val="62"/>
        </w:numPr>
      </w:pPr>
      <w:r>
        <w:t>CCEF is administered by an independent Board of Trustees including a Chisholm Board appointed trustee, the Chisholm CEO as well as two Chisholm staff trustees.</w:t>
      </w:r>
    </w:p>
    <w:p w:rsidR="000D118B" w:rsidRDefault="000D118B" w:rsidP="00925530">
      <w:pPr>
        <w:pStyle w:val="NoSpacing"/>
        <w:numPr>
          <w:ilvl w:val="0"/>
          <w:numId w:val="62"/>
        </w:numPr>
      </w:pPr>
      <w:r>
        <w:t>All non-Chisholm related trustees must be approved by the Chisholm Board.</w:t>
      </w:r>
    </w:p>
    <w:p w:rsidR="000D118B" w:rsidRDefault="000D118B" w:rsidP="00925530">
      <w:pPr>
        <w:pStyle w:val="NoSpacing"/>
        <w:numPr>
          <w:ilvl w:val="0"/>
          <w:numId w:val="62"/>
        </w:numPr>
      </w:pPr>
      <w:r>
        <w:t>The beneficiaries of the trust are Chisholm students.</w:t>
      </w:r>
    </w:p>
    <w:p w:rsidR="000D118B" w:rsidRDefault="000D118B" w:rsidP="00925530">
      <w:pPr>
        <w:pStyle w:val="NoSpacing"/>
        <w:numPr>
          <w:ilvl w:val="0"/>
          <w:numId w:val="62"/>
        </w:numPr>
      </w:pPr>
      <w:r>
        <w:t>Chisholm provides significant financial and administrations support to CCEF.</w:t>
      </w:r>
    </w:p>
    <w:p w:rsidR="000D118B" w:rsidRDefault="000D118B" w:rsidP="000D118B">
      <w:pPr>
        <w:pStyle w:val="NoSpacing"/>
      </w:pPr>
    </w:p>
    <w:p w:rsidR="000D118B" w:rsidRDefault="000D118B" w:rsidP="00F02D69">
      <w:pPr>
        <w:pStyle w:val="NoSpacing"/>
      </w:pPr>
    </w:p>
    <w:p w:rsidR="00835996" w:rsidRPr="00524E02" w:rsidRDefault="0082635E" w:rsidP="0028573F">
      <w:pPr>
        <w:pStyle w:val="Heading3"/>
      </w:pPr>
      <w:r w:rsidRPr="00524E02">
        <w:t>9</w:t>
      </w:r>
      <w:r w:rsidRPr="00524E02">
        <w:rPr>
          <w:rStyle w:val="Heading4Char"/>
          <w:i w:val="0"/>
          <w:iCs w:val="0"/>
        </w:rPr>
        <w:t>.5 Events after reporting dates</w:t>
      </w:r>
    </w:p>
    <w:p w:rsidR="0082635E" w:rsidRDefault="0082635E" w:rsidP="00F02D69">
      <w:pPr>
        <w:pStyle w:val="NoSpacing"/>
      </w:pPr>
    </w:p>
    <w:p w:rsidR="000D118B" w:rsidRDefault="000D118B" w:rsidP="00F02D69">
      <w:pPr>
        <w:pStyle w:val="NoSpacing"/>
      </w:pPr>
      <w:r>
        <w:t>No matters or circumstances have occurred subsequent to period end that have significantly affected, or may significantly affect, the operations of Chisholm and the Consolidated Group</w:t>
      </w:r>
      <w:r w:rsidR="00524E02">
        <w:t>, the results of those operations or the state of affairs of Chisholm and the Consolidated Group in subsequent financial years.</w:t>
      </w:r>
    </w:p>
    <w:p w:rsidR="00524E02" w:rsidRDefault="00524E02" w:rsidP="00F02D69">
      <w:pPr>
        <w:pStyle w:val="NoSpacing"/>
      </w:pPr>
    </w:p>
    <w:p w:rsidR="000D118B" w:rsidRDefault="000D118B" w:rsidP="00F02D69">
      <w:pPr>
        <w:pStyle w:val="NoSpacing"/>
      </w:pPr>
    </w:p>
    <w:p w:rsidR="0082635E" w:rsidRDefault="0082635E" w:rsidP="0028573F">
      <w:pPr>
        <w:pStyle w:val="Heading3"/>
      </w:pPr>
      <w:r>
        <w:t>9.6 Application of standards issued but not yet effective</w:t>
      </w:r>
    </w:p>
    <w:p w:rsidR="00655812" w:rsidRDefault="00655812" w:rsidP="00F02D69">
      <w:pPr>
        <w:pStyle w:val="NoSpacing"/>
      </w:pPr>
    </w:p>
    <w:p w:rsidR="00524E02" w:rsidRDefault="00524E02" w:rsidP="00F02D69">
      <w:pPr>
        <w:pStyle w:val="NoSpacing"/>
      </w:pPr>
      <w:r>
        <w:t>AASB 1059 Service Concession Arrangements: Grantor addresses accounting for a service concession arrangement by a grantor’s perspective. Based on Chisholm Group’s assessment, there is no material impact on the transactions and balances recognised in the financial statements.</w:t>
      </w:r>
    </w:p>
    <w:p w:rsidR="00524E02" w:rsidRDefault="00524E02" w:rsidP="00F02D69">
      <w:pPr>
        <w:pStyle w:val="NoSpacing"/>
      </w:pPr>
    </w:p>
    <w:p w:rsidR="00524E02" w:rsidRDefault="00524E02" w:rsidP="0028573F">
      <w:pPr>
        <w:pStyle w:val="Heading3"/>
      </w:pPr>
      <w:r>
        <w:t>9.7 Application of standards issued but not yet effective</w:t>
      </w:r>
    </w:p>
    <w:p w:rsidR="00524E02" w:rsidRDefault="00524E02" w:rsidP="00F02D69">
      <w:pPr>
        <w:pStyle w:val="NoSpacing"/>
      </w:pPr>
    </w:p>
    <w:p w:rsidR="00524E02" w:rsidRDefault="00524E02" w:rsidP="00F02D69">
      <w:pPr>
        <w:pStyle w:val="NoSpacing"/>
      </w:pPr>
      <w:r>
        <w:t>Certain new Australian Accounting Standards and interpretations have been published that are not mandatory for the 31 December 2019 reporting period. The Department of treasury and Finance assesses the impact of these new standards and advises Chisholm of their applicability and early adoption where applicable.</w:t>
      </w:r>
    </w:p>
    <w:p w:rsidR="00524E02" w:rsidRDefault="00524E02" w:rsidP="00F02D69">
      <w:pPr>
        <w:pStyle w:val="NoSpacing"/>
      </w:pPr>
    </w:p>
    <w:p w:rsidR="00524E02" w:rsidRDefault="00524E02" w:rsidP="00F02D69">
      <w:pPr>
        <w:pStyle w:val="NoSpacing"/>
      </w:pPr>
      <w:r>
        <w:t>As at 31 December 2019, there were no new accounting standards issued by the AASB, which are applicable for the year ending 31 December 2020, that are expected to impact Chisholm Group.</w:t>
      </w:r>
    </w:p>
    <w:p w:rsidR="00524E02" w:rsidRDefault="00524E02" w:rsidP="00F02D69">
      <w:pPr>
        <w:pStyle w:val="NoSpacing"/>
      </w:pPr>
    </w:p>
    <w:p w:rsidR="00524E02" w:rsidRDefault="00524E02" w:rsidP="00F02D69">
      <w:pPr>
        <w:pStyle w:val="NoSpacing"/>
      </w:pPr>
      <w:r>
        <w:t>&lt;page 93&gt;</w:t>
      </w:r>
    </w:p>
    <w:p w:rsidR="00524E02" w:rsidRDefault="00524E02" w:rsidP="00F02D69">
      <w:pPr>
        <w:pStyle w:val="NoSpacing"/>
      </w:pPr>
    </w:p>
    <w:p w:rsidR="00BF2354" w:rsidRDefault="00BF2354" w:rsidP="00BF2354">
      <w:pPr>
        <w:pStyle w:val="Heading2"/>
      </w:pPr>
      <w:r>
        <w:t xml:space="preserve">VAGO Independent Auditor’s Report </w:t>
      </w:r>
    </w:p>
    <w:p w:rsidR="00BF2354" w:rsidRDefault="00BF2354" w:rsidP="00BF2354">
      <w:pPr>
        <w:pStyle w:val="NoSpacing"/>
      </w:pPr>
    </w:p>
    <w:p w:rsidR="00524E02" w:rsidRDefault="00F00509" w:rsidP="00F00509">
      <w:pPr>
        <w:pStyle w:val="Heading3"/>
      </w:pPr>
      <w:r>
        <w:t xml:space="preserve">Independent Auditor’s Report </w:t>
      </w:r>
    </w:p>
    <w:p w:rsidR="00F00509" w:rsidRDefault="00F00509" w:rsidP="00BF2354">
      <w:pPr>
        <w:pStyle w:val="NoSpacing"/>
      </w:pPr>
    </w:p>
    <w:p w:rsidR="00F00509" w:rsidRDefault="00F00509" w:rsidP="00BF2354">
      <w:pPr>
        <w:pStyle w:val="NoSpacing"/>
      </w:pPr>
      <w:r>
        <w:t>To the Board of Chisholm Institute</w:t>
      </w:r>
    </w:p>
    <w:p w:rsidR="00F00509" w:rsidRDefault="00F00509" w:rsidP="00BF2354">
      <w:pPr>
        <w:pStyle w:val="NoSpacing"/>
      </w:pPr>
    </w:p>
    <w:p w:rsidR="00F00509" w:rsidRDefault="00F00509" w:rsidP="0028573F">
      <w:pPr>
        <w:pStyle w:val="Heading4"/>
      </w:pPr>
      <w:r>
        <w:t>Opinion</w:t>
      </w:r>
    </w:p>
    <w:p w:rsidR="00F00509" w:rsidRDefault="00F00509" w:rsidP="00BF2354">
      <w:pPr>
        <w:pStyle w:val="NoSpacing"/>
      </w:pPr>
      <w:r>
        <w:t>I have audited the accompanying performance statement of Chisholm Institute (the institute which comprises the:</w:t>
      </w:r>
    </w:p>
    <w:p w:rsidR="00F00509" w:rsidRDefault="00F00509" w:rsidP="00925530">
      <w:pPr>
        <w:pStyle w:val="NoSpacing"/>
        <w:numPr>
          <w:ilvl w:val="0"/>
          <w:numId w:val="63"/>
        </w:numPr>
      </w:pPr>
      <w:r>
        <w:t>performance statement for the year ended 31 December 2019</w:t>
      </w:r>
    </w:p>
    <w:p w:rsidR="00F00509" w:rsidRDefault="00F00509" w:rsidP="00925530">
      <w:pPr>
        <w:pStyle w:val="NoSpacing"/>
        <w:numPr>
          <w:ilvl w:val="0"/>
          <w:numId w:val="63"/>
        </w:numPr>
      </w:pPr>
      <w:r>
        <w:t>declaration by Board Chair, Chief Executive Officer and Chief Finance Officer.</w:t>
      </w:r>
    </w:p>
    <w:p w:rsidR="00F00509" w:rsidRDefault="00F00509" w:rsidP="00F00509">
      <w:pPr>
        <w:pStyle w:val="NoSpacing"/>
      </w:pPr>
    </w:p>
    <w:p w:rsidR="00F00509" w:rsidRDefault="00F00509" w:rsidP="00F00509">
      <w:pPr>
        <w:pStyle w:val="NoSpacing"/>
      </w:pPr>
      <w:r>
        <w:t>In my opinion, the performance statement of Chisholm Institute in respect of the year ended 31 December 2019 presents fairly, in all material respects.</w:t>
      </w:r>
    </w:p>
    <w:p w:rsidR="00F00509" w:rsidRDefault="00F00509" w:rsidP="00F00509">
      <w:pPr>
        <w:pStyle w:val="NoSpacing"/>
      </w:pPr>
    </w:p>
    <w:p w:rsidR="00F00509" w:rsidRDefault="00F00509" w:rsidP="0028573F">
      <w:pPr>
        <w:pStyle w:val="Heading4"/>
      </w:pPr>
      <w:r>
        <w:t>Basis for Opinion</w:t>
      </w:r>
    </w:p>
    <w:p w:rsidR="00F00509" w:rsidRDefault="00F00509" w:rsidP="00F00509">
      <w:pPr>
        <w:pStyle w:val="NoSpacing"/>
      </w:pPr>
      <w:r>
        <w:t>I have conducted my audit in accordance with the Audit Act 1994 which incorporates the Australian Standards on Assurance Engagements. I further describe my responsibilities under that Act and those standards in the Auditor’s Responsibilities for the Audit of the performance statement section of my report.</w:t>
      </w:r>
    </w:p>
    <w:p w:rsidR="00F00509" w:rsidRDefault="00F00509" w:rsidP="00F00509">
      <w:pPr>
        <w:pStyle w:val="NoSpacing"/>
      </w:pPr>
    </w:p>
    <w:p w:rsidR="00F00509" w:rsidRDefault="00F00509" w:rsidP="00F00509">
      <w:pPr>
        <w:pStyle w:val="NoSpacing"/>
      </w:pPr>
      <w:r>
        <w:lastRenderedPageBreak/>
        <w:t>My independence is established by the Constitution Act 1975. I and my staff are independent of the institute in accordance with the ethical requirements of the Accounting Professional and Ethical Standards Board’s APES 110 Code of Ethics for Professional Accountants (the Code) that are relevant to my audit of the performance statement in Victoria and have also fulfilled our other ethical responsibilities in accordance with the Code.</w:t>
      </w:r>
    </w:p>
    <w:p w:rsidR="00F00509" w:rsidRDefault="00F00509" w:rsidP="00F00509">
      <w:pPr>
        <w:pStyle w:val="NoSpacing"/>
      </w:pPr>
    </w:p>
    <w:p w:rsidR="00F00509" w:rsidRDefault="00F00509" w:rsidP="00F00509">
      <w:pPr>
        <w:pStyle w:val="NoSpacing"/>
      </w:pPr>
      <w:r>
        <w:t>I believe that the audit evidence I have obtained is sufficien</w:t>
      </w:r>
      <w:r w:rsidR="0073529D">
        <w:t>t and appropriate to provide a basis for my opinion.</w:t>
      </w:r>
    </w:p>
    <w:p w:rsidR="0073529D" w:rsidRDefault="0073529D" w:rsidP="00F00509">
      <w:pPr>
        <w:pStyle w:val="NoSpacing"/>
      </w:pPr>
    </w:p>
    <w:p w:rsidR="0073529D" w:rsidRDefault="0073529D" w:rsidP="0028573F">
      <w:pPr>
        <w:pStyle w:val="Heading4"/>
      </w:pPr>
      <w:r>
        <w:t>Board’s responsibilities for the performance statement</w:t>
      </w:r>
    </w:p>
    <w:p w:rsidR="0073529D" w:rsidRDefault="0073529D" w:rsidP="00F00509">
      <w:pPr>
        <w:pStyle w:val="NoSpacing"/>
      </w:pPr>
      <w:r>
        <w:t>The Board is responsible for the preparation and fair presentation of the performance statement and for such internal control as the Board determines is necessary to enable the preparation and fair presentation of the performance statement that is free from material misstatement, whether due to fraud or error.</w:t>
      </w:r>
    </w:p>
    <w:p w:rsidR="0073529D" w:rsidRDefault="0073529D" w:rsidP="00F00509">
      <w:pPr>
        <w:pStyle w:val="NoSpacing"/>
      </w:pPr>
    </w:p>
    <w:p w:rsidR="0073529D" w:rsidRDefault="0073529D" w:rsidP="0028573F">
      <w:pPr>
        <w:pStyle w:val="Heading4"/>
      </w:pPr>
      <w:r>
        <w:t>Auditor’s responsibilities for the audit of the performance statement</w:t>
      </w:r>
    </w:p>
    <w:p w:rsidR="0073529D" w:rsidRDefault="003152A4" w:rsidP="00F00509">
      <w:pPr>
        <w:pStyle w:val="NoSpacing"/>
      </w:pPr>
      <w:r>
        <w:t>As required by the Audit Act 1994, my responsibility is to express an opinion on the performance statement based on the audit. My objectives for the audit are to obtain reasonable assurance about whether the performance statement as a whole is free from material misstatement, whether due to fraud or error, and to issue an auditor’s report that includes my opinion.</w:t>
      </w:r>
    </w:p>
    <w:p w:rsidR="003152A4" w:rsidRDefault="003152A4" w:rsidP="00F00509">
      <w:pPr>
        <w:pStyle w:val="NoSpacing"/>
      </w:pPr>
      <w:r>
        <w:t>Reasonable assurance is a high level of assurance, but is not a guarantee that an audit conducted in accordance with the Australian Standards on Assurance Engagement will always detect a material misstatement when it exists.</w:t>
      </w:r>
    </w:p>
    <w:p w:rsidR="003152A4" w:rsidRDefault="003152A4" w:rsidP="00F00509">
      <w:pPr>
        <w:pStyle w:val="NoSpacing"/>
      </w:pPr>
      <w:r>
        <w:t xml:space="preserve">Misstatements can arise from fraud or error and are considered material if, individually or in the aggregate, they </w:t>
      </w:r>
      <w:r w:rsidR="00A305FB">
        <w:t>could reasonably be expected to influence the decisions of users taken on the basis of the performance statement.</w:t>
      </w:r>
    </w:p>
    <w:p w:rsidR="00A305FB" w:rsidRDefault="00A305FB" w:rsidP="00F00509">
      <w:pPr>
        <w:pStyle w:val="NoSpacing"/>
      </w:pPr>
    </w:p>
    <w:p w:rsidR="00A305FB" w:rsidRDefault="00A305FB" w:rsidP="00F00509">
      <w:pPr>
        <w:pStyle w:val="NoSpacing"/>
      </w:pPr>
      <w:r>
        <w:t>Level 31/35 Collins Street, Melbourne Vic 3000</w:t>
      </w:r>
    </w:p>
    <w:p w:rsidR="00A305FB" w:rsidRDefault="00A305FB" w:rsidP="00F00509">
      <w:pPr>
        <w:pStyle w:val="NoSpacing"/>
      </w:pPr>
      <w:r>
        <w:t xml:space="preserve">T 03 8601 7000 </w:t>
      </w:r>
      <w:r w:rsidR="0024487D">
        <w:t xml:space="preserve"> </w:t>
      </w:r>
      <w:hyperlink r:id="rId9" w:history="1">
        <w:r w:rsidR="0024487D" w:rsidRPr="00723F36">
          <w:rPr>
            <w:rStyle w:val="Hyperlink"/>
          </w:rPr>
          <w:t>enquiries@audit.vic.gov.au</w:t>
        </w:r>
      </w:hyperlink>
      <w:r w:rsidR="0024487D">
        <w:t xml:space="preserve">  </w:t>
      </w:r>
      <w:hyperlink r:id="rId10" w:history="1">
        <w:r w:rsidR="0024487D" w:rsidRPr="00723F36">
          <w:rPr>
            <w:rStyle w:val="Hyperlink"/>
          </w:rPr>
          <w:t>www.audit.vic.gov.au</w:t>
        </w:r>
      </w:hyperlink>
      <w:r w:rsidR="0024487D">
        <w:tab/>
      </w:r>
    </w:p>
    <w:p w:rsidR="00524E02" w:rsidRDefault="00524E02" w:rsidP="00BF2354">
      <w:pPr>
        <w:pStyle w:val="NoSpacing"/>
      </w:pPr>
    </w:p>
    <w:p w:rsidR="00BF2354" w:rsidRDefault="00BF2354" w:rsidP="00BF2354">
      <w:pPr>
        <w:pStyle w:val="NoSpacing"/>
      </w:pPr>
      <w:r>
        <w:t>&lt;page</w:t>
      </w:r>
      <w:r w:rsidR="0024487D">
        <w:t xml:space="preserve"> 94</w:t>
      </w:r>
      <w:r>
        <w:t>&gt;</w:t>
      </w:r>
    </w:p>
    <w:p w:rsidR="00BF2354" w:rsidRDefault="00BF2354" w:rsidP="00BF2354">
      <w:pPr>
        <w:pStyle w:val="NoSpacing"/>
      </w:pPr>
    </w:p>
    <w:p w:rsidR="00BF2354" w:rsidRDefault="00BF2354" w:rsidP="0024487D">
      <w:pPr>
        <w:pStyle w:val="Heading2"/>
      </w:pPr>
      <w:r>
        <w:t xml:space="preserve"> VAGO Independent Auditor’s Report </w:t>
      </w:r>
    </w:p>
    <w:p w:rsidR="00BF2354" w:rsidRDefault="00BF2354" w:rsidP="00BF2354">
      <w:pPr>
        <w:pStyle w:val="NoSpacing"/>
      </w:pPr>
    </w:p>
    <w:p w:rsidR="0024487D" w:rsidRDefault="0024487D" w:rsidP="00BF2354">
      <w:pPr>
        <w:pStyle w:val="NoSpacing"/>
      </w:pPr>
      <w:r>
        <w:t>As part of an audit in accordance with the Australian Standards on Assurance Engagement, I exercise professional judgement and maintain professional scepticism throughout the audit. I also:</w:t>
      </w:r>
    </w:p>
    <w:p w:rsidR="0024487D" w:rsidRDefault="0024487D" w:rsidP="00925530">
      <w:pPr>
        <w:pStyle w:val="NoSpacing"/>
        <w:numPr>
          <w:ilvl w:val="0"/>
          <w:numId w:val="64"/>
        </w:numPr>
      </w:pPr>
      <w:r>
        <w:t>identify and assess the risks of material misstatement of performance statement, whether due to fraud or error, design and perform audit procedures responsive to those risks, and obtain audit evidence that is sufficient and appropriate to provide a basis for my opinion. The risk of not detecting a material misstatement resulting from fraud in higher than for one resulting from error, as fraud may involve collusion, forgery, international omissions, misrepresentations, or the override of internal control.</w:t>
      </w:r>
    </w:p>
    <w:p w:rsidR="0024487D" w:rsidRDefault="0024487D" w:rsidP="00925530">
      <w:pPr>
        <w:pStyle w:val="NoSpacing"/>
        <w:numPr>
          <w:ilvl w:val="0"/>
          <w:numId w:val="64"/>
        </w:numPr>
      </w:pPr>
      <w:r>
        <w:t>obtain an understanding of internal control relevant to the audit in order to design audit procedures that are appropriate in the circumstances, but not for the purpose of expressing an opinion on the effectiveness of the institute’s internal control.</w:t>
      </w:r>
    </w:p>
    <w:p w:rsidR="0024487D" w:rsidRDefault="0024487D" w:rsidP="00925530">
      <w:pPr>
        <w:pStyle w:val="NoSpacing"/>
        <w:numPr>
          <w:ilvl w:val="0"/>
          <w:numId w:val="64"/>
        </w:numPr>
      </w:pPr>
      <w:r>
        <w:t>evaluate the overall presentation, structure and content of the performance statement, including the disclosures, and whether performance statement represents the underlying events and results in a manner that achieves fair presentation.</w:t>
      </w:r>
    </w:p>
    <w:p w:rsidR="0024487D" w:rsidRDefault="0024487D" w:rsidP="0024487D">
      <w:pPr>
        <w:pStyle w:val="NoSpacing"/>
      </w:pPr>
    </w:p>
    <w:p w:rsidR="0024487D" w:rsidRDefault="0024487D" w:rsidP="0024487D">
      <w:pPr>
        <w:pStyle w:val="NoSpacing"/>
      </w:pPr>
      <w:r>
        <w:lastRenderedPageBreak/>
        <w:t>I communicate with the Board regarding, among other matters, the planned scope and timing of the audit and significant audit findings, including any significant deficiencies in internal control that I identify during my audit.</w:t>
      </w:r>
    </w:p>
    <w:p w:rsidR="0024487D" w:rsidRDefault="0024487D" w:rsidP="0024487D">
      <w:pPr>
        <w:pStyle w:val="NoSpacing"/>
      </w:pPr>
    </w:p>
    <w:p w:rsidR="0024487D" w:rsidRDefault="0024487D" w:rsidP="0024487D">
      <w:pPr>
        <w:pStyle w:val="NoSpacing"/>
      </w:pPr>
      <w:r>
        <w:t xml:space="preserve">Melbourne </w:t>
      </w:r>
    </w:p>
    <w:p w:rsidR="0024487D" w:rsidRDefault="0024487D" w:rsidP="0024487D">
      <w:pPr>
        <w:pStyle w:val="NoSpacing"/>
      </w:pPr>
      <w:r>
        <w:t>1 March 2020</w:t>
      </w:r>
    </w:p>
    <w:p w:rsidR="0024487D" w:rsidRDefault="0024487D" w:rsidP="0024487D">
      <w:pPr>
        <w:pStyle w:val="NoSpacing"/>
      </w:pPr>
    </w:p>
    <w:p w:rsidR="0024487D" w:rsidRDefault="0024487D" w:rsidP="0024487D">
      <w:pPr>
        <w:pStyle w:val="NoSpacing"/>
      </w:pPr>
      <w:r>
        <w:t>Charlotte Jeffries</w:t>
      </w:r>
    </w:p>
    <w:p w:rsidR="0024487D" w:rsidRDefault="0024487D" w:rsidP="0024487D">
      <w:pPr>
        <w:pStyle w:val="NoSpacing"/>
      </w:pPr>
      <w:r>
        <w:t xml:space="preserve">as delegate for the Auditor-General of Victoria    </w:t>
      </w:r>
    </w:p>
    <w:p w:rsidR="0024487D" w:rsidRDefault="0024487D" w:rsidP="00BF2354">
      <w:pPr>
        <w:pStyle w:val="NoSpacing"/>
      </w:pPr>
    </w:p>
    <w:p w:rsidR="00DC779D" w:rsidRDefault="00BF2354" w:rsidP="00BF2354">
      <w:pPr>
        <w:pStyle w:val="NoSpacing"/>
      </w:pPr>
      <w:r>
        <w:t>&lt;page</w:t>
      </w:r>
      <w:r w:rsidR="00EB4B2E">
        <w:t xml:space="preserve"> 95</w:t>
      </w:r>
      <w:r>
        <w:t>&gt;</w:t>
      </w:r>
    </w:p>
    <w:p w:rsidR="00BF2354" w:rsidRDefault="00BF2354" w:rsidP="00BF2354">
      <w:pPr>
        <w:pStyle w:val="NoSpacing"/>
      </w:pPr>
    </w:p>
    <w:p w:rsidR="00EB4B2E" w:rsidRDefault="00EB4B2E" w:rsidP="00BF2354">
      <w:pPr>
        <w:pStyle w:val="NoSpacing"/>
      </w:pPr>
    </w:p>
    <w:p w:rsidR="00EB4B2E" w:rsidRDefault="00EB4B2E" w:rsidP="00BF2354">
      <w:pPr>
        <w:pStyle w:val="NoSpacing"/>
      </w:pPr>
    </w:p>
    <w:p w:rsidR="00BF2354" w:rsidRDefault="00BF2354" w:rsidP="00BF2354">
      <w:pPr>
        <w:pStyle w:val="Heading2"/>
      </w:pPr>
      <w:r>
        <w:t>Declaration by Board Chair, Chief Executive Officer and Chief Finance Officer</w:t>
      </w:r>
    </w:p>
    <w:p w:rsidR="00BF2354" w:rsidRDefault="00BF2354" w:rsidP="00BF2354">
      <w:pPr>
        <w:pStyle w:val="NoSpacing"/>
      </w:pPr>
    </w:p>
    <w:p w:rsidR="00EB4B2E" w:rsidRDefault="00EB4B2E" w:rsidP="00BF2354">
      <w:pPr>
        <w:pStyle w:val="NoSpacing"/>
      </w:pPr>
      <w:r>
        <w:t>In our opinion, the accompanying Performance Statement of Chisholm Consolidated</w:t>
      </w:r>
      <w:r w:rsidR="00BB6466">
        <w:t xml:space="preserve"> in respect of the 2019 financial year in presented fairly.</w:t>
      </w:r>
    </w:p>
    <w:p w:rsidR="00BB6466" w:rsidRDefault="00BB6466" w:rsidP="00BF2354">
      <w:pPr>
        <w:pStyle w:val="NoSpacing"/>
      </w:pPr>
    </w:p>
    <w:p w:rsidR="00BB6466" w:rsidRDefault="00BB6466" w:rsidP="00BF2354">
      <w:pPr>
        <w:pStyle w:val="NoSpacing"/>
      </w:pPr>
      <w:r>
        <w:t>The Statement outlines the performance indicators as determined by the responsible Minister, pre-determined targets and the actual results for the year against these indicators, and an explanation of any significant variance between actual results and performance targets.</w:t>
      </w:r>
    </w:p>
    <w:p w:rsidR="00BB6466" w:rsidRDefault="00BB6466" w:rsidP="00BF2354">
      <w:pPr>
        <w:pStyle w:val="NoSpacing"/>
      </w:pPr>
    </w:p>
    <w:p w:rsidR="00BB6466" w:rsidRDefault="00BB6466" w:rsidP="00BF2354">
      <w:pPr>
        <w:pStyle w:val="NoSpacing"/>
      </w:pPr>
      <w:r>
        <w:t>As at the date of signing, we are not aware of any circumstances which would render any particulars in the Statement to be misleading or inaccurate.</w:t>
      </w:r>
    </w:p>
    <w:p w:rsidR="00EB4B2E" w:rsidRDefault="00EB4B2E" w:rsidP="00BF2354">
      <w:pPr>
        <w:pStyle w:val="NoSpacing"/>
      </w:pPr>
    </w:p>
    <w:p w:rsidR="00BF2354" w:rsidRDefault="00BF2354" w:rsidP="00BF2354">
      <w:pPr>
        <w:pStyle w:val="NoSpacing"/>
      </w:pPr>
      <w:r>
        <w:t>Stephen G. Marks</w:t>
      </w:r>
    </w:p>
    <w:p w:rsidR="00BF2354" w:rsidRDefault="00BF2354" w:rsidP="00BF2354">
      <w:pPr>
        <w:pStyle w:val="NoSpacing"/>
      </w:pPr>
      <w:r>
        <w:t>Board Chair</w:t>
      </w:r>
    </w:p>
    <w:p w:rsidR="00BF2354" w:rsidRDefault="00BF2354" w:rsidP="00BF2354">
      <w:pPr>
        <w:pStyle w:val="NoSpacing"/>
      </w:pPr>
      <w:r>
        <w:t>Date:</w:t>
      </w:r>
      <w:r w:rsidR="00BB6466">
        <w:t xml:space="preserve"> 26 February 2020</w:t>
      </w:r>
    </w:p>
    <w:p w:rsidR="00BF2354" w:rsidRDefault="00BF2354" w:rsidP="00BF2354">
      <w:pPr>
        <w:pStyle w:val="NoSpacing"/>
      </w:pPr>
      <w:r>
        <w:t>Place:</w:t>
      </w:r>
      <w:r w:rsidR="00BB6466">
        <w:t xml:space="preserve"> Dandenong</w:t>
      </w:r>
    </w:p>
    <w:p w:rsidR="00BB6466" w:rsidRDefault="00BB6466" w:rsidP="00BF2354">
      <w:pPr>
        <w:pStyle w:val="NoSpacing"/>
      </w:pPr>
    </w:p>
    <w:p w:rsidR="00BF2354" w:rsidRDefault="00BF2354" w:rsidP="00BF2354">
      <w:pPr>
        <w:pStyle w:val="NoSpacing"/>
      </w:pPr>
      <w:r>
        <w:t xml:space="preserve">Stephen Varty </w:t>
      </w:r>
    </w:p>
    <w:p w:rsidR="00BF2354" w:rsidRDefault="00BF2354" w:rsidP="00BF2354">
      <w:pPr>
        <w:pStyle w:val="NoSpacing"/>
      </w:pPr>
      <w:r>
        <w:t>Chief Executive Officer</w:t>
      </w:r>
    </w:p>
    <w:p w:rsidR="00BF2354" w:rsidRDefault="00BF2354" w:rsidP="00BF2354">
      <w:pPr>
        <w:pStyle w:val="NoSpacing"/>
      </w:pPr>
      <w:r>
        <w:t>Date:</w:t>
      </w:r>
      <w:r w:rsidR="00BB6466">
        <w:t xml:space="preserve"> 26 February 2020</w:t>
      </w:r>
    </w:p>
    <w:p w:rsidR="00BF2354" w:rsidRDefault="00BF2354" w:rsidP="00BF2354">
      <w:pPr>
        <w:pStyle w:val="NoSpacing"/>
      </w:pPr>
      <w:r>
        <w:t>Place:</w:t>
      </w:r>
      <w:r w:rsidR="00BB6466">
        <w:t xml:space="preserve"> Dandenong</w:t>
      </w:r>
    </w:p>
    <w:p w:rsidR="00BF2354" w:rsidRDefault="00BF2354" w:rsidP="00BF2354">
      <w:pPr>
        <w:pStyle w:val="NoSpacing"/>
      </w:pPr>
    </w:p>
    <w:p w:rsidR="00BF2354" w:rsidRDefault="00BF2354" w:rsidP="00BF2354">
      <w:pPr>
        <w:pStyle w:val="NoSpacing"/>
      </w:pPr>
      <w:r>
        <w:t>Toniann Stitz</w:t>
      </w:r>
    </w:p>
    <w:p w:rsidR="00BF2354" w:rsidRDefault="00BF2354" w:rsidP="00BF2354">
      <w:pPr>
        <w:pStyle w:val="NoSpacing"/>
      </w:pPr>
      <w:r>
        <w:t>Chief Finance Officer</w:t>
      </w:r>
    </w:p>
    <w:p w:rsidR="00BF2354" w:rsidRDefault="00BF2354" w:rsidP="00BF2354">
      <w:pPr>
        <w:pStyle w:val="NoSpacing"/>
      </w:pPr>
      <w:r>
        <w:t>Date:</w:t>
      </w:r>
      <w:r w:rsidR="00BB6466">
        <w:t xml:space="preserve"> 26 February 2020</w:t>
      </w:r>
    </w:p>
    <w:p w:rsidR="00BF2354" w:rsidRDefault="00BF2354" w:rsidP="00BF2354">
      <w:pPr>
        <w:pStyle w:val="NoSpacing"/>
      </w:pPr>
      <w:r>
        <w:t>Place:</w:t>
      </w:r>
      <w:r w:rsidR="00BB6466">
        <w:t xml:space="preserve"> Dandenong</w:t>
      </w:r>
    </w:p>
    <w:p w:rsidR="00BF2354" w:rsidRDefault="00BF2354" w:rsidP="00BF2354">
      <w:pPr>
        <w:pStyle w:val="NoSpacing"/>
      </w:pPr>
    </w:p>
    <w:p w:rsidR="00BF2354" w:rsidRDefault="00BF2354" w:rsidP="00BF2354">
      <w:pPr>
        <w:pStyle w:val="NoSpacing"/>
      </w:pPr>
      <w:r>
        <w:t>&lt;page</w:t>
      </w:r>
      <w:r w:rsidR="00BB6466">
        <w:t xml:space="preserve"> 96</w:t>
      </w:r>
      <w:r>
        <w:t>&gt;</w:t>
      </w:r>
    </w:p>
    <w:p w:rsidR="00BF2354" w:rsidRDefault="00BF2354" w:rsidP="00BF2354">
      <w:pPr>
        <w:pStyle w:val="NoSpacing"/>
      </w:pPr>
    </w:p>
    <w:p w:rsidR="00D23981" w:rsidRDefault="00D23981" w:rsidP="00BF2354">
      <w:pPr>
        <w:pStyle w:val="Heading2"/>
        <w:sectPr w:rsidR="00D23981">
          <w:pgSz w:w="11906" w:h="16838"/>
          <w:pgMar w:top="1440" w:right="1440" w:bottom="1440" w:left="1440" w:header="708" w:footer="708" w:gutter="0"/>
          <w:cols w:space="708"/>
          <w:docGrid w:linePitch="360"/>
        </w:sectPr>
      </w:pPr>
    </w:p>
    <w:p w:rsidR="00BF2354" w:rsidRDefault="00BF2354" w:rsidP="00BF2354">
      <w:pPr>
        <w:pStyle w:val="Heading2"/>
      </w:pPr>
      <w:r>
        <w:lastRenderedPageBreak/>
        <w:t xml:space="preserve">Performance Statement </w:t>
      </w:r>
    </w:p>
    <w:p w:rsidR="00BF2354" w:rsidRDefault="00BF2354" w:rsidP="00BF2354">
      <w:pPr>
        <w:pStyle w:val="NoSpacing"/>
      </w:pPr>
    </w:p>
    <w:p w:rsidR="00BF2354" w:rsidRDefault="00BF2354" w:rsidP="00BF2354">
      <w:pPr>
        <w:pStyle w:val="NoSpacing"/>
      </w:pPr>
      <w:r>
        <w:t>For the year ended 31 December 2019</w:t>
      </w:r>
    </w:p>
    <w:p w:rsidR="00D23981" w:rsidRDefault="00D23981" w:rsidP="00BF2354">
      <w:pPr>
        <w:pStyle w:val="NoSpacing"/>
      </w:pPr>
    </w:p>
    <w:p w:rsidR="00D23981" w:rsidRDefault="00D23981" w:rsidP="00BF2354">
      <w:pPr>
        <w:pStyle w:val="NoSpacing"/>
      </w:pPr>
      <w:r>
        <w:t>Chisholm Group</w:t>
      </w:r>
    </w:p>
    <w:tbl>
      <w:tblPr>
        <w:tblStyle w:val="TableGrid"/>
        <w:tblW w:w="15594" w:type="dxa"/>
        <w:tblInd w:w="-998" w:type="dxa"/>
        <w:tblLook w:val="04A0" w:firstRow="1" w:lastRow="0" w:firstColumn="1" w:lastColumn="0" w:noHBand="0" w:noVBand="1"/>
      </w:tblPr>
      <w:tblGrid>
        <w:gridCol w:w="2776"/>
        <w:gridCol w:w="5559"/>
        <w:gridCol w:w="1412"/>
        <w:gridCol w:w="1052"/>
        <w:gridCol w:w="1269"/>
        <w:gridCol w:w="1688"/>
        <w:gridCol w:w="707"/>
        <w:gridCol w:w="1131"/>
      </w:tblGrid>
      <w:tr w:rsidR="00BB6466" w:rsidTr="00BB6466">
        <w:tc>
          <w:tcPr>
            <w:tcW w:w="2819" w:type="dxa"/>
            <w:vAlign w:val="bottom"/>
          </w:tcPr>
          <w:p w:rsidR="00BB6466" w:rsidRDefault="00BB6466" w:rsidP="00BF2354">
            <w:pPr>
              <w:pStyle w:val="NoSpacing"/>
            </w:pPr>
            <w:r>
              <w:t xml:space="preserve">Key Performance Indicators (KPIs) </w:t>
            </w:r>
          </w:p>
        </w:tc>
        <w:tc>
          <w:tcPr>
            <w:tcW w:w="5687" w:type="dxa"/>
            <w:vAlign w:val="bottom"/>
          </w:tcPr>
          <w:p w:rsidR="00BB6466" w:rsidRDefault="00BB6466" w:rsidP="00BF2354">
            <w:pPr>
              <w:pStyle w:val="NoSpacing"/>
            </w:pPr>
            <w:r>
              <w:t>Description and methodology</w:t>
            </w:r>
          </w:p>
        </w:tc>
        <w:tc>
          <w:tcPr>
            <w:tcW w:w="1418" w:type="dxa"/>
            <w:vAlign w:val="bottom"/>
          </w:tcPr>
          <w:p w:rsidR="00BB6466" w:rsidRDefault="00BB6466" w:rsidP="00BB6466">
            <w:pPr>
              <w:pStyle w:val="NoSpacing"/>
              <w:jc w:val="right"/>
            </w:pPr>
            <w:r>
              <w:t>Metric</w:t>
            </w:r>
          </w:p>
        </w:tc>
        <w:tc>
          <w:tcPr>
            <w:tcW w:w="850" w:type="dxa"/>
            <w:vAlign w:val="bottom"/>
          </w:tcPr>
          <w:p w:rsidR="00BB6466" w:rsidRDefault="00BB6466" w:rsidP="00780F87">
            <w:pPr>
              <w:pStyle w:val="NoSpacing"/>
              <w:jc w:val="right"/>
            </w:pPr>
            <w:r>
              <w:t>2019 Target</w:t>
            </w:r>
          </w:p>
        </w:tc>
        <w:tc>
          <w:tcPr>
            <w:tcW w:w="1276" w:type="dxa"/>
            <w:vAlign w:val="bottom"/>
          </w:tcPr>
          <w:p w:rsidR="00BB6466" w:rsidRDefault="00BB6466" w:rsidP="00780F87">
            <w:pPr>
              <w:pStyle w:val="NoSpacing"/>
              <w:jc w:val="right"/>
            </w:pPr>
            <w:r>
              <w:t>2019 Actual</w:t>
            </w:r>
          </w:p>
        </w:tc>
        <w:tc>
          <w:tcPr>
            <w:tcW w:w="1701" w:type="dxa"/>
            <w:vAlign w:val="bottom"/>
          </w:tcPr>
          <w:p w:rsidR="00BB6466" w:rsidRDefault="00BB6466" w:rsidP="00780F87">
            <w:pPr>
              <w:pStyle w:val="NoSpacing"/>
              <w:jc w:val="right"/>
            </w:pPr>
            <w:r>
              <w:t>Explanation of variances</w:t>
            </w:r>
          </w:p>
        </w:tc>
        <w:tc>
          <w:tcPr>
            <w:tcW w:w="709" w:type="dxa"/>
            <w:vAlign w:val="bottom"/>
          </w:tcPr>
          <w:p w:rsidR="00BB6466" w:rsidRDefault="00BB6466" w:rsidP="00780F87">
            <w:pPr>
              <w:pStyle w:val="NoSpacing"/>
              <w:jc w:val="right"/>
            </w:pPr>
            <w:r>
              <w:t>Note</w:t>
            </w:r>
          </w:p>
        </w:tc>
        <w:tc>
          <w:tcPr>
            <w:tcW w:w="1134" w:type="dxa"/>
          </w:tcPr>
          <w:p w:rsidR="00BB6466" w:rsidRDefault="00BB6466" w:rsidP="00780F87">
            <w:pPr>
              <w:pStyle w:val="NoSpacing"/>
              <w:jc w:val="right"/>
            </w:pPr>
            <w:r>
              <w:t>Prior year result</w:t>
            </w:r>
          </w:p>
        </w:tc>
      </w:tr>
      <w:tr w:rsidR="00BB6466" w:rsidTr="00BB6466">
        <w:tc>
          <w:tcPr>
            <w:tcW w:w="2819" w:type="dxa"/>
          </w:tcPr>
          <w:p w:rsidR="00BB6466" w:rsidRDefault="00BB6466" w:rsidP="00BF2354">
            <w:pPr>
              <w:pStyle w:val="NoSpacing"/>
            </w:pPr>
            <w:r>
              <w:t>Training revenue diversity</w:t>
            </w:r>
          </w:p>
        </w:tc>
        <w:tc>
          <w:tcPr>
            <w:tcW w:w="5687" w:type="dxa"/>
          </w:tcPr>
          <w:p w:rsidR="00BB6466" w:rsidRDefault="00BB6466" w:rsidP="00BB6466">
            <w:pPr>
              <w:pStyle w:val="NoSpacing"/>
            </w:pPr>
            <w:r>
              <w:t>Government funded (GF)</w:t>
            </w:r>
          </w:p>
          <w:p w:rsidR="00BB6466" w:rsidRDefault="00BB6466" w:rsidP="00BB6466">
            <w:pPr>
              <w:pStyle w:val="NoSpacing"/>
            </w:pPr>
            <w:r>
              <w:t>Fee for Service (FFS)</w:t>
            </w:r>
          </w:p>
          <w:p w:rsidR="00BB6466" w:rsidRDefault="00BB6466" w:rsidP="00BB6466">
            <w:pPr>
              <w:pStyle w:val="NoSpacing"/>
            </w:pPr>
            <w:r>
              <w:t>Student Fees and Charges</w:t>
            </w:r>
          </w:p>
        </w:tc>
        <w:tc>
          <w:tcPr>
            <w:tcW w:w="1418" w:type="dxa"/>
          </w:tcPr>
          <w:p w:rsidR="00BB6466" w:rsidRDefault="00BB6466" w:rsidP="00BB6466">
            <w:pPr>
              <w:pStyle w:val="NoSpacing"/>
              <w:jc w:val="right"/>
            </w:pPr>
            <w:r>
              <w:t>Percentage</w:t>
            </w:r>
          </w:p>
        </w:tc>
        <w:tc>
          <w:tcPr>
            <w:tcW w:w="850" w:type="dxa"/>
          </w:tcPr>
          <w:p w:rsidR="00BB6466" w:rsidRDefault="00F51DD2" w:rsidP="00F51DD2">
            <w:pPr>
              <w:pStyle w:val="NoSpacing"/>
              <w:jc w:val="right"/>
            </w:pPr>
            <w:r>
              <w:t>53.2%</w:t>
            </w:r>
          </w:p>
          <w:p w:rsidR="00F51DD2" w:rsidRDefault="00F51DD2" w:rsidP="00BB6466">
            <w:pPr>
              <w:pStyle w:val="NoSpacing"/>
              <w:jc w:val="right"/>
            </w:pPr>
            <w:r>
              <w:t>28.0%</w:t>
            </w:r>
          </w:p>
          <w:p w:rsidR="00F51DD2" w:rsidRDefault="00F51DD2" w:rsidP="00BB6466">
            <w:pPr>
              <w:pStyle w:val="NoSpacing"/>
              <w:jc w:val="right"/>
            </w:pPr>
            <w:r>
              <w:t>18.8%</w:t>
            </w:r>
          </w:p>
        </w:tc>
        <w:tc>
          <w:tcPr>
            <w:tcW w:w="1276" w:type="dxa"/>
          </w:tcPr>
          <w:p w:rsidR="00F51DD2" w:rsidRDefault="00F51DD2" w:rsidP="00F51DD2">
            <w:pPr>
              <w:pStyle w:val="NoSpacing"/>
              <w:jc w:val="right"/>
            </w:pPr>
            <w:r>
              <w:t>59.0%</w:t>
            </w:r>
          </w:p>
          <w:p w:rsidR="00F51DD2" w:rsidRDefault="00F51DD2" w:rsidP="00BB6466">
            <w:pPr>
              <w:pStyle w:val="NoSpacing"/>
              <w:jc w:val="right"/>
            </w:pPr>
            <w:r>
              <w:t>27.5%</w:t>
            </w:r>
          </w:p>
          <w:p w:rsidR="00F51DD2" w:rsidRDefault="00F51DD2" w:rsidP="00F51DD2">
            <w:pPr>
              <w:pStyle w:val="NoSpacing"/>
              <w:jc w:val="right"/>
            </w:pPr>
            <w:r>
              <w:t>13.5%</w:t>
            </w:r>
          </w:p>
        </w:tc>
        <w:tc>
          <w:tcPr>
            <w:tcW w:w="1701" w:type="dxa"/>
          </w:tcPr>
          <w:p w:rsidR="00BB6466" w:rsidRDefault="00F51DD2" w:rsidP="00BB6466">
            <w:pPr>
              <w:pStyle w:val="NoSpacing"/>
              <w:jc w:val="right"/>
            </w:pPr>
            <w:r>
              <w:t>Achieved</w:t>
            </w:r>
          </w:p>
          <w:p w:rsidR="00F51DD2" w:rsidRDefault="00F51DD2" w:rsidP="00BB6466">
            <w:pPr>
              <w:pStyle w:val="NoSpacing"/>
              <w:jc w:val="right"/>
            </w:pPr>
            <w:r>
              <w:t>Achieved</w:t>
            </w:r>
          </w:p>
          <w:p w:rsidR="00F51DD2" w:rsidRDefault="00F51DD2" w:rsidP="00BB6466">
            <w:pPr>
              <w:pStyle w:val="NoSpacing"/>
              <w:jc w:val="right"/>
            </w:pPr>
            <w:r>
              <w:t>Not Achieved</w:t>
            </w:r>
          </w:p>
        </w:tc>
        <w:tc>
          <w:tcPr>
            <w:tcW w:w="709" w:type="dxa"/>
          </w:tcPr>
          <w:p w:rsidR="00BB6466" w:rsidRDefault="00F51DD2" w:rsidP="00BB6466">
            <w:pPr>
              <w:pStyle w:val="NoSpacing"/>
              <w:jc w:val="right"/>
            </w:pPr>
            <w:r>
              <w:t>a</w:t>
            </w:r>
          </w:p>
          <w:p w:rsidR="00F51DD2" w:rsidRDefault="00F51DD2" w:rsidP="00BB6466">
            <w:pPr>
              <w:pStyle w:val="NoSpacing"/>
              <w:jc w:val="right"/>
            </w:pPr>
          </w:p>
          <w:p w:rsidR="00F51DD2" w:rsidRDefault="00F51DD2" w:rsidP="00BB6466">
            <w:pPr>
              <w:pStyle w:val="NoSpacing"/>
              <w:jc w:val="right"/>
            </w:pPr>
            <w:r>
              <w:t>a</w:t>
            </w:r>
          </w:p>
        </w:tc>
        <w:tc>
          <w:tcPr>
            <w:tcW w:w="1134" w:type="dxa"/>
          </w:tcPr>
          <w:p w:rsidR="00BB6466" w:rsidRDefault="00F51DD2" w:rsidP="00BB6466">
            <w:pPr>
              <w:pStyle w:val="NoSpacing"/>
              <w:jc w:val="right"/>
            </w:pPr>
            <w:r>
              <w:t>51.6%</w:t>
            </w:r>
          </w:p>
          <w:p w:rsidR="00F51DD2" w:rsidRDefault="00F51DD2" w:rsidP="00BB6466">
            <w:pPr>
              <w:pStyle w:val="NoSpacing"/>
              <w:jc w:val="right"/>
            </w:pPr>
            <w:r>
              <w:t>30.0%</w:t>
            </w:r>
          </w:p>
          <w:p w:rsidR="00F51DD2" w:rsidRDefault="00F51DD2" w:rsidP="00BB6466">
            <w:pPr>
              <w:pStyle w:val="NoSpacing"/>
              <w:jc w:val="right"/>
            </w:pPr>
            <w:r>
              <w:t>18.4%</w:t>
            </w:r>
          </w:p>
        </w:tc>
      </w:tr>
      <w:tr w:rsidR="00BB6466" w:rsidTr="00BB6466">
        <w:tc>
          <w:tcPr>
            <w:tcW w:w="2819" w:type="dxa"/>
          </w:tcPr>
          <w:p w:rsidR="00BB6466" w:rsidRDefault="00BB6466" w:rsidP="00BF2354">
            <w:pPr>
              <w:pStyle w:val="NoSpacing"/>
            </w:pPr>
            <w:r>
              <w:t>Employment costs as a proportion of training revenue</w:t>
            </w:r>
          </w:p>
        </w:tc>
        <w:tc>
          <w:tcPr>
            <w:tcW w:w="5687" w:type="dxa"/>
          </w:tcPr>
          <w:p w:rsidR="00BB6466" w:rsidRDefault="00BB6466" w:rsidP="00BF2354">
            <w:pPr>
              <w:pStyle w:val="NoSpacing"/>
            </w:pPr>
            <w:r>
              <w:t xml:space="preserve">Employment and Third Party training delivery costs as a proportion of training revenue </w:t>
            </w:r>
          </w:p>
          <w:p w:rsidR="00BB6466" w:rsidRDefault="00BB6466" w:rsidP="00BF2354">
            <w:pPr>
              <w:pStyle w:val="NoSpacing"/>
            </w:pPr>
            <w:r>
              <w:t>(VTG and FFS)</w:t>
            </w:r>
          </w:p>
        </w:tc>
        <w:tc>
          <w:tcPr>
            <w:tcW w:w="1418" w:type="dxa"/>
          </w:tcPr>
          <w:p w:rsidR="00BB6466" w:rsidRDefault="00BB6466" w:rsidP="00BB6466">
            <w:pPr>
              <w:pStyle w:val="NoSpacing"/>
              <w:jc w:val="right"/>
            </w:pPr>
            <w:r>
              <w:t>Percentage</w:t>
            </w:r>
          </w:p>
        </w:tc>
        <w:tc>
          <w:tcPr>
            <w:tcW w:w="850" w:type="dxa"/>
          </w:tcPr>
          <w:p w:rsidR="00BB6466" w:rsidRDefault="00F51DD2" w:rsidP="00BB6466">
            <w:pPr>
              <w:pStyle w:val="NoSpacing"/>
              <w:jc w:val="right"/>
            </w:pPr>
            <w:r>
              <w:t>72.0%</w:t>
            </w:r>
          </w:p>
        </w:tc>
        <w:tc>
          <w:tcPr>
            <w:tcW w:w="1276" w:type="dxa"/>
          </w:tcPr>
          <w:p w:rsidR="00BB6466" w:rsidRDefault="00F51DD2" w:rsidP="00BB6466">
            <w:pPr>
              <w:pStyle w:val="NoSpacing"/>
              <w:jc w:val="right"/>
            </w:pPr>
            <w:r>
              <w:t>73.5%</w:t>
            </w:r>
          </w:p>
        </w:tc>
        <w:tc>
          <w:tcPr>
            <w:tcW w:w="1701" w:type="dxa"/>
          </w:tcPr>
          <w:p w:rsidR="00BB6466" w:rsidRDefault="00F51DD2" w:rsidP="00BB6466">
            <w:pPr>
              <w:pStyle w:val="NoSpacing"/>
              <w:jc w:val="right"/>
            </w:pPr>
            <w:r>
              <w:t>Not Achieved</w:t>
            </w:r>
          </w:p>
        </w:tc>
        <w:tc>
          <w:tcPr>
            <w:tcW w:w="709" w:type="dxa"/>
          </w:tcPr>
          <w:p w:rsidR="00BB6466" w:rsidRDefault="00F51DD2" w:rsidP="00BB6466">
            <w:pPr>
              <w:pStyle w:val="NoSpacing"/>
              <w:jc w:val="right"/>
            </w:pPr>
            <w:r>
              <w:t>b</w:t>
            </w:r>
          </w:p>
        </w:tc>
        <w:tc>
          <w:tcPr>
            <w:tcW w:w="1134" w:type="dxa"/>
          </w:tcPr>
          <w:p w:rsidR="00BB6466" w:rsidRDefault="00F51DD2" w:rsidP="00BB6466">
            <w:pPr>
              <w:pStyle w:val="NoSpacing"/>
              <w:jc w:val="right"/>
            </w:pPr>
            <w:r>
              <w:t>72.1%</w:t>
            </w:r>
          </w:p>
        </w:tc>
      </w:tr>
      <w:tr w:rsidR="00BB6466" w:rsidTr="00BB6466">
        <w:tc>
          <w:tcPr>
            <w:tcW w:w="2819" w:type="dxa"/>
          </w:tcPr>
          <w:p w:rsidR="00BB6466" w:rsidRDefault="00BB6466" w:rsidP="00BF2354">
            <w:pPr>
              <w:pStyle w:val="NoSpacing"/>
            </w:pPr>
            <w:r>
              <w:t>Tr</w:t>
            </w:r>
            <w:r w:rsidR="00F51DD2">
              <w:t>aining revenue per teaching FTE</w:t>
            </w:r>
          </w:p>
        </w:tc>
        <w:tc>
          <w:tcPr>
            <w:tcW w:w="5687" w:type="dxa"/>
          </w:tcPr>
          <w:p w:rsidR="00BB6466" w:rsidRDefault="00BB6466" w:rsidP="00BF2354">
            <w:pPr>
              <w:pStyle w:val="NoSpacing"/>
            </w:pPr>
            <w:r>
              <w:t xml:space="preserve">Training revenue (excl. revenue delivered by </w:t>
            </w:r>
            <w:r w:rsidR="00F51DD2">
              <w:t>third parties) / per Teaching FTE</w:t>
            </w:r>
          </w:p>
          <w:p w:rsidR="00BB6466" w:rsidRDefault="00BB6466" w:rsidP="00BF2354">
            <w:pPr>
              <w:pStyle w:val="NoSpacing"/>
            </w:pPr>
          </w:p>
        </w:tc>
        <w:tc>
          <w:tcPr>
            <w:tcW w:w="1418" w:type="dxa"/>
          </w:tcPr>
          <w:p w:rsidR="00BB6466" w:rsidRDefault="00BB6466" w:rsidP="00BB6466">
            <w:pPr>
              <w:pStyle w:val="NoSpacing"/>
              <w:jc w:val="right"/>
            </w:pPr>
            <w:r>
              <w:t>Dollars</w:t>
            </w:r>
          </w:p>
        </w:tc>
        <w:tc>
          <w:tcPr>
            <w:tcW w:w="850" w:type="dxa"/>
          </w:tcPr>
          <w:p w:rsidR="00BB6466" w:rsidRDefault="00F51DD2" w:rsidP="00BB6466">
            <w:pPr>
              <w:pStyle w:val="NoSpacing"/>
              <w:jc w:val="right"/>
            </w:pPr>
            <w:r>
              <w:t>$208,000</w:t>
            </w:r>
          </w:p>
        </w:tc>
        <w:tc>
          <w:tcPr>
            <w:tcW w:w="1276" w:type="dxa"/>
          </w:tcPr>
          <w:p w:rsidR="00BB6466" w:rsidRDefault="00F51DD2" w:rsidP="00BB6466">
            <w:pPr>
              <w:pStyle w:val="NoSpacing"/>
              <w:jc w:val="right"/>
            </w:pPr>
            <w:r>
              <w:t>$225,391</w:t>
            </w:r>
          </w:p>
        </w:tc>
        <w:tc>
          <w:tcPr>
            <w:tcW w:w="1701" w:type="dxa"/>
          </w:tcPr>
          <w:p w:rsidR="00BB6466" w:rsidRDefault="00F51DD2" w:rsidP="00BB6466">
            <w:pPr>
              <w:pStyle w:val="NoSpacing"/>
              <w:jc w:val="right"/>
            </w:pPr>
            <w:r>
              <w:t>Achieved</w:t>
            </w:r>
          </w:p>
        </w:tc>
        <w:tc>
          <w:tcPr>
            <w:tcW w:w="709" w:type="dxa"/>
          </w:tcPr>
          <w:p w:rsidR="00BB6466" w:rsidRDefault="00BB6466" w:rsidP="00BB6466">
            <w:pPr>
              <w:pStyle w:val="NoSpacing"/>
              <w:jc w:val="right"/>
            </w:pPr>
          </w:p>
        </w:tc>
        <w:tc>
          <w:tcPr>
            <w:tcW w:w="1134" w:type="dxa"/>
          </w:tcPr>
          <w:p w:rsidR="00BB6466" w:rsidRDefault="00F51DD2" w:rsidP="00BB6466">
            <w:pPr>
              <w:pStyle w:val="NoSpacing"/>
              <w:jc w:val="right"/>
            </w:pPr>
            <w:r>
              <w:t>$226,639</w:t>
            </w:r>
          </w:p>
        </w:tc>
      </w:tr>
      <w:tr w:rsidR="00BB6466" w:rsidTr="00BB6466">
        <w:tc>
          <w:tcPr>
            <w:tcW w:w="2819" w:type="dxa"/>
          </w:tcPr>
          <w:p w:rsidR="00BB6466" w:rsidRDefault="00BB6466" w:rsidP="00BF2354">
            <w:pPr>
              <w:pStyle w:val="NoSpacing"/>
            </w:pPr>
            <w:r>
              <w:t>Operating margin percentage</w:t>
            </w:r>
          </w:p>
        </w:tc>
        <w:tc>
          <w:tcPr>
            <w:tcW w:w="5687" w:type="dxa"/>
          </w:tcPr>
          <w:p w:rsidR="00BB6466" w:rsidRDefault="00F51DD2" w:rsidP="00BF2354">
            <w:pPr>
              <w:pStyle w:val="NoSpacing"/>
            </w:pPr>
            <w:r>
              <w:t>EBIT excluding Capital Contributions) / Total Revenue (excl Capital Contributions)</w:t>
            </w:r>
          </w:p>
        </w:tc>
        <w:tc>
          <w:tcPr>
            <w:tcW w:w="1418" w:type="dxa"/>
          </w:tcPr>
          <w:p w:rsidR="00BB6466" w:rsidRDefault="00BB6466" w:rsidP="00BB6466">
            <w:pPr>
              <w:pStyle w:val="NoSpacing"/>
              <w:jc w:val="right"/>
            </w:pPr>
            <w:r>
              <w:t>Percentage</w:t>
            </w:r>
          </w:p>
        </w:tc>
        <w:tc>
          <w:tcPr>
            <w:tcW w:w="850" w:type="dxa"/>
          </w:tcPr>
          <w:p w:rsidR="00BB6466" w:rsidRDefault="00F51DD2" w:rsidP="00BB6466">
            <w:pPr>
              <w:pStyle w:val="NoSpacing"/>
              <w:jc w:val="right"/>
            </w:pPr>
            <w:r>
              <w:t>-1.3%</w:t>
            </w:r>
          </w:p>
        </w:tc>
        <w:tc>
          <w:tcPr>
            <w:tcW w:w="1276" w:type="dxa"/>
          </w:tcPr>
          <w:p w:rsidR="00BB6466" w:rsidRDefault="00F51DD2" w:rsidP="00BB6466">
            <w:pPr>
              <w:pStyle w:val="NoSpacing"/>
              <w:jc w:val="right"/>
            </w:pPr>
            <w:r>
              <w:t>-0.9%</w:t>
            </w:r>
          </w:p>
        </w:tc>
        <w:tc>
          <w:tcPr>
            <w:tcW w:w="1701" w:type="dxa"/>
          </w:tcPr>
          <w:p w:rsidR="00BB6466" w:rsidRDefault="00F51DD2" w:rsidP="00BB6466">
            <w:pPr>
              <w:pStyle w:val="NoSpacing"/>
              <w:jc w:val="right"/>
            </w:pPr>
            <w:r>
              <w:t>Achieved</w:t>
            </w:r>
          </w:p>
        </w:tc>
        <w:tc>
          <w:tcPr>
            <w:tcW w:w="709" w:type="dxa"/>
          </w:tcPr>
          <w:p w:rsidR="00BB6466" w:rsidRDefault="00BB6466" w:rsidP="00BB6466">
            <w:pPr>
              <w:pStyle w:val="NoSpacing"/>
              <w:jc w:val="right"/>
            </w:pPr>
          </w:p>
        </w:tc>
        <w:tc>
          <w:tcPr>
            <w:tcW w:w="1134" w:type="dxa"/>
          </w:tcPr>
          <w:p w:rsidR="00BB6466" w:rsidRDefault="00F51DD2" w:rsidP="00BB6466">
            <w:pPr>
              <w:pStyle w:val="NoSpacing"/>
              <w:jc w:val="right"/>
            </w:pPr>
            <w:r>
              <w:t>-1.8%</w:t>
            </w:r>
          </w:p>
        </w:tc>
      </w:tr>
    </w:tbl>
    <w:p w:rsidR="00D23981" w:rsidRDefault="00F51DD2" w:rsidP="00BF2354">
      <w:pPr>
        <w:pStyle w:val="NoSpacing"/>
      </w:pPr>
      <w:r>
        <w:t>Notes:</w:t>
      </w:r>
    </w:p>
    <w:p w:rsidR="00F51DD2" w:rsidRDefault="00F51DD2" w:rsidP="00BF2354">
      <w:pPr>
        <w:pStyle w:val="NoSpacing"/>
      </w:pPr>
      <w:r>
        <w:t>a. Variance due to student Free Tafe Tuition fees being government Funded.</w:t>
      </w:r>
    </w:p>
    <w:p w:rsidR="00F51DD2" w:rsidRDefault="00F51DD2" w:rsidP="00BF2354">
      <w:pPr>
        <w:pStyle w:val="NoSpacing"/>
      </w:pPr>
      <w:r>
        <w:t>b. Variance due to project staff funded by one-off grants.</w:t>
      </w:r>
    </w:p>
    <w:p w:rsidR="00F51DD2" w:rsidRDefault="00F51DD2" w:rsidP="00BF2354">
      <w:pPr>
        <w:pStyle w:val="NoSpacing"/>
      </w:pPr>
    </w:p>
    <w:p w:rsidR="00F51DD2" w:rsidRDefault="00761BDF" w:rsidP="00BF2354">
      <w:pPr>
        <w:pStyle w:val="NoSpacing"/>
      </w:pPr>
      <w:r>
        <w:t>&lt;page 97&gt;</w:t>
      </w:r>
    </w:p>
    <w:p w:rsidR="00130A29" w:rsidRDefault="00130A29" w:rsidP="00BF2354">
      <w:pPr>
        <w:pStyle w:val="NoSpacing"/>
        <w:sectPr w:rsidR="00130A29" w:rsidSect="00D23981">
          <w:pgSz w:w="16838" w:h="11906" w:orient="landscape"/>
          <w:pgMar w:top="1440" w:right="1440" w:bottom="1440" w:left="1440" w:header="709" w:footer="709" w:gutter="0"/>
          <w:cols w:space="708"/>
          <w:docGrid w:linePitch="360"/>
        </w:sectPr>
      </w:pPr>
    </w:p>
    <w:p w:rsidR="00BF2354" w:rsidRDefault="00BF2354" w:rsidP="00BF2354">
      <w:pPr>
        <w:pStyle w:val="Heading2"/>
      </w:pPr>
      <w:r>
        <w:lastRenderedPageBreak/>
        <w:t>Disclosure Index</w:t>
      </w:r>
    </w:p>
    <w:p w:rsidR="00BF2354" w:rsidRDefault="00BF2354" w:rsidP="00BF2354">
      <w:pPr>
        <w:pStyle w:val="NoSpacing"/>
      </w:pPr>
    </w:p>
    <w:p w:rsidR="00BF2354" w:rsidRDefault="00BF2354" w:rsidP="00BF2354">
      <w:pPr>
        <w:pStyle w:val="Heading3"/>
      </w:pPr>
      <w:r>
        <w:t>Standard Disclosures in the Report of Operations (2019)</w:t>
      </w:r>
    </w:p>
    <w:p w:rsidR="00BF2354" w:rsidRDefault="00BF2354" w:rsidP="00BF2354">
      <w:pPr>
        <w:pStyle w:val="NoSpacing"/>
      </w:pPr>
    </w:p>
    <w:tbl>
      <w:tblPr>
        <w:tblStyle w:val="TableGrid"/>
        <w:tblW w:w="11058" w:type="dxa"/>
        <w:tblInd w:w="-998" w:type="dxa"/>
        <w:tblLook w:val="04A0" w:firstRow="1" w:lastRow="0" w:firstColumn="1" w:lastColumn="0" w:noHBand="0" w:noVBand="1"/>
      </w:tblPr>
      <w:tblGrid>
        <w:gridCol w:w="632"/>
        <w:gridCol w:w="1808"/>
        <w:gridCol w:w="7200"/>
        <w:gridCol w:w="1418"/>
      </w:tblGrid>
      <w:tr w:rsidR="00BF2354" w:rsidTr="00292DBB">
        <w:tc>
          <w:tcPr>
            <w:tcW w:w="11058" w:type="dxa"/>
            <w:gridSpan w:val="4"/>
          </w:tcPr>
          <w:p w:rsidR="00BF2354" w:rsidRDefault="00BF2354" w:rsidP="00BF2354">
            <w:pPr>
              <w:pStyle w:val="NoSpacing"/>
            </w:pPr>
            <w:r>
              <w:t>CHARTER AND PURPOSE</w:t>
            </w:r>
          </w:p>
        </w:tc>
      </w:tr>
      <w:tr w:rsidR="00BF2354" w:rsidTr="00761BDF">
        <w:tc>
          <w:tcPr>
            <w:tcW w:w="632" w:type="dxa"/>
          </w:tcPr>
          <w:p w:rsidR="00BF2354" w:rsidRDefault="00BF2354" w:rsidP="00BF2354">
            <w:pPr>
              <w:pStyle w:val="NoSpacing"/>
            </w:pPr>
            <w:r>
              <w:t>Item no.</w:t>
            </w:r>
          </w:p>
        </w:tc>
        <w:tc>
          <w:tcPr>
            <w:tcW w:w="1808" w:type="dxa"/>
          </w:tcPr>
          <w:p w:rsidR="00BF2354" w:rsidRDefault="00BF2354" w:rsidP="00BF2354">
            <w:pPr>
              <w:pStyle w:val="NoSpacing"/>
            </w:pPr>
            <w:r>
              <w:t>Source</w:t>
            </w:r>
          </w:p>
        </w:tc>
        <w:tc>
          <w:tcPr>
            <w:tcW w:w="7200" w:type="dxa"/>
          </w:tcPr>
          <w:p w:rsidR="00BF2354" w:rsidRDefault="00BF2354" w:rsidP="00BF2354">
            <w:pPr>
              <w:pStyle w:val="NoSpacing"/>
            </w:pPr>
            <w:r>
              <w:t>Summary of Reporting Requirement</w:t>
            </w:r>
          </w:p>
        </w:tc>
        <w:tc>
          <w:tcPr>
            <w:tcW w:w="1418" w:type="dxa"/>
          </w:tcPr>
          <w:p w:rsidR="00BF2354" w:rsidRDefault="00BF2354" w:rsidP="00761BDF">
            <w:pPr>
              <w:pStyle w:val="NoSpacing"/>
              <w:jc w:val="right"/>
            </w:pPr>
            <w:r>
              <w:t>Page number</w:t>
            </w:r>
          </w:p>
        </w:tc>
      </w:tr>
      <w:tr w:rsidR="00BF2354" w:rsidTr="00761BDF">
        <w:tc>
          <w:tcPr>
            <w:tcW w:w="632" w:type="dxa"/>
          </w:tcPr>
          <w:p w:rsidR="00BF2354" w:rsidRDefault="00BF2354" w:rsidP="00BF2354">
            <w:pPr>
              <w:pStyle w:val="NoSpacing"/>
            </w:pPr>
            <w:r>
              <w:t>1</w:t>
            </w:r>
          </w:p>
        </w:tc>
        <w:tc>
          <w:tcPr>
            <w:tcW w:w="1808" w:type="dxa"/>
          </w:tcPr>
          <w:p w:rsidR="00BF2354" w:rsidRDefault="00BF2354" w:rsidP="00BF2354">
            <w:pPr>
              <w:pStyle w:val="NoSpacing"/>
            </w:pPr>
            <w:r>
              <w:t>FRD 22H</w:t>
            </w:r>
          </w:p>
          <w:p w:rsidR="00BF2354" w:rsidRDefault="00BF2354" w:rsidP="00BF2354">
            <w:pPr>
              <w:pStyle w:val="NoSpacing"/>
            </w:pPr>
            <w:r>
              <w:t>5.4</w:t>
            </w:r>
          </w:p>
        </w:tc>
        <w:tc>
          <w:tcPr>
            <w:tcW w:w="7200" w:type="dxa"/>
          </w:tcPr>
          <w:p w:rsidR="00BF2354" w:rsidRDefault="00BF2354" w:rsidP="00BF2354">
            <w:pPr>
              <w:pStyle w:val="NoSpacing"/>
            </w:pPr>
            <w:r>
              <w:t>Manner of establishment and the relevant Minister</w:t>
            </w:r>
          </w:p>
        </w:tc>
        <w:tc>
          <w:tcPr>
            <w:tcW w:w="1418" w:type="dxa"/>
          </w:tcPr>
          <w:p w:rsidR="00BF2354" w:rsidRDefault="00761BDF" w:rsidP="00761BDF">
            <w:pPr>
              <w:pStyle w:val="NoSpacing"/>
              <w:jc w:val="right"/>
            </w:pPr>
            <w:r>
              <w:t>2,38</w:t>
            </w:r>
          </w:p>
        </w:tc>
      </w:tr>
      <w:tr w:rsidR="00BF2354" w:rsidTr="00761BDF">
        <w:tc>
          <w:tcPr>
            <w:tcW w:w="632" w:type="dxa"/>
          </w:tcPr>
          <w:p w:rsidR="00BF2354" w:rsidRDefault="00BF2354" w:rsidP="00BF2354">
            <w:pPr>
              <w:pStyle w:val="NoSpacing"/>
            </w:pPr>
            <w:r>
              <w:t>2</w:t>
            </w:r>
          </w:p>
        </w:tc>
        <w:tc>
          <w:tcPr>
            <w:tcW w:w="1808" w:type="dxa"/>
          </w:tcPr>
          <w:p w:rsidR="00BF2354" w:rsidRDefault="00BF2354" w:rsidP="00BF2354">
            <w:pPr>
              <w:pStyle w:val="NoSpacing"/>
            </w:pPr>
            <w:r>
              <w:t>FRD 22H</w:t>
            </w:r>
          </w:p>
          <w:p w:rsidR="00BF2354" w:rsidRDefault="00BF2354" w:rsidP="00BF2354">
            <w:pPr>
              <w:pStyle w:val="NoSpacing"/>
            </w:pPr>
            <w:r>
              <w:t>5.4</w:t>
            </w:r>
          </w:p>
        </w:tc>
        <w:tc>
          <w:tcPr>
            <w:tcW w:w="7200" w:type="dxa"/>
          </w:tcPr>
          <w:p w:rsidR="00BF2354" w:rsidRDefault="00BF2354" w:rsidP="00BF2354">
            <w:pPr>
              <w:pStyle w:val="NoSpacing"/>
            </w:pPr>
            <w:r>
              <w:t>Purpose, functions, power and duties linked to a summary of activities, programs and achievements</w:t>
            </w:r>
          </w:p>
        </w:tc>
        <w:tc>
          <w:tcPr>
            <w:tcW w:w="1418" w:type="dxa"/>
          </w:tcPr>
          <w:p w:rsidR="00BF2354" w:rsidRDefault="00761BDF" w:rsidP="00761BDF">
            <w:pPr>
              <w:pStyle w:val="NoSpacing"/>
              <w:jc w:val="right"/>
            </w:pPr>
            <w:r>
              <w:t>2-26, 38</w:t>
            </w:r>
          </w:p>
        </w:tc>
      </w:tr>
      <w:tr w:rsidR="00BF2354" w:rsidTr="00761BDF">
        <w:tc>
          <w:tcPr>
            <w:tcW w:w="632" w:type="dxa"/>
          </w:tcPr>
          <w:p w:rsidR="00BF2354" w:rsidRDefault="00BF2354" w:rsidP="00BF2354">
            <w:pPr>
              <w:pStyle w:val="NoSpacing"/>
            </w:pPr>
            <w:r>
              <w:t>3</w:t>
            </w:r>
          </w:p>
        </w:tc>
        <w:tc>
          <w:tcPr>
            <w:tcW w:w="1808" w:type="dxa"/>
          </w:tcPr>
          <w:p w:rsidR="00761BDF" w:rsidRDefault="00BF2354" w:rsidP="00BF2354">
            <w:pPr>
              <w:pStyle w:val="NoSpacing"/>
            </w:pPr>
            <w:r>
              <w:t>FRD 22H</w:t>
            </w:r>
            <w:r w:rsidR="00761BDF">
              <w:t xml:space="preserve"> </w:t>
            </w:r>
          </w:p>
          <w:p w:rsidR="00BF2354" w:rsidRDefault="00761BDF" w:rsidP="00BF2354">
            <w:pPr>
              <w:pStyle w:val="NoSpacing"/>
            </w:pPr>
            <w:r>
              <w:t>5.6</w:t>
            </w:r>
          </w:p>
        </w:tc>
        <w:tc>
          <w:tcPr>
            <w:tcW w:w="7200" w:type="dxa"/>
          </w:tcPr>
          <w:p w:rsidR="00BF2354" w:rsidRDefault="00BF2354" w:rsidP="00BF2354">
            <w:pPr>
              <w:pStyle w:val="NoSpacing"/>
            </w:pPr>
            <w:r>
              <w:t xml:space="preserve">Nature and range of services provided including the communities served </w:t>
            </w:r>
          </w:p>
        </w:tc>
        <w:tc>
          <w:tcPr>
            <w:tcW w:w="1418" w:type="dxa"/>
          </w:tcPr>
          <w:p w:rsidR="00BF2354" w:rsidRDefault="00761BDF" w:rsidP="00761BDF">
            <w:pPr>
              <w:pStyle w:val="NoSpacing"/>
              <w:jc w:val="right"/>
            </w:pPr>
            <w:r>
              <w:t>10-26</w:t>
            </w:r>
          </w:p>
        </w:tc>
      </w:tr>
      <w:tr w:rsidR="009F0A99" w:rsidTr="00292DBB">
        <w:tc>
          <w:tcPr>
            <w:tcW w:w="11058" w:type="dxa"/>
            <w:gridSpan w:val="4"/>
          </w:tcPr>
          <w:p w:rsidR="009F0A99" w:rsidRDefault="009F0A99" w:rsidP="00BF2354">
            <w:pPr>
              <w:pStyle w:val="NoSpacing"/>
            </w:pPr>
            <w:r>
              <w:t>MANAGEMENT AND STRUCTURE</w:t>
            </w:r>
          </w:p>
        </w:tc>
      </w:tr>
      <w:tr w:rsidR="00BF2354" w:rsidTr="00761BDF">
        <w:tc>
          <w:tcPr>
            <w:tcW w:w="632" w:type="dxa"/>
          </w:tcPr>
          <w:p w:rsidR="00BF2354" w:rsidRDefault="009F0A99" w:rsidP="00BF2354">
            <w:pPr>
              <w:pStyle w:val="NoSpacing"/>
            </w:pPr>
            <w:r>
              <w:t>4</w:t>
            </w:r>
          </w:p>
        </w:tc>
        <w:tc>
          <w:tcPr>
            <w:tcW w:w="1808" w:type="dxa"/>
          </w:tcPr>
          <w:p w:rsidR="00BF2354" w:rsidRDefault="009F0A99" w:rsidP="00BF2354">
            <w:pPr>
              <w:pStyle w:val="NoSpacing"/>
            </w:pPr>
            <w:r>
              <w:t>FRD 22H</w:t>
            </w:r>
          </w:p>
          <w:p w:rsidR="009F0A99" w:rsidRDefault="009F0A99" w:rsidP="00BF2354">
            <w:pPr>
              <w:pStyle w:val="NoSpacing"/>
            </w:pPr>
            <w:r>
              <w:t>5.6</w:t>
            </w:r>
          </w:p>
        </w:tc>
        <w:tc>
          <w:tcPr>
            <w:tcW w:w="7200" w:type="dxa"/>
          </w:tcPr>
          <w:p w:rsidR="00BF2354" w:rsidRDefault="009F0A99" w:rsidP="00BF2354">
            <w:pPr>
              <w:pStyle w:val="NoSpacing"/>
            </w:pPr>
            <w:r>
              <w:t>Organisational structure and chart, detailing members of the governing board, Audit Committee, CEO, senior officers and their responsibilities</w:t>
            </w:r>
          </w:p>
        </w:tc>
        <w:tc>
          <w:tcPr>
            <w:tcW w:w="1418" w:type="dxa"/>
          </w:tcPr>
          <w:p w:rsidR="00BF2354" w:rsidRDefault="00761BDF" w:rsidP="00761BDF">
            <w:pPr>
              <w:pStyle w:val="NoSpacing"/>
              <w:jc w:val="right"/>
            </w:pPr>
            <w:r>
              <w:t>34-37, 39-40</w:t>
            </w:r>
          </w:p>
        </w:tc>
      </w:tr>
      <w:tr w:rsidR="009F0A99" w:rsidTr="00292DBB">
        <w:tc>
          <w:tcPr>
            <w:tcW w:w="11058" w:type="dxa"/>
            <w:gridSpan w:val="4"/>
          </w:tcPr>
          <w:p w:rsidR="009F0A99" w:rsidRDefault="009F0A99" w:rsidP="00BF2354">
            <w:pPr>
              <w:pStyle w:val="NoSpacing"/>
            </w:pPr>
            <w:r>
              <w:t>FINANCIAL AND OTHER INFORMATION</w:t>
            </w:r>
          </w:p>
        </w:tc>
      </w:tr>
      <w:tr w:rsidR="00BF2354" w:rsidTr="00761BDF">
        <w:tc>
          <w:tcPr>
            <w:tcW w:w="632" w:type="dxa"/>
          </w:tcPr>
          <w:p w:rsidR="00BF2354" w:rsidRDefault="009F0A99" w:rsidP="00BF2354">
            <w:pPr>
              <w:pStyle w:val="NoSpacing"/>
            </w:pPr>
            <w:r>
              <w:t>5</w:t>
            </w:r>
          </w:p>
        </w:tc>
        <w:tc>
          <w:tcPr>
            <w:tcW w:w="1808" w:type="dxa"/>
          </w:tcPr>
          <w:p w:rsidR="00BF2354" w:rsidRDefault="009F0A99" w:rsidP="00BF2354">
            <w:pPr>
              <w:pStyle w:val="NoSpacing"/>
            </w:pPr>
            <w:r>
              <w:t>FRD 03A</w:t>
            </w:r>
          </w:p>
        </w:tc>
        <w:tc>
          <w:tcPr>
            <w:tcW w:w="7200" w:type="dxa"/>
          </w:tcPr>
          <w:p w:rsidR="00BF2354" w:rsidRDefault="009F0A99" w:rsidP="00BF2354">
            <w:pPr>
              <w:pStyle w:val="NoSpacing"/>
            </w:pPr>
            <w:r>
              <w:t>Accounting for Dividends</w:t>
            </w:r>
          </w:p>
        </w:tc>
        <w:tc>
          <w:tcPr>
            <w:tcW w:w="1418" w:type="dxa"/>
          </w:tcPr>
          <w:p w:rsidR="00BF2354" w:rsidRDefault="00CA03F1" w:rsidP="00761BDF">
            <w:pPr>
              <w:pStyle w:val="NoSpacing"/>
              <w:jc w:val="right"/>
            </w:pPr>
            <w:r>
              <w:t>N/A</w:t>
            </w:r>
          </w:p>
        </w:tc>
      </w:tr>
      <w:tr w:rsidR="00BF2354" w:rsidTr="00761BDF">
        <w:tc>
          <w:tcPr>
            <w:tcW w:w="632" w:type="dxa"/>
          </w:tcPr>
          <w:p w:rsidR="00BF2354" w:rsidRDefault="009F0A99" w:rsidP="00BF2354">
            <w:pPr>
              <w:pStyle w:val="NoSpacing"/>
            </w:pPr>
            <w:r>
              <w:t>6</w:t>
            </w:r>
          </w:p>
        </w:tc>
        <w:tc>
          <w:tcPr>
            <w:tcW w:w="1808" w:type="dxa"/>
          </w:tcPr>
          <w:p w:rsidR="00BF2354" w:rsidRDefault="009F0A99" w:rsidP="00BF2354">
            <w:pPr>
              <w:pStyle w:val="NoSpacing"/>
            </w:pPr>
            <w:r>
              <w:t>FRD 07B</w:t>
            </w:r>
          </w:p>
        </w:tc>
        <w:tc>
          <w:tcPr>
            <w:tcW w:w="7200" w:type="dxa"/>
          </w:tcPr>
          <w:p w:rsidR="00BF2354" w:rsidRDefault="009F0A99" w:rsidP="00BF2354">
            <w:pPr>
              <w:pStyle w:val="NoSpacing"/>
            </w:pPr>
            <w:r>
              <w:t>Early adoption of authoritative accounting pronouncements</w:t>
            </w:r>
          </w:p>
        </w:tc>
        <w:tc>
          <w:tcPr>
            <w:tcW w:w="1418" w:type="dxa"/>
          </w:tcPr>
          <w:p w:rsidR="00BF2354" w:rsidRDefault="00CA03F1" w:rsidP="00761BDF">
            <w:pPr>
              <w:pStyle w:val="NoSpacing"/>
              <w:jc w:val="right"/>
            </w:pPr>
            <w:r>
              <w:t>93</w:t>
            </w:r>
          </w:p>
        </w:tc>
      </w:tr>
      <w:tr w:rsidR="00BF2354" w:rsidTr="00761BDF">
        <w:tc>
          <w:tcPr>
            <w:tcW w:w="632" w:type="dxa"/>
          </w:tcPr>
          <w:p w:rsidR="00BF2354" w:rsidRDefault="009F0A99" w:rsidP="00BF2354">
            <w:pPr>
              <w:pStyle w:val="NoSpacing"/>
            </w:pPr>
            <w:r>
              <w:t>7</w:t>
            </w:r>
          </w:p>
        </w:tc>
        <w:tc>
          <w:tcPr>
            <w:tcW w:w="1808" w:type="dxa"/>
          </w:tcPr>
          <w:p w:rsidR="00BF2354" w:rsidRDefault="009F0A99" w:rsidP="00BF2354">
            <w:pPr>
              <w:pStyle w:val="NoSpacing"/>
            </w:pPr>
            <w:r>
              <w:t>FRD 10A</w:t>
            </w:r>
          </w:p>
        </w:tc>
        <w:tc>
          <w:tcPr>
            <w:tcW w:w="7200" w:type="dxa"/>
          </w:tcPr>
          <w:p w:rsidR="00BF2354" w:rsidRDefault="009F0A99" w:rsidP="00BF2354">
            <w:pPr>
              <w:pStyle w:val="NoSpacing"/>
            </w:pPr>
            <w:r>
              <w:t>Disclosure Index</w:t>
            </w:r>
          </w:p>
        </w:tc>
        <w:tc>
          <w:tcPr>
            <w:tcW w:w="1418" w:type="dxa"/>
          </w:tcPr>
          <w:p w:rsidR="00BF2354" w:rsidRDefault="00CA03F1" w:rsidP="00761BDF">
            <w:pPr>
              <w:pStyle w:val="NoSpacing"/>
              <w:jc w:val="right"/>
            </w:pPr>
            <w:r>
              <w:t>98-101</w:t>
            </w:r>
          </w:p>
        </w:tc>
      </w:tr>
      <w:tr w:rsidR="00BF2354" w:rsidTr="00761BDF">
        <w:tc>
          <w:tcPr>
            <w:tcW w:w="632" w:type="dxa"/>
          </w:tcPr>
          <w:p w:rsidR="00BF2354" w:rsidRDefault="009F0A99" w:rsidP="00BF2354">
            <w:pPr>
              <w:pStyle w:val="NoSpacing"/>
            </w:pPr>
            <w:r>
              <w:t>8</w:t>
            </w:r>
          </w:p>
        </w:tc>
        <w:tc>
          <w:tcPr>
            <w:tcW w:w="1808" w:type="dxa"/>
          </w:tcPr>
          <w:p w:rsidR="00BF2354" w:rsidRDefault="009F0A99" w:rsidP="00BF2354">
            <w:pPr>
              <w:pStyle w:val="NoSpacing"/>
            </w:pPr>
            <w:r>
              <w:t>FRD 17B</w:t>
            </w:r>
          </w:p>
        </w:tc>
        <w:tc>
          <w:tcPr>
            <w:tcW w:w="7200" w:type="dxa"/>
          </w:tcPr>
          <w:p w:rsidR="00BF2354" w:rsidRDefault="009F0A99" w:rsidP="00BF2354">
            <w:pPr>
              <w:pStyle w:val="NoSpacing"/>
            </w:pPr>
            <w:r>
              <w:t>Long Service leave and annual leave for employees</w:t>
            </w:r>
          </w:p>
        </w:tc>
        <w:tc>
          <w:tcPr>
            <w:tcW w:w="1418" w:type="dxa"/>
          </w:tcPr>
          <w:p w:rsidR="00BF2354" w:rsidRDefault="00CA03F1" w:rsidP="00761BDF">
            <w:pPr>
              <w:pStyle w:val="NoSpacing"/>
              <w:jc w:val="right"/>
            </w:pPr>
            <w:r>
              <w:t>60-62</w:t>
            </w:r>
          </w:p>
        </w:tc>
      </w:tr>
      <w:tr w:rsidR="00BF2354" w:rsidTr="00761BDF">
        <w:tc>
          <w:tcPr>
            <w:tcW w:w="632" w:type="dxa"/>
          </w:tcPr>
          <w:p w:rsidR="00BF2354" w:rsidRDefault="009F0A99" w:rsidP="00BF2354">
            <w:pPr>
              <w:pStyle w:val="NoSpacing"/>
            </w:pPr>
            <w:r>
              <w:t>9</w:t>
            </w:r>
          </w:p>
        </w:tc>
        <w:tc>
          <w:tcPr>
            <w:tcW w:w="1808" w:type="dxa"/>
          </w:tcPr>
          <w:p w:rsidR="00BF2354" w:rsidRDefault="009F0A99" w:rsidP="00BF2354">
            <w:pPr>
              <w:pStyle w:val="NoSpacing"/>
            </w:pPr>
            <w:r>
              <w:t>FRD 22H</w:t>
            </w:r>
          </w:p>
          <w:p w:rsidR="009F0A99" w:rsidRDefault="009F0A99" w:rsidP="00BF2354">
            <w:pPr>
              <w:pStyle w:val="NoSpacing"/>
            </w:pPr>
            <w:r>
              <w:t>5.11 c</w:t>
            </w:r>
          </w:p>
        </w:tc>
        <w:tc>
          <w:tcPr>
            <w:tcW w:w="7200" w:type="dxa"/>
          </w:tcPr>
          <w:p w:rsidR="00BF2354" w:rsidRDefault="009F0A99" w:rsidP="00BF2354">
            <w:pPr>
              <w:pStyle w:val="NoSpacing"/>
            </w:pPr>
            <w:r>
              <w:t xml:space="preserve">Operational and budgetary objectives, including performance against objectives and achievements </w:t>
            </w:r>
          </w:p>
        </w:tc>
        <w:tc>
          <w:tcPr>
            <w:tcW w:w="1418" w:type="dxa"/>
          </w:tcPr>
          <w:p w:rsidR="00BF2354" w:rsidRDefault="00CA03F1" w:rsidP="00761BDF">
            <w:pPr>
              <w:pStyle w:val="NoSpacing"/>
              <w:jc w:val="right"/>
            </w:pPr>
            <w:r>
              <w:t>33,97</w:t>
            </w:r>
          </w:p>
        </w:tc>
      </w:tr>
      <w:tr w:rsidR="00BF2354" w:rsidTr="00761BDF">
        <w:tc>
          <w:tcPr>
            <w:tcW w:w="632" w:type="dxa"/>
          </w:tcPr>
          <w:p w:rsidR="00BF2354" w:rsidRDefault="009F0A99" w:rsidP="00BF2354">
            <w:pPr>
              <w:pStyle w:val="NoSpacing"/>
            </w:pPr>
            <w:r>
              <w:t>10</w:t>
            </w:r>
          </w:p>
        </w:tc>
        <w:tc>
          <w:tcPr>
            <w:tcW w:w="1808" w:type="dxa"/>
          </w:tcPr>
          <w:p w:rsidR="00BF2354" w:rsidRDefault="009F0A99" w:rsidP="00BF2354">
            <w:pPr>
              <w:pStyle w:val="NoSpacing"/>
            </w:pPr>
            <w:r>
              <w:t>FRD 22H</w:t>
            </w:r>
          </w:p>
          <w:p w:rsidR="009F0A99" w:rsidRDefault="009F0A99" w:rsidP="00BF2354">
            <w:pPr>
              <w:pStyle w:val="NoSpacing"/>
            </w:pPr>
            <w:r>
              <w:t>5.10</w:t>
            </w:r>
          </w:p>
        </w:tc>
        <w:tc>
          <w:tcPr>
            <w:tcW w:w="7200" w:type="dxa"/>
          </w:tcPr>
          <w:p w:rsidR="00BF2354" w:rsidRDefault="009F0A99" w:rsidP="00BF2354">
            <w:pPr>
              <w:pStyle w:val="NoSpacing"/>
            </w:pPr>
            <w:r>
              <w:t xml:space="preserve">Occupational health and safety statement including performance indicators, performance against those indicators </w:t>
            </w:r>
          </w:p>
        </w:tc>
        <w:tc>
          <w:tcPr>
            <w:tcW w:w="1418" w:type="dxa"/>
          </w:tcPr>
          <w:p w:rsidR="00BF2354" w:rsidRDefault="00CA03F1" w:rsidP="00761BDF">
            <w:pPr>
              <w:pStyle w:val="NoSpacing"/>
              <w:jc w:val="right"/>
            </w:pPr>
            <w:r>
              <w:t>27-28</w:t>
            </w:r>
          </w:p>
        </w:tc>
      </w:tr>
      <w:tr w:rsidR="00BF2354" w:rsidTr="00761BDF">
        <w:tc>
          <w:tcPr>
            <w:tcW w:w="632" w:type="dxa"/>
          </w:tcPr>
          <w:p w:rsidR="00BF2354" w:rsidRDefault="00B52A56" w:rsidP="00BF2354">
            <w:pPr>
              <w:pStyle w:val="NoSpacing"/>
            </w:pPr>
            <w:r>
              <w:t>11</w:t>
            </w:r>
          </w:p>
        </w:tc>
        <w:tc>
          <w:tcPr>
            <w:tcW w:w="1808" w:type="dxa"/>
          </w:tcPr>
          <w:p w:rsidR="00BF2354" w:rsidRDefault="00B52A56" w:rsidP="00BF2354">
            <w:pPr>
              <w:pStyle w:val="NoSpacing"/>
            </w:pPr>
            <w:r>
              <w:t>FRD 22H</w:t>
            </w:r>
          </w:p>
          <w:p w:rsidR="00B52A56" w:rsidRDefault="00B52A56" w:rsidP="00BF2354">
            <w:pPr>
              <w:pStyle w:val="NoSpacing"/>
            </w:pPr>
            <w:r>
              <w:t>5.8</w:t>
            </w:r>
          </w:p>
        </w:tc>
        <w:tc>
          <w:tcPr>
            <w:tcW w:w="7200" w:type="dxa"/>
          </w:tcPr>
          <w:p w:rsidR="00BF2354" w:rsidRDefault="00B52A56" w:rsidP="00BF2354">
            <w:pPr>
              <w:pStyle w:val="NoSpacing"/>
            </w:pPr>
            <w:r>
              <w:t>Workforce data for current and previous reporting period including a statement on the application of employment and conduct principles and that employees have been correctly classified in the workforce data collections</w:t>
            </w:r>
          </w:p>
        </w:tc>
        <w:tc>
          <w:tcPr>
            <w:tcW w:w="1418" w:type="dxa"/>
          </w:tcPr>
          <w:p w:rsidR="00BF2354" w:rsidRDefault="00CA03F1" w:rsidP="00761BDF">
            <w:pPr>
              <w:pStyle w:val="NoSpacing"/>
              <w:jc w:val="right"/>
            </w:pPr>
            <w:r>
              <w:t>29-30</w:t>
            </w:r>
          </w:p>
        </w:tc>
      </w:tr>
      <w:tr w:rsidR="00BF2354" w:rsidTr="00761BDF">
        <w:tc>
          <w:tcPr>
            <w:tcW w:w="632" w:type="dxa"/>
          </w:tcPr>
          <w:p w:rsidR="00BF2354" w:rsidRDefault="00B52A56" w:rsidP="00BF2354">
            <w:pPr>
              <w:pStyle w:val="NoSpacing"/>
            </w:pPr>
            <w:r>
              <w:t>12</w:t>
            </w:r>
          </w:p>
        </w:tc>
        <w:tc>
          <w:tcPr>
            <w:tcW w:w="1808" w:type="dxa"/>
          </w:tcPr>
          <w:p w:rsidR="00BF2354" w:rsidRDefault="00B52A56" w:rsidP="00BF2354">
            <w:pPr>
              <w:pStyle w:val="NoSpacing"/>
            </w:pPr>
            <w:r>
              <w:t>FRD 22H</w:t>
            </w:r>
          </w:p>
          <w:p w:rsidR="00B52A56" w:rsidRDefault="00B52A56" w:rsidP="00BF2354">
            <w:pPr>
              <w:pStyle w:val="NoSpacing"/>
            </w:pPr>
            <w:r>
              <w:t>5.11 a</w:t>
            </w:r>
          </w:p>
        </w:tc>
        <w:tc>
          <w:tcPr>
            <w:tcW w:w="7200" w:type="dxa"/>
          </w:tcPr>
          <w:p w:rsidR="00BF2354" w:rsidRDefault="00B52A56" w:rsidP="00BF2354">
            <w:pPr>
              <w:pStyle w:val="NoSpacing"/>
            </w:pPr>
            <w:r>
              <w:t>Summary of the financial results, with comparative information for the preceding four reporting periods</w:t>
            </w:r>
          </w:p>
        </w:tc>
        <w:tc>
          <w:tcPr>
            <w:tcW w:w="1418" w:type="dxa"/>
          </w:tcPr>
          <w:p w:rsidR="00BF2354" w:rsidRDefault="00CA03F1" w:rsidP="00761BDF">
            <w:pPr>
              <w:pStyle w:val="NoSpacing"/>
              <w:jc w:val="right"/>
            </w:pPr>
            <w:r>
              <w:t>33</w:t>
            </w:r>
          </w:p>
        </w:tc>
      </w:tr>
      <w:tr w:rsidR="00BF2354" w:rsidTr="00761BDF">
        <w:tc>
          <w:tcPr>
            <w:tcW w:w="632" w:type="dxa"/>
          </w:tcPr>
          <w:p w:rsidR="00BF2354" w:rsidRDefault="00B52A56" w:rsidP="00BF2354">
            <w:pPr>
              <w:pStyle w:val="NoSpacing"/>
            </w:pPr>
            <w:r>
              <w:t>13</w:t>
            </w:r>
          </w:p>
        </w:tc>
        <w:tc>
          <w:tcPr>
            <w:tcW w:w="1808" w:type="dxa"/>
          </w:tcPr>
          <w:p w:rsidR="00BF2354" w:rsidRDefault="00B52A56" w:rsidP="00BF2354">
            <w:pPr>
              <w:pStyle w:val="NoSpacing"/>
            </w:pPr>
            <w:r>
              <w:t>FRD 22H</w:t>
            </w:r>
          </w:p>
          <w:p w:rsidR="00B52A56" w:rsidRDefault="00B52A56" w:rsidP="00BF2354">
            <w:pPr>
              <w:pStyle w:val="NoSpacing"/>
            </w:pPr>
            <w:r>
              <w:t>5.11 b</w:t>
            </w:r>
          </w:p>
        </w:tc>
        <w:tc>
          <w:tcPr>
            <w:tcW w:w="7200" w:type="dxa"/>
          </w:tcPr>
          <w:p w:rsidR="00BF2354" w:rsidRDefault="00B52A56" w:rsidP="00BF2354">
            <w:pPr>
              <w:pStyle w:val="NoSpacing"/>
            </w:pPr>
            <w:r>
              <w:t>Summary of significant changes in financial position</w:t>
            </w:r>
          </w:p>
        </w:tc>
        <w:tc>
          <w:tcPr>
            <w:tcW w:w="1418" w:type="dxa"/>
          </w:tcPr>
          <w:p w:rsidR="00BF2354" w:rsidRDefault="00CA03F1" w:rsidP="00761BDF">
            <w:pPr>
              <w:pStyle w:val="NoSpacing"/>
              <w:jc w:val="right"/>
            </w:pPr>
            <w:r>
              <w:t>48</w:t>
            </w:r>
          </w:p>
        </w:tc>
      </w:tr>
      <w:tr w:rsidR="00BF2354" w:rsidTr="00761BDF">
        <w:tc>
          <w:tcPr>
            <w:tcW w:w="632" w:type="dxa"/>
          </w:tcPr>
          <w:p w:rsidR="00BF2354" w:rsidRDefault="00B52A56" w:rsidP="00BF2354">
            <w:pPr>
              <w:pStyle w:val="NoSpacing"/>
            </w:pPr>
            <w:r>
              <w:t>14</w:t>
            </w:r>
          </w:p>
        </w:tc>
        <w:tc>
          <w:tcPr>
            <w:tcW w:w="1808" w:type="dxa"/>
          </w:tcPr>
          <w:p w:rsidR="00BF2354" w:rsidRDefault="00B52A56" w:rsidP="00BF2354">
            <w:pPr>
              <w:pStyle w:val="NoSpacing"/>
            </w:pPr>
            <w:r>
              <w:t>FRD 22H</w:t>
            </w:r>
          </w:p>
          <w:p w:rsidR="00B52A56" w:rsidRDefault="00B52A56" w:rsidP="00BF2354">
            <w:pPr>
              <w:pStyle w:val="NoSpacing"/>
            </w:pPr>
            <w:r>
              <w:t>5.7</w:t>
            </w:r>
          </w:p>
        </w:tc>
        <w:tc>
          <w:tcPr>
            <w:tcW w:w="7200" w:type="dxa"/>
          </w:tcPr>
          <w:p w:rsidR="00BF2354" w:rsidRDefault="00B52A56" w:rsidP="00BF2354">
            <w:pPr>
              <w:pStyle w:val="NoSpacing"/>
            </w:pPr>
            <w:r>
              <w:t>Key initiatives and projects, including significant changes in key initiatives and projects from previous years and expectations for the future</w:t>
            </w:r>
          </w:p>
        </w:tc>
        <w:tc>
          <w:tcPr>
            <w:tcW w:w="1418" w:type="dxa"/>
          </w:tcPr>
          <w:p w:rsidR="00BF2354" w:rsidRDefault="00CA03F1" w:rsidP="00761BDF">
            <w:pPr>
              <w:pStyle w:val="NoSpacing"/>
              <w:jc w:val="right"/>
            </w:pPr>
            <w:r>
              <w:t>3-28, 106</w:t>
            </w:r>
          </w:p>
        </w:tc>
      </w:tr>
      <w:tr w:rsidR="00BF2354" w:rsidTr="00761BDF">
        <w:tc>
          <w:tcPr>
            <w:tcW w:w="632" w:type="dxa"/>
          </w:tcPr>
          <w:p w:rsidR="00BF2354" w:rsidRDefault="00B52A56" w:rsidP="00BF2354">
            <w:pPr>
              <w:pStyle w:val="NoSpacing"/>
            </w:pPr>
            <w:r>
              <w:t>15</w:t>
            </w:r>
          </w:p>
        </w:tc>
        <w:tc>
          <w:tcPr>
            <w:tcW w:w="1808" w:type="dxa"/>
          </w:tcPr>
          <w:p w:rsidR="00BF2354" w:rsidRDefault="00B52A56" w:rsidP="00BF2354">
            <w:pPr>
              <w:pStyle w:val="NoSpacing"/>
            </w:pPr>
            <w:r>
              <w:t>FRD 22H</w:t>
            </w:r>
          </w:p>
          <w:p w:rsidR="00B52A56" w:rsidRDefault="00B52A56" w:rsidP="00BF2354">
            <w:pPr>
              <w:pStyle w:val="NoSpacing"/>
            </w:pPr>
            <w:r>
              <w:t>5.11 d</w:t>
            </w:r>
          </w:p>
        </w:tc>
        <w:tc>
          <w:tcPr>
            <w:tcW w:w="7200" w:type="dxa"/>
          </w:tcPr>
          <w:p w:rsidR="00BF2354" w:rsidRDefault="00B52A56" w:rsidP="00BF2354">
            <w:pPr>
              <w:pStyle w:val="NoSpacing"/>
            </w:pPr>
            <w:r>
              <w:t>Post-balance sheet date events likely to significantly affect subsequent reporting periods</w:t>
            </w:r>
          </w:p>
        </w:tc>
        <w:tc>
          <w:tcPr>
            <w:tcW w:w="1418" w:type="dxa"/>
          </w:tcPr>
          <w:p w:rsidR="00BF2354" w:rsidRDefault="00CA03F1" w:rsidP="00761BDF">
            <w:pPr>
              <w:pStyle w:val="NoSpacing"/>
              <w:jc w:val="right"/>
            </w:pPr>
            <w:r>
              <w:t>93</w:t>
            </w:r>
          </w:p>
        </w:tc>
      </w:tr>
      <w:tr w:rsidR="00BF2354" w:rsidTr="00761BDF">
        <w:tc>
          <w:tcPr>
            <w:tcW w:w="632" w:type="dxa"/>
          </w:tcPr>
          <w:p w:rsidR="00BF2354" w:rsidRDefault="00B52A56" w:rsidP="00BF2354">
            <w:pPr>
              <w:pStyle w:val="NoSpacing"/>
            </w:pPr>
            <w:r>
              <w:t>16</w:t>
            </w:r>
          </w:p>
        </w:tc>
        <w:tc>
          <w:tcPr>
            <w:tcW w:w="1808" w:type="dxa"/>
          </w:tcPr>
          <w:p w:rsidR="00BF2354" w:rsidRDefault="00B52A56" w:rsidP="00BF2354">
            <w:pPr>
              <w:pStyle w:val="NoSpacing"/>
            </w:pPr>
            <w:r>
              <w:t>FRD 22H</w:t>
            </w:r>
          </w:p>
          <w:p w:rsidR="00B52A56" w:rsidRDefault="00B52A56" w:rsidP="00BF2354">
            <w:pPr>
              <w:pStyle w:val="NoSpacing"/>
            </w:pPr>
            <w:r>
              <w:t>5.18 a</w:t>
            </w:r>
          </w:p>
        </w:tc>
        <w:tc>
          <w:tcPr>
            <w:tcW w:w="7200" w:type="dxa"/>
          </w:tcPr>
          <w:p w:rsidR="00BF2354" w:rsidRDefault="00B52A56" w:rsidP="00BF2354">
            <w:pPr>
              <w:pStyle w:val="NoSpacing"/>
            </w:pPr>
            <w:r>
              <w:t>Summary of application and operation of the Freedom of Information Act 1982</w:t>
            </w:r>
          </w:p>
        </w:tc>
        <w:tc>
          <w:tcPr>
            <w:tcW w:w="1418" w:type="dxa"/>
          </w:tcPr>
          <w:p w:rsidR="00BF2354" w:rsidRDefault="00CA03F1" w:rsidP="00761BDF">
            <w:pPr>
              <w:pStyle w:val="NoSpacing"/>
              <w:jc w:val="right"/>
            </w:pPr>
            <w:r>
              <w:t>106</w:t>
            </w:r>
          </w:p>
        </w:tc>
      </w:tr>
      <w:tr w:rsidR="00BF2354" w:rsidTr="00761BDF">
        <w:tc>
          <w:tcPr>
            <w:tcW w:w="632" w:type="dxa"/>
          </w:tcPr>
          <w:p w:rsidR="00BF2354" w:rsidRDefault="00B52A56" w:rsidP="00BF2354">
            <w:pPr>
              <w:pStyle w:val="NoSpacing"/>
            </w:pPr>
            <w:r>
              <w:t>17</w:t>
            </w:r>
          </w:p>
        </w:tc>
        <w:tc>
          <w:tcPr>
            <w:tcW w:w="1808" w:type="dxa"/>
          </w:tcPr>
          <w:p w:rsidR="00BF2354" w:rsidRDefault="00B52A56" w:rsidP="00BF2354">
            <w:pPr>
              <w:pStyle w:val="NoSpacing"/>
            </w:pPr>
            <w:r>
              <w:t>FRD 22H</w:t>
            </w:r>
          </w:p>
          <w:p w:rsidR="00B52A56" w:rsidRDefault="00B52A56" w:rsidP="00BF2354">
            <w:pPr>
              <w:pStyle w:val="NoSpacing"/>
            </w:pPr>
            <w:r>
              <w:t>5.12</w:t>
            </w:r>
          </w:p>
        </w:tc>
        <w:tc>
          <w:tcPr>
            <w:tcW w:w="7200" w:type="dxa"/>
          </w:tcPr>
          <w:p w:rsidR="00BF2354" w:rsidRDefault="00B52A56" w:rsidP="00BF2354">
            <w:pPr>
              <w:pStyle w:val="NoSpacing"/>
            </w:pPr>
            <w:r>
              <w:t>The report of operations shall provide a discussion and analysis of the entity’s operating results and financial position and include details about significant factors that affect the entity’s performance</w:t>
            </w:r>
          </w:p>
        </w:tc>
        <w:tc>
          <w:tcPr>
            <w:tcW w:w="1418" w:type="dxa"/>
          </w:tcPr>
          <w:p w:rsidR="00BF2354" w:rsidRDefault="00CA03F1" w:rsidP="00761BDF">
            <w:pPr>
              <w:pStyle w:val="NoSpacing"/>
              <w:jc w:val="right"/>
            </w:pPr>
            <w:r>
              <w:t>33</w:t>
            </w:r>
          </w:p>
        </w:tc>
      </w:tr>
      <w:tr w:rsidR="00BF2354" w:rsidTr="00761BDF">
        <w:tc>
          <w:tcPr>
            <w:tcW w:w="632" w:type="dxa"/>
          </w:tcPr>
          <w:p w:rsidR="00BF2354" w:rsidRDefault="00B52A56" w:rsidP="00BF2354">
            <w:pPr>
              <w:pStyle w:val="NoSpacing"/>
            </w:pPr>
            <w:r>
              <w:t>18</w:t>
            </w:r>
          </w:p>
        </w:tc>
        <w:tc>
          <w:tcPr>
            <w:tcW w:w="1808" w:type="dxa"/>
          </w:tcPr>
          <w:p w:rsidR="00BF2354" w:rsidRDefault="00B52A56" w:rsidP="00BF2354">
            <w:pPr>
              <w:pStyle w:val="NoSpacing"/>
            </w:pPr>
            <w:r>
              <w:t>FRD 22H</w:t>
            </w:r>
          </w:p>
          <w:p w:rsidR="00B52A56" w:rsidRDefault="00B52A56" w:rsidP="00BF2354">
            <w:pPr>
              <w:pStyle w:val="NoSpacing"/>
            </w:pPr>
            <w:r>
              <w:t>5.9</w:t>
            </w:r>
          </w:p>
        </w:tc>
        <w:tc>
          <w:tcPr>
            <w:tcW w:w="7200" w:type="dxa"/>
          </w:tcPr>
          <w:p w:rsidR="00BF2354" w:rsidRDefault="00C133B2" w:rsidP="00BF2354">
            <w:pPr>
              <w:pStyle w:val="NoSpacing"/>
            </w:pPr>
            <w:r>
              <w:t>TAFE workforce inclusion policy (where a TAFE has one), including a measurable target and report on the progress towards the target</w:t>
            </w:r>
          </w:p>
        </w:tc>
        <w:tc>
          <w:tcPr>
            <w:tcW w:w="1418" w:type="dxa"/>
          </w:tcPr>
          <w:p w:rsidR="00BF2354" w:rsidRDefault="00CA03F1" w:rsidP="00761BDF">
            <w:pPr>
              <w:pStyle w:val="NoSpacing"/>
              <w:jc w:val="right"/>
            </w:pPr>
            <w:r>
              <w:t>N/A</w:t>
            </w:r>
          </w:p>
        </w:tc>
      </w:tr>
      <w:tr w:rsidR="00BF2354" w:rsidTr="00761BDF">
        <w:tc>
          <w:tcPr>
            <w:tcW w:w="632" w:type="dxa"/>
          </w:tcPr>
          <w:p w:rsidR="00BF2354" w:rsidRDefault="00C133B2" w:rsidP="00BF2354">
            <w:pPr>
              <w:pStyle w:val="NoSpacing"/>
            </w:pPr>
            <w:r>
              <w:t>19</w:t>
            </w:r>
          </w:p>
        </w:tc>
        <w:tc>
          <w:tcPr>
            <w:tcW w:w="1808" w:type="dxa"/>
          </w:tcPr>
          <w:p w:rsidR="00BF2354" w:rsidRDefault="00C133B2" w:rsidP="00BF2354">
            <w:pPr>
              <w:pStyle w:val="NoSpacing"/>
            </w:pPr>
            <w:r>
              <w:t>FRD 22H</w:t>
            </w:r>
          </w:p>
          <w:p w:rsidR="00C133B2" w:rsidRDefault="00C133B2" w:rsidP="00BF2354">
            <w:pPr>
              <w:pStyle w:val="NoSpacing"/>
            </w:pPr>
            <w:r>
              <w:t>5.16</w:t>
            </w:r>
          </w:p>
        </w:tc>
        <w:tc>
          <w:tcPr>
            <w:tcW w:w="7200" w:type="dxa"/>
          </w:tcPr>
          <w:p w:rsidR="00BF2354" w:rsidRDefault="00C133B2" w:rsidP="00BF2354">
            <w:pPr>
              <w:pStyle w:val="NoSpacing"/>
            </w:pPr>
            <w:r>
              <w:t>Schedule of any government advertising campaign in excess of $100,000 or greater (exclusive of GST)</w:t>
            </w:r>
          </w:p>
        </w:tc>
        <w:tc>
          <w:tcPr>
            <w:tcW w:w="1418" w:type="dxa"/>
          </w:tcPr>
          <w:p w:rsidR="00BF2354" w:rsidRDefault="00CA03F1" w:rsidP="00761BDF">
            <w:pPr>
              <w:pStyle w:val="NoSpacing"/>
              <w:jc w:val="right"/>
            </w:pPr>
            <w:r>
              <w:t>105</w:t>
            </w:r>
          </w:p>
        </w:tc>
      </w:tr>
      <w:tr w:rsidR="00BF2354" w:rsidTr="00761BDF">
        <w:tc>
          <w:tcPr>
            <w:tcW w:w="632" w:type="dxa"/>
          </w:tcPr>
          <w:p w:rsidR="00BF2354" w:rsidRDefault="00C133B2" w:rsidP="00BF2354">
            <w:pPr>
              <w:pStyle w:val="NoSpacing"/>
            </w:pPr>
            <w:r>
              <w:t>20</w:t>
            </w:r>
          </w:p>
        </w:tc>
        <w:tc>
          <w:tcPr>
            <w:tcW w:w="1808" w:type="dxa"/>
          </w:tcPr>
          <w:p w:rsidR="00BF2354" w:rsidRDefault="00C133B2" w:rsidP="00BF2354">
            <w:pPr>
              <w:pStyle w:val="NoSpacing"/>
            </w:pPr>
            <w:r>
              <w:t>FRD 22H</w:t>
            </w:r>
          </w:p>
          <w:p w:rsidR="00C133B2" w:rsidRDefault="00C133B2" w:rsidP="00BF2354">
            <w:pPr>
              <w:pStyle w:val="NoSpacing"/>
            </w:pPr>
            <w:r>
              <w:t>5.18 e</w:t>
            </w:r>
          </w:p>
        </w:tc>
        <w:tc>
          <w:tcPr>
            <w:tcW w:w="7200" w:type="dxa"/>
          </w:tcPr>
          <w:p w:rsidR="00BF2354" w:rsidRDefault="00C133B2" w:rsidP="00BF2354">
            <w:pPr>
              <w:pStyle w:val="NoSpacing"/>
            </w:pPr>
            <w:r>
              <w:t xml:space="preserve">Statement, where applicable, on the implementation and compliance with the National Competition Policy, including compliance with the requirements of Victoria’s Competitive Neutrality Policy and any subsequent reform </w:t>
            </w:r>
          </w:p>
        </w:tc>
        <w:tc>
          <w:tcPr>
            <w:tcW w:w="1418" w:type="dxa"/>
          </w:tcPr>
          <w:p w:rsidR="00BF2354" w:rsidRDefault="00CA03F1" w:rsidP="00761BDF">
            <w:pPr>
              <w:pStyle w:val="NoSpacing"/>
              <w:jc w:val="right"/>
            </w:pPr>
            <w:r>
              <w:t>103</w:t>
            </w:r>
          </w:p>
        </w:tc>
      </w:tr>
      <w:tr w:rsidR="00BF2354" w:rsidTr="00761BDF">
        <w:tc>
          <w:tcPr>
            <w:tcW w:w="632" w:type="dxa"/>
          </w:tcPr>
          <w:p w:rsidR="00BF2354" w:rsidRDefault="00C133B2" w:rsidP="00BF2354">
            <w:pPr>
              <w:pStyle w:val="NoSpacing"/>
            </w:pPr>
            <w:r>
              <w:lastRenderedPageBreak/>
              <w:t>21</w:t>
            </w:r>
          </w:p>
        </w:tc>
        <w:tc>
          <w:tcPr>
            <w:tcW w:w="1808" w:type="dxa"/>
          </w:tcPr>
          <w:p w:rsidR="00BF2354" w:rsidRDefault="00C133B2" w:rsidP="00BF2354">
            <w:pPr>
              <w:pStyle w:val="NoSpacing"/>
            </w:pPr>
            <w:r>
              <w:t>FRD 22H</w:t>
            </w:r>
          </w:p>
          <w:p w:rsidR="00C133B2" w:rsidRDefault="00C133B2" w:rsidP="00BF2354">
            <w:pPr>
              <w:pStyle w:val="NoSpacing"/>
            </w:pPr>
            <w:r>
              <w:t>5.18 g</w:t>
            </w:r>
          </w:p>
        </w:tc>
        <w:tc>
          <w:tcPr>
            <w:tcW w:w="7200" w:type="dxa"/>
          </w:tcPr>
          <w:p w:rsidR="00BF2354" w:rsidRDefault="00C133B2" w:rsidP="00BF2354">
            <w:pPr>
              <w:pStyle w:val="NoSpacing"/>
            </w:pPr>
            <w:r>
              <w:t>Statement on the application and operation of the Carers Recognition Act 2012 (Carers Act), and the actions that were taken during the year to comply with the Carers Act</w:t>
            </w:r>
          </w:p>
        </w:tc>
        <w:tc>
          <w:tcPr>
            <w:tcW w:w="1418" w:type="dxa"/>
          </w:tcPr>
          <w:p w:rsidR="00BF2354" w:rsidRDefault="00CA03F1" w:rsidP="00761BDF">
            <w:pPr>
              <w:pStyle w:val="NoSpacing"/>
              <w:jc w:val="right"/>
            </w:pPr>
            <w:r>
              <w:t>102</w:t>
            </w:r>
          </w:p>
        </w:tc>
      </w:tr>
      <w:tr w:rsidR="00BF2354" w:rsidTr="00761BDF">
        <w:tc>
          <w:tcPr>
            <w:tcW w:w="632" w:type="dxa"/>
          </w:tcPr>
          <w:p w:rsidR="00BF2354" w:rsidRDefault="00C133B2" w:rsidP="00BF2354">
            <w:pPr>
              <w:pStyle w:val="NoSpacing"/>
            </w:pPr>
            <w:r>
              <w:t>22</w:t>
            </w:r>
          </w:p>
        </w:tc>
        <w:tc>
          <w:tcPr>
            <w:tcW w:w="1808" w:type="dxa"/>
          </w:tcPr>
          <w:p w:rsidR="00BF2354" w:rsidRDefault="00C133B2" w:rsidP="00BF2354">
            <w:pPr>
              <w:pStyle w:val="NoSpacing"/>
            </w:pPr>
            <w:r>
              <w:t>FRD 22H</w:t>
            </w:r>
          </w:p>
          <w:p w:rsidR="00C133B2" w:rsidRDefault="00C133B2" w:rsidP="00BF2354">
            <w:pPr>
              <w:pStyle w:val="NoSpacing"/>
            </w:pPr>
            <w:r>
              <w:t>5.18 c</w:t>
            </w:r>
          </w:p>
        </w:tc>
        <w:tc>
          <w:tcPr>
            <w:tcW w:w="7200" w:type="dxa"/>
          </w:tcPr>
          <w:p w:rsidR="00BF2354" w:rsidRDefault="00C133B2" w:rsidP="00BF2354">
            <w:pPr>
              <w:pStyle w:val="NoSpacing"/>
            </w:pPr>
            <w:r>
              <w:t>Summary on the application and operation of the Protected Disclosure Act 2012 including disclosures required by the Act</w:t>
            </w:r>
          </w:p>
        </w:tc>
        <w:tc>
          <w:tcPr>
            <w:tcW w:w="1418" w:type="dxa"/>
          </w:tcPr>
          <w:p w:rsidR="00BF2354" w:rsidRDefault="00CA03F1" w:rsidP="00761BDF">
            <w:pPr>
              <w:pStyle w:val="NoSpacing"/>
              <w:jc w:val="right"/>
            </w:pPr>
            <w:r>
              <w:t>102</w:t>
            </w:r>
          </w:p>
        </w:tc>
      </w:tr>
      <w:tr w:rsidR="00BF2354" w:rsidTr="00761BDF">
        <w:tc>
          <w:tcPr>
            <w:tcW w:w="632" w:type="dxa"/>
          </w:tcPr>
          <w:p w:rsidR="00BF2354" w:rsidRDefault="00C133B2" w:rsidP="00BF2354">
            <w:pPr>
              <w:pStyle w:val="NoSpacing"/>
            </w:pPr>
            <w:r>
              <w:t>23</w:t>
            </w:r>
          </w:p>
        </w:tc>
        <w:tc>
          <w:tcPr>
            <w:tcW w:w="1808" w:type="dxa"/>
          </w:tcPr>
          <w:p w:rsidR="00BF2354" w:rsidRDefault="00C133B2" w:rsidP="00BF2354">
            <w:pPr>
              <w:pStyle w:val="NoSpacing"/>
            </w:pPr>
            <w:r>
              <w:t>FRD 22H</w:t>
            </w:r>
          </w:p>
          <w:p w:rsidR="00C133B2" w:rsidRDefault="00C133B2" w:rsidP="00BF2354">
            <w:pPr>
              <w:pStyle w:val="NoSpacing"/>
            </w:pPr>
            <w:r>
              <w:t>5.18 h</w:t>
            </w:r>
          </w:p>
          <w:p w:rsidR="00C133B2" w:rsidRDefault="00C133B2" w:rsidP="00BF2354">
            <w:pPr>
              <w:pStyle w:val="NoSpacing"/>
            </w:pPr>
            <w:r>
              <w:t>&amp;</w:t>
            </w:r>
          </w:p>
          <w:p w:rsidR="00C133B2" w:rsidRDefault="00C133B2" w:rsidP="00BF2354">
            <w:pPr>
              <w:pStyle w:val="NoSpacing"/>
            </w:pPr>
            <w:r>
              <w:t>FRD 24D</w:t>
            </w:r>
          </w:p>
        </w:tc>
        <w:tc>
          <w:tcPr>
            <w:tcW w:w="7200" w:type="dxa"/>
          </w:tcPr>
          <w:p w:rsidR="00BF2354" w:rsidRDefault="00C133B2" w:rsidP="00BF2354">
            <w:pPr>
              <w:pStyle w:val="NoSpacing"/>
            </w:pPr>
            <w:r>
              <w:t xml:space="preserve">Summary of Environmental Performance </w:t>
            </w:r>
          </w:p>
        </w:tc>
        <w:tc>
          <w:tcPr>
            <w:tcW w:w="1418" w:type="dxa"/>
          </w:tcPr>
          <w:p w:rsidR="00BF2354" w:rsidRDefault="00CA03F1" w:rsidP="00761BDF">
            <w:pPr>
              <w:pStyle w:val="NoSpacing"/>
              <w:jc w:val="right"/>
            </w:pPr>
            <w:r>
              <w:t>108-111</w:t>
            </w:r>
          </w:p>
        </w:tc>
      </w:tr>
      <w:tr w:rsidR="00BF2354" w:rsidTr="00761BDF">
        <w:tc>
          <w:tcPr>
            <w:tcW w:w="632" w:type="dxa"/>
          </w:tcPr>
          <w:p w:rsidR="00BF2354" w:rsidRDefault="00C133B2" w:rsidP="00BF2354">
            <w:pPr>
              <w:pStyle w:val="NoSpacing"/>
            </w:pPr>
            <w:r>
              <w:t>24</w:t>
            </w:r>
          </w:p>
        </w:tc>
        <w:tc>
          <w:tcPr>
            <w:tcW w:w="1808" w:type="dxa"/>
          </w:tcPr>
          <w:p w:rsidR="00BF2354" w:rsidRDefault="00C133B2" w:rsidP="00BF2354">
            <w:pPr>
              <w:pStyle w:val="NoSpacing"/>
            </w:pPr>
            <w:r>
              <w:t>FRD 22H</w:t>
            </w:r>
          </w:p>
          <w:p w:rsidR="00C133B2" w:rsidRDefault="00C133B2" w:rsidP="00BF2354">
            <w:pPr>
              <w:pStyle w:val="NoSpacing"/>
            </w:pPr>
            <w:r>
              <w:t>5.13</w:t>
            </w:r>
          </w:p>
          <w:p w:rsidR="00C133B2" w:rsidRDefault="00C133B2" w:rsidP="00BF2354">
            <w:pPr>
              <w:pStyle w:val="NoSpacing"/>
            </w:pPr>
            <w:r>
              <w:t>5.14</w:t>
            </w:r>
          </w:p>
          <w:p w:rsidR="00C133B2" w:rsidRDefault="00C133B2" w:rsidP="00BF2354">
            <w:pPr>
              <w:pStyle w:val="NoSpacing"/>
            </w:pPr>
            <w:r>
              <w:t>5.15</w:t>
            </w:r>
          </w:p>
        </w:tc>
        <w:tc>
          <w:tcPr>
            <w:tcW w:w="7200" w:type="dxa"/>
          </w:tcPr>
          <w:p w:rsidR="00BF2354" w:rsidRDefault="00C133B2" w:rsidP="00BF2354">
            <w:pPr>
              <w:pStyle w:val="NoSpacing"/>
            </w:pPr>
            <w:r>
              <w:t>Consultants:</w:t>
            </w:r>
          </w:p>
          <w:p w:rsidR="00C133B2" w:rsidRDefault="00C133B2" w:rsidP="00BF2354">
            <w:pPr>
              <w:pStyle w:val="NoSpacing"/>
            </w:pPr>
            <w:r>
              <w:t>Report of Operations must include a statement disclosing each of the following:</w:t>
            </w:r>
          </w:p>
          <w:p w:rsidR="00C133B2" w:rsidRDefault="00C133B2" w:rsidP="00BF2354">
            <w:pPr>
              <w:pStyle w:val="NoSpacing"/>
            </w:pPr>
            <w:r>
              <w:t>1. Total number of consultancies of $10,000 or more (excluding GST)</w:t>
            </w:r>
          </w:p>
          <w:p w:rsidR="00C133B2" w:rsidRDefault="00C133B2" w:rsidP="00BF2354">
            <w:pPr>
              <w:pStyle w:val="NoSpacing"/>
            </w:pPr>
            <w:r>
              <w:t>2. Location (e.g. website) of where the schedule with the below details of the consultancies over $10,000 has been made publicly available</w:t>
            </w:r>
          </w:p>
          <w:p w:rsidR="00C133B2" w:rsidRDefault="00C133B2" w:rsidP="00C133B2">
            <w:pPr>
              <w:pStyle w:val="NoSpacing"/>
              <w:numPr>
                <w:ilvl w:val="0"/>
                <w:numId w:val="4"/>
              </w:numPr>
            </w:pPr>
            <w:r>
              <w:t>Consultant engaged</w:t>
            </w:r>
          </w:p>
          <w:p w:rsidR="00C133B2" w:rsidRDefault="00C133B2" w:rsidP="00C133B2">
            <w:pPr>
              <w:pStyle w:val="NoSpacing"/>
              <w:numPr>
                <w:ilvl w:val="0"/>
                <w:numId w:val="4"/>
              </w:numPr>
            </w:pPr>
            <w:r>
              <w:t>Brief summary of project</w:t>
            </w:r>
          </w:p>
          <w:p w:rsidR="00C133B2" w:rsidRDefault="00C133B2" w:rsidP="00C133B2">
            <w:pPr>
              <w:pStyle w:val="NoSpacing"/>
              <w:numPr>
                <w:ilvl w:val="0"/>
                <w:numId w:val="4"/>
              </w:numPr>
            </w:pPr>
            <w:r>
              <w:t>Total project fees approved (excluding GST)</w:t>
            </w:r>
          </w:p>
          <w:p w:rsidR="00C133B2" w:rsidRDefault="00C133B2" w:rsidP="00C133B2">
            <w:pPr>
              <w:pStyle w:val="NoSpacing"/>
              <w:numPr>
                <w:ilvl w:val="0"/>
                <w:numId w:val="4"/>
              </w:numPr>
            </w:pPr>
            <w:r>
              <w:t>Expenditure for reporting period (excluding GST)</w:t>
            </w:r>
          </w:p>
          <w:p w:rsidR="00C133B2" w:rsidRDefault="00C133B2" w:rsidP="00C133B2">
            <w:pPr>
              <w:pStyle w:val="NoSpacing"/>
              <w:numPr>
                <w:ilvl w:val="0"/>
                <w:numId w:val="4"/>
              </w:numPr>
            </w:pPr>
            <w:r>
              <w:t>Any future expenditure committed to the consultant for the project</w:t>
            </w:r>
          </w:p>
          <w:p w:rsidR="00C133B2" w:rsidRDefault="00C133B2" w:rsidP="00C133B2">
            <w:pPr>
              <w:pStyle w:val="NoSpacing"/>
            </w:pPr>
            <w:r>
              <w:t>3. Total number of consultancies individually valued at less than $10,000 and the total expenditure for the reporting period</w:t>
            </w:r>
          </w:p>
        </w:tc>
        <w:tc>
          <w:tcPr>
            <w:tcW w:w="1418" w:type="dxa"/>
          </w:tcPr>
          <w:p w:rsidR="00BF2354" w:rsidRDefault="00CA03F1" w:rsidP="00761BDF">
            <w:pPr>
              <w:pStyle w:val="NoSpacing"/>
              <w:jc w:val="right"/>
            </w:pPr>
            <w:r>
              <w:t>106</w:t>
            </w:r>
          </w:p>
        </w:tc>
      </w:tr>
      <w:tr w:rsidR="00BF2354" w:rsidTr="00761BDF">
        <w:tc>
          <w:tcPr>
            <w:tcW w:w="632" w:type="dxa"/>
          </w:tcPr>
          <w:p w:rsidR="00BF2354" w:rsidRDefault="00C47CA2" w:rsidP="00BF2354">
            <w:pPr>
              <w:pStyle w:val="NoSpacing"/>
            </w:pPr>
            <w:r>
              <w:t>25</w:t>
            </w:r>
          </w:p>
        </w:tc>
        <w:tc>
          <w:tcPr>
            <w:tcW w:w="1808" w:type="dxa"/>
          </w:tcPr>
          <w:p w:rsidR="00BF2354" w:rsidRDefault="0052231D" w:rsidP="00BF2354">
            <w:pPr>
              <w:pStyle w:val="NoSpacing"/>
            </w:pPr>
            <w:r>
              <w:t>FRD 22H</w:t>
            </w:r>
          </w:p>
          <w:p w:rsidR="0052231D" w:rsidRDefault="0052231D" w:rsidP="00BF2354">
            <w:pPr>
              <w:pStyle w:val="NoSpacing"/>
            </w:pPr>
            <w:r>
              <w:t>5.19</w:t>
            </w:r>
          </w:p>
        </w:tc>
        <w:tc>
          <w:tcPr>
            <w:tcW w:w="7200" w:type="dxa"/>
          </w:tcPr>
          <w:p w:rsidR="00BF2354" w:rsidRDefault="0052231D" w:rsidP="00BF2354">
            <w:pPr>
              <w:pStyle w:val="NoSpacing"/>
            </w:pPr>
            <w:r>
              <w:t>List of other information available on request from the Accountable Officer, and which must be retained by the Accountable Officer</w:t>
            </w:r>
          </w:p>
        </w:tc>
        <w:tc>
          <w:tcPr>
            <w:tcW w:w="1418" w:type="dxa"/>
          </w:tcPr>
          <w:p w:rsidR="00BF2354" w:rsidRDefault="00CA03F1" w:rsidP="00761BDF">
            <w:pPr>
              <w:pStyle w:val="NoSpacing"/>
              <w:jc w:val="right"/>
            </w:pPr>
            <w:r>
              <w:t>103</w:t>
            </w:r>
          </w:p>
        </w:tc>
      </w:tr>
      <w:tr w:rsidR="00BF2354" w:rsidTr="00761BDF">
        <w:tc>
          <w:tcPr>
            <w:tcW w:w="632" w:type="dxa"/>
          </w:tcPr>
          <w:p w:rsidR="00BF2354" w:rsidRDefault="0052231D" w:rsidP="00BF2354">
            <w:pPr>
              <w:pStyle w:val="NoSpacing"/>
            </w:pPr>
            <w:r>
              <w:t>26</w:t>
            </w:r>
          </w:p>
        </w:tc>
        <w:tc>
          <w:tcPr>
            <w:tcW w:w="1808" w:type="dxa"/>
          </w:tcPr>
          <w:p w:rsidR="00BF2354" w:rsidRDefault="0052231D" w:rsidP="00BF2354">
            <w:pPr>
              <w:pStyle w:val="NoSpacing"/>
            </w:pPr>
            <w:r>
              <w:t>FRD 22H</w:t>
            </w:r>
          </w:p>
          <w:p w:rsidR="0052231D" w:rsidRDefault="0052231D" w:rsidP="00BF2354">
            <w:pPr>
              <w:pStyle w:val="NoSpacing"/>
            </w:pPr>
            <w:r>
              <w:t>5.17</w:t>
            </w:r>
          </w:p>
        </w:tc>
        <w:tc>
          <w:tcPr>
            <w:tcW w:w="7200" w:type="dxa"/>
          </w:tcPr>
          <w:p w:rsidR="00BF2354" w:rsidRDefault="0052231D" w:rsidP="00BF2354">
            <w:pPr>
              <w:pStyle w:val="NoSpacing"/>
            </w:pPr>
            <w:r>
              <w:t>An entity shall disclose the following in the report of operations:</w:t>
            </w:r>
          </w:p>
          <w:p w:rsidR="0052231D" w:rsidRDefault="0052231D" w:rsidP="00BF2354">
            <w:pPr>
              <w:pStyle w:val="NoSpacing"/>
            </w:pPr>
            <w:r>
              <w:t xml:space="preserve">a. Total entity ICT Business As Usual (BAU) expenditure for the full 12 month reporting period; and </w:t>
            </w:r>
          </w:p>
          <w:p w:rsidR="0052231D" w:rsidRDefault="0052231D" w:rsidP="00BF2354">
            <w:pPr>
              <w:pStyle w:val="NoSpacing"/>
            </w:pPr>
            <w:r>
              <w:t>b. Total entity ICT Non-Business As Usual expenditure for the full 12 month reporting period; and provide a breakdown for:</w:t>
            </w:r>
          </w:p>
          <w:p w:rsidR="0052231D" w:rsidRDefault="0052231D" w:rsidP="00BF2354">
            <w:pPr>
              <w:pStyle w:val="NoSpacing"/>
            </w:pPr>
            <w:r>
              <w:t xml:space="preserve">           i Operational expenditure (OPEX); and </w:t>
            </w:r>
          </w:p>
          <w:p w:rsidR="0052231D" w:rsidRDefault="0052231D" w:rsidP="00BF2354">
            <w:pPr>
              <w:pStyle w:val="NoSpacing"/>
            </w:pPr>
            <w:r>
              <w:t xml:space="preserve">           ii Capital expenditure (CAPEX).</w:t>
            </w:r>
          </w:p>
        </w:tc>
        <w:tc>
          <w:tcPr>
            <w:tcW w:w="1418" w:type="dxa"/>
          </w:tcPr>
          <w:p w:rsidR="00BF2354" w:rsidRDefault="00CA03F1" w:rsidP="00761BDF">
            <w:pPr>
              <w:pStyle w:val="NoSpacing"/>
              <w:jc w:val="right"/>
            </w:pPr>
            <w:r>
              <w:t>106</w:t>
            </w:r>
          </w:p>
        </w:tc>
      </w:tr>
      <w:tr w:rsidR="00BF2354" w:rsidTr="00761BDF">
        <w:tc>
          <w:tcPr>
            <w:tcW w:w="632" w:type="dxa"/>
          </w:tcPr>
          <w:p w:rsidR="00BF2354" w:rsidRDefault="0052231D" w:rsidP="00BF2354">
            <w:pPr>
              <w:pStyle w:val="NoSpacing"/>
            </w:pPr>
            <w:r>
              <w:t>27</w:t>
            </w:r>
          </w:p>
        </w:tc>
        <w:tc>
          <w:tcPr>
            <w:tcW w:w="1808" w:type="dxa"/>
          </w:tcPr>
          <w:p w:rsidR="00BF2354" w:rsidRDefault="0052231D" w:rsidP="00BF2354">
            <w:pPr>
              <w:pStyle w:val="NoSpacing"/>
            </w:pPr>
            <w:r>
              <w:t>FRD 25D</w:t>
            </w:r>
          </w:p>
        </w:tc>
        <w:tc>
          <w:tcPr>
            <w:tcW w:w="7200" w:type="dxa"/>
          </w:tcPr>
          <w:p w:rsidR="00BF2354" w:rsidRDefault="0052231D" w:rsidP="00BF2354">
            <w:pPr>
              <w:pStyle w:val="NoSpacing"/>
            </w:pPr>
            <w:r>
              <w:t>Local jobs first</w:t>
            </w:r>
          </w:p>
        </w:tc>
        <w:tc>
          <w:tcPr>
            <w:tcW w:w="1418" w:type="dxa"/>
          </w:tcPr>
          <w:p w:rsidR="00BF2354" w:rsidRDefault="00CA03F1" w:rsidP="00761BDF">
            <w:pPr>
              <w:pStyle w:val="NoSpacing"/>
              <w:jc w:val="right"/>
            </w:pPr>
            <w:r>
              <w:t>102</w:t>
            </w:r>
          </w:p>
        </w:tc>
      </w:tr>
      <w:tr w:rsidR="00C47CA2" w:rsidTr="00761BDF">
        <w:tc>
          <w:tcPr>
            <w:tcW w:w="632" w:type="dxa"/>
          </w:tcPr>
          <w:p w:rsidR="00C47CA2" w:rsidRDefault="0052231D" w:rsidP="00BF2354">
            <w:pPr>
              <w:pStyle w:val="NoSpacing"/>
            </w:pPr>
            <w:r>
              <w:t>28</w:t>
            </w:r>
          </w:p>
        </w:tc>
        <w:tc>
          <w:tcPr>
            <w:tcW w:w="1808" w:type="dxa"/>
          </w:tcPr>
          <w:p w:rsidR="00C47CA2" w:rsidRDefault="0052231D" w:rsidP="00BF2354">
            <w:pPr>
              <w:pStyle w:val="NoSpacing"/>
            </w:pPr>
            <w:r>
              <w:t>AASB 16</w:t>
            </w:r>
          </w:p>
        </w:tc>
        <w:tc>
          <w:tcPr>
            <w:tcW w:w="7200" w:type="dxa"/>
          </w:tcPr>
          <w:p w:rsidR="00C47CA2" w:rsidRDefault="0052231D" w:rsidP="00BF2354">
            <w:pPr>
              <w:pStyle w:val="NoSpacing"/>
            </w:pPr>
            <w:r>
              <w:t>Leases</w:t>
            </w:r>
          </w:p>
        </w:tc>
        <w:tc>
          <w:tcPr>
            <w:tcW w:w="1418" w:type="dxa"/>
          </w:tcPr>
          <w:p w:rsidR="00C47CA2" w:rsidRDefault="00CA03F1" w:rsidP="00761BDF">
            <w:pPr>
              <w:pStyle w:val="NoSpacing"/>
              <w:jc w:val="right"/>
            </w:pPr>
            <w:r>
              <w:t>64-66</w:t>
            </w:r>
          </w:p>
        </w:tc>
      </w:tr>
      <w:tr w:rsidR="00C47CA2" w:rsidTr="00761BDF">
        <w:tc>
          <w:tcPr>
            <w:tcW w:w="632" w:type="dxa"/>
          </w:tcPr>
          <w:p w:rsidR="00C47CA2" w:rsidRDefault="0052231D" w:rsidP="00BF2354">
            <w:pPr>
              <w:pStyle w:val="NoSpacing"/>
            </w:pPr>
            <w:r>
              <w:t>29</w:t>
            </w:r>
          </w:p>
        </w:tc>
        <w:tc>
          <w:tcPr>
            <w:tcW w:w="1808" w:type="dxa"/>
          </w:tcPr>
          <w:p w:rsidR="00C47CA2" w:rsidRDefault="0052231D" w:rsidP="00BF2354">
            <w:pPr>
              <w:pStyle w:val="NoSpacing"/>
            </w:pPr>
            <w:r>
              <w:t>SD 5.1.4</w:t>
            </w:r>
          </w:p>
        </w:tc>
        <w:tc>
          <w:tcPr>
            <w:tcW w:w="7200" w:type="dxa"/>
          </w:tcPr>
          <w:p w:rsidR="00C47CA2" w:rsidRDefault="0052231D" w:rsidP="00BF2354">
            <w:pPr>
              <w:pStyle w:val="NoSpacing"/>
            </w:pPr>
            <w:r>
              <w:t>Financial Management Compliance Attestation Statement</w:t>
            </w:r>
          </w:p>
          <w:p w:rsidR="0052231D" w:rsidRDefault="0052231D" w:rsidP="00BF2354">
            <w:pPr>
              <w:pStyle w:val="NoSpacing"/>
            </w:pPr>
          </w:p>
          <w:p w:rsidR="0052231D" w:rsidRDefault="0052231D" w:rsidP="00BF2354">
            <w:pPr>
              <w:pStyle w:val="NoSpacing"/>
            </w:pPr>
            <w:r>
              <w:t>The Responsible Body must attest to compliance with applicable requirements in the FMA, the Standing Directions and the Instructions, and disclose all Material Compliance Deficiencies</w:t>
            </w:r>
          </w:p>
        </w:tc>
        <w:tc>
          <w:tcPr>
            <w:tcW w:w="1418" w:type="dxa"/>
          </w:tcPr>
          <w:p w:rsidR="00C47CA2" w:rsidRDefault="00CA03F1" w:rsidP="00761BDF">
            <w:pPr>
              <w:pStyle w:val="NoSpacing"/>
              <w:jc w:val="right"/>
            </w:pPr>
            <w:r>
              <w:t>41</w:t>
            </w:r>
          </w:p>
        </w:tc>
      </w:tr>
      <w:tr w:rsidR="00C47CA2" w:rsidTr="00761BDF">
        <w:tc>
          <w:tcPr>
            <w:tcW w:w="632" w:type="dxa"/>
          </w:tcPr>
          <w:p w:rsidR="00C47CA2" w:rsidRDefault="0052231D" w:rsidP="00BF2354">
            <w:pPr>
              <w:pStyle w:val="NoSpacing"/>
            </w:pPr>
            <w:r>
              <w:t>30</w:t>
            </w:r>
          </w:p>
        </w:tc>
        <w:tc>
          <w:tcPr>
            <w:tcW w:w="1808" w:type="dxa"/>
          </w:tcPr>
          <w:p w:rsidR="00C47CA2" w:rsidRDefault="0052231D" w:rsidP="00BF2354">
            <w:pPr>
              <w:pStyle w:val="NoSpacing"/>
            </w:pPr>
            <w:r>
              <w:t>FRD 119A</w:t>
            </w:r>
          </w:p>
        </w:tc>
        <w:tc>
          <w:tcPr>
            <w:tcW w:w="7200" w:type="dxa"/>
          </w:tcPr>
          <w:p w:rsidR="00C47CA2" w:rsidRDefault="0052231D" w:rsidP="00BF2354">
            <w:pPr>
              <w:pStyle w:val="NoSpacing"/>
            </w:pPr>
            <w:r>
              <w:t xml:space="preserve">Transfers through contributed capital </w:t>
            </w:r>
          </w:p>
        </w:tc>
        <w:tc>
          <w:tcPr>
            <w:tcW w:w="1418" w:type="dxa"/>
          </w:tcPr>
          <w:p w:rsidR="00C47CA2" w:rsidRDefault="00CA03F1" w:rsidP="00761BDF">
            <w:pPr>
              <w:pStyle w:val="NoSpacing"/>
              <w:jc w:val="right"/>
            </w:pPr>
            <w:r>
              <w:t>79</w:t>
            </w:r>
          </w:p>
        </w:tc>
      </w:tr>
      <w:tr w:rsidR="00C47CA2" w:rsidTr="00761BDF">
        <w:tc>
          <w:tcPr>
            <w:tcW w:w="632" w:type="dxa"/>
          </w:tcPr>
          <w:p w:rsidR="00C47CA2" w:rsidRDefault="0052231D" w:rsidP="00BF2354">
            <w:pPr>
              <w:pStyle w:val="NoSpacing"/>
            </w:pPr>
            <w:r>
              <w:t>31</w:t>
            </w:r>
          </w:p>
        </w:tc>
        <w:tc>
          <w:tcPr>
            <w:tcW w:w="1808" w:type="dxa"/>
          </w:tcPr>
          <w:p w:rsidR="00C47CA2" w:rsidRDefault="0052231D" w:rsidP="00BF2354">
            <w:pPr>
              <w:pStyle w:val="NoSpacing"/>
            </w:pPr>
            <w:r>
              <w:t>SD 5.2.1(a)</w:t>
            </w:r>
          </w:p>
        </w:tc>
        <w:tc>
          <w:tcPr>
            <w:tcW w:w="7200" w:type="dxa"/>
          </w:tcPr>
          <w:p w:rsidR="00C47CA2" w:rsidRDefault="0052231D" w:rsidP="00BF2354">
            <w:pPr>
              <w:pStyle w:val="NoSpacing"/>
            </w:pPr>
            <w:r>
              <w:t>The Accountable Officer must implement and maintain a process to ensure the Agency’s Annual Report is prepared in accordance with the FMA, the Standing Directions, the Instructions, applicable Australian Accounting Standards and Financial Reporting Directions.</w:t>
            </w:r>
          </w:p>
        </w:tc>
        <w:tc>
          <w:tcPr>
            <w:tcW w:w="1418" w:type="dxa"/>
          </w:tcPr>
          <w:p w:rsidR="00C47CA2" w:rsidRDefault="00CA03F1" w:rsidP="00761BDF">
            <w:pPr>
              <w:pStyle w:val="NoSpacing"/>
              <w:jc w:val="right"/>
            </w:pPr>
            <w:r>
              <w:t>1, 45, 51</w:t>
            </w:r>
          </w:p>
        </w:tc>
      </w:tr>
      <w:tr w:rsidR="00C47CA2" w:rsidTr="00761BDF">
        <w:tc>
          <w:tcPr>
            <w:tcW w:w="632" w:type="dxa"/>
          </w:tcPr>
          <w:p w:rsidR="00C47CA2" w:rsidRDefault="0052231D" w:rsidP="00BF2354">
            <w:pPr>
              <w:pStyle w:val="NoSpacing"/>
            </w:pPr>
            <w:r>
              <w:t>32</w:t>
            </w:r>
          </w:p>
        </w:tc>
        <w:tc>
          <w:tcPr>
            <w:tcW w:w="1808" w:type="dxa"/>
          </w:tcPr>
          <w:p w:rsidR="00C47CA2" w:rsidRDefault="0052231D" w:rsidP="00BF2354">
            <w:pPr>
              <w:pStyle w:val="NoSpacing"/>
            </w:pPr>
            <w:r>
              <w:t>SD 5.2.3</w:t>
            </w:r>
          </w:p>
        </w:tc>
        <w:tc>
          <w:tcPr>
            <w:tcW w:w="7200" w:type="dxa"/>
          </w:tcPr>
          <w:p w:rsidR="00C47CA2" w:rsidRDefault="00292DBB" w:rsidP="00292DBB">
            <w:pPr>
              <w:pStyle w:val="NoSpacing"/>
            </w:pPr>
            <w:r>
              <w:t>The report of operations must be signed and dated by the Responsible Body or a member of the Responsible Body</w:t>
            </w:r>
          </w:p>
        </w:tc>
        <w:tc>
          <w:tcPr>
            <w:tcW w:w="1418" w:type="dxa"/>
          </w:tcPr>
          <w:p w:rsidR="00C47CA2" w:rsidRDefault="00CA03F1" w:rsidP="00761BDF">
            <w:pPr>
              <w:pStyle w:val="NoSpacing"/>
              <w:jc w:val="right"/>
            </w:pPr>
            <w:r>
              <w:t>1</w:t>
            </w:r>
          </w:p>
        </w:tc>
      </w:tr>
      <w:tr w:rsidR="00C47CA2" w:rsidTr="00761BDF">
        <w:tc>
          <w:tcPr>
            <w:tcW w:w="632" w:type="dxa"/>
          </w:tcPr>
          <w:p w:rsidR="00C47CA2" w:rsidRDefault="00292DBB" w:rsidP="00BF2354">
            <w:pPr>
              <w:pStyle w:val="NoSpacing"/>
            </w:pPr>
            <w:r>
              <w:t>33</w:t>
            </w:r>
          </w:p>
        </w:tc>
        <w:tc>
          <w:tcPr>
            <w:tcW w:w="1808" w:type="dxa"/>
          </w:tcPr>
          <w:p w:rsidR="00C47CA2" w:rsidRDefault="00292DBB" w:rsidP="00BF2354">
            <w:pPr>
              <w:pStyle w:val="NoSpacing"/>
            </w:pPr>
            <w:r>
              <w:t>CG 10</w:t>
            </w:r>
          </w:p>
          <w:p w:rsidR="00292DBB" w:rsidRDefault="00292DBB" w:rsidP="00BF2354">
            <w:pPr>
              <w:pStyle w:val="NoSpacing"/>
            </w:pPr>
            <w:r>
              <w:t>Clause 27</w:t>
            </w:r>
          </w:p>
        </w:tc>
        <w:tc>
          <w:tcPr>
            <w:tcW w:w="7200" w:type="dxa"/>
          </w:tcPr>
          <w:p w:rsidR="00C47CA2" w:rsidRDefault="00292DBB" w:rsidP="00BF2354">
            <w:pPr>
              <w:pStyle w:val="NoSpacing"/>
            </w:pPr>
            <w:r>
              <w:t>Summary of Major Commercial Activities</w:t>
            </w:r>
          </w:p>
        </w:tc>
        <w:tc>
          <w:tcPr>
            <w:tcW w:w="1418" w:type="dxa"/>
          </w:tcPr>
          <w:p w:rsidR="00C47CA2" w:rsidRDefault="00CA03F1" w:rsidP="00761BDF">
            <w:pPr>
              <w:pStyle w:val="NoSpacing"/>
              <w:jc w:val="right"/>
            </w:pPr>
            <w:r>
              <w:t>105</w:t>
            </w:r>
          </w:p>
        </w:tc>
      </w:tr>
      <w:tr w:rsidR="00C47CA2" w:rsidTr="00761BDF">
        <w:tc>
          <w:tcPr>
            <w:tcW w:w="632" w:type="dxa"/>
          </w:tcPr>
          <w:p w:rsidR="00C47CA2" w:rsidRDefault="00292DBB" w:rsidP="00BF2354">
            <w:pPr>
              <w:pStyle w:val="NoSpacing"/>
            </w:pPr>
            <w:r>
              <w:t>34</w:t>
            </w:r>
          </w:p>
        </w:tc>
        <w:tc>
          <w:tcPr>
            <w:tcW w:w="1808" w:type="dxa"/>
          </w:tcPr>
          <w:p w:rsidR="00C47CA2" w:rsidRDefault="00292DBB" w:rsidP="00BF2354">
            <w:pPr>
              <w:pStyle w:val="NoSpacing"/>
            </w:pPr>
            <w:r>
              <w:t>CG 12</w:t>
            </w:r>
          </w:p>
          <w:p w:rsidR="00292DBB" w:rsidRDefault="00292DBB" w:rsidP="00BF2354">
            <w:pPr>
              <w:pStyle w:val="NoSpacing"/>
            </w:pPr>
            <w:r>
              <w:t>Clause 33</w:t>
            </w:r>
          </w:p>
        </w:tc>
        <w:tc>
          <w:tcPr>
            <w:tcW w:w="7200" w:type="dxa"/>
          </w:tcPr>
          <w:p w:rsidR="00C47CA2" w:rsidRDefault="00292DBB" w:rsidP="00BF2354">
            <w:pPr>
              <w:pStyle w:val="NoSpacing"/>
            </w:pPr>
            <w:r>
              <w:t>TAFE Institute Controlled Entities</w:t>
            </w:r>
          </w:p>
        </w:tc>
        <w:tc>
          <w:tcPr>
            <w:tcW w:w="1418" w:type="dxa"/>
          </w:tcPr>
          <w:p w:rsidR="00C47CA2" w:rsidRDefault="00CA03F1" w:rsidP="00761BDF">
            <w:pPr>
              <w:pStyle w:val="NoSpacing"/>
              <w:jc w:val="right"/>
            </w:pPr>
            <w:r>
              <w:t>92</w:t>
            </w:r>
          </w:p>
        </w:tc>
      </w:tr>
      <w:tr w:rsidR="00292DBB" w:rsidTr="00292DBB">
        <w:tc>
          <w:tcPr>
            <w:tcW w:w="11058" w:type="dxa"/>
            <w:gridSpan w:val="4"/>
          </w:tcPr>
          <w:p w:rsidR="00292DBB" w:rsidRDefault="00292DBB" w:rsidP="00BF2354">
            <w:pPr>
              <w:pStyle w:val="NoSpacing"/>
            </w:pPr>
            <w:r>
              <w:t>FINANCIAL REPORT</w:t>
            </w:r>
          </w:p>
        </w:tc>
      </w:tr>
      <w:tr w:rsidR="00292DBB" w:rsidTr="00292DBB">
        <w:tc>
          <w:tcPr>
            <w:tcW w:w="11058" w:type="dxa"/>
            <w:gridSpan w:val="4"/>
          </w:tcPr>
          <w:p w:rsidR="00292DBB" w:rsidRDefault="00292DBB" w:rsidP="00BF2354">
            <w:pPr>
              <w:pStyle w:val="NoSpacing"/>
            </w:pPr>
            <w:r>
              <w:t>FINANCIAL STATEMENTS REQUIRED UNDER PART 7 OF THE FINANCIAL MANAGEMENT ACT 1984</w:t>
            </w:r>
          </w:p>
        </w:tc>
      </w:tr>
      <w:tr w:rsidR="00C47CA2" w:rsidTr="00761BDF">
        <w:tc>
          <w:tcPr>
            <w:tcW w:w="632" w:type="dxa"/>
          </w:tcPr>
          <w:p w:rsidR="00C47CA2" w:rsidRDefault="00292DBB" w:rsidP="00BF2354">
            <w:pPr>
              <w:pStyle w:val="NoSpacing"/>
            </w:pPr>
            <w:r>
              <w:lastRenderedPageBreak/>
              <w:t>35</w:t>
            </w:r>
          </w:p>
        </w:tc>
        <w:tc>
          <w:tcPr>
            <w:tcW w:w="1808" w:type="dxa"/>
          </w:tcPr>
          <w:p w:rsidR="00C47CA2" w:rsidRDefault="00292DBB" w:rsidP="00BF2354">
            <w:pPr>
              <w:pStyle w:val="NoSpacing"/>
            </w:pPr>
            <w:r>
              <w:t>SD 5.2.2(b)</w:t>
            </w:r>
          </w:p>
        </w:tc>
        <w:tc>
          <w:tcPr>
            <w:tcW w:w="7200" w:type="dxa"/>
          </w:tcPr>
          <w:p w:rsidR="00292DBB" w:rsidRDefault="00292DBB" w:rsidP="00BF2354">
            <w:pPr>
              <w:pStyle w:val="NoSpacing"/>
            </w:pPr>
            <w:r>
              <w:t>The declaration required under Direction 5.2.2(a) must state that in the joint opinion of the signing persons:</w:t>
            </w:r>
          </w:p>
          <w:p w:rsidR="00C47CA2" w:rsidRDefault="00292DBB" w:rsidP="00292DBB">
            <w:pPr>
              <w:pStyle w:val="NoSpacing"/>
              <w:numPr>
                <w:ilvl w:val="0"/>
                <w:numId w:val="5"/>
              </w:numPr>
            </w:pPr>
            <w:r>
              <w:t>The financial statements present fairly the financial transaction during the reporting period and the financial position at the end of that period; and</w:t>
            </w:r>
          </w:p>
          <w:p w:rsidR="00292DBB" w:rsidRDefault="00292DBB" w:rsidP="00292DBB">
            <w:pPr>
              <w:pStyle w:val="NoSpacing"/>
              <w:numPr>
                <w:ilvl w:val="0"/>
                <w:numId w:val="5"/>
              </w:numPr>
            </w:pPr>
            <w:r>
              <w:t>The financial statements have been prepared in accordance with applicable requirements in the FMA, the Directions, the Financial Reporting Directions and Australian Accounting Standards</w:t>
            </w:r>
          </w:p>
        </w:tc>
        <w:tc>
          <w:tcPr>
            <w:tcW w:w="1418" w:type="dxa"/>
          </w:tcPr>
          <w:p w:rsidR="00C47CA2" w:rsidRDefault="00CA03F1" w:rsidP="00761BDF">
            <w:pPr>
              <w:pStyle w:val="NoSpacing"/>
              <w:jc w:val="right"/>
            </w:pPr>
            <w:r>
              <w:t>45</w:t>
            </w:r>
          </w:p>
        </w:tc>
      </w:tr>
      <w:tr w:rsidR="00292DBB" w:rsidTr="00292DBB">
        <w:tc>
          <w:tcPr>
            <w:tcW w:w="11058" w:type="dxa"/>
            <w:gridSpan w:val="4"/>
          </w:tcPr>
          <w:p w:rsidR="00292DBB" w:rsidRDefault="00292DBB" w:rsidP="00BF2354">
            <w:pPr>
              <w:pStyle w:val="NoSpacing"/>
            </w:pPr>
            <w:r>
              <w:t>OTHER REQUIREMENTS UNDER STANDING DIRECTIONS/ FINANCIAL MANAGEMENT ACT 1994</w:t>
            </w:r>
          </w:p>
        </w:tc>
      </w:tr>
      <w:tr w:rsidR="00C47CA2" w:rsidTr="00761BDF">
        <w:tc>
          <w:tcPr>
            <w:tcW w:w="632" w:type="dxa"/>
          </w:tcPr>
          <w:p w:rsidR="00C47CA2" w:rsidRDefault="00292DBB" w:rsidP="00BF2354">
            <w:pPr>
              <w:pStyle w:val="NoSpacing"/>
            </w:pPr>
            <w:r>
              <w:t>36</w:t>
            </w:r>
          </w:p>
        </w:tc>
        <w:tc>
          <w:tcPr>
            <w:tcW w:w="1808" w:type="dxa"/>
          </w:tcPr>
          <w:p w:rsidR="00C47CA2" w:rsidRDefault="00292DBB" w:rsidP="00BF2354">
            <w:pPr>
              <w:pStyle w:val="NoSpacing"/>
            </w:pPr>
            <w:r>
              <w:t>SD 5.2.2(a)</w:t>
            </w:r>
          </w:p>
          <w:p w:rsidR="00292DBB" w:rsidRDefault="00292DBB" w:rsidP="00BF2354">
            <w:pPr>
              <w:pStyle w:val="NoSpacing"/>
            </w:pPr>
            <w:r>
              <w:t>And FMA s49</w:t>
            </w:r>
          </w:p>
        </w:tc>
        <w:tc>
          <w:tcPr>
            <w:tcW w:w="7200" w:type="dxa"/>
          </w:tcPr>
          <w:p w:rsidR="00C47CA2" w:rsidRDefault="00292DBB" w:rsidP="00BF2354">
            <w:pPr>
              <w:pStyle w:val="NoSpacing"/>
            </w:pPr>
            <w:r>
              <w:t>An Agency’s financial statements must include a signed and dated declaration by:</w:t>
            </w:r>
          </w:p>
          <w:p w:rsidR="00292DBB" w:rsidRDefault="0021277B" w:rsidP="00292DBB">
            <w:pPr>
              <w:pStyle w:val="NoSpacing"/>
              <w:numPr>
                <w:ilvl w:val="0"/>
                <w:numId w:val="6"/>
              </w:numPr>
            </w:pPr>
            <w:r>
              <w:t>The Accountable Officer;</w:t>
            </w:r>
          </w:p>
          <w:p w:rsidR="0021277B" w:rsidRDefault="0021277B" w:rsidP="00292DBB">
            <w:pPr>
              <w:pStyle w:val="NoSpacing"/>
              <w:numPr>
                <w:ilvl w:val="0"/>
                <w:numId w:val="6"/>
              </w:numPr>
            </w:pPr>
            <w:r>
              <w:t xml:space="preserve">Subject to Direction 5.2.2(c), the CFO; and </w:t>
            </w:r>
          </w:p>
          <w:p w:rsidR="0021277B" w:rsidRDefault="0021277B" w:rsidP="00292DBB">
            <w:pPr>
              <w:pStyle w:val="NoSpacing"/>
              <w:numPr>
                <w:ilvl w:val="0"/>
                <w:numId w:val="6"/>
              </w:numPr>
            </w:pPr>
            <w:r>
              <w:t>For Agencies with a statutory board or equivalent governing body established by or under statute, a member of the Responsible Body.</w:t>
            </w:r>
          </w:p>
        </w:tc>
        <w:tc>
          <w:tcPr>
            <w:tcW w:w="1418" w:type="dxa"/>
          </w:tcPr>
          <w:p w:rsidR="00C47CA2" w:rsidRDefault="00CA03F1" w:rsidP="00761BDF">
            <w:pPr>
              <w:pStyle w:val="NoSpacing"/>
              <w:jc w:val="right"/>
            </w:pPr>
            <w:r>
              <w:t>45</w:t>
            </w:r>
          </w:p>
        </w:tc>
      </w:tr>
      <w:tr w:rsidR="00C47CA2" w:rsidTr="00761BDF">
        <w:tc>
          <w:tcPr>
            <w:tcW w:w="632" w:type="dxa"/>
          </w:tcPr>
          <w:p w:rsidR="00C47CA2" w:rsidRDefault="0021277B" w:rsidP="00BF2354">
            <w:pPr>
              <w:pStyle w:val="NoSpacing"/>
            </w:pPr>
            <w:r>
              <w:t>37</w:t>
            </w:r>
          </w:p>
        </w:tc>
        <w:tc>
          <w:tcPr>
            <w:tcW w:w="1808" w:type="dxa"/>
          </w:tcPr>
          <w:p w:rsidR="00C47CA2" w:rsidRDefault="0021277B" w:rsidP="00BF2354">
            <w:pPr>
              <w:pStyle w:val="NoSpacing"/>
            </w:pPr>
            <w:r>
              <w:t>FRD 30D</w:t>
            </w:r>
          </w:p>
        </w:tc>
        <w:tc>
          <w:tcPr>
            <w:tcW w:w="7200" w:type="dxa"/>
          </w:tcPr>
          <w:p w:rsidR="00C47CA2" w:rsidRDefault="0021277B" w:rsidP="00BF2354">
            <w:pPr>
              <w:pStyle w:val="NoSpacing"/>
            </w:pPr>
            <w:r>
              <w:t>Rounding of amounts</w:t>
            </w:r>
          </w:p>
        </w:tc>
        <w:tc>
          <w:tcPr>
            <w:tcW w:w="1418" w:type="dxa"/>
          </w:tcPr>
          <w:p w:rsidR="00C47CA2" w:rsidRDefault="00CA03F1" w:rsidP="00CA03F1">
            <w:pPr>
              <w:pStyle w:val="NoSpacing"/>
              <w:jc w:val="right"/>
            </w:pPr>
            <w:r>
              <w:t>51</w:t>
            </w:r>
          </w:p>
        </w:tc>
      </w:tr>
      <w:tr w:rsidR="00C47CA2" w:rsidTr="00761BDF">
        <w:tc>
          <w:tcPr>
            <w:tcW w:w="632" w:type="dxa"/>
          </w:tcPr>
          <w:p w:rsidR="00C47CA2" w:rsidRDefault="0021277B" w:rsidP="00BF2354">
            <w:pPr>
              <w:pStyle w:val="NoSpacing"/>
            </w:pPr>
            <w:r>
              <w:t>38</w:t>
            </w:r>
          </w:p>
        </w:tc>
        <w:tc>
          <w:tcPr>
            <w:tcW w:w="1808" w:type="dxa"/>
          </w:tcPr>
          <w:p w:rsidR="00C47CA2" w:rsidRDefault="0021277B" w:rsidP="00BF2354">
            <w:pPr>
              <w:pStyle w:val="NoSpacing"/>
            </w:pPr>
            <w:r>
              <w:t>SD 3.2.1.1 (c)</w:t>
            </w:r>
          </w:p>
        </w:tc>
        <w:tc>
          <w:tcPr>
            <w:tcW w:w="7200" w:type="dxa"/>
          </w:tcPr>
          <w:p w:rsidR="00C47CA2" w:rsidRDefault="0021277B" w:rsidP="00BF2354">
            <w:pPr>
              <w:pStyle w:val="NoSpacing"/>
            </w:pPr>
            <w:r>
              <w:t>The Responsible Body must establish an Audit Committee to:</w:t>
            </w:r>
          </w:p>
          <w:p w:rsidR="0021277B" w:rsidRDefault="0021277B" w:rsidP="0021277B">
            <w:pPr>
              <w:pStyle w:val="NoSpacing"/>
              <w:numPr>
                <w:ilvl w:val="0"/>
                <w:numId w:val="7"/>
              </w:numPr>
            </w:pPr>
            <w:r>
              <w:t xml:space="preserve">Review annual financial statements and make a recommendation to the Responsible Body as to whether to authorise the statements before they are released to Parliament </w:t>
            </w:r>
          </w:p>
        </w:tc>
        <w:tc>
          <w:tcPr>
            <w:tcW w:w="1418" w:type="dxa"/>
          </w:tcPr>
          <w:p w:rsidR="00C47CA2" w:rsidRDefault="00CA03F1" w:rsidP="00761BDF">
            <w:pPr>
              <w:pStyle w:val="NoSpacing"/>
              <w:jc w:val="right"/>
            </w:pPr>
            <w:r>
              <w:t>38-39</w:t>
            </w:r>
          </w:p>
        </w:tc>
      </w:tr>
      <w:tr w:rsidR="0021277B" w:rsidTr="00BF2B41">
        <w:tc>
          <w:tcPr>
            <w:tcW w:w="11058" w:type="dxa"/>
            <w:gridSpan w:val="4"/>
          </w:tcPr>
          <w:p w:rsidR="0021277B" w:rsidRDefault="0021277B" w:rsidP="00BF2354">
            <w:pPr>
              <w:pStyle w:val="NoSpacing"/>
            </w:pPr>
            <w:r>
              <w:t xml:space="preserve">OTHER REQUIREMENTS AS PER FINANCIAL REPORTING DIRECTIONS IN NOTES TO THE FINANCIAL STATEMENTS </w:t>
            </w:r>
          </w:p>
        </w:tc>
      </w:tr>
      <w:tr w:rsidR="0052231D" w:rsidTr="00761BDF">
        <w:tc>
          <w:tcPr>
            <w:tcW w:w="632" w:type="dxa"/>
          </w:tcPr>
          <w:p w:rsidR="0052231D" w:rsidRDefault="0021277B" w:rsidP="00BF2354">
            <w:pPr>
              <w:pStyle w:val="NoSpacing"/>
            </w:pPr>
            <w:r>
              <w:t>39</w:t>
            </w:r>
          </w:p>
        </w:tc>
        <w:tc>
          <w:tcPr>
            <w:tcW w:w="1808" w:type="dxa"/>
          </w:tcPr>
          <w:p w:rsidR="0052231D" w:rsidRDefault="0021277B" w:rsidP="00BF2354">
            <w:pPr>
              <w:pStyle w:val="NoSpacing"/>
            </w:pPr>
            <w:r>
              <w:t>FRD 11A</w:t>
            </w:r>
          </w:p>
        </w:tc>
        <w:tc>
          <w:tcPr>
            <w:tcW w:w="7200" w:type="dxa"/>
          </w:tcPr>
          <w:p w:rsidR="0052231D" w:rsidRDefault="0021277B" w:rsidP="00BF2354">
            <w:pPr>
              <w:pStyle w:val="NoSpacing"/>
            </w:pPr>
            <w:r>
              <w:t>Disclosure of ex-gratia payments</w:t>
            </w:r>
          </w:p>
        </w:tc>
        <w:tc>
          <w:tcPr>
            <w:tcW w:w="1418" w:type="dxa"/>
          </w:tcPr>
          <w:p w:rsidR="0052231D" w:rsidRDefault="00CA03F1" w:rsidP="00761BDF">
            <w:pPr>
              <w:pStyle w:val="NoSpacing"/>
              <w:jc w:val="right"/>
            </w:pPr>
            <w:r>
              <w:t>92</w:t>
            </w:r>
          </w:p>
        </w:tc>
      </w:tr>
      <w:tr w:rsidR="0052231D" w:rsidTr="00761BDF">
        <w:tc>
          <w:tcPr>
            <w:tcW w:w="632" w:type="dxa"/>
          </w:tcPr>
          <w:p w:rsidR="0052231D" w:rsidRDefault="0021277B" w:rsidP="00BF2354">
            <w:pPr>
              <w:pStyle w:val="NoSpacing"/>
            </w:pPr>
            <w:r>
              <w:t>40</w:t>
            </w:r>
          </w:p>
        </w:tc>
        <w:tc>
          <w:tcPr>
            <w:tcW w:w="1808" w:type="dxa"/>
          </w:tcPr>
          <w:p w:rsidR="0052231D" w:rsidRDefault="0021277B" w:rsidP="00BF2354">
            <w:pPr>
              <w:pStyle w:val="NoSpacing"/>
            </w:pPr>
            <w:r>
              <w:t>FRD 21C</w:t>
            </w:r>
          </w:p>
        </w:tc>
        <w:tc>
          <w:tcPr>
            <w:tcW w:w="7200" w:type="dxa"/>
          </w:tcPr>
          <w:p w:rsidR="0052231D" w:rsidRDefault="0021277B" w:rsidP="00BF2354">
            <w:pPr>
              <w:pStyle w:val="NoSpacing"/>
            </w:pPr>
            <w:r>
              <w:t>Disclosures of Responsible Persons, Executive Officer and Other Personnel (contractors with significant management responsibilities) in the financial report</w:t>
            </w:r>
          </w:p>
        </w:tc>
        <w:tc>
          <w:tcPr>
            <w:tcW w:w="1418" w:type="dxa"/>
          </w:tcPr>
          <w:p w:rsidR="0052231D" w:rsidRDefault="00CA03F1" w:rsidP="00761BDF">
            <w:pPr>
              <w:pStyle w:val="NoSpacing"/>
              <w:jc w:val="right"/>
            </w:pPr>
            <w:r>
              <w:t>88-91</w:t>
            </w:r>
          </w:p>
        </w:tc>
      </w:tr>
      <w:tr w:rsidR="0052231D" w:rsidTr="00761BDF">
        <w:tc>
          <w:tcPr>
            <w:tcW w:w="632" w:type="dxa"/>
          </w:tcPr>
          <w:p w:rsidR="0052231D" w:rsidRDefault="0021277B" w:rsidP="00BF2354">
            <w:pPr>
              <w:pStyle w:val="NoSpacing"/>
            </w:pPr>
            <w:r>
              <w:t>41</w:t>
            </w:r>
          </w:p>
        </w:tc>
        <w:tc>
          <w:tcPr>
            <w:tcW w:w="1808" w:type="dxa"/>
          </w:tcPr>
          <w:p w:rsidR="0052231D" w:rsidRDefault="0021277B" w:rsidP="00BF2354">
            <w:pPr>
              <w:pStyle w:val="NoSpacing"/>
            </w:pPr>
            <w:r>
              <w:t>FRD 102A</w:t>
            </w:r>
          </w:p>
        </w:tc>
        <w:tc>
          <w:tcPr>
            <w:tcW w:w="7200" w:type="dxa"/>
          </w:tcPr>
          <w:p w:rsidR="0052231D" w:rsidRDefault="0021277B" w:rsidP="00BF2354">
            <w:pPr>
              <w:pStyle w:val="NoSpacing"/>
            </w:pPr>
            <w:r>
              <w:t>Inventories</w:t>
            </w:r>
          </w:p>
        </w:tc>
        <w:tc>
          <w:tcPr>
            <w:tcW w:w="1418" w:type="dxa"/>
          </w:tcPr>
          <w:p w:rsidR="0052231D" w:rsidRDefault="00CA03F1" w:rsidP="00761BDF">
            <w:pPr>
              <w:pStyle w:val="NoSpacing"/>
              <w:jc w:val="right"/>
            </w:pPr>
            <w:r>
              <w:t>88</w:t>
            </w:r>
          </w:p>
        </w:tc>
      </w:tr>
      <w:tr w:rsidR="0052231D" w:rsidTr="00761BDF">
        <w:tc>
          <w:tcPr>
            <w:tcW w:w="632" w:type="dxa"/>
          </w:tcPr>
          <w:p w:rsidR="0052231D" w:rsidRDefault="0021277B" w:rsidP="00BF2354">
            <w:pPr>
              <w:pStyle w:val="NoSpacing"/>
            </w:pPr>
            <w:r>
              <w:t>42</w:t>
            </w:r>
          </w:p>
        </w:tc>
        <w:tc>
          <w:tcPr>
            <w:tcW w:w="1808" w:type="dxa"/>
          </w:tcPr>
          <w:p w:rsidR="0052231D" w:rsidRDefault="0021277B" w:rsidP="00BF2354">
            <w:pPr>
              <w:pStyle w:val="NoSpacing"/>
            </w:pPr>
            <w:r>
              <w:t>FRD 103H</w:t>
            </w:r>
          </w:p>
        </w:tc>
        <w:tc>
          <w:tcPr>
            <w:tcW w:w="7200" w:type="dxa"/>
          </w:tcPr>
          <w:p w:rsidR="0052231D" w:rsidRDefault="0021277B" w:rsidP="00BF2354">
            <w:pPr>
              <w:pStyle w:val="NoSpacing"/>
            </w:pPr>
            <w:r>
              <w:t>Non-financial physical assets</w:t>
            </w:r>
          </w:p>
        </w:tc>
        <w:tc>
          <w:tcPr>
            <w:tcW w:w="1418" w:type="dxa"/>
          </w:tcPr>
          <w:p w:rsidR="0052231D" w:rsidRDefault="00CA03F1" w:rsidP="00761BDF">
            <w:pPr>
              <w:pStyle w:val="NoSpacing"/>
              <w:jc w:val="right"/>
            </w:pPr>
            <w:r>
              <w:t>47, 67, 71</w:t>
            </w:r>
          </w:p>
        </w:tc>
      </w:tr>
      <w:tr w:rsidR="0052231D" w:rsidTr="00761BDF">
        <w:tc>
          <w:tcPr>
            <w:tcW w:w="632" w:type="dxa"/>
          </w:tcPr>
          <w:p w:rsidR="0052231D" w:rsidRDefault="0021277B" w:rsidP="00BF2354">
            <w:pPr>
              <w:pStyle w:val="NoSpacing"/>
            </w:pPr>
            <w:r>
              <w:t>43</w:t>
            </w:r>
          </w:p>
        </w:tc>
        <w:tc>
          <w:tcPr>
            <w:tcW w:w="1808" w:type="dxa"/>
          </w:tcPr>
          <w:p w:rsidR="0052231D" w:rsidRDefault="0021277B" w:rsidP="00BF2354">
            <w:pPr>
              <w:pStyle w:val="NoSpacing"/>
            </w:pPr>
            <w:r>
              <w:t>FRD 105B</w:t>
            </w:r>
          </w:p>
        </w:tc>
        <w:tc>
          <w:tcPr>
            <w:tcW w:w="7200" w:type="dxa"/>
          </w:tcPr>
          <w:p w:rsidR="0052231D" w:rsidRDefault="0021277B" w:rsidP="00BF2354">
            <w:pPr>
              <w:pStyle w:val="NoSpacing"/>
            </w:pPr>
            <w:r>
              <w:t>Borrowing costs</w:t>
            </w:r>
          </w:p>
        </w:tc>
        <w:tc>
          <w:tcPr>
            <w:tcW w:w="1418" w:type="dxa"/>
          </w:tcPr>
          <w:p w:rsidR="0052231D" w:rsidRDefault="00CA03F1" w:rsidP="00761BDF">
            <w:pPr>
              <w:pStyle w:val="NoSpacing"/>
              <w:jc w:val="right"/>
            </w:pPr>
            <w:r>
              <w:t>N/A</w:t>
            </w:r>
          </w:p>
        </w:tc>
      </w:tr>
      <w:tr w:rsidR="0052231D" w:rsidTr="00761BDF">
        <w:tc>
          <w:tcPr>
            <w:tcW w:w="632" w:type="dxa"/>
          </w:tcPr>
          <w:p w:rsidR="0052231D" w:rsidRDefault="0021277B" w:rsidP="00BF2354">
            <w:pPr>
              <w:pStyle w:val="NoSpacing"/>
            </w:pPr>
            <w:r>
              <w:t>44</w:t>
            </w:r>
          </w:p>
        </w:tc>
        <w:tc>
          <w:tcPr>
            <w:tcW w:w="1808" w:type="dxa"/>
          </w:tcPr>
          <w:p w:rsidR="0052231D" w:rsidRDefault="0021277B" w:rsidP="00BF2354">
            <w:pPr>
              <w:pStyle w:val="NoSpacing"/>
            </w:pPr>
            <w:r>
              <w:t>FRD 106B</w:t>
            </w:r>
          </w:p>
        </w:tc>
        <w:tc>
          <w:tcPr>
            <w:tcW w:w="7200" w:type="dxa"/>
          </w:tcPr>
          <w:p w:rsidR="0052231D" w:rsidRDefault="0021277B" w:rsidP="00BF2354">
            <w:pPr>
              <w:pStyle w:val="NoSpacing"/>
            </w:pPr>
            <w:r>
              <w:t>Impairment of assets</w:t>
            </w:r>
          </w:p>
        </w:tc>
        <w:tc>
          <w:tcPr>
            <w:tcW w:w="1418" w:type="dxa"/>
          </w:tcPr>
          <w:p w:rsidR="0052231D" w:rsidRDefault="00CA03F1" w:rsidP="00761BDF">
            <w:pPr>
              <w:pStyle w:val="NoSpacing"/>
              <w:jc w:val="right"/>
            </w:pPr>
            <w:r>
              <w:t>87</w:t>
            </w:r>
          </w:p>
        </w:tc>
      </w:tr>
      <w:tr w:rsidR="0052231D" w:rsidTr="00761BDF">
        <w:tc>
          <w:tcPr>
            <w:tcW w:w="632" w:type="dxa"/>
          </w:tcPr>
          <w:p w:rsidR="0052231D" w:rsidRDefault="0021277B" w:rsidP="00BF2354">
            <w:pPr>
              <w:pStyle w:val="NoSpacing"/>
            </w:pPr>
            <w:r>
              <w:t>45</w:t>
            </w:r>
          </w:p>
        </w:tc>
        <w:tc>
          <w:tcPr>
            <w:tcW w:w="1808" w:type="dxa"/>
          </w:tcPr>
          <w:p w:rsidR="0052231D" w:rsidRDefault="0021277B" w:rsidP="00BF2354">
            <w:pPr>
              <w:pStyle w:val="NoSpacing"/>
            </w:pPr>
            <w:r>
              <w:t>FRD107B</w:t>
            </w:r>
          </w:p>
        </w:tc>
        <w:tc>
          <w:tcPr>
            <w:tcW w:w="7200" w:type="dxa"/>
          </w:tcPr>
          <w:p w:rsidR="0052231D" w:rsidRDefault="0021277B" w:rsidP="00BF2354">
            <w:pPr>
              <w:pStyle w:val="NoSpacing"/>
            </w:pPr>
            <w:r>
              <w:t>Investment properties</w:t>
            </w:r>
          </w:p>
        </w:tc>
        <w:tc>
          <w:tcPr>
            <w:tcW w:w="1418" w:type="dxa"/>
          </w:tcPr>
          <w:p w:rsidR="0052231D" w:rsidRDefault="00CA03F1" w:rsidP="00761BDF">
            <w:pPr>
              <w:pStyle w:val="NoSpacing"/>
              <w:jc w:val="right"/>
            </w:pPr>
            <w:r>
              <w:t>N/A</w:t>
            </w:r>
          </w:p>
        </w:tc>
      </w:tr>
      <w:tr w:rsidR="0052231D" w:rsidTr="00761BDF">
        <w:tc>
          <w:tcPr>
            <w:tcW w:w="632" w:type="dxa"/>
          </w:tcPr>
          <w:p w:rsidR="0052231D" w:rsidRDefault="0021277B" w:rsidP="00BF2354">
            <w:pPr>
              <w:pStyle w:val="NoSpacing"/>
            </w:pPr>
            <w:r>
              <w:t>46</w:t>
            </w:r>
          </w:p>
        </w:tc>
        <w:tc>
          <w:tcPr>
            <w:tcW w:w="1808" w:type="dxa"/>
          </w:tcPr>
          <w:p w:rsidR="0052231D" w:rsidRDefault="0021277B" w:rsidP="00BF2354">
            <w:pPr>
              <w:pStyle w:val="NoSpacing"/>
            </w:pPr>
            <w:r>
              <w:t>FRD 109A</w:t>
            </w:r>
          </w:p>
        </w:tc>
        <w:tc>
          <w:tcPr>
            <w:tcW w:w="7200" w:type="dxa"/>
          </w:tcPr>
          <w:p w:rsidR="0052231D" w:rsidRDefault="0021277B" w:rsidP="00BF2354">
            <w:pPr>
              <w:pStyle w:val="NoSpacing"/>
            </w:pPr>
            <w:r>
              <w:t>Intangible assets</w:t>
            </w:r>
          </w:p>
        </w:tc>
        <w:tc>
          <w:tcPr>
            <w:tcW w:w="1418" w:type="dxa"/>
          </w:tcPr>
          <w:p w:rsidR="0052231D" w:rsidRDefault="00CA03F1" w:rsidP="00761BDF">
            <w:pPr>
              <w:pStyle w:val="NoSpacing"/>
              <w:jc w:val="right"/>
            </w:pPr>
            <w:r>
              <w:t>70-71</w:t>
            </w:r>
          </w:p>
        </w:tc>
      </w:tr>
      <w:tr w:rsidR="0052231D" w:rsidTr="00761BDF">
        <w:tc>
          <w:tcPr>
            <w:tcW w:w="632" w:type="dxa"/>
          </w:tcPr>
          <w:p w:rsidR="0052231D" w:rsidRDefault="0021277B" w:rsidP="00BF2354">
            <w:pPr>
              <w:pStyle w:val="NoSpacing"/>
            </w:pPr>
            <w:r>
              <w:t>47</w:t>
            </w:r>
          </w:p>
        </w:tc>
        <w:tc>
          <w:tcPr>
            <w:tcW w:w="1808" w:type="dxa"/>
          </w:tcPr>
          <w:p w:rsidR="0052231D" w:rsidRDefault="0021277B" w:rsidP="00BF2354">
            <w:pPr>
              <w:pStyle w:val="NoSpacing"/>
            </w:pPr>
            <w:r>
              <w:t>FRD 110A</w:t>
            </w:r>
          </w:p>
        </w:tc>
        <w:tc>
          <w:tcPr>
            <w:tcW w:w="7200" w:type="dxa"/>
          </w:tcPr>
          <w:p w:rsidR="0052231D" w:rsidRDefault="0021277B" w:rsidP="00BF2354">
            <w:pPr>
              <w:pStyle w:val="NoSpacing"/>
            </w:pPr>
            <w:r>
              <w:t>Cash flow statements</w:t>
            </w:r>
          </w:p>
        </w:tc>
        <w:tc>
          <w:tcPr>
            <w:tcW w:w="1418" w:type="dxa"/>
          </w:tcPr>
          <w:p w:rsidR="0052231D" w:rsidRDefault="00CA03F1" w:rsidP="00761BDF">
            <w:pPr>
              <w:pStyle w:val="NoSpacing"/>
              <w:jc w:val="right"/>
            </w:pPr>
            <w:r>
              <w:t>49</w:t>
            </w:r>
          </w:p>
        </w:tc>
      </w:tr>
      <w:tr w:rsidR="0021277B" w:rsidTr="00761BDF">
        <w:tc>
          <w:tcPr>
            <w:tcW w:w="632" w:type="dxa"/>
          </w:tcPr>
          <w:p w:rsidR="0021277B" w:rsidRDefault="0021277B" w:rsidP="00BF2354">
            <w:pPr>
              <w:pStyle w:val="NoSpacing"/>
            </w:pPr>
            <w:r>
              <w:t>48</w:t>
            </w:r>
          </w:p>
        </w:tc>
        <w:tc>
          <w:tcPr>
            <w:tcW w:w="1808" w:type="dxa"/>
          </w:tcPr>
          <w:p w:rsidR="0021277B" w:rsidRDefault="0021277B" w:rsidP="00BF2354">
            <w:pPr>
              <w:pStyle w:val="NoSpacing"/>
            </w:pPr>
            <w:r>
              <w:t>FRD 112D</w:t>
            </w:r>
          </w:p>
        </w:tc>
        <w:tc>
          <w:tcPr>
            <w:tcW w:w="7200" w:type="dxa"/>
          </w:tcPr>
          <w:p w:rsidR="0021277B" w:rsidRDefault="0021277B" w:rsidP="00BF2354">
            <w:pPr>
              <w:pStyle w:val="NoSpacing"/>
            </w:pPr>
            <w:r>
              <w:t>Defined benefit superannuation obligations</w:t>
            </w:r>
          </w:p>
        </w:tc>
        <w:tc>
          <w:tcPr>
            <w:tcW w:w="1418" w:type="dxa"/>
          </w:tcPr>
          <w:p w:rsidR="0021277B" w:rsidRDefault="00CA03F1" w:rsidP="00761BDF">
            <w:pPr>
              <w:pStyle w:val="NoSpacing"/>
              <w:jc w:val="right"/>
            </w:pPr>
            <w:r>
              <w:t>60-62</w:t>
            </w:r>
          </w:p>
        </w:tc>
      </w:tr>
      <w:tr w:rsidR="0021277B" w:rsidTr="00761BDF">
        <w:tc>
          <w:tcPr>
            <w:tcW w:w="632" w:type="dxa"/>
          </w:tcPr>
          <w:p w:rsidR="0021277B" w:rsidRDefault="0021277B" w:rsidP="00BF2354">
            <w:pPr>
              <w:pStyle w:val="NoSpacing"/>
            </w:pPr>
            <w:r>
              <w:t>49</w:t>
            </w:r>
          </w:p>
        </w:tc>
        <w:tc>
          <w:tcPr>
            <w:tcW w:w="1808" w:type="dxa"/>
          </w:tcPr>
          <w:p w:rsidR="0021277B" w:rsidRDefault="0021277B" w:rsidP="00BF2354">
            <w:pPr>
              <w:pStyle w:val="NoSpacing"/>
            </w:pPr>
            <w:r>
              <w:t>FRD 113A</w:t>
            </w:r>
          </w:p>
        </w:tc>
        <w:tc>
          <w:tcPr>
            <w:tcW w:w="7200" w:type="dxa"/>
          </w:tcPr>
          <w:p w:rsidR="0021277B" w:rsidRDefault="0021277B" w:rsidP="00BF2354">
            <w:pPr>
              <w:pStyle w:val="NoSpacing"/>
            </w:pPr>
            <w:r>
              <w:t>Investment in subsidiaries, jointly controlled entities and associates</w:t>
            </w:r>
          </w:p>
        </w:tc>
        <w:tc>
          <w:tcPr>
            <w:tcW w:w="1418" w:type="dxa"/>
          </w:tcPr>
          <w:p w:rsidR="0021277B" w:rsidRDefault="00CA03F1" w:rsidP="00761BDF">
            <w:pPr>
              <w:pStyle w:val="NoSpacing"/>
              <w:jc w:val="right"/>
            </w:pPr>
            <w:r>
              <w:t>72</w:t>
            </w:r>
          </w:p>
        </w:tc>
      </w:tr>
      <w:tr w:rsidR="0021277B" w:rsidTr="00761BDF">
        <w:tc>
          <w:tcPr>
            <w:tcW w:w="632" w:type="dxa"/>
          </w:tcPr>
          <w:p w:rsidR="0021277B" w:rsidRDefault="0021277B" w:rsidP="00BF2354">
            <w:pPr>
              <w:pStyle w:val="NoSpacing"/>
            </w:pPr>
            <w:r>
              <w:t>50</w:t>
            </w:r>
          </w:p>
        </w:tc>
        <w:tc>
          <w:tcPr>
            <w:tcW w:w="1808" w:type="dxa"/>
          </w:tcPr>
          <w:p w:rsidR="0021277B" w:rsidRDefault="0021277B" w:rsidP="00BF2354">
            <w:pPr>
              <w:pStyle w:val="NoSpacing"/>
            </w:pPr>
            <w:r>
              <w:t>FRD 114C</w:t>
            </w:r>
          </w:p>
        </w:tc>
        <w:tc>
          <w:tcPr>
            <w:tcW w:w="7200" w:type="dxa"/>
          </w:tcPr>
          <w:p w:rsidR="0021277B" w:rsidRDefault="005F6CE9" w:rsidP="00BF2354">
            <w:pPr>
              <w:pStyle w:val="NoSpacing"/>
            </w:pPr>
            <w:r>
              <w:t>Financial instruments</w:t>
            </w:r>
          </w:p>
        </w:tc>
        <w:tc>
          <w:tcPr>
            <w:tcW w:w="1418" w:type="dxa"/>
          </w:tcPr>
          <w:p w:rsidR="0021277B" w:rsidRDefault="00CA03F1" w:rsidP="00761BDF">
            <w:pPr>
              <w:pStyle w:val="NoSpacing"/>
              <w:jc w:val="right"/>
            </w:pPr>
            <w:r>
              <w:t>80-84</w:t>
            </w:r>
          </w:p>
        </w:tc>
      </w:tr>
      <w:tr w:rsidR="0021277B" w:rsidTr="00761BDF">
        <w:tc>
          <w:tcPr>
            <w:tcW w:w="632" w:type="dxa"/>
          </w:tcPr>
          <w:p w:rsidR="0021277B" w:rsidRDefault="005F6CE9" w:rsidP="00BF2354">
            <w:pPr>
              <w:pStyle w:val="NoSpacing"/>
            </w:pPr>
            <w:r>
              <w:t>51</w:t>
            </w:r>
          </w:p>
        </w:tc>
        <w:tc>
          <w:tcPr>
            <w:tcW w:w="1808" w:type="dxa"/>
          </w:tcPr>
          <w:p w:rsidR="0021277B" w:rsidRDefault="005F6CE9" w:rsidP="00BF2354">
            <w:pPr>
              <w:pStyle w:val="NoSpacing"/>
            </w:pPr>
            <w:r>
              <w:t>FRD 120M</w:t>
            </w:r>
          </w:p>
        </w:tc>
        <w:tc>
          <w:tcPr>
            <w:tcW w:w="7200" w:type="dxa"/>
          </w:tcPr>
          <w:p w:rsidR="0021277B" w:rsidRDefault="005F6CE9" w:rsidP="00BF2354">
            <w:pPr>
              <w:pStyle w:val="NoSpacing"/>
            </w:pPr>
            <w:r>
              <w:t xml:space="preserve">Accounting and reporting pronouncements applicable to the reporting period </w:t>
            </w:r>
          </w:p>
        </w:tc>
        <w:tc>
          <w:tcPr>
            <w:tcW w:w="1418" w:type="dxa"/>
          </w:tcPr>
          <w:p w:rsidR="0021277B" w:rsidRDefault="00CA03F1" w:rsidP="00761BDF">
            <w:pPr>
              <w:pStyle w:val="NoSpacing"/>
              <w:jc w:val="right"/>
            </w:pPr>
            <w:r>
              <w:t>52</w:t>
            </w:r>
          </w:p>
        </w:tc>
      </w:tr>
      <w:tr w:rsidR="005F6CE9" w:rsidTr="00BF2B41">
        <w:tc>
          <w:tcPr>
            <w:tcW w:w="11058" w:type="dxa"/>
            <w:gridSpan w:val="4"/>
          </w:tcPr>
          <w:p w:rsidR="005F6CE9" w:rsidRDefault="005F6CE9" w:rsidP="00BF2354">
            <w:pPr>
              <w:pStyle w:val="NoSpacing"/>
            </w:pPr>
            <w:r>
              <w:t>COMPLIANCE WITH OTHER LEGISLATION, SUBORDINATE INSTRUMENTS AND POLICIES</w:t>
            </w:r>
          </w:p>
        </w:tc>
      </w:tr>
      <w:tr w:rsidR="0021277B" w:rsidTr="00761BDF">
        <w:tc>
          <w:tcPr>
            <w:tcW w:w="632" w:type="dxa"/>
          </w:tcPr>
          <w:p w:rsidR="0021277B" w:rsidRDefault="005F6CE9" w:rsidP="00BF2354">
            <w:pPr>
              <w:pStyle w:val="NoSpacing"/>
            </w:pPr>
            <w:r>
              <w:t>52</w:t>
            </w:r>
          </w:p>
        </w:tc>
        <w:tc>
          <w:tcPr>
            <w:tcW w:w="1808" w:type="dxa"/>
          </w:tcPr>
          <w:p w:rsidR="0021277B" w:rsidRDefault="005F6CE9" w:rsidP="00BF2354">
            <w:pPr>
              <w:pStyle w:val="NoSpacing"/>
            </w:pPr>
            <w:r>
              <w:t>Legislation</w:t>
            </w:r>
          </w:p>
        </w:tc>
        <w:tc>
          <w:tcPr>
            <w:tcW w:w="7200" w:type="dxa"/>
          </w:tcPr>
          <w:p w:rsidR="0021277B" w:rsidRDefault="005F6CE9" w:rsidP="00BF2354">
            <w:pPr>
              <w:pStyle w:val="NoSpacing"/>
            </w:pPr>
            <w:r>
              <w:t>The TAFE Institute Annual Report must contain a statement that is complies with all relevant legislation, subordinate instruments, including, but not limited to, the following:</w:t>
            </w:r>
          </w:p>
          <w:p w:rsidR="005F6CE9" w:rsidRDefault="005F6CE9" w:rsidP="005F6CE9">
            <w:pPr>
              <w:pStyle w:val="NoSpacing"/>
              <w:numPr>
                <w:ilvl w:val="0"/>
                <w:numId w:val="7"/>
              </w:numPr>
            </w:pPr>
            <w:r>
              <w:t>Education and Training Reform Act 2006 (ETRA)</w:t>
            </w:r>
          </w:p>
          <w:p w:rsidR="005F6CE9" w:rsidRDefault="005F6CE9" w:rsidP="005F6CE9">
            <w:pPr>
              <w:pStyle w:val="NoSpacing"/>
              <w:numPr>
                <w:ilvl w:val="0"/>
                <w:numId w:val="7"/>
              </w:numPr>
            </w:pPr>
            <w:r>
              <w:t>TAFE institute constitution</w:t>
            </w:r>
          </w:p>
          <w:p w:rsidR="005F6CE9" w:rsidRDefault="005F6CE9" w:rsidP="005F6CE9">
            <w:pPr>
              <w:pStyle w:val="NoSpacing"/>
              <w:numPr>
                <w:ilvl w:val="0"/>
                <w:numId w:val="7"/>
              </w:numPr>
            </w:pPr>
            <w:r>
              <w:t>Directions of the Minister for Training and Skills (or predecessors)</w:t>
            </w:r>
          </w:p>
          <w:p w:rsidR="005F6CE9" w:rsidRDefault="005F6CE9" w:rsidP="005F6CE9">
            <w:pPr>
              <w:pStyle w:val="NoSpacing"/>
              <w:numPr>
                <w:ilvl w:val="0"/>
                <w:numId w:val="7"/>
              </w:numPr>
            </w:pPr>
            <w:r>
              <w:t>TAFE institute Commercial Guidelines</w:t>
            </w:r>
          </w:p>
          <w:p w:rsidR="005F6CE9" w:rsidRDefault="005F6CE9" w:rsidP="005F6CE9">
            <w:pPr>
              <w:pStyle w:val="NoSpacing"/>
              <w:numPr>
                <w:ilvl w:val="0"/>
                <w:numId w:val="7"/>
              </w:numPr>
            </w:pPr>
            <w:r>
              <w:t>TAFE institute Strategic Planning Guidelines</w:t>
            </w:r>
          </w:p>
          <w:p w:rsidR="005F6CE9" w:rsidRDefault="005F6CE9" w:rsidP="005F6CE9">
            <w:pPr>
              <w:pStyle w:val="NoSpacing"/>
              <w:numPr>
                <w:ilvl w:val="0"/>
                <w:numId w:val="7"/>
              </w:numPr>
            </w:pPr>
            <w:r>
              <w:t>Public Administration Act 2004</w:t>
            </w:r>
          </w:p>
          <w:p w:rsidR="005F6CE9" w:rsidRDefault="005F6CE9" w:rsidP="005F6CE9">
            <w:pPr>
              <w:pStyle w:val="NoSpacing"/>
              <w:numPr>
                <w:ilvl w:val="0"/>
                <w:numId w:val="7"/>
              </w:numPr>
            </w:pPr>
            <w:r>
              <w:t>Financial Management Act 1994</w:t>
            </w:r>
          </w:p>
          <w:p w:rsidR="005F6CE9" w:rsidRDefault="005F6CE9" w:rsidP="005F6CE9">
            <w:pPr>
              <w:pStyle w:val="NoSpacing"/>
              <w:numPr>
                <w:ilvl w:val="0"/>
                <w:numId w:val="7"/>
              </w:numPr>
            </w:pPr>
            <w:r>
              <w:t>Freedom of Information Act 1982</w:t>
            </w:r>
          </w:p>
          <w:p w:rsidR="005F6CE9" w:rsidRDefault="005F6CE9" w:rsidP="005F6CE9">
            <w:pPr>
              <w:pStyle w:val="NoSpacing"/>
              <w:numPr>
                <w:ilvl w:val="0"/>
                <w:numId w:val="7"/>
              </w:numPr>
            </w:pPr>
            <w:r>
              <w:t>Building Act 1993</w:t>
            </w:r>
          </w:p>
          <w:p w:rsidR="005F6CE9" w:rsidRDefault="005F6CE9" w:rsidP="005F6CE9">
            <w:pPr>
              <w:pStyle w:val="NoSpacing"/>
              <w:numPr>
                <w:ilvl w:val="0"/>
                <w:numId w:val="7"/>
              </w:numPr>
            </w:pPr>
            <w:r>
              <w:t>Protected Disclosure Act 2012</w:t>
            </w:r>
          </w:p>
          <w:p w:rsidR="005F6CE9" w:rsidRDefault="005F6CE9" w:rsidP="005F6CE9">
            <w:pPr>
              <w:pStyle w:val="NoSpacing"/>
              <w:numPr>
                <w:ilvl w:val="0"/>
                <w:numId w:val="7"/>
              </w:numPr>
            </w:pPr>
            <w:r>
              <w:lastRenderedPageBreak/>
              <w:t>Victorian Industry Participation Policy Act 2003</w:t>
            </w:r>
          </w:p>
        </w:tc>
        <w:tc>
          <w:tcPr>
            <w:tcW w:w="1418" w:type="dxa"/>
          </w:tcPr>
          <w:p w:rsidR="0021277B" w:rsidRDefault="00CA03F1" w:rsidP="00761BDF">
            <w:pPr>
              <w:pStyle w:val="NoSpacing"/>
              <w:jc w:val="right"/>
            </w:pPr>
            <w:r>
              <w:lastRenderedPageBreak/>
              <w:t>103</w:t>
            </w:r>
          </w:p>
        </w:tc>
      </w:tr>
      <w:tr w:rsidR="0021277B" w:rsidTr="00761BDF">
        <w:tc>
          <w:tcPr>
            <w:tcW w:w="632" w:type="dxa"/>
          </w:tcPr>
          <w:p w:rsidR="0021277B" w:rsidRDefault="005F6CE9" w:rsidP="00BF2354">
            <w:pPr>
              <w:pStyle w:val="NoSpacing"/>
            </w:pPr>
            <w:r>
              <w:t>53</w:t>
            </w:r>
          </w:p>
        </w:tc>
        <w:tc>
          <w:tcPr>
            <w:tcW w:w="1808" w:type="dxa"/>
          </w:tcPr>
          <w:p w:rsidR="0021277B" w:rsidRDefault="005F6CE9" w:rsidP="00BF2354">
            <w:pPr>
              <w:pStyle w:val="NoSpacing"/>
            </w:pPr>
            <w:r>
              <w:t>ETRA s3.2.8</w:t>
            </w:r>
          </w:p>
        </w:tc>
        <w:tc>
          <w:tcPr>
            <w:tcW w:w="7200" w:type="dxa"/>
          </w:tcPr>
          <w:p w:rsidR="0021277B" w:rsidRDefault="005F6CE9" w:rsidP="00BF2354">
            <w:pPr>
              <w:pStyle w:val="NoSpacing"/>
            </w:pPr>
            <w:r>
              <w:t>Statement about compulsory non-academic fees, subscriptions and charges payable in 2019</w:t>
            </w:r>
          </w:p>
        </w:tc>
        <w:tc>
          <w:tcPr>
            <w:tcW w:w="1418" w:type="dxa"/>
          </w:tcPr>
          <w:p w:rsidR="0021277B" w:rsidRDefault="00CA03F1" w:rsidP="00761BDF">
            <w:pPr>
              <w:pStyle w:val="NoSpacing"/>
              <w:jc w:val="right"/>
            </w:pPr>
            <w:r>
              <w:t>107</w:t>
            </w:r>
          </w:p>
        </w:tc>
      </w:tr>
      <w:tr w:rsidR="0021277B" w:rsidTr="00761BDF">
        <w:tc>
          <w:tcPr>
            <w:tcW w:w="632" w:type="dxa"/>
          </w:tcPr>
          <w:p w:rsidR="0021277B" w:rsidRDefault="005F6CE9" w:rsidP="00BF2354">
            <w:pPr>
              <w:pStyle w:val="NoSpacing"/>
            </w:pPr>
            <w:r>
              <w:t>54</w:t>
            </w:r>
          </w:p>
        </w:tc>
        <w:tc>
          <w:tcPr>
            <w:tcW w:w="1808" w:type="dxa"/>
          </w:tcPr>
          <w:p w:rsidR="0021277B" w:rsidRDefault="005F6CE9" w:rsidP="00BF2354">
            <w:pPr>
              <w:pStyle w:val="NoSpacing"/>
            </w:pPr>
            <w:r>
              <w:t>Policy</w:t>
            </w:r>
          </w:p>
        </w:tc>
        <w:tc>
          <w:tcPr>
            <w:tcW w:w="7200" w:type="dxa"/>
          </w:tcPr>
          <w:p w:rsidR="0021277B" w:rsidRDefault="005F6CE9" w:rsidP="00BF2354">
            <w:pPr>
              <w:pStyle w:val="NoSpacing"/>
            </w:pPr>
            <w:r>
              <w:t>Statement that the TAFE Institute complies with the Victorian Public Service Travel Policy</w:t>
            </w:r>
          </w:p>
        </w:tc>
        <w:tc>
          <w:tcPr>
            <w:tcW w:w="1418" w:type="dxa"/>
          </w:tcPr>
          <w:p w:rsidR="0021277B" w:rsidRDefault="00CA03F1" w:rsidP="00761BDF">
            <w:pPr>
              <w:pStyle w:val="NoSpacing"/>
              <w:jc w:val="right"/>
            </w:pPr>
            <w:r>
              <w:t>102</w:t>
            </w:r>
          </w:p>
        </w:tc>
      </w:tr>
      <w:tr w:rsidR="005F6CE9" w:rsidTr="00761BDF">
        <w:tc>
          <w:tcPr>
            <w:tcW w:w="632" w:type="dxa"/>
          </w:tcPr>
          <w:p w:rsidR="005F6CE9" w:rsidRDefault="005F6CE9" w:rsidP="00BF2354">
            <w:pPr>
              <w:pStyle w:val="NoSpacing"/>
            </w:pPr>
            <w:r>
              <w:t>55</w:t>
            </w:r>
          </w:p>
        </w:tc>
        <w:tc>
          <w:tcPr>
            <w:tcW w:w="1808" w:type="dxa"/>
          </w:tcPr>
          <w:p w:rsidR="005F6CE9" w:rsidRDefault="005F6CE9" w:rsidP="00BF2354">
            <w:pPr>
              <w:pStyle w:val="NoSpacing"/>
            </w:pPr>
            <w:r>
              <w:t>Key Performance Indicators</w:t>
            </w:r>
          </w:p>
        </w:tc>
        <w:tc>
          <w:tcPr>
            <w:tcW w:w="7200" w:type="dxa"/>
          </w:tcPr>
          <w:p w:rsidR="005F6CE9" w:rsidRDefault="005F6CE9" w:rsidP="00BF2354">
            <w:pPr>
              <w:pStyle w:val="NoSpacing"/>
            </w:pPr>
            <w:r>
              <w:t>See table on page 6 of the TAFE Institute 2019 Annual Report Guidelines for required formatting. Institutes to report against:</w:t>
            </w:r>
          </w:p>
          <w:p w:rsidR="005F6CE9" w:rsidRDefault="005F6CE9" w:rsidP="005F6CE9">
            <w:pPr>
              <w:pStyle w:val="NoSpacing"/>
              <w:numPr>
                <w:ilvl w:val="0"/>
                <w:numId w:val="8"/>
              </w:numPr>
            </w:pPr>
            <w:r>
              <w:t>Employment costs as a proportion of training revenue;</w:t>
            </w:r>
          </w:p>
          <w:p w:rsidR="005F6CE9" w:rsidRDefault="005F6CE9" w:rsidP="005F6CE9">
            <w:pPr>
              <w:pStyle w:val="NoSpacing"/>
              <w:numPr>
                <w:ilvl w:val="0"/>
                <w:numId w:val="8"/>
              </w:numPr>
            </w:pPr>
            <w:r>
              <w:t>Training revenue per teaching FTE;</w:t>
            </w:r>
          </w:p>
          <w:p w:rsidR="005F6CE9" w:rsidRDefault="005F6CE9" w:rsidP="005F6CE9">
            <w:pPr>
              <w:pStyle w:val="NoSpacing"/>
              <w:numPr>
                <w:ilvl w:val="0"/>
                <w:numId w:val="8"/>
              </w:numPr>
            </w:pPr>
            <w:r>
              <w:t>Operating margin percentage;</w:t>
            </w:r>
          </w:p>
          <w:p w:rsidR="005F6CE9" w:rsidRDefault="005F6CE9" w:rsidP="005F6CE9">
            <w:pPr>
              <w:pStyle w:val="NoSpacing"/>
              <w:numPr>
                <w:ilvl w:val="0"/>
                <w:numId w:val="8"/>
              </w:numPr>
            </w:pPr>
            <w:r>
              <w:t>Training revenue diversity.</w:t>
            </w:r>
          </w:p>
        </w:tc>
        <w:tc>
          <w:tcPr>
            <w:tcW w:w="1418" w:type="dxa"/>
          </w:tcPr>
          <w:p w:rsidR="005F6CE9" w:rsidRDefault="00CA03F1" w:rsidP="00761BDF">
            <w:pPr>
              <w:pStyle w:val="NoSpacing"/>
              <w:jc w:val="right"/>
            </w:pPr>
            <w:r>
              <w:t>97</w:t>
            </w:r>
          </w:p>
        </w:tc>
      </w:tr>
      <w:tr w:rsidR="005F6CE9" w:rsidTr="00BF2B41">
        <w:tc>
          <w:tcPr>
            <w:tcW w:w="11058" w:type="dxa"/>
            <w:gridSpan w:val="4"/>
          </w:tcPr>
          <w:p w:rsidR="005F6CE9" w:rsidRDefault="005F6CE9" w:rsidP="00BF2354">
            <w:pPr>
              <w:pStyle w:val="NoSpacing"/>
            </w:pPr>
            <w:r>
              <w:t xml:space="preserve">OVERSEAS OPERATIONS OF VICTORIAN TAFE INSTITUTES </w:t>
            </w:r>
          </w:p>
        </w:tc>
      </w:tr>
      <w:tr w:rsidR="005F6CE9" w:rsidTr="00761BDF">
        <w:tc>
          <w:tcPr>
            <w:tcW w:w="632" w:type="dxa"/>
          </w:tcPr>
          <w:p w:rsidR="005F6CE9" w:rsidRDefault="005D0902" w:rsidP="00BF2354">
            <w:pPr>
              <w:pStyle w:val="NoSpacing"/>
            </w:pPr>
            <w:r>
              <w:t>56</w:t>
            </w:r>
          </w:p>
        </w:tc>
        <w:tc>
          <w:tcPr>
            <w:tcW w:w="1808" w:type="dxa"/>
          </w:tcPr>
          <w:p w:rsidR="005F6CE9" w:rsidRDefault="005D0902" w:rsidP="00BF2354">
            <w:pPr>
              <w:pStyle w:val="NoSpacing"/>
            </w:pPr>
            <w:r>
              <w:t>PAEC and VAGE (June 2003 Special Review- Recommendation 11)</w:t>
            </w:r>
          </w:p>
        </w:tc>
        <w:tc>
          <w:tcPr>
            <w:tcW w:w="7200" w:type="dxa"/>
          </w:tcPr>
          <w:p w:rsidR="005F6CE9" w:rsidRDefault="005D0902" w:rsidP="005D0902">
            <w:pPr>
              <w:pStyle w:val="NoSpacing"/>
              <w:numPr>
                <w:ilvl w:val="0"/>
                <w:numId w:val="9"/>
              </w:numPr>
            </w:pPr>
            <w:r>
              <w:t>Financial and other information on initiatives taken or strategies relating to the institute’s overseas operations</w:t>
            </w:r>
          </w:p>
          <w:p w:rsidR="005D0902" w:rsidRDefault="005D0902" w:rsidP="005D0902">
            <w:pPr>
              <w:pStyle w:val="NoSpacing"/>
              <w:numPr>
                <w:ilvl w:val="0"/>
                <w:numId w:val="9"/>
              </w:numPr>
            </w:pPr>
            <w:r>
              <w:t>Nature of strategic and operational risks or overseas operations</w:t>
            </w:r>
          </w:p>
          <w:p w:rsidR="005D0902" w:rsidRDefault="005D0902" w:rsidP="005D0902">
            <w:pPr>
              <w:pStyle w:val="NoSpacing"/>
              <w:numPr>
                <w:ilvl w:val="0"/>
                <w:numId w:val="9"/>
              </w:numPr>
            </w:pPr>
            <w:r>
              <w:t>Strategies established to manage such risks of overseas operations</w:t>
            </w:r>
          </w:p>
          <w:p w:rsidR="005D0902" w:rsidRDefault="005D0902" w:rsidP="005D0902">
            <w:pPr>
              <w:pStyle w:val="NoSpacing"/>
              <w:numPr>
                <w:ilvl w:val="0"/>
                <w:numId w:val="9"/>
              </w:numPr>
            </w:pPr>
            <w:r>
              <w:t>Performance measures and targets formulated for overseas operations</w:t>
            </w:r>
          </w:p>
          <w:p w:rsidR="005D0902" w:rsidRDefault="005D0902" w:rsidP="005D0902">
            <w:pPr>
              <w:pStyle w:val="NoSpacing"/>
              <w:numPr>
                <w:ilvl w:val="0"/>
                <w:numId w:val="9"/>
              </w:numPr>
            </w:pPr>
            <w:r>
              <w:t>The extent to which expected outcomes for overseas operations have been achieved</w:t>
            </w:r>
          </w:p>
        </w:tc>
        <w:tc>
          <w:tcPr>
            <w:tcW w:w="1418" w:type="dxa"/>
          </w:tcPr>
          <w:p w:rsidR="005F6CE9" w:rsidRDefault="00CA03F1" w:rsidP="00761BDF">
            <w:pPr>
              <w:pStyle w:val="NoSpacing"/>
              <w:jc w:val="right"/>
            </w:pPr>
            <w:r>
              <w:t>13-14, 53-55</w:t>
            </w:r>
          </w:p>
        </w:tc>
      </w:tr>
    </w:tbl>
    <w:p w:rsidR="005D0902" w:rsidRDefault="005D0902" w:rsidP="005D0902">
      <w:pPr>
        <w:pStyle w:val="NoSpacing"/>
      </w:pPr>
    </w:p>
    <w:p w:rsidR="005D0902" w:rsidRDefault="008B6297" w:rsidP="005D0902">
      <w:pPr>
        <w:pStyle w:val="NoSpacing"/>
      </w:pPr>
      <w:r>
        <w:t>&lt;page</w:t>
      </w:r>
      <w:r w:rsidR="00CA03F1">
        <w:t xml:space="preserve"> 101</w:t>
      </w:r>
      <w:r>
        <w:t>&gt;</w:t>
      </w:r>
    </w:p>
    <w:p w:rsidR="008B6297" w:rsidRDefault="008B6297" w:rsidP="005D0902">
      <w:pPr>
        <w:pStyle w:val="NoSpacing"/>
      </w:pPr>
    </w:p>
    <w:p w:rsidR="008B6297" w:rsidRDefault="008B6297" w:rsidP="008B6297">
      <w:pPr>
        <w:pStyle w:val="Heading2"/>
      </w:pPr>
      <w:r>
        <w:t xml:space="preserve">Additional Compliance Reports </w:t>
      </w:r>
    </w:p>
    <w:p w:rsidR="008B6297" w:rsidRDefault="008B6297" w:rsidP="005D0902">
      <w:pPr>
        <w:pStyle w:val="NoSpacing"/>
      </w:pPr>
    </w:p>
    <w:p w:rsidR="008B6297" w:rsidRDefault="008B6297" w:rsidP="00CA03F1">
      <w:pPr>
        <w:pStyle w:val="Heading3"/>
      </w:pPr>
      <w:r>
        <w:t>Victorian Public Sector Travel Principles</w:t>
      </w:r>
    </w:p>
    <w:p w:rsidR="00CA03F1" w:rsidRDefault="00CA03F1" w:rsidP="005D0902">
      <w:pPr>
        <w:pStyle w:val="NoSpacing"/>
      </w:pPr>
    </w:p>
    <w:p w:rsidR="00CA03F1" w:rsidRDefault="00CA03F1" w:rsidP="005D0902">
      <w:pPr>
        <w:pStyle w:val="NoSpacing"/>
      </w:pPr>
      <w:r>
        <w:t>Chisholm has policy and procedures in relation to domestic and international travel and accommodation to ensure its compliance with the Victorian Public Service Travel Policy. This applies to all employees of Chisholm and its controlled entities. Directly linked to the travel policy are policies involving staff code of conduct, gifts, benefits and hospitality, health and safety, and travel expenditure.</w:t>
      </w:r>
    </w:p>
    <w:p w:rsidR="008B6297" w:rsidRDefault="008B6297" w:rsidP="005D0902">
      <w:pPr>
        <w:pStyle w:val="NoSpacing"/>
      </w:pPr>
    </w:p>
    <w:p w:rsidR="008B6297" w:rsidRDefault="001A159C" w:rsidP="00883470">
      <w:pPr>
        <w:pStyle w:val="Heading3"/>
      </w:pPr>
      <w:r>
        <w:t>Application and Operation of the Protected Disclosure Act 2012</w:t>
      </w:r>
    </w:p>
    <w:p w:rsidR="004775B2" w:rsidRPr="004775B2" w:rsidRDefault="004775B2" w:rsidP="004775B2">
      <w:pPr>
        <w:pStyle w:val="NoSpacing"/>
      </w:pPr>
    </w:p>
    <w:p w:rsidR="00883470" w:rsidRDefault="00883470" w:rsidP="00883470">
      <w:pPr>
        <w:pStyle w:val="NoSpacing"/>
      </w:pPr>
      <w:r>
        <w:t>The Protected Disclosure Act 2012 encourages and helps people disclose improper conduct by public officers and public bodies. It provides protection to people who make disclosures and establishes a system for the matters disclosed to be investigated and rectifying action to be taken.</w:t>
      </w:r>
    </w:p>
    <w:p w:rsidR="00883470" w:rsidRDefault="00883470" w:rsidP="00883470">
      <w:pPr>
        <w:pStyle w:val="NoSpacing"/>
      </w:pPr>
    </w:p>
    <w:p w:rsidR="00883470" w:rsidRDefault="00883470" w:rsidP="00883470">
      <w:pPr>
        <w:pStyle w:val="NoSpacing"/>
      </w:pPr>
      <w:r>
        <w:t>Chisholm does not tolerate improper conduct by employees, nor reprisal taken against those who disclose such conduct. It is committed to ensuring transparency and accountability in administrative and management practices, and supports the making of disclosures that reveal corrupt conduct, conduct involving a substantial mismanagement of public resources, or conduct involving a substantial risk to public health and safety or the environment.</w:t>
      </w:r>
    </w:p>
    <w:p w:rsidR="00883470" w:rsidRDefault="00883470" w:rsidP="00883470">
      <w:pPr>
        <w:pStyle w:val="NoSpacing"/>
      </w:pPr>
    </w:p>
    <w:p w:rsidR="00883470" w:rsidRDefault="00883470" w:rsidP="00883470">
      <w:pPr>
        <w:pStyle w:val="NoSpacing"/>
      </w:pPr>
      <w:r>
        <w:t>Chisholm takes all reasonable steps to protect people from any detrimental action in reprisal for making such disclosures.</w:t>
      </w:r>
    </w:p>
    <w:p w:rsidR="00883470" w:rsidRDefault="00883470" w:rsidP="00883470">
      <w:pPr>
        <w:pStyle w:val="NoSpacing"/>
        <w:rPr>
          <w:rFonts w:ascii="ProximaNovaA-Semibold" w:hAnsi="ProximaNovaA-Semibold" w:cs="ProximaNovaA-Semibold"/>
          <w:sz w:val="20"/>
          <w:szCs w:val="20"/>
        </w:rPr>
      </w:pPr>
    </w:p>
    <w:p w:rsidR="00883470" w:rsidRDefault="00883470" w:rsidP="00883470">
      <w:pPr>
        <w:pStyle w:val="Heading4"/>
      </w:pPr>
      <w:r>
        <w:t>Making a disclosure</w:t>
      </w:r>
    </w:p>
    <w:p w:rsidR="00883470" w:rsidRDefault="00883470" w:rsidP="00883470">
      <w:pPr>
        <w:pStyle w:val="NoSpacing"/>
      </w:pPr>
    </w:p>
    <w:p w:rsidR="00883470" w:rsidRDefault="00883470" w:rsidP="00883470">
      <w:pPr>
        <w:pStyle w:val="NoSpacing"/>
      </w:pPr>
      <w:r>
        <w:lastRenderedPageBreak/>
        <w:t>Disclosures of improper conduct or detrimental action by Chisholm or any of its employees may be made to:</w:t>
      </w:r>
    </w:p>
    <w:p w:rsidR="00883470" w:rsidRDefault="00883470" w:rsidP="00883470">
      <w:pPr>
        <w:pStyle w:val="NoSpacing"/>
      </w:pPr>
    </w:p>
    <w:p w:rsidR="00883470" w:rsidRDefault="00883470" w:rsidP="00883470">
      <w:pPr>
        <w:pStyle w:val="NoSpacing"/>
      </w:pPr>
      <w:r>
        <w:t>Ms Delia McIver</w:t>
      </w:r>
    </w:p>
    <w:p w:rsidR="00883470" w:rsidRDefault="00883470" w:rsidP="00883470">
      <w:pPr>
        <w:pStyle w:val="NoSpacing"/>
      </w:pPr>
      <w:r>
        <w:t>Protected Disclosure Coordinator Executive Director, People, Culture &amp; Safety</w:t>
      </w:r>
    </w:p>
    <w:p w:rsidR="00883470" w:rsidRDefault="00883470" w:rsidP="00883470">
      <w:pPr>
        <w:pStyle w:val="NoSpacing"/>
      </w:pPr>
    </w:p>
    <w:p w:rsidR="00883470" w:rsidRDefault="00883470" w:rsidP="00883470">
      <w:pPr>
        <w:pStyle w:val="NoSpacing"/>
      </w:pPr>
      <w:r>
        <w:t>Chisholm Institute</w:t>
      </w:r>
    </w:p>
    <w:p w:rsidR="00883470" w:rsidRDefault="00883470" w:rsidP="00883470">
      <w:pPr>
        <w:pStyle w:val="NoSpacing"/>
      </w:pPr>
      <w:r>
        <w:t>Street address: 121 Stud Road, Dandenong VIC 3175</w:t>
      </w:r>
    </w:p>
    <w:p w:rsidR="00883470" w:rsidRDefault="00883470" w:rsidP="00883470">
      <w:pPr>
        <w:pStyle w:val="NoSpacing"/>
      </w:pPr>
      <w:r>
        <w:t>Mailing address: PO Box 684, Dandenong VIC 3175</w:t>
      </w:r>
    </w:p>
    <w:p w:rsidR="00883470" w:rsidRDefault="00883470" w:rsidP="00883470">
      <w:pPr>
        <w:pStyle w:val="NoSpacing"/>
      </w:pPr>
      <w:r>
        <w:t>T: +61 3 9212 5360</w:t>
      </w:r>
    </w:p>
    <w:p w:rsidR="00883470" w:rsidRDefault="00883470" w:rsidP="00883470">
      <w:pPr>
        <w:pStyle w:val="NoSpacing"/>
      </w:pPr>
      <w:r>
        <w:t xml:space="preserve">E: </w:t>
      </w:r>
      <w:hyperlink r:id="rId11" w:history="1">
        <w:r w:rsidRPr="00453E9C">
          <w:rPr>
            <w:rStyle w:val="Hyperlink"/>
          </w:rPr>
          <w:t>delia.mciver@chisholm.edu.au</w:t>
        </w:r>
      </w:hyperlink>
      <w:r>
        <w:t xml:space="preserve"> or one of the following officers of the Institute:</w:t>
      </w:r>
    </w:p>
    <w:p w:rsidR="00883470" w:rsidRDefault="00883470" w:rsidP="00925530">
      <w:pPr>
        <w:pStyle w:val="NoSpacing"/>
        <w:numPr>
          <w:ilvl w:val="0"/>
          <w:numId w:val="65"/>
        </w:numPr>
      </w:pPr>
      <w:r>
        <w:t>a manager or supervisor of a person from the Institute who chooses to make a disclosure</w:t>
      </w:r>
    </w:p>
    <w:p w:rsidR="00883470" w:rsidRDefault="00883470" w:rsidP="00925530">
      <w:pPr>
        <w:pStyle w:val="NoSpacing"/>
        <w:numPr>
          <w:ilvl w:val="0"/>
          <w:numId w:val="65"/>
        </w:numPr>
      </w:pPr>
      <w:r>
        <w:t>a manager or supervisor of a person from the Institute about whom a disclosure has been made or:</w:t>
      </w:r>
    </w:p>
    <w:p w:rsidR="00883470" w:rsidRDefault="00883470" w:rsidP="00883470">
      <w:pPr>
        <w:pStyle w:val="NoSpacing"/>
      </w:pPr>
    </w:p>
    <w:p w:rsidR="00883470" w:rsidRDefault="00883470" w:rsidP="00883470">
      <w:pPr>
        <w:pStyle w:val="NoSpacing"/>
      </w:pPr>
      <w:r>
        <w:t>The Independent Broad-based Anti-corruption Commission</w:t>
      </w:r>
    </w:p>
    <w:p w:rsidR="00883470" w:rsidRDefault="00883470" w:rsidP="00883470">
      <w:pPr>
        <w:pStyle w:val="NoSpacing"/>
      </w:pPr>
      <w:r>
        <w:t>Street address: Level 1, North Tower 459 Collins Street, Melbourne VIC 3000</w:t>
      </w:r>
    </w:p>
    <w:p w:rsidR="00883470" w:rsidRDefault="00883470" w:rsidP="00883470">
      <w:pPr>
        <w:pStyle w:val="NoSpacing"/>
      </w:pPr>
      <w:r>
        <w:t>Postal address: GPO Box 24234, Melbourne VIC 3001</w:t>
      </w:r>
    </w:p>
    <w:p w:rsidR="00883470" w:rsidRDefault="00883470" w:rsidP="00883470">
      <w:pPr>
        <w:pStyle w:val="NoSpacing"/>
      </w:pPr>
      <w:r>
        <w:t>T: 1300 735 135</w:t>
      </w:r>
    </w:p>
    <w:p w:rsidR="001A159C" w:rsidRDefault="006B2929" w:rsidP="00883470">
      <w:pPr>
        <w:pStyle w:val="NoSpacing"/>
      </w:pPr>
      <w:hyperlink r:id="rId12" w:history="1">
        <w:r w:rsidR="00883470" w:rsidRPr="00453E9C">
          <w:rPr>
            <w:rStyle w:val="Hyperlink"/>
          </w:rPr>
          <w:t>www.ibac.vic.gov.au</w:t>
        </w:r>
      </w:hyperlink>
      <w:r w:rsidR="00883470">
        <w:t xml:space="preserve"> </w:t>
      </w:r>
    </w:p>
    <w:p w:rsidR="00CA03F1" w:rsidRDefault="00CA03F1" w:rsidP="005D0902">
      <w:pPr>
        <w:pStyle w:val="NoSpacing"/>
      </w:pPr>
    </w:p>
    <w:tbl>
      <w:tblPr>
        <w:tblStyle w:val="TableGrid"/>
        <w:tblW w:w="10774" w:type="dxa"/>
        <w:tblInd w:w="-856" w:type="dxa"/>
        <w:tblLook w:val="04A0" w:firstRow="1" w:lastRow="0" w:firstColumn="1" w:lastColumn="0" w:noHBand="0" w:noVBand="1"/>
      </w:tblPr>
      <w:tblGrid>
        <w:gridCol w:w="7797"/>
        <w:gridCol w:w="1418"/>
        <w:gridCol w:w="1559"/>
      </w:tblGrid>
      <w:tr w:rsidR="00883470" w:rsidTr="00883470">
        <w:tc>
          <w:tcPr>
            <w:tcW w:w="7797" w:type="dxa"/>
          </w:tcPr>
          <w:p w:rsidR="00883470" w:rsidRDefault="00883470" w:rsidP="005D0902">
            <w:pPr>
              <w:pStyle w:val="NoSpacing"/>
            </w:pPr>
            <w:r>
              <w:t>Disclosures under the Protected Disclosure Act 2012</w:t>
            </w:r>
          </w:p>
        </w:tc>
        <w:tc>
          <w:tcPr>
            <w:tcW w:w="1418" w:type="dxa"/>
          </w:tcPr>
          <w:p w:rsidR="00883470" w:rsidRDefault="00883470" w:rsidP="00883470">
            <w:pPr>
              <w:pStyle w:val="NoSpacing"/>
              <w:jc w:val="right"/>
            </w:pPr>
            <w:r>
              <w:t>2019</w:t>
            </w:r>
          </w:p>
        </w:tc>
        <w:tc>
          <w:tcPr>
            <w:tcW w:w="1559" w:type="dxa"/>
          </w:tcPr>
          <w:p w:rsidR="00883470" w:rsidRDefault="00883470" w:rsidP="00883470">
            <w:pPr>
              <w:pStyle w:val="NoSpacing"/>
              <w:jc w:val="right"/>
            </w:pPr>
            <w:r>
              <w:t>2018</w:t>
            </w:r>
          </w:p>
        </w:tc>
      </w:tr>
      <w:tr w:rsidR="00883470" w:rsidTr="00883470">
        <w:tc>
          <w:tcPr>
            <w:tcW w:w="7797" w:type="dxa"/>
          </w:tcPr>
          <w:p w:rsidR="00883470" w:rsidRDefault="00883470" w:rsidP="005D0902">
            <w:pPr>
              <w:pStyle w:val="NoSpacing"/>
            </w:pPr>
            <w:r>
              <w:t>The number of disclosures made by an individual to Chisholm and notified to the Independent Broad-based Anti-corruption Commission – accessible disclosures</w:t>
            </w:r>
          </w:p>
        </w:tc>
        <w:tc>
          <w:tcPr>
            <w:tcW w:w="1418" w:type="dxa"/>
          </w:tcPr>
          <w:p w:rsidR="00883470" w:rsidRDefault="00883470" w:rsidP="00883470">
            <w:pPr>
              <w:pStyle w:val="NoSpacing"/>
              <w:jc w:val="right"/>
            </w:pPr>
            <w:r>
              <w:t>0</w:t>
            </w:r>
          </w:p>
        </w:tc>
        <w:tc>
          <w:tcPr>
            <w:tcW w:w="1559" w:type="dxa"/>
          </w:tcPr>
          <w:p w:rsidR="00883470" w:rsidRDefault="00883470" w:rsidP="00883470">
            <w:pPr>
              <w:pStyle w:val="NoSpacing"/>
              <w:jc w:val="right"/>
            </w:pPr>
            <w:r>
              <w:t>0</w:t>
            </w:r>
          </w:p>
        </w:tc>
      </w:tr>
    </w:tbl>
    <w:p w:rsidR="00883470" w:rsidRDefault="00883470" w:rsidP="005D0902">
      <w:pPr>
        <w:pStyle w:val="NoSpacing"/>
      </w:pPr>
    </w:p>
    <w:p w:rsidR="001A159C" w:rsidRDefault="001A159C" w:rsidP="00883470">
      <w:pPr>
        <w:pStyle w:val="Heading3"/>
      </w:pPr>
      <w:r>
        <w:t>Local Jobs First – Victorian Industry Participation Policy Implementation</w:t>
      </w:r>
    </w:p>
    <w:p w:rsidR="004775B2" w:rsidRDefault="004775B2" w:rsidP="00883470">
      <w:pPr>
        <w:pStyle w:val="NoSpacing"/>
      </w:pPr>
    </w:p>
    <w:p w:rsidR="00883470" w:rsidRDefault="00883470" w:rsidP="00883470">
      <w:pPr>
        <w:pStyle w:val="NoSpacing"/>
      </w:pPr>
      <w:r>
        <w:t>The Victorian Industry Participation</w:t>
      </w:r>
      <w:r w:rsidR="00533549">
        <w:t xml:space="preserve"> </w:t>
      </w:r>
      <w:r>
        <w:t>Policy Act 2003 requires departments</w:t>
      </w:r>
      <w:r w:rsidR="00533549">
        <w:t xml:space="preserve"> </w:t>
      </w:r>
      <w:r>
        <w:t>and public sector bodies to report on</w:t>
      </w:r>
      <w:r w:rsidR="00533549">
        <w:t xml:space="preserve"> </w:t>
      </w:r>
      <w:r>
        <w:t>the implementation of the Local Jobs</w:t>
      </w:r>
      <w:r w:rsidR="00533549">
        <w:t xml:space="preserve"> </w:t>
      </w:r>
      <w:r>
        <w:t>First – Victorian Industry Participation</w:t>
      </w:r>
      <w:r w:rsidR="00533549">
        <w:t xml:space="preserve"> </w:t>
      </w:r>
      <w:r>
        <w:t>Policy (Local Jobs First – VIPP).</w:t>
      </w:r>
    </w:p>
    <w:p w:rsidR="00533549" w:rsidRDefault="00533549" w:rsidP="00883470">
      <w:pPr>
        <w:pStyle w:val="NoSpacing"/>
      </w:pPr>
    </w:p>
    <w:p w:rsidR="00883470" w:rsidRDefault="00883470" w:rsidP="00883470">
      <w:pPr>
        <w:pStyle w:val="NoSpacing"/>
      </w:pPr>
      <w:r>
        <w:t>Departments and public sector</w:t>
      </w:r>
      <w:r w:rsidR="00533549">
        <w:t xml:space="preserve"> </w:t>
      </w:r>
      <w:r>
        <w:t>bodies are required to apply the Local</w:t>
      </w:r>
      <w:r w:rsidR="00533549">
        <w:t xml:space="preserve"> </w:t>
      </w:r>
      <w:r>
        <w:t>Jobs First – VIPP in all procurement</w:t>
      </w:r>
      <w:r w:rsidR="00533549">
        <w:t xml:space="preserve"> </w:t>
      </w:r>
      <w:r>
        <w:t>activities valued at $3 million or more</w:t>
      </w:r>
      <w:r w:rsidR="00533549">
        <w:t xml:space="preserve"> </w:t>
      </w:r>
      <w:r>
        <w:t>in metropolitan Melbourne and for</w:t>
      </w:r>
      <w:r w:rsidR="00533549">
        <w:t xml:space="preserve"> </w:t>
      </w:r>
      <w:r>
        <w:t>statewide projects of $1 million or more</w:t>
      </w:r>
      <w:r w:rsidR="00533549">
        <w:t xml:space="preserve"> </w:t>
      </w:r>
      <w:r>
        <w:t>for procurement activities in regional</w:t>
      </w:r>
      <w:r w:rsidR="00533549">
        <w:t xml:space="preserve"> </w:t>
      </w:r>
      <w:r>
        <w:t>Victoria.</w:t>
      </w:r>
    </w:p>
    <w:p w:rsidR="00533549" w:rsidRDefault="00533549" w:rsidP="00883470">
      <w:pPr>
        <w:pStyle w:val="NoSpacing"/>
      </w:pPr>
    </w:p>
    <w:p w:rsidR="00883470" w:rsidRDefault="00533549" w:rsidP="00883470">
      <w:pPr>
        <w:pStyle w:val="NoSpacing"/>
      </w:pPr>
      <w:r>
        <w:t>During 2019, C</w:t>
      </w:r>
      <w:r w:rsidR="00883470">
        <w:t>hisholm completed one</w:t>
      </w:r>
      <w:r>
        <w:t xml:space="preserve"> </w:t>
      </w:r>
      <w:r w:rsidR="00883470">
        <w:t>Local Jobs First - VIPP applicable or</w:t>
      </w:r>
      <w:r>
        <w:t xml:space="preserve"> </w:t>
      </w:r>
      <w:r w:rsidR="00883470">
        <w:t>Local Industry Development Plan (LIDP)</w:t>
      </w:r>
      <w:r>
        <w:t xml:space="preserve"> </w:t>
      </w:r>
      <w:r w:rsidR="00883470">
        <w:t>applicable procurement totalling $60</w:t>
      </w:r>
      <w:r>
        <w:t xml:space="preserve"> </w:t>
      </w:r>
      <w:r w:rsidR="00883470">
        <w:t>million of total project costs.</w:t>
      </w:r>
    </w:p>
    <w:p w:rsidR="00533549" w:rsidRDefault="00533549" w:rsidP="00883470">
      <w:pPr>
        <w:pStyle w:val="NoSpacing"/>
      </w:pPr>
    </w:p>
    <w:p w:rsidR="00883470" w:rsidRDefault="00883470" w:rsidP="00883470">
      <w:pPr>
        <w:pStyle w:val="NoSpacing"/>
      </w:pPr>
      <w:r>
        <w:t>Frankston Redevelopment Project</w:t>
      </w:r>
      <w:r w:rsidR="00533549">
        <w:t xml:space="preserve"> </w:t>
      </w:r>
      <w:r>
        <w:t>expenditure in 2019 was $15,476,555</w:t>
      </w:r>
      <w:r w:rsidR="00533549">
        <w:t xml:space="preserve"> </w:t>
      </w:r>
      <w:r>
        <w:t>representing 93 per cent of estimated</w:t>
      </w:r>
      <w:r w:rsidR="00533549">
        <w:t xml:space="preserve"> </w:t>
      </w:r>
      <w:r>
        <w:t>local content. These were split:</w:t>
      </w:r>
    </w:p>
    <w:p w:rsidR="00883470" w:rsidRDefault="00883470" w:rsidP="00925530">
      <w:pPr>
        <w:pStyle w:val="NoSpacing"/>
        <w:numPr>
          <w:ilvl w:val="0"/>
          <w:numId w:val="71"/>
        </w:numPr>
      </w:pPr>
      <w:r>
        <w:t>metropolitan 70 per cent</w:t>
      </w:r>
    </w:p>
    <w:p w:rsidR="00883470" w:rsidRDefault="00883470" w:rsidP="00925530">
      <w:pPr>
        <w:pStyle w:val="NoSpacing"/>
        <w:numPr>
          <w:ilvl w:val="0"/>
          <w:numId w:val="70"/>
        </w:numPr>
      </w:pPr>
      <w:r>
        <w:t>regional 20 per cent</w:t>
      </w:r>
    </w:p>
    <w:p w:rsidR="00883470" w:rsidRDefault="00883470" w:rsidP="00925530">
      <w:pPr>
        <w:pStyle w:val="NoSpacing"/>
        <w:numPr>
          <w:ilvl w:val="0"/>
          <w:numId w:val="69"/>
        </w:numPr>
      </w:pPr>
      <w:r>
        <w:t>state 10 per cent.</w:t>
      </w:r>
    </w:p>
    <w:p w:rsidR="00533549" w:rsidRDefault="00533549" w:rsidP="00883470">
      <w:pPr>
        <w:pStyle w:val="NoSpacing"/>
      </w:pPr>
    </w:p>
    <w:p w:rsidR="00883470" w:rsidRDefault="00883470" w:rsidP="00883470">
      <w:pPr>
        <w:pStyle w:val="NoSpacing"/>
      </w:pPr>
      <w:r>
        <w:t>During 2019 the total VIPP Plan or LID</w:t>
      </w:r>
      <w:r w:rsidR="00533549">
        <w:t xml:space="preserve">P </w:t>
      </w:r>
      <w:r>
        <w:t>commitments achieved as a result of</w:t>
      </w:r>
      <w:r w:rsidR="00533549">
        <w:t xml:space="preserve"> </w:t>
      </w:r>
      <w:r>
        <w:t>this completed contract include:</w:t>
      </w:r>
    </w:p>
    <w:p w:rsidR="00883470" w:rsidRDefault="00883470" w:rsidP="00925530">
      <w:pPr>
        <w:pStyle w:val="NoSpacing"/>
        <w:numPr>
          <w:ilvl w:val="0"/>
          <w:numId w:val="68"/>
        </w:numPr>
      </w:pPr>
      <w:r>
        <w:t>1 new apprenticeship/traineeship</w:t>
      </w:r>
    </w:p>
    <w:p w:rsidR="00883470" w:rsidRDefault="00883470" w:rsidP="00925530">
      <w:pPr>
        <w:pStyle w:val="NoSpacing"/>
        <w:numPr>
          <w:ilvl w:val="0"/>
          <w:numId w:val="67"/>
        </w:numPr>
      </w:pPr>
      <w:r>
        <w:t>2 new cadetships</w:t>
      </w:r>
    </w:p>
    <w:p w:rsidR="001A159C" w:rsidRDefault="00883470" w:rsidP="00925530">
      <w:pPr>
        <w:pStyle w:val="NoSpacing"/>
        <w:numPr>
          <w:ilvl w:val="0"/>
          <w:numId w:val="66"/>
        </w:numPr>
      </w:pPr>
      <w:r>
        <w:t>13 retained apprenticeships/traineeships.</w:t>
      </w:r>
    </w:p>
    <w:p w:rsidR="00CA03F1" w:rsidRDefault="00CA03F1" w:rsidP="005D0902">
      <w:pPr>
        <w:pStyle w:val="NoSpacing"/>
      </w:pPr>
    </w:p>
    <w:p w:rsidR="001A159C" w:rsidRDefault="001A159C" w:rsidP="00533549">
      <w:pPr>
        <w:pStyle w:val="Heading3"/>
      </w:pPr>
      <w:r>
        <w:lastRenderedPageBreak/>
        <w:t>Compliance with the Carer’s Recognition Act 2012</w:t>
      </w:r>
    </w:p>
    <w:p w:rsidR="004775B2" w:rsidRDefault="004775B2" w:rsidP="005D0902">
      <w:pPr>
        <w:pStyle w:val="NoSpacing"/>
      </w:pPr>
    </w:p>
    <w:p w:rsidR="001A159C" w:rsidRDefault="00533549" w:rsidP="005D0902">
      <w:pPr>
        <w:pStyle w:val="NoSpacing"/>
      </w:pPr>
      <w:r>
        <w:t>Chisholm has taken all practical measures to comply with its obligations under the Act. These include:</w:t>
      </w:r>
    </w:p>
    <w:p w:rsidR="00533549" w:rsidRDefault="00533549" w:rsidP="00925530">
      <w:pPr>
        <w:pStyle w:val="NoSpacing"/>
        <w:numPr>
          <w:ilvl w:val="0"/>
          <w:numId w:val="66"/>
        </w:numPr>
      </w:pPr>
      <w:r>
        <w:t>ensuring staff have an awareness and understanding of the care relationship principles set out in the Act, which includes communicating information about the principles in the Act and what they mean for staff; induction information provided to staff upon commencement and proactive discussion between staff and their managers</w:t>
      </w:r>
    </w:p>
    <w:p w:rsidR="00533549" w:rsidRDefault="00533549" w:rsidP="00925530">
      <w:pPr>
        <w:pStyle w:val="NoSpacing"/>
        <w:numPr>
          <w:ilvl w:val="0"/>
          <w:numId w:val="66"/>
        </w:numPr>
      </w:pPr>
      <w:r>
        <w:t xml:space="preserve">considering the care relationship principles set out in the Act when setting policies and procedures and providing services. This includes a regular review of employment policies such as flexible working arrangements and leave provisions to ensure that these comply with the statement of principles in the Act. </w:t>
      </w:r>
    </w:p>
    <w:p w:rsidR="00533549" w:rsidRDefault="00533549" w:rsidP="00533549">
      <w:pPr>
        <w:pStyle w:val="NoSpacing"/>
      </w:pPr>
    </w:p>
    <w:p w:rsidR="00533549" w:rsidRDefault="00533549" w:rsidP="00533549">
      <w:pPr>
        <w:pStyle w:val="NoSpacing"/>
      </w:pPr>
      <w:r>
        <w:t>&lt;page 102&gt;</w:t>
      </w:r>
    </w:p>
    <w:p w:rsidR="00CA03F1" w:rsidRDefault="00CA03F1" w:rsidP="005D0902">
      <w:pPr>
        <w:pStyle w:val="NoSpacing"/>
      </w:pPr>
    </w:p>
    <w:p w:rsidR="001A159C" w:rsidRDefault="001A159C" w:rsidP="000D51FD">
      <w:pPr>
        <w:pStyle w:val="Heading3"/>
      </w:pPr>
      <w:r>
        <w:t>Competition Policy</w:t>
      </w:r>
    </w:p>
    <w:p w:rsidR="004775B2" w:rsidRDefault="004775B2" w:rsidP="005D0902">
      <w:pPr>
        <w:pStyle w:val="NoSpacing"/>
      </w:pPr>
    </w:p>
    <w:p w:rsidR="001A159C" w:rsidRDefault="000D51FD" w:rsidP="005D0902">
      <w:pPr>
        <w:pStyle w:val="NoSpacing"/>
      </w:pPr>
      <w:r>
        <w:t>Chisholm has policies, guidelines and procedures to ensure compliance with applicable National Competition Policy, including requirements of Victoria’s Competitive Neutrality Policy and related legislation.</w:t>
      </w:r>
    </w:p>
    <w:p w:rsidR="00CA03F1" w:rsidRDefault="00CA03F1" w:rsidP="005D0902">
      <w:pPr>
        <w:pStyle w:val="NoSpacing"/>
      </w:pPr>
    </w:p>
    <w:p w:rsidR="001A159C" w:rsidRDefault="001A159C" w:rsidP="000D51FD">
      <w:pPr>
        <w:pStyle w:val="Heading3"/>
      </w:pPr>
      <w:r>
        <w:t>Additional Information Available on Request</w:t>
      </w:r>
    </w:p>
    <w:p w:rsidR="004775B2" w:rsidRDefault="004775B2" w:rsidP="000D51FD">
      <w:pPr>
        <w:pStyle w:val="NoSpacing"/>
      </w:pPr>
    </w:p>
    <w:p w:rsidR="000D51FD" w:rsidRDefault="000D51FD" w:rsidP="000D51FD">
      <w:pPr>
        <w:pStyle w:val="NoSpacing"/>
      </w:pPr>
      <w:r>
        <w:t>In compliance with the requirements of the Standing Directions 2018 under the Financial Management Act 1994, details in respect of the items listed below have been retained by the Department and are available on request, subject to the provisions of the Freedom of Information Act 1982.</w:t>
      </w:r>
    </w:p>
    <w:p w:rsidR="000D51FD" w:rsidRDefault="000D51FD" w:rsidP="000D51FD">
      <w:pPr>
        <w:pStyle w:val="NoSpacing"/>
      </w:pPr>
    </w:p>
    <w:p w:rsidR="000D51FD" w:rsidRDefault="000D51FD" w:rsidP="000D51FD">
      <w:pPr>
        <w:pStyle w:val="NoSpacing"/>
      </w:pPr>
      <w:r>
        <w:t>(a) A statement that declarations of pecuniary interests have been duly completed by all relevant officers</w:t>
      </w:r>
    </w:p>
    <w:p w:rsidR="000D51FD" w:rsidRDefault="000D51FD" w:rsidP="000D51FD">
      <w:pPr>
        <w:pStyle w:val="NoSpacing"/>
      </w:pPr>
    </w:p>
    <w:p w:rsidR="000D51FD" w:rsidRDefault="000D51FD" w:rsidP="000D51FD">
      <w:pPr>
        <w:pStyle w:val="NoSpacing"/>
      </w:pPr>
      <w:r>
        <w:t>(b) Details of shares held by a senior officer as nominee or held beneficially in a statutory authority or subsidiary</w:t>
      </w:r>
    </w:p>
    <w:p w:rsidR="000D51FD" w:rsidRDefault="000D51FD" w:rsidP="000D51FD">
      <w:pPr>
        <w:pStyle w:val="NoSpacing"/>
      </w:pPr>
    </w:p>
    <w:p w:rsidR="000D51FD" w:rsidRDefault="000D51FD" w:rsidP="000D51FD">
      <w:pPr>
        <w:pStyle w:val="NoSpacing"/>
      </w:pPr>
      <w:r>
        <w:t>(c) Details of publications produced by Chisholm about itself, and how they can be obtained</w:t>
      </w:r>
    </w:p>
    <w:p w:rsidR="000D51FD" w:rsidRDefault="000D51FD" w:rsidP="000D51FD">
      <w:pPr>
        <w:pStyle w:val="NoSpacing"/>
      </w:pPr>
    </w:p>
    <w:p w:rsidR="000D51FD" w:rsidRDefault="000D51FD" w:rsidP="000D51FD">
      <w:pPr>
        <w:pStyle w:val="NoSpacing"/>
      </w:pPr>
      <w:r>
        <w:t>(d) Details of changes in prices, fees, charges, rates and levies charged by Chisholm</w:t>
      </w:r>
    </w:p>
    <w:p w:rsidR="000D51FD" w:rsidRDefault="000D51FD" w:rsidP="000D51FD">
      <w:pPr>
        <w:pStyle w:val="NoSpacing"/>
      </w:pPr>
    </w:p>
    <w:p w:rsidR="000D51FD" w:rsidRDefault="000D51FD" w:rsidP="000D51FD">
      <w:pPr>
        <w:pStyle w:val="NoSpacing"/>
      </w:pPr>
      <w:r>
        <w:t>(e) Details of any major external reviews carried out by Chisholm</w:t>
      </w:r>
    </w:p>
    <w:p w:rsidR="000D51FD" w:rsidRDefault="000D51FD" w:rsidP="000D51FD">
      <w:pPr>
        <w:pStyle w:val="NoSpacing"/>
      </w:pPr>
    </w:p>
    <w:p w:rsidR="000D51FD" w:rsidRDefault="000D51FD" w:rsidP="000D51FD">
      <w:pPr>
        <w:pStyle w:val="NoSpacing"/>
      </w:pPr>
      <w:r>
        <w:t>(f) Details of major research and development activities undertaken by Chisholm</w:t>
      </w:r>
    </w:p>
    <w:p w:rsidR="000D51FD" w:rsidRDefault="000D51FD" w:rsidP="000D51FD">
      <w:pPr>
        <w:pStyle w:val="NoSpacing"/>
      </w:pPr>
    </w:p>
    <w:p w:rsidR="000D51FD" w:rsidRDefault="000D51FD" w:rsidP="000D51FD">
      <w:pPr>
        <w:pStyle w:val="NoSpacing"/>
      </w:pPr>
      <w:r>
        <w:t>(g) Details of overseas visits undertaken including a summary of the objectives and outcomes of each visit</w:t>
      </w:r>
    </w:p>
    <w:p w:rsidR="000D51FD" w:rsidRDefault="000D51FD" w:rsidP="000D51FD">
      <w:pPr>
        <w:pStyle w:val="NoSpacing"/>
      </w:pPr>
    </w:p>
    <w:p w:rsidR="000D51FD" w:rsidRDefault="000D51FD" w:rsidP="000D51FD">
      <w:pPr>
        <w:pStyle w:val="NoSpacing"/>
      </w:pPr>
      <w:r>
        <w:t>(h) Details of major promotional, public relations and marketing activities undertaken by Chisholm to develop community awareness of Chisholm and its services</w:t>
      </w:r>
    </w:p>
    <w:p w:rsidR="000D51FD" w:rsidRDefault="000D51FD" w:rsidP="000D51FD">
      <w:pPr>
        <w:pStyle w:val="NoSpacing"/>
      </w:pPr>
    </w:p>
    <w:p w:rsidR="000D51FD" w:rsidRDefault="000D51FD" w:rsidP="000D51FD">
      <w:pPr>
        <w:pStyle w:val="NoSpacing"/>
      </w:pPr>
      <w:r>
        <w:t>(i) Details of assessments and measures undertaken to improve the occupational health and safety of employees</w:t>
      </w:r>
    </w:p>
    <w:p w:rsidR="000D51FD" w:rsidRDefault="000D51FD" w:rsidP="000D51FD">
      <w:pPr>
        <w:pStyle w:val="NoSpacing"/>
      </w:pPr>
    </w:p>
    <w:p w:rsidR="000D51FD" w:rsidRDefault="000D51FD" w:rsidP="000D51FD">
      <w:pPr>
        <w:pStyle w:val="NoSpacing"/>
      </w:pPr>
      <w:r>
        <w:lastRenderedPageBreak/>
        <w:t>(j) A general statement on industrial relations within Chisholm and details of time lost through industrial accidents and disputes</w:t>
      </w:r>
    </w:p>
    <w:p w:rsidR="000D51FD" w:rsidRDefault="000D51FD" w:rsidP="000D51FD">
      <w:pPr>
        <w:pStyle w:val="NoSpacing"/>
      </w:pPr>
    </w:p>
    <w:p w:rsidR="000D51FD" w:rsidRDefault="000D51FD" w:rsidP="000D51FD">
      <w:pPr>
        <w:pStyle w:val="NoSpacing"/>
      </w:pPr>
      <w:r>
        <w:t>(k) A list of major committees sponsored by Chisholm, the purposes of each committee and the extent to which the purposes have been achieved; and</w:t>
      </w:r>
    </w:p>
    <w:p w:rsidR="000D51FD" w:rsidRDefault="000D51FD" w:rsidP="000D51FD">
      <w:pPr>
        <w:pStyle w:val="NoSpacing"/>
      </w:pPr>
    </w:p>
    <w:p w:rsidR="000D51FD" w:rsidRDefault="000D51FD" w:rsidP="000D51FD">
      <w:pPr>
        <w:pStyle w:val="NoSpacing"/>
      </w:pPr>
      <w:r>
        <w:t>(l) Details of all consultancies and contractors including:</w:t>
      </w:r>
    </w:p>
    <w:p w:rsidR="000D51FD" w:rsidRDefault="000D51FD" w:rsidP="000D51FD">
      <w:pPr>
        <w:pStyle w:val="NoSpacing"/>
      </w:pPr>
      <w:r>
        <w:t>(i) Consultants/contractors engaged</w:t>
      </w:r>
    </w:p>
    <w:p w:rsidR="000D51FD" w:rsidRDefault="000D51FD" w:rsidP="000D51FD">
      <w:pPr>
        <w:pStyle w:val="NoSpacing"/>
      </w:pPr>
      <w:r>
        <w:t xml:space="preserve">(ii) Services provided; and </w:t>
      </w:r>
    </w:p>
    <w:p w:rsidR="000D51FD" w:rsidRDefault="000D51FD" w:rsidP="000D51FD">
      <w:pPr>
        <w:pStyle w:val="NoSpacing"/>
      </w:pPr>
      <w:r>
        <w:t>(iii) Expenditure committed to for each engagement.</w:t>
      </w:r>
    </w:p>
    <w:p w:rsidR="000D51FD" w:rsidRDefault="000D51FD" w:rsidP="000D51FD">
      <w:pPr>
        <w:pStyle w:val="NoSpacing"/>
      </w:pPr>
    </w:p>
    <w:p w:rsidR="000D51FD" w:rsidRDefault="000D51FD" w:rsidP="000D51FD">
      <w:pPr>
        <w:pStyle w:val="NoSpacing"/>
      </w:pPr>
      <w:r>
        <w:t>Enquiries regarding this information should be directed to:</w:t>
      </w:r>
    </w:p>
    <w:p w:rsidR="000D51FD" w:rsidRDefault="000D51FD" w:rsidP="000D51FD">
      <w:pPr>
        <w:pStyle w:val="NoSpacing"/>
      </w:pPr>
      <w:r>
        <w:t>Corporate Communications Manager</w:t>
      </w:r>
    </w:p>
    <w:p w:rsidR="001A159C" w:rsidRDefault="000D51FD" w:rsidP="000D51FD">
      <w:pPr>
        <w:pStyle w:val="NoSpacing"/>
      </w:pPr>
      <w:r>
        <w:t xml:space="preserve">E: </w:t>
      </w:r>
      <w:hyperlink r:id="rId13" w:history="1">
        <w:r w:rsidRPr="00453E9C">
          <w:rPr>
            <w:rStyle w:val="Hyperlink"/>
          </w:rPr>
          <w:t>CorporateCommunications@chisholm.edu.au</w:t>
        </w:r>
      </w:hyperlink>
      <w:r>
        <w:t xml:space="preserve"> </w:t>
      </w:r>
    </w:p>
    <w:p w:rsidR="000D51FD" w:rsidRDefault="000D51FD" w:rsidP="005D0902">
      <w:pPr>
        <w:pStyle w:val="NoSpacing"/>
      </w:pPr>
    </w:p>
    <w:p w:rsidR="001A159C" w:rsidRDefault="001A159C" w:rsidP="000D51FD">
      <w:pPr>
        <w:pStyle w:val="Heading3"/>
      </w:pPr>
      <w:r>
        <w:t xml:space="preserve">Compliance with other Legislation and Subordinate Instruments </w:t>
      </w:r>
    </w:p>
    <w:p w:rsidR="004775B2" w:rsidRDefault="004775B2" w:rsidP="000D51FD">
      <w:pPr>
        <w:pStyle w:val="NoSpacing"/>
      </w:pPr>
    </w:p>
    <w:p w:rsidR="000D51FD" w:rsidRDefault="000D51FD" w:rsidP="000D51FD">
      <w:pPr>
        <w:pStyle w:val="NoSpacing"/>
      </w:pPr>
      <w:r>
        <w:t>Chisholm complies with all relevant legislation and subordinate instruments, including but not limited to the following:</w:t>
      </w:r>
    </w:p>
    <w:p w:rsidR="000D51FD" w:rsidRDefault="000D51FD" w:rsidP="00925530">
      <w:pPr>
        <w:pStyle w:val="NoSpacing"/>
        <w:numPr>
          <w:ilvl w:val="0"/>
          <w:numId w:val="72"/>
        </w:numPr>
      </w:pPr>
      <w:r>
        <w:t>Education and Training Reform Act 2006</w:t>
      </w:r>
    </w:p>
    <w:p w:rsidR="000D51FD" w:rsidRDefault="000D51FD" w:rsidP="00925530">
      <w:pPr>
        <w:pStyle w:val="NoSpacing"/>
        <w:numPr>
          <w:ilvl w:val="0"/>
          <w:numId w:val="72"/>
        </w:numPr>
      </w:pPr>
      <w:r>
        <w:t>TAFE institute constitution</w:t>
      </w:r>
    </w:p>
    <w:p w:rsidR="000D51FD" w:rsidRDefault="000D51FD" w:rsidP="00925530">
      <w:pPr>
        <w:pStyle w:val="NoSpacing"/>
        <w:numPr>
          <w:ilvl w:val="0"/>
          <w:numId w:val="72"/>
        </w:numPr>
      </w:pPr>
      <w:r>
        <w:t>Directions of the Minister for Training and Skills (or predecessors)</w:t>
      </w:r>
    </w:p>
    <w:p w:rsidR="000D51FD" w:rsidRDefault="000D51FD" w:rsidP="00925530">
      <w:pPr>
        <w:pStyle w:val="NoSpacing"/>
        <w:numPr>
          <w:ilvl w:val="0"/>
          <w:numId w:val="73"/>
        </w:numPr>
      </w:pPr>
      <w:r>
        <w:t>TAFE institute Commercial Guidelines</w:t>
      </w:r>
    </w:p>
    <w:p w:rsidR="000D51FD" w:rsidRDefault="000D51FD" w:rsidP="00925530">
      <w:pPr>
        <w:pStyle w:val="NoSpacing"/>
        <w:numPr>
          <w:ilvl w:val="0"/>
          <w:numId w:val="73"/>
        </w:numPr>
      </w:pPr>
      <w:r>
        <w:t>TAFE institute Strategic Planning Guidelines</w:t>
      </w:r>
    </w:p>
    <w:p w:rsidR="000D51FD" w:rsidRDefault="000D51FD" w:rsidP="00925530">
      <w:pPr>
        <w:pStyle w:val="NoSpacing"/>
        <w:numPr>
          <w:ilvl w:val="0"/>
          <w:numId w:val="74"/>
        </w:numPr>
      </w:pPr>
      <w:r>
        <w:t>Public Administration Act 2004</w:t>
      </w:r>
    </w:p>
    <w:p w:rsidR="000D51FD" w:rsidRDefault="000D51FD" w:rsidP="00925530">
      <w:pPr>
        <w:pStyle w:val="NoSpacing"/>
        <w:numPr>
          <w:ilvl w:val="0"/>
          <w:numId w:val="74"/>
        </w:numPr>
      </w:pPr>
      <w:r>
        <w:t>Financial Management Act 1994</w:t>
      </w:r>
    </w:p>
    <w:p w:rsidR="000D51FD" w:rsidRDefault="000D51FD" w:rsidP="00925530">
      <w:pPr>
        <w:pStyle w:val="NoSpacing"/>
        <w:numPr>
          <w:ilvl w:val="0"/>
          <w:numId w:val="74"/>
        </w:numPr>
      </w:pPr>
      <w:r>
        <w:t>Freedom of Information Act 1982</w:t>
      </w:r>
    </w:p>
    <w:p w:rsidR="000D51FD" w:rsidRDefault="000D51FD" w:rsidP="00925530">
      <w:pPr>
        <w:pStyle w:val="NoSpacing"/>
        <w:numPr>
          <w:ilvl w:val="0"/>
          <w:numId w:val="74"/>
        </w:numPr>
      </w:pPr>
      <w:r>
        <w:t>Building Act 1993</w:t>
      </w:r>
    </w:p>
    <w:p w:rsidR="000D51FD" w:rsidRDefault="000D51FD" w:rsidP="00925530">
      <w:pPr>
        <w:pStyle w:val="NoSpacing"/>
        <w:numPr>
          <w:ilvl w:val="0"/>
          <w:numId w:val="74"/>
        </w:numPr>
      </w:pPr>
      <w:r>
        <w:t>Protected Disclosure Act 2012</w:t>
      </w:r>
    </w:p>
    <w:p w:rsidR="000D51FD" w:rsidRDefault="000D51FD" w:rsidP="00925530">
      <w:pPr>
        <w:pStyle w:val="NoSpacing"/>
        <w:numPr>
          <w:ilvl w:val="0"/>
          <w:numId w:val="74"/>
        </w:numPr>
      </w:pPr>
      <w:r>
        <w:t>Local Jobs First Act 2003</w:t>
      </w:r>
    </w:p>
    <w:p w:rsidR="000D51FD" w:rsidRDefault="000D51FD" w:rsidP="00925530">
      <w:pPr>
        <w:pStyle w:val="NoSpacing"/>
        <w:numPr>
          <w:ilvl w:val="0"/>
          <w:numId w:val="74"/>
        </w:numPr>
      </w:pPr>
      <w:r>
        <w:t>Australian Accounting Standards</w:t>
      </w:r>
    </w:p>
    <w:p w:rsidR="000D51FD" w:rsidRDefault="000D51FD" w:rsidP="00925530">
      <w:pPr>
        <w:pStyle w:val="NoSpacing"/>
        <w:numPr>
          <w:ilvl w:val="0"/>
          <w:numId w:val="74"/>
        </w:numPr>
      </w:pPr>
      <w:r>
        <w:t>Fair Work Act 2009 and Fair Work Regulations 2009</w:t>
      </w:r>
    </w:p>
    <w:p w:rsidR="000D51FD" w:rsidRDefault="000D51FD" w:rsidP="00925530">
      <w:pPr>
        <w:pStyle w:val="NoSpacing"/>
        <w:numPr>
          <w:ilvl w:val="0"/>
          <w:numId w:val="75"/>
        </w:numPr>
      </w:pPr>
      <w:r>
        <w:t>Carers Recognition Act 2012</w:t>
      </w:r>
    </w:p>
    <w:p w:rsidR="001A159C" w:rsidRDefault="000D51FD" w:rsidP="00925530">
      <w:pPr>
        <w:pStyle w:val="NoSpacing"/>
        <w:numPr>
          <w:ilvl w:val="0"/>
          <w:numId w:val="75"/>
        </w:numPr>
      </w:pPr>
      <w:r>
        <w:t>Occupational Health and Safety Act 2004 and Occupational Health and Safety Regulations 2007.</w:t>
      </w:r>
    </w:p>
    <w:p w:rsidR="000D51FD" w:rsidRDefault="000D51FD" w:rsidP="005D0902">
      <w:pPr>
        <w:pStyle w:val="NoSpacing"/>
      </w:pPr>
    </w:p>
    <w:p w:rsidR="000D51FD" w:rsidRDefault="000D51FD" w:rsidP="005D0902">
      <w:pPr>
        <w:pStyle w:val="NoSpacing"/>
      </w:pPr>
    </w:p>
    <w:p w:rsidR="004775B2" w:rsidRDefault="001A159C" w:rsidP="004775B2">
      <w:pPr>
        <w:pStyle w:val="Heading3"/>
      </w:pPr>
      <w:r>
        <w:t>Compliance with the Building Act 1993</w:t>
      </w:r>
    </w:p>
    <w:p w:rsidR="00D349D1" w:rsidRDefault="00D349D1" w:rsidP="00D349D1">
      <w:pPr>
        <w:pStyle w:val="Heading4"/>
      </w:pPr>
      <w:r>
        <w:t>General statement</w:t>
      </w:r>
    </w:p>
    <w:p w:rsidR="004775B2" w:rsidRDefault="004775B2" w:rsidP="00D349D1">
      <w:pPr>
        <w:pStyle w:val="NoSpacing"/>
      </w:pPr>
    </w:p>
    <w:p w:rsidR="00D349D1" w:rsidRPr="00D349D1" w:rsidRDefault="00D349D1" w:rsidP="00D349D1">
      <w:pPr>
        <w:pStyle w:val="NoSpacing"/>
      </w:pPr>
      <w:r w:rsidRPr="00D349D1">
        <w:t>Chisholm holds all plans and</w:t>
      </w:r>
      <w:r>
        <w:t xml:space="preserve"> </w:t>
      </w:r>
      <w:r w:rsidRPr="00D349D1">
        <w:t>documentation for building extensions</w:t>
      </w:r>
      <w:r>
        <w:t xml:space="preserve"> </w:t>
      </w:r>
      <w:r w:rsidRPr="00D349D1">
        <w:t>and new buildings lodged for issue</w:t>
      </w:r>
      <w:r>
        <w:t xml:space="preserve"> </w:t>
      </w:r>
      <w:r w:rsidRPr="00D349D1">
        <w:t>of building approvals by certified</w:t>
      </w:r>
      <w:r>
        <w:t xml:space="preserve"> </w:t>
      </w:r>
      <w:r w:rsidRPr="00D349D1">
        <w:t>building surveyors. Upon completion of</w:t>
      </w:r>
      <w:r>
        <w:t xml:space="preserve"> </w:t>
      </w:r>
      <w:r w:rsidRPr="00D349D1">
        <w:t>construction, the Institute has obtained</w:t>
      </w:r>
      <w:r>
        <w:t xml:space="preserve"> </w:t>
      </w:r>
      <w:r w:rsidRPr="00D349D1">
        <w:t>Certificates of Occupancy and practical</w:t>
      </w:r>
      <w:r>
        <w:t xml:space="preserve"> </w:t>
      </w:r>
      <w:r w:rsidRPr="00D349D1">
        <w:t>completion certificates from the relevant</w:t>
      </w:r>
      <w:r>
        <w:t xml:space="preserve"> </w:t>
      </w:r>
      <w:r w:rsidRPr="00D349D1">
        <w:t>architects and surveyors.</w:t>
      </w:r>
    </w:p>
    <w:p w:rsidR="00D349D1" w:rsidRDefault="00D349D1" w:rsidP="00D349D1">
      <w:pPr>
        <w:pStyle w:val="Heading4"/>
      </w:pPr>
    </w:p>
    <w:p w:rsidR="00D349D1" w:rsidRDefault="00D349D1" w:rsidP="00D349D1">
      <w:pPr>
        <w:pStyle w:val="Heading4"/>
      </w:pPr>
      <w:r>
        <w:t>Assurance programs</w:t>
      </w:r>
    </w:p>
    <w:p w:rsidR="004775B2" w:rsidRDefault="004775B2" w:rsidP="00D349D1">
      <w:pPr>
        <w:pStyle w:val="NoSpacing"/>
      </w:pPr>
    </w:p>
    <w:p w:rsidR="00D349D1" w:rsidRPr="00D349D1" w:rsidRDefault="00D349D1" w:rsidP="00D349D1">
      <w:pPr>
        <w:pStyle w:val="NoSpacing"/>
      </w:pPr>
      <w:r w:rsidRPr="00D349D1">
        <w:t>Certification of building projects.</w:t>
      </w:r>
      <w:r>
        <w:t xml:space="preserve"> </w:t>
      </w:r>
      <w:r w:rsidRPr="00D349D1">
        <w:t>The architects provided completion</w:t>
      </w:r>
      <w:r>
        <w:t xml:space="preserve"> </w:t>
      </w:r>
      <w:r w:rsidRPr="00D349D1">
        <w:t>certificates and necessary building</w:t>
      </w:r>
      <w:r>
        <w:t xml:space="preserve"> </w:t>
      </w:r>
      <w:r w:rsidRPr="00D349D1">
        <w:t>compliance and regulatory certificates</w:t>
      </w:r>
      <w:r>
        <w:t xml:space="preserve"> </w:t>
      </w:r>
      <w:r w:rsidRPr="00D349D1">
        <w:t>were received for all projects</w:t>
      </w:r>
      <w:r>
        <w:t xml:space="preserve"> </w:t>
      </w:r>
      <w:r w:rsidRPr="00D349D1">
        <w:t>completed.</w:t>
      </w:r>
    </w:p>
    <w:p w:rsidR="00D349D1" w:rsidRDefault="00D349D1" w:rsidP="00D349D1">
      <w:pPr>
        <w:pStyle w:val="NoSpacing"/>
      </w:pPr>
    </w:p>
    <w:p w:rsidR="00D349D1" w:rsidRPr="00D349D1" w:rsidRDefault="00D349D1" w:rsidP="00D349D1">
      <w:pPr>
        <w:pStyle w:val="Heading4"/>
      </w:pPr>
      <w:r w:rsidRPr="00D349D1">
        <w:t>Building maintenance programs</w:t>
      </w:r>
    </w:p>
    <w:p w:rsidR="004775B2" w:rsidRDefault="004775B2" w:rsidP="00D349D1">
      <w:pPr>
        <w:pStyle w:val="NoSpacing"/>
      </w:pPr>
    </w:p>
    <w:p w:rsidR="00D349D1" w:rsidRPr="00D349D1" w:rsidRDefault="00D349D1" w:rsidP="00D349D1">
      <w:pPr>
        <w:pStyle w:val="NoSpacing"/>
      </w:pPr>
      <w:r w:rsidRPr="00D349D1">
        <w:t>Chisholm has an ongoing maintenance</w:t>
      </w:r>
      <w:r>
        <w:t xml:space="preserve"> </w:t>
      </w:r>
      <w:r w:rsidRPr="00D349D1">
        <w:t>program (using Institute staff and</w:t>
      </w:r>
      <w:r>
        <w:t xml:space="preserve"> </w:t>
      </w:r>
      <w:r w:rsidRPr="00D349D1">
        <w:t>engagement of specialist external</w:t>
      </w:r>
      <w:r>
        <w:t xml:space="preserve"> </w:t>
      </w:r>
      <w:r w:rsidRPr="00D349D1">
        <w:t>contractors) for works to the existing</w:t>
      </w:r>
      <w:r>
        <w:t xml:space="preserve"> </w:t>
      </w:r>
      <w:r w:rsidRPr="00D349D1">
        <w:t>buildings controlled by Chisholm.</w:t>
      </w:r>
    </w:p>
    <w:p w:rsidR="00D349D1" w:rsidRDefault="00D349D1" w:rsidP="00D349D1">
      <w:pPr>
        <w:pStyle w:val="NoSpacing"/>
      </w:pPr>
    </w:p>
    <w:p w:rsidR="00D349D1" w:rsidRPr="00D349D1" w:rsidRDefault="00D349D1" w:rsidP="00D349D1">
      <w:pPr>
        <w:pStyle w:val="Heading4"/>
      </w:pPr>
      <w:r w:rsidRPr="00D349D1">
        <w:t>Compliance statement</w:t>
      </w:r>
    </w:p>
    <w:p w:rsidR="004775B2" w:rsidRDefault="004775B2" w:rsidP="00D349D1">
      <w:pPr>
        <w:pStyle w:val="NoSpacing"/>
      </w:pPr>
    </w:p>
    <w:p w:rsidR="00D349D1" w:rsidRDefault="00D349D1" w:rsidP="00D349D1">
      <w:pPr>
        <w:pStyle w:val="NoSpacing"/>
      </w:pPr>
      <w:r w:rsidRPr="00D349D1">
        <w:t>It is considered that all buildings on</w:t>
      </w:r>
      <w:r>
        <w:t xml:space="preserve"> </w:t>
      </w:r>
      <w:r w:rsidRPr="00D349D1">
        <w:t>campus currently conform to the</w:t>
      </w:r>
      <w:r>
        <w:t xml:space="preserve"> </w:t>
      </w:r>
      <w:r w:rsidRPr="00D349D1">
        <w:t>Building Regulations as existed at the</w:t>
      </w:r>
      <w:r>
        <w:t xml:space="preserve"> </w:t>
      </w:r>
      <w:r w:rsidRPr="00D349D1">
        <w:t>time of construction of the respective</w:t>
      </w:r>
      <w:r>
        <w:t xml:space="preserve"> </w:t>
      </w:r>
      <w:r w:rsidRPr="00D349D1">
        <w:t>buildings. All new buildings constructed</w:t>
      </w:r>
      <w:r>
        <w:t xml:space="preserve"> </w:t>
      </w:r>
      <w:r w:rsidRPr="00D349D1">
        <w:t>since the promulgation of the Building</w:t>
      </w:r>
      <w:r>
        <w:t xml:space="preserve"> </w:t>
      </w:r>
      <w:r w:rsidRPr="00D349D1">
        <w:t>Act comply with those relevant</w:t>
      </w:r>
      <w:r>
        <w:t xml:space="preserve"> </w:t>
      </w:r>
      <w:r w:rsidRPr="00D349D1">
        <w:t>standards. Chisholm has an ongoing</w:t>
      </w:r>
      <w:r>
        <w:t xml:space="preserve"> </w:t>
      </w:r>
      <w:r w:rsidRPr="00D349D1">
        <w:t>program to ensure that any alterations</w:t>
      </w:r>
      <w:r>
        <w:t xml:space="preserve"> </w:t>
      </w:r>
      <w:r w:rsidRPr="00D349D1">
        <w:t>or improvements to buildings meet the</w:t>
      </w:r>
      <w:r>
        <w:t xml:space="preserve"> </w:t>
      </w:r>
      <w:r w:rsidRPr="00D349D1">
        <w:t>necessary standards to ensure that they</w:t>
      </w:r>
      <w:r>
        <w:t xml:space="preserve"> </w:t>
      </w:r>
      <w:r w:rsidRPr="00D349D1">
        <w:t>are safe and fit for purpose</w:t>
      </w:r>
      <w:r>
        <w:t>.</w:t>
      </w:r>
    </w:p>
    <w:p w:rsidR="00D349D1" w:rsidRDefault="00D349D1" w:rsidP="00D349D1">
      <w:pPr>
        <w:pStyle w:val="NoSpacing"/>
      </w:pPr>
    </w:p>
    <w:p w:rsidR="00D349D1" w:rsidRPr="00D349D1" w:rsidRDefault="00D349D1" w:rsidP="00D349D1">
      <w:pPr>
        <w:pStyle w:val="NoSpacing"/>
      </w:pPr>
      <w:r>
        <w:t>&lt;page 103&gt;</w:t>
      </w:r>
    </w:p>
    <w:p w:rsidR="00D349D1" w:rsidRDefault="00D349D1" w:rsidP="00D349D1">
      <w:pPr>
        <w:pStyle w:val="NoSpacing"/>
      </w:pPr>
    </w:p>
    <w:p w:rsidR="00D349D1" w:rsidRDefault="00D349D1" w:rsidP="00D349D1">
      <w:pPr>
        <w:pStyle w:val="NoSpacing"/>
      </w:pPr>
    </w:p>
    <w:p w:rsidR="00D349D1" w:rsidRDefault="00D349D1" w:rsidP="00D349D1">
      <w:pPr>
        <w:pStyle w:val="NoSpacing"/>
      </w:pPr>
      <w:r>
        <w:t>For the year ended 31 December 2019, progress towards full compliance with the Building Act is summarised as follows:</w:t>
      </w:r>
    </w:p>
    <w:p w:rsidR="00D349D1" w:rsidRDefault="00D349D1" w:rsidP="00D349D1">
      <w:pPr>
        <w:pStyle w:val="NoSpacing"/>
      </w:pPr>
    </w:p>
    <w:tbl>
      <w:tblPr>
        <w:tblStyle w:val="TableGrid"/>
        <w:tblW w:w="10632" w:type="dxa"/>
        <w:tblInd w:w="-714" w:type="dxa"/>
        <w:tblLook w:val="04A0" w:firstRow="1" w:lastRow="0" w:firstColumn="1" w:lastColumn="0" w:noHBand="0" w:noVBand="1"/>
      </w:tblPr>
      <w:tblGrid>
        <w:gridCol w:w="5671"/>
        <w:gridCol w:w="708"/>
        <w:gridCol w:w="709"/>
        <w:gridCol w:w="709"/>
        <w:gridCol w:w="709"/>
        <w:gridCol w:w="708"/>
        <w:gridCol w:w="709"/>
        <w:gridCol w:w="709"/>
      </w:tblGrid>
      <w:tr w:rsidR="003315AA" w:rsidTr="00BE2AF7">
        <w:tc>
          <w:tcPr>
            <w:tcW w:w="5671" w:type="dxa"/>
          </w:tcPr>
          <w:p w:rsidR="003315AA" w:rsidRDefault="003611BD" w:rsidP="00D349D1">
            <w:pPr>
              <w:pStyle w:val="NoSpacing"/>
            </w:pPr>
            <w:r>
              <w:t>Building works</w:t>
            </w:r>
          </w:p>
        </w:tc>
        <w:tc>
          <w:tcPr>
            <w:tcW w:w="708" w:type="dxa"/>
          </w:tcPr>
          <w:p w:rsidR="003315AA" w:rsidRDefault="003315AA" w:rsidP="003315AA">
            <w:pPr>
              <w:pStyle w:val="NoSpacing"/>
              <w:jc w:val="right"/>
            </w:pPr>
            <w:r>
              <w:t>2019</w:t>
            </w:r>
          </w:p>
        </w:tc>
        <w:tc>
          <w:tcPr>
            <w:tcW w:w="709" w:type="dxa"/>
          </w:tcPr>
          <w:p w:rsidR="003315AA" w:rsidRDefault="003315AA" w:rsidP="003315AA">
            <w:pPr>
              <w:pStyle w:val="NoSpacing"/>
              <w:jc w:val="right"/>
            </w:pPr>
            <w:r>
              <w:t>2018</w:t>
            </w:r>
          </w:p>
        </w:tc>
        <w:tc>
          <w:tcPr>
            <w:tcW w:w="709" w:type="dxa"/>
          </w:tcPr>
          <w:p w:rsidR="003315AA" w:rsidRDefault="003315AA" w:rsidP="003315AA">
            <w:pPr>
              <w:pStyle w:val="NoSpacing"/>
              <w:jc w:val="right"/>
            </w:pPr>
            <w:r>
              <w:t>2017</w:t>
            </w:r>
          </w:p>
        </w:tc>
        <w:tc>
          <w:tcPr>
            <w:tcW w:w="709" w:type="dxa"/>
          </w:tcPr>
          <w:p w:rsidR="003315AA" w:rsidRDefault="003315AA" w:rsidP="003315AA">
            <w:pPr>
              <w:pStyle w:val="NoSpacing"/>
              <w:jc w:val="right"/>
            </w:pPr>
            <w:r>
              <w:t>2016</w:t>
            </w:r>
          </w:p>
        </w:tc>
        <w:tc>
          <w:tcPr>
            <w:tcW w:w="708" w:type="dxa"/>
          </w:tcPr>
          <w:p w:rsidR="003315AA" w:rsidRDefault="003315AA" w:rsidP="003315AA">
            <w:pPr>
              <w:pStyle w:val="NoSpacing"/>
              <w:jc w:val="right"/>
            </w:pPr>
            <w:r>
              <w:t>2015</w:t>
            </w:r>
          </w:p>
        </w:tc>
        <w:tc>
          <w:tcPr>
            <w:tcW w:w="709" w:type="dxa"/>
          </w:tcPr>
          <w:p w:rsidR="003315AA" w:rsidRDefault="003315AA" w:rsidP="003315AA">
            <w:pPr>
              <w:pStyle w:val="NoSpacing"/>
              <w:jc w:val="right"/>
            </w:pPr>
            <w:r>
              <w:t>2014</w:t>
            </w:r>
          </w:p>
        </w:tc>
        <w:tc>
          <w:tcPr>
            <w:tcW w:w="709" w:type="dxa"/>
          </w:tcPr>
          <w:p w:rsidR="003315AA" w:rsidRDefault="003315AA" w:rsidP="003315AA">
            <w:pPr>
              <w:pStyle w:val="NoSpacing"/>
              <w:jc w:val="right"/>
            </w:pPr>
            <w:r>
              <w:t>2013</w:t>
            </w:r>
          </w:p>
        </w:tc>
      </w:tr>
      <w:tr w:rsidR="003315AA" w:rsidTr="00BE2AF7">
        <w:tc>
          <w:tcPr>
            <w:tcW w:w="5671" w:type="dxa"/>
          </w:tcPr>
          <w:p w:rsidR="003315AA" w:rsidRDefault="003611BD" w:rsidP="00D349D1">
            <w:pPr>
              <w:pStyle w:val="NoSpacing"/>
            </w:pPr>
            <w:r>
              <w:t>New buildings certified for approval</w:t>
            </w:r>
          </w:p>
        </w:tc>
        <w:tc>
          <w:tcPr>
            <w:tcW w:w="708" w:type="dxa"/>
          </w:tcPr>
          <w:p w:rsidR="003315AA" w:rsidRDefault="003315AA" w:rsidP="003315AA">
            <w:pPr>
              <w:pStyle w:val="NoSpacing"/>
              <w:jc w:val="right"/>
            </w:pPr>
          </w:p>
        </w:tc>
        <w:tc>
          <w:tcPr>
            <w:tcW w:w="709" w:type="dxa"/>
          </w:tcPr>
          <w:p w:rsidR="003315AA" w:rsidRDefault="003315AA" w:rsidP="003315AA">
            <w:pPr>
              <w:pStyle w:val="NoSpacing"/>
              <w:jc w:val="right"/>
            </w:pPr>
          </w:p>
        </w:tc>
        <w:tc>
          <w:tcPr>
            <w:tcW w:w="709" w:type="dxa"/>
          </w:tcPr>
          <w:p w:rsidR="003315AA" w:rsidRDefault="003315AA" w:rsidP="003315AA">
            <w:pPr>
              <w:pStyle w:val="NoSpacing"/>
              <w:jc w:val="right"/>
            </w:pPr>
          </w:p>
        </w:tc>
        <w:tc>
          <w:tcPr>
            <w:tcW w:w="709" w:type="dxa"/>
          </w:tcPr>
          <w:p w:rsidR="003315AA" w:rsidRDefault="003315AA" w:rsidP="003315AA">
            <w:pPr>
              <w:pStyle w:val="NoSpacing"/>
              <w:jc w:val="right"/>
            </w:pPr>
          </w:p>
        </w:tc>
        <w:tc>
          <w:tcPr>
            <w:tcW w:w="708" w:type="dxa"/>
          </w:tcPr>
          <w:p w:rsidR="003315AA" w:rsidRDefault="003315AA" w:rsidP="003315AA">
            <w:pPr>
              <w:pStyle w:val="NoSpacing"/>
              <w:jc w:val="right"/>
            </w:pPr>
          </w:p>
        </w:tc>
        <w:tc>
          <w:tcPr>
            <w:tcW w:w="709" w:type="dxa"/>
          </w:tcPr>
          <w:p w:rsidR="003315AA" w:rsidRDefault="003315AA" w:rsidP="003315AA">
            <w:pPr>
              <w:pStyle w:val="NoSpacing"/>
              <w:jc w:val="right"/>
            </w:pPr>
          </w:p>
        </w:tc>
        <w:tc>
          <w:tcPr>
            <w:tcW w:w="709" w:type="dxa"/>
          </w:tcPr>
          <w:p w:rsidR="003315AA" w:rsidRDefault="003315AA" w:rsidP="003315AA">
            <w:pPr>
              <w:pStyle w:val="NoSpacing"/>
              <w:jc w:val="right"/>
            </w:pPr>
          </w:p>
        </w:tc>
      </w:tr>
      <w:tr w:rsidR="003315AA" w:rsidTr="00BE2AF7">
        <w:tc>
          <w:tcPr>
            <w:tcW w:w="5671" w:type="dxa"/>
          </w:tcPr>
          <w:p w:rsidR="003315AA" w:rsidRDefault="003611BD" w:rsidP="00D349D1">
            <w:pPr>
              <w:pStyle w:val="NoSpacing"/>
            </w:pPr>
            <w:r>
              <w:t>Works in progress subject to mandatory inspections</w:t>
            </w:r>
          </w:p>
        </w:tc>
        <w:tc>
          <w:tcPr>
            <w:tcW w:w="708" w:type="dxa"/>
          </w:tcPr>
          <w:p w:rsidR="003315AA" w:rsidRDefault="003315AA" w:rsidP="003315AA">
            <w:pPr>
              <w:pStyle w:val="NoSpacing"/>
              <w:jc w:val="right"/>
            </w:pPr>
          </w:p>
        </w:tc>
        <w:tc>
          <w:tcPr>
            <w:tcW w:w="709" w:type="dxa"/>
          </w:tcPr>
          <w:p w:rsidR="003315AA" w:rsidRDefault="003315AA" w:rsidP="003315AA">
            <w:pPr>
              <w:pStyle w:val="NoSpacing"/>
              <w:jc w:val="right"/>
            </w:pPr>
          </w:p>
        </w:tc>
        <w:tc>
          <w:tcPr>
            <w:tcW w:w="709" w:type="dxa"/>
          </w:tcPr>
          <w:p w:rsidR="003315AA" w:rsidRDefault="003315AA" w:rsidP="003315AA">
            <w:pPr>
              <w:pStyle w:val="NoSpacing"/>
              <w:jc w:val="right"/>
            </w:pPr>
          </w:p>
        </w:tc>
        <w:tc>
          <w:tcPr>
            <w:tcW w:w="709" w:type="dxa"/>
          </w:tcPr>
          <w:p w:rsidR="003315AA" w:rsidRDefault="003315AA" w:rsidP="003315AA">
            <w:pPr>
              <w:pStyle w:val="NoSpacing"/>
              <w:jc w:val="right"/>
            </w:pPr>
          </w:p>
        </w:tc>
        <w:tc>
          <w:tcPr>
            <w:tcW w:w="708" w:type="dxa"/>
          </w:tcPr>
          <w:p w:rsidR="003315AA" w:rsidRDefault="003315AA" w:rsidP="003315AA">
            <w:pPr>
              <w:pStyle w:val="NoSpacing"/>
              <w:jc w:val="right"/>
            </w:pPr>
          </w:p>
        </w:tc>
        <w:tc>
          <w:tcPr>
            <w:tcW w:w="709" w:type="dxa"/>
          </w:tcPr>
          <w:p w:rsidR="003315AA" w:rsidRDefault="003315AA" w:rsidP="003315AA">
            <w:pPr>
              <w:pStyle w:val="NoSpacing"/>
              <w:jc w:val="right"/>
            </w:pPr>
          </w:p>
        </w:tc>
        <w:tc>
          <w:tcPr>
            <w:tcW w:w="709" w:type="dxa"/>
          </w:tcPr>
          <w:p w:rsidR="003315AA" w:rsidRDefault="003315AA" w:rsidP="003315AA">
            <w:pPr>
              <w:pStyle w:val="NoSpacing"/>
              <w:jc w:val="right"/>
            </w:pPr>
          </w:p>
        </w:tc>
      </w:tr>
      <w:tr w:rsidR="003315AA" w:rsidTr="00BE2AF7">
        <w:tc>
          <w:tcPr>
            <w:tcW w:w="5671" w:type="dxa"/>
          </w:tcPr>
          <w:p w:rsidR="003315AA" w:rsidRDefault="003611BD" w:rsidP="00D349D1">
            <w:pPr>
              <w:pStyle w:val="NoSpacing"/>
            </w:pPr>
            <w:r>
              <w:t>New occupancy permits issued</w:t>
            </w:r>
          </w:p>
        </w:tc>
        <w:tc>
          <w:tcPr>
            <w:tcW w:w="708" w:type="dxa"/>
          </w:tcPr>
          <w:p w:rsidR="003315AA" w:rsidRDefault="003315AA" w:rsidP="003315AA">
            <w:pPr>
              <w:pStyle w:val="NoSpacing"/>
              <w:jc w:val="right"/>
            </w:pPr>
          </w:p>
        </w:tc>
        <w:tc>
          <w:tcPr>
            <w:tcW w:w="709" w:type="dxa"/>
          </w:tcPr>
          <w:p w:rsidR="003315AA" w:rsidRDefault="003315AA" w:rsidP="003315AA">
            <w:pPr>
              <w:pStyle w:val="NoSpacing"/>
              <w:jc w:val="right"/>
            </w:pPr>
          </w:p>
        </w:tc>
        <w:tc>
          <w:tcPr>
            <w:tcW w:w="709" w:type="dxa"/>
          </w:tcPr>
          <w:p w:rsidR="003315AA" w:rsidRDefault="003315AA" w:rsidP="003315AA">
            <w:pPr>
              <w:pStyle w:val="NoSpacing"/>
              <w:jc w:val="right"/>
            </w:pPr>
          </w:p>
        </w:tc>
        <w:tc>
          <w:tcPr>
            <w:tcW w:w="709" w:type="dxa"/>
          </w:tcPr>
          <w:p w:rsidR="003315AA" w:rsidRDefault="003315AA" w:rsidP="003315AA">
            <w:pPr>
              <w:pStyle w:val="NoSpacing"/>
              <w:jc w:val="right"/>
            </w:pPr>
          </w:p>
        </w:tc>
        <w:tc>
          <w:tcPr>
            <w:tcW w:w="708" w:type="dxa"/>
          </w:tcPr>
          <w:p w:rsidR="003315AA" w:rsidRDefault="003315AA" w:rsidP="003315AA">
            <w:pPr>
              <w:pStyle w:val="NoSpacing"/>
              <w:jc w:val="right"/>
            </w:pPr>
          </w:p>
        </w:tc>
        <w:tc>
          <w:tcPr>
            <w:tcW w:w="709" w:type="dxa"/>
          </w:tcPr>
          <w:p w:rsidR="003315AA" w:rsidRDefault="003315AA" w:rsidP="003315AA">
            <w:pPr>
              <w:pStyle w:val="NoSpacing"/>
              <w:jc w:val="right"/>
            </w:pPr>
          </w:p>
        </w:tc>
        <w:tc>
          <w:tcPr>
            <w:tcW w:w="709" w:type="dxa"/>
          </w:tcPr>
          <w:p w:rsidR="003315AA" w:rsidRDefault="003315AA" w:rsidP="003315AA">
            <w:pPr>
              <w:pStyle w:val="NoSpacing"/>
              <w:jc w:val="right"/>
            </w:pPr>
          </w:p>
        </w:tc>
      </w:tr>
    </w:tbl>
    <w:p w:rsidR="00D349D1" w:rsidRDefault="00D349D1" w:rsidP="00D349D1">
      <w:pPr>
        <w:pStyle w:val="NoSpacing"/>
      </w:pPr>
    </w:p>
    <w:tbl>
      <w:tblPr>
        <w:tblStyle w:val="TableGrid"/>
        <w:tblW w:w="10632" w:type="dxa"/>
        <w:tblInd w:w="-714" w:type="dxa"/>
        <w:tblLook w:val="04A0" w:firstRow="1" w:lastRow="0" w:firstColumn="1" w:lastColumn="0" w:noHBand="0" w:noVBand="1"/>
      </w:tblPr>
      <w:tblGrid>
        <w:gridCol w:w="5671"/>
        <w:gridCol w:w="708"/>
        <w:gridCol w:w="709"/>
        <w:gridCol w:w="709"/>
        <w:gridCol w:w="709"/>
        <w:gridCol w:w="708"/>
        <w:gridCol w:w="709"/>
        <w:gridCol w:w="709"/>
      </w:tblGrid>
      <w:tr w:rsidR="003315AA" w:rsidTr="00BE2AF7">
        <w:tc>
          <w:tcPr>
            <w:tcW w:w="5671" w:type="dxa"/>
          </w:tcPr>
          <w:p w:rsidR="003315AA" w:rsidRDefault="003611BD" w:rsidP="00BE2AF7">
            <w:pPr>
              <w:pStyle w:val="NoSpacing"/>
            </w:pPr>
            <w:r>
              <w:t>Maintenance</w:t>
            </w:r>
          </w:p>
        </w:tc>
        <w:tc>
          <w:tcPr>
            <w:tcW w:w="708" w:type="dxa"/>
          </w:tcPr>
          <w:p w:rsidR="003315AA" w:rsidRDefault="003315AA" w:rsidP="00BE2AF7">
            <w:pPr>
              <w:pStyle w:val="NoSpacing"/>
              <w:jc w:val="right"/>
            </w:pPr>
            <w:r>
              <w:t>2019</w:t>
            </w:r>
          </w:p>
        </w:tc>
        <w:tc>
          <w:tcPr>
            <w:tcW w:w="709" w:type="dxa"/>
          </w:tcPr>
          <w:p w:rsidR="003315AA" w:rsidRDefault="003315AA" w:rsidP="00BE2AF7">
            <w:pPr>
              <w:pStyle w:val="NoSpacing"/>
              <w:jc w:val="right"/>
            </w:pPr>
            <w:r>
              <w:t>2018</w:t>
            </w:r>
          </w:p>
        </w:tc>
        <w:tc>
          <w:tcPr>
            <w:tcW w:w="709" w:type="dxa"/>
          </w:tcPr>
          <w:p w:rsidR="003315AA" w:rsidRDefault="003315AA" w:rsidP="00BE2AF7">
            <w:pPr>
              <w:pStyle w:val="NoSpacing"/>
              <w:jc w:val="right"/>
            </w:pPr>
            <w:r>
              <w:t>2017</w:t>
            </w:r>
          </w:p>
        </w:tc>
        <w:tc>
          <w:tcPr>
            <w:tcW w:w="709" w:type="dxa"/>
          </w:tcPr>
          <w:p w:rsidR="003315AA" w:rsidRDefault="003315AA" w:rsidP="00BE2AF7">
            <w:pPr>
              <w:pStyle w:val="NoSpacing"/>
              <w:jc w:val="right"/>
            </w:pPr>
            <w:r>
              <w:t>2016</w:t>
            </w:r>
          </w:p>
        </w:tc>
        <w:tc>
          <w:tcPr>
            <w:tcW w:w="708" w:type="dxa"/>
          </w:tcPr>
          <w:p w:rsidR="003315AA" w:rsidRDefault="003315AA" w:rsidP="00BE2AF7">
            <w:pPr>
              <w:pStyle w:val="NoSpacing"/>
              <w:jc w:val="right"/>
            </w:pPr>
            <w:r>
              <w:t>2015</w:t>
            </w:r>
          </w:p>
        </w:tc>
        <w:tc>
          <w:tcPr>
            <w:tcW w:w="709" w:type="dxa"/>
          </w:tcPr>
          <w:p w:rsidR="003315AA" w:rsidRDefault="003315AA" w:rsidP="00BE2AF7">
            <w:pPr>
              <w:pStyle w:val="NoSpacing"/>
              <w:jc w:val="right"/>
            </w:pPr>
            <w:r>
              <w:t>2014</w:t>
            </w:r>
          </w:p>
        </w:tc>
        <w:tc>
          <w:tcPr>
            <w:tcW w:w="709" w:type="dxa"/>
          </w:tcPr>
          <w:p w:rsidR="003315AA" w:rsidRDefault="003315AA" w:rsidP="00BE2AF7">
            <w:pPr>
              <w:pStyle w:val="NoSpacing"/>
              <w:jc w:val="right"/>
            </w:pPr>
            <w:r>
              <w:t>2013</w:t>
            </w:r>
          </w:p>
        </w:tc>
      </w:tr>
      <w:tr w:rsidR="003315AA" w:rsidTr="00BE2AF7">
        <w:tc>
          <w:tcPr>
            <w:tcW w:w="5671" w:type="dxa"/>
          </w:tcPr>
          <w:p w:rsidR="003315AA" w:rsidRDefault="003611BD" w:rsidP="00BE2AF7">
            <w:pPr>
              <w:pStyle w:val="NoSpacing"/>
            </w:pPr>
            <w:r>
              <w:t>Notices issued for substandard buildings requiring urgent attention</w:t>
            </w:r>
          </w:p>
        </w:tc>
        <w:tc>
          <w:tcPr>
            <w:tcW w:w="708" w:type="dxa"/>
          </w:tcPr>
          <w:p w:rsidR="003315AA" w:rsidRDefault="003315AA" w:rsidP="00BE2AF7">
            <w:pPr>
              <w:pStyle w:val="NoSpacing"/>
              <w:jc w:val="right"/>
            </w:pPr>
          </w:p>
        </w:tc>
        <w:tc>
          <w:tcPr>
            <w:tcW w:w="709" w:type="dxa"/>
          </w:tcPr>
          <w:p w:rsidR="003315AA" w:rsidRDefault="003315AA" w:rsidP="00BE2AF7">
            <w:pPr>
              <w:pStyle w:val="NoSpacing"/>
              <w:jc w:val="right"/>
            </w:pPr>
          </w:p>
        </w:tc>
        <w:tc>
          <w:tcPr>
            <w:tcW w:w="709" w:type="dxa"/>
          </w:tcPr>
          <w:p w:rsidR="003315AA" w:rsidRDefault="003315AA" w:rsidP="00BE2AF7">
            <w:pPr>
              <w:pStyle w:val="NoSpacing"/>
              <w:jc w:val="right"/>
            </w:pPr>
          </w:p>
        </w:tc>
        <w:tc>
          <w:tcPr>
            <w:tcW w:w="709" w:type="dxa"/>
          </w:tcPr>
          <w:p w:rsidR="003315AA" w:rsidRDefault="003315AA" w:rsidP="00BE2AF7">
            <w:pPr>
              <w:pStyle w:val="NoSpacing"/>
              <w:jc w:val="right"/>
            </w:pPr>
          </w:p>
        </w:tc>
        <w:tc>
          <w:tcPr>
            <w:tcW w:w="708" w:type="dxa"/>
          </w:tcPr>
          <w:p w:rsidR="003315AA" w:rsidRDefault="003315AA" w:rsidP="00BE2AF7">
            <w:pPr>
              <w:pStyle w:val="NoSpacing"/>
              <w:jc w:val="right"/>
            </w:pPr>
          </w:p>
        </w:tc>
        <w:tc>
          <w:tcPr>
            <w:tcW w:w="709" w:type="dxa"/>
          </w:tcPr>
          <w:p w:rsidR="003315AA" w:rsidRDefault="003315AA" w:rsidP="00BE2AF7">
            <w:pPr>
              <w:pStyle w:val="NoSpacing"/>
              <w:jc w:val="right"/>
            </w:pPr>
          </w:p>
        </w:tc>
        <w:tc>
          <w:tcPr>
            <w:tcW w:w="709" w:type="dxa"/>
          </w:tcPr>
          <w:p w:rsidR="003315AA" w:rsidRDefault="003315AA" w:rsidP="00BE2AF7">
            <w:pPr>
              <w:pStyle w:val="NoSpacing"/>
              <w:jc w:val="right"/>
            </w:pPr>
          </w:p>
        </w:tc>
      </w:tr>
      <w:tr w:rsidR="003315AA" w:rsidTr="00BE2AF7">
        <w:tc>
          <w:tcPr>
            <w:tcW w:w="5671" w:type="dxa"/>
          </w:tcPr>
          <w:p w:rsidR="003315AA" w:rsidRDefault="003611BD" w:rsidP="00BE2AF7">
            <w:pPr>
              <w:pStyle w:val="NoSpacing"/>
            </w:pPr>
            <w:r>
              <w:t>Other notices issued involving major expenditure and urgent attention</w:t>
            </w:r>
          </w:p>
        </w:tc>
        <w:tc>
          <w:tcPr>
            <w:tcW w:w="708" w:type="dxa"/>
          </w:tcPr>
          <w:p w:rsidR="003315AA" w:rsidRDefault="003315AA" w:rsidP="00BE2AF7">
            <w:pPr>
              <w:pStyle w:val="NoSpacing"/>
              <w:jc w:val="right"/>
            </w:pPr>
          </w:p>
        </w:tc>
        <w:tc>
          <w:tcPr>
            <w:tcW w:w="709" w:type="dxa"/>
          </w:tcPr>
          <w:p w:rsidR="003315AA" w:rsidRDefault="003315AA" w:rsidP="00BE2AF7">
            <w:pPr>
              <w:pStyle w:val="NoSpacing"/>
              <w:jc w:val="right"/>
            </w:pPr>
          </w:p>
        </w:tc>
        <w:tc>
          <w:tcPr>
            <w:tcW w:w="709" w:type="dxa"/>
          </w:tcPr>
          <w:p w:rsidR="003315AA" w:rsidRDefault="003315AA" w:rsidP="00BE2AF7">
            <w:pPr>
              <w:pStyle w:val="NoSpacing"/>
              <w:jc w:val="right"/>
            </w:pPr>
          </w:p>
        </w:tc>
        <w:tc>
          <w:tcPr>
            <w:tcW w:w="709" w:type="dxa"/>
          </w:tcPr>
          <w:p w:rsidR="003315AA" w:rsidRDefault="003315AA" w:rsidP="00BE2AF7">
            <w:pPr>
              <w:pStyle w:val="NoSpacing"/>
              <w:jc w:val="right"/>
            </w:pPr>
          </w:p>
        </w:tc>
        <w:tc>
          <w:tcPr>
            <w:tcW w:w="708" w:type="dxa"/>
          </w:tcPr>
          <w:p w:rsidR="003315AA" w:rsidRDefault="003315AA" w:rsidP="00BE2AF7">
            <w:pPr>
              <w:pStyle w:val="NoSpacing"/>
              <w:jc w:val="right"/>
            </w:pPr>
          </w:p>
        </w:tc>
        <w:tc>
          <w:tcPr>
            <w:tcW w:w="709" w:type="dxa"/>
          </w:tcPr>
          <w:p w:rsidR="003315AA" w:rsidRDefault="003315AA" w:rsidP="00BE2AF7">
            <w:pPr>
              <w:pStyle w:val="NoSpacing"/>
              <w:jc w:val="right"/>
            </w:pPr>
          </w:p>
        </w:tc>
        <w:tc>
          <w:tcPr>
            <w:tcW w:w="709" w:type="dxa"/>
          </w:tcPr>
          <w:p w:rsidR="003315AA" w:rsidRDefault="003315AA" w:rsidP="00BE2AF7">
            <w:pPr>
              <w:pStyle w:val="NoSpacing"/>
              <w:jc w:val="right"/>
            </w:pPr>
          </w:p>
        </w:tc>
      </w:tr>
    </w:tbl>
    <w:p w:rsidR="00D349D1" w:rsidRDefault="00D349D1" w:rsidP="00D349D1"/>
    <w:tbl>
      <w:tblPr>
        <w:tblStyle w:val="TableGrid"/>
        <w:tblW w:w="10632" w:type="dxa"/>
        <w:tblInd w:w="-714" w:type="dxa"/>
        <w:tblLook w:val="04A0" w:firstRow="1" w:lastRow="0" w:firstColumn="1" w:lastColumn="0" w:noHBand="0" w:noVBand="1"/>
      </w:tblPr>
      <w:tblGrid>
        <w:gridCol w:w="5671"/>
        <w:gridCol w:w="708"/>
        <w:gridCol w:w="709"/>
        <w:gridCol w:w="709"/>
        <w:gridCol w:w="709"/>
        <w:gridCol w:w="708"/>
        <w:gridCol w:w="709"/>
        <w:gridCol w:w="709"/>
      </w:tblGrid>
      <w:tr w:rsidR="003315AA" w:rsidTr="00BE2AF7">
        <w:tc>
          <w:tcPr>
            <w:tcW w:w="5671" w:type="dxa"/>
          </w:tcPr>
          <w:p w:rsidR="003315AA" w:rsidRDefault="003611BD" w:rsidP="00BE2AF7">
            <w:pPr>
              <w:pStyle w:val="NoSpacing"/>
            </w:pPr>
            <w:r>
              <w:t xml:space="preserve">Conforming </w:t>
            </w:r>
          </w:p>
        </w:tc>
        <w:tc>
          <w:tcPr>
            <w:tcW w:w="708" w:type="dxa"/>
          </w:tcPr>
          <w:p w:rsidR="003315AA" w:rsidRDefault="003315AA" w:rsidP="00BE2AF7">
            <w:pPr>
              <w:pStyle w:val="NoSpacing"/>
              <w:jc w:val="right"/>
            </w:pPr>
            <w:r>
              <w:t>2019</w:t>
            </w:r>
          </w:p>
        </w:tc>
        <w:tc>
          <w:tcPr>
            <w:tcW w:w="709" w:type="dxa"/>
          </w:tcPr>
          <w:p w:rsidR="003315AA" w:rsidRDefault="003315AA" w:rsidP="00BE2AF7">
            <w:pPr>
              <w:pStyle w:val="NoSpacing"/>
              <w:jc w:val="right"/>
            </w:pPr>
            <w:r>
              <w:t>2018</w:t>
            </w:r>
          </w:p>
        </w:tc>
        <w:tc>
          <w:tcPr>
            <w:tcW w:w="709" w:type="dxa"/>
          </w:tcPr>
          <w:p w:rsidR="003315AA" w:rsidRDefault="003315AA" w:rsidP="00BE2AF7">
            <w:pPr>
              <w:pStyle w:val="NoSpacing"/>
              <w:jc w:val="right"/>
            </w:pPr>
            <w:r>
              <w:t>2017</w:t>
            </w:r>
          </w:p>
        </w:tc>
        <w:tc>
          <w:tcPr>
            <w:tcW w:w="709" w:type="dxa"/>
          </w:tcPr>
          <w:p w:rsidR="003315AA" w:rsidRDefault="003315AA" w:rsidP="00BE2AF7">
            <w:pPr>
              <w:pStyle w:val="NoSpacing"/>
              <w:jc w:val="right"/>
            </w:pPr>
            <w:r>
              <w:t>2016</w:t>
            </w:r>
          </w:p>
        </w:tc>
        <w:tc>
          <w:tcPr>
            <w:tcW w:w="708" w:type="dxa"/>
          </w:tcPr>
          <w:p w:rsidR="003315AA" w:rsidRDefault="003315AA" w:rsidP="00BE2AF7">
            <w:pPr>
              <w:pStyle w:val="NoSpacing"/>
              <w:jc w:val="right"/>
            </w:pPr>
            <w:r>
              <w:t>2015</w:t>
            </w:r>
          </w:p>
        </w:tc>
        <w:tc>
          <w:tcPr>
            <w:tcW w:w="709" w:type="dxa"/>
          </w:tcPr>
          <w:p w:rsidR="003315AA" w:rsidRDefault="003315AA" w:rsidP="00BE2AF7">
            <w:pPr>
              <w:pStyle w:val="NoSpacing"/>
              <w:jc w:val="right"/>
            </w:pPr>
            <w:r>
              <w:t>2014</w:t>
            </w:r>
          </w:p>
        </w:tc>
        <w:tc>
          <w:tcPr>
            <w:tcW w:w="709" w:type="dxa"/>
          </w:tcPr>
          <w:p w:rsidR="003315AA" w:rsidRDefault="003315AA" w:rsidP="00BE2AF7">
            <w:pPr>
              <w:pStyle w:val="NoSpacing"/>
              <w:jc w:val="right"/>
            </w:pPr>
            <w:r>
              <w:t>2013</w:t>
            </w:r>
          </w:p>
        </w:tc>
      </w:tr>
      <w:tr w:rsidR="00BE2AF7" w:rsidTr="00BE2AF7">
        <w:tc>
          <w:tcPr>
            <w:tcW w:w="10632" w:type="dxa"/>
            <w:gridSpan w:val="8"/>
          </w:tcPr>
          <w:p w:rsidR="00BE2AF7" w:rsidRDefault="00BE2AF7" w:rsidP="00BE2AF7">
            <w:pPr>
              <w:pStyle w:val="NoSpacing"/>
            </w:pPr>
            <w:r>
              <w:t>Number of owned buildings occupied by Chisholm (note the numbers are buildings in their entirety; floors and levels have not been considered)</w:t>
            </w:r>
          </w:p>
        </w:tc>
      </w:tr>
      <w:tr w:rsidR="003315AA" w:rsidTr="00BE2AF7">
        <w:tc>
          <w:tcPr>
            <w:tcW w:w="5671" w:type="dxa"/>
          </w:tcPr>
          <w:p w:rsidR="003315AA" w:rsidRDefault="00BE2AF7" w:rsidP="00BE2AF7">
            <w:pPr>
              <w:pStyle w:val="NoSpacing"/>
            </w:pPr>
            <w:r>
              <w:t>Frankston</w:t>
            </w:r>
          </w:p>
        </w:tc>
        <w:tc>
          <w:tcPr>
            <w:tcW w:w="708" w:type="dxa"/>
          </w:tcPr>
          <w:p w:rsidR="003315AA" w:rsidRDefault="00BE2AF7" w:rsidP="00BE2AF7">
            <w:pPr>
              <w:pStyle w:val="NoSpacing"/>
              <w:jc w:val="right"/>
            </w:pPr>
            <w:r>
              <w:t>21</w:t>
            </w:r>
          </w:p>
        </w:tc>
        <w:tc>
          <w:tcPr>
            <w:tcW w:w="709" w:type="dxa"/>
          </w:tcPr>
          <w:p w:rsidR="003315AA" w:rsidRDefault="00BE2AF7" w:rsidP="00BE2AF7">
            <w:pPr>
              <w:pStyle w:val="NoSpacing"/>
              <w:jc w:val="right"/>
            </w:pPr>
            <w:r>
              <w:t>19*</w:t>
            </w:r>
          </w:p>
        </w:tc>
        <w:tc>
          <w:tcPr>
            <w:tcW w:w="709" w:type="dxa"/>
          </w:tcPr>
          <w:p w:rsidR="003315AA" w:rsidRDefault="00BE2AF7" w:rsidP="00BE2AF7">
            <w:pPr>
              <w:pStyle w:val="NoSpacing"/>
              <w:jc w:val="right"/>
            </w:pPr>
            <w:r>
              <w:t>17*</w:t>
            </w:r>
          </w:p>
        </w:tc>
        <w:tc>
          <w:tcPr>
            <w:tcW w:w="709" w:type="dxa"/>
          </w:tcPr>
          <w:p w:rsidR="003315AA" w:rsidRDefault="00BE2AF7" w:rsidP="00BE2AF7">
            <w:pPr>
              <w:pStyle w:val="NoSpacing"/>
              <w:jc w:val="right"/>
            </w:pPr>
            <w:r>
              <w:t>18</w:t>
            </w:r>
          </w:p>
        </w:tc>
        <w:tc>
          <w:tcPr>
            <w:tcW w:w="708" w:type="dxa"/>
          </w:tcPr>
          <w:p w:rsidR="003315AA" w:rsidRDefault="00BE2AF7" w:rsidP="00BE2AF7">
            <w:pPr>
              <w:pStyle w:val="NoSpacing"/>
              <w:jc w:val="right"/>
            </w:pPr>
            <w:r>
              <w:t>18</w:t>
            </w:r>
          </w:p>
        </w:tc>
        <w:tc>
          <w:tcPr>
            <w:tcW w:w="709" w:type="dxa"/>
          </w:tcPr>
          <w:p w:rsidR="003315AA" w:rsidRDefault="00BE2AF7" w:rsidP="00BE2AF7">
            <w:pPr>
              <w:pStyle w:val="NoSpacing"/>
              <w:jc w:val="right"/>
            </w:pPr>
            <w:r>
              <w:t>17</w:t>
            </w:r>
          </w:p>
        </w:tc>
        <w:tc>
          <w:tcPr>
            <w:tcW w:w="709" w:type="dxa"/>
          </w:tcPr>
          <w:p w:rsidR="003315AA" w:rsidRDefault="00BE2AF7" w:rsidP="00BE2AF7">
            <w:pPr>
              <w:pStyle w:val="NoSpacing"/>
              <w:jc w:val="right"/>
            </w:pPr>
            <w:r>
              <w:t>17</w:t>
            </w:r>
          </w:p>
        </w:tc>
      </w:tr>
      <w:tr w:rsidR="003315AA" w:rsidTr="00BE2AF7">
        <w:tc>
          <w:tcPr>
            <w:tcW w:w="5671" w:type="dxa"/>
          </w:tcPr>
          <w:p w:rsidR="003315AA" w:rsidRDefault="00BE2AF7" w:rsidP="00BE2AF7">
            <w:pPr>
              <w:pStyle w:val="NoSpacing"/>
            </w:pPr>
            <w:r>
              <w:t xml:space="preserve">Dandenong </w:t>
            </w:r>
          </w:p>
        </w:tc>
        <w:tc>
          <w:tcPr>
            <w:tcW w:w="708" w:type="dxa"/>
          </w:tcPr>
          <w:p w:rsidR="003315AA" w:rsidRDefault="00BE2AF7" w:rsidP="00BE2AF7">
            <w:pPr>
              <w:pStyle w:val="NoSpacing"/>
              <w:jc w:val="right"/>
            </w:pPr>
            <w:r>
              <w:t>26</w:t>
            </w:r>
          </w:p>
        </w:tc>
        <w:tc>
          <w:tcPr>
            <w:tcW w:w="709" w:type="dxa"/>
          </w:tcPr>
          <w:p w:rsidR="003315AA" w:rsidRDefault="00BE2AF7" w:rsidP="00BE2AF7">
            <w:pPr>
              <w:pStyle w:val="NoSpacing"/>
              <w:jc w:val="right"/>
            </w:pPr>
            <w:r>
              <w:t>25</w:t>
            </w:r>
          </w:p>
        </w:tc>
        <w:tc>
          <w:tcPr>
            <w:tcW w:w="709" w:type="dxa"/>
          </w:tcPr>
          <w:p w:rsidR="003315AA" w:rsidRDefault="00BE2AF7" w:rsidP="00BE2AF7">
            <w:pPr>
              <w:pStyle w:val="NoSpacing"/>
              <w:jc w:val="right"/>
            </w:pPr>
            <w:r>
              <w:t>26</w:t>
            </w:r>
          </w:p>
        </w:tc>
        <w:tc>
          <w:tcPr>
            <w:tcW w:w="709" w:type="dxa"/>
          </w:tcPr>
          <w:p w:rsidR="003315AA" w:rsidRDefault="00BE2AF7" w:rsidP="00BE2AF7">
            <w:pPr>
              <w:pStyle w:val="NoSpacing"/>
              <w:jc w:val="right"/>
            </w:pPr>
            <w:r>
              <w:t>27</w:t>
            </w:r>
          </w:p>
        </w:tc>
        <w:tc>
          <w:tcPr>
            <w:tcW w:w="708" w:type="dxa"/>
          </w:tcPr>
          <w:p w:rsidR="003315AA" w:rsidRDefault="00BE2AF7" w:rsidP="00BE2AF7">
            <w:pPr>
              <w:pStyle w:val="NoSpacing"/>
              <w:jc w:val="right"/>
            </w:pPr>
            <w:r>
              <w:t>27</w:t>
            </w:r>
          </w:p>
        </w:tc>
        <w:tc>
          <w:tcPr>
            <w:tcW w:w="709" w:type="dxa"/>
          </w:tcPr>
          <w:p w:rsidR="003315AA" w:rsidRDefault="00BE2AF7" w:rsidP="00BE2AF7">
            <w:pPr>
              <w:pStyle w:val="NoSpacing"/>
              <w:jc w:val="right"/>
            </w:pPr>
            <w:r>
              <w:t>27</w:t>
            </w:r>
          </w:p>
        </w:tc>
        <w:tc>
          <w:tcPr>
            <w:tcW w:w="709" w:type="dxa"/>
          </w:tcPr>
          <w:p w:rsidR="003315AA" w:rsidRDefault="00BE2AF7" w:rsidP="00BE2AF7">
            <w:pPr>
              <w:pStyle w:val="NoSpacing"/>
              <w:jc w:val="right"/>
            </w:pPr>
            <w:r>
              <w:t>27</w:t>
            </w:r>
          </w:p>
        </w:tc>
      </w:tr>
      <w:tr w:rsidR="003315AA" w:rsidTr="00BE2AF7">
        <w:tc>
          <w:tcPr>
            <w:tcW w:w="5671" w:type="dxa"/>
          </w:tcPr>
          <w:p w:rsidR="003315AA" w:rsidRDefault="00BE2AF7" w:rsidP="00BE2AF7">
            <w:pPr>
              <w:pStyle w:val="NoSpacing"/>
            </w:pPr>
            <w:r>
              <w:t>Berwick</w:t>
            </w:r>
          </w:p>
        </w:tc>
        <w:tc>
          <w:tcPr>
            <w:tcW w:w="708" w:type="dxa"/>
          </w:tcPr>
          <w:p w:rsidR="003315AA" w:rsidRDefault="00BE2AF7" w:rsidP="00BE2AF7">
            <w:pPr>
              <w:pStyle w:val="NoSpacing"/>
              <w:jc w:val="right"/>
            </w:pPr>
            <w:r>
              <w:t>11</w:t>
            </w:r>
          </w:p>
        </w:tc>
        <w:tc>
          <w:tcPr>
            <w:tcW w:w="709" w:type="dxa"/>
          </w:tcPr>
          <w:p w:rsidR="003315AA" w:rsidRDefault="00BE2AF7" w:rsidP="00BE2AF7">
            <w:pPr>
              <w:pStyle w:val="NoSpacing"/>
              <w:jc w:val="right"/>
            </w:pPr>
            <w:r>
              <w:t>10</w:t>
            </w:r>
          </w:p>
        </w:tc>
        <w:tc>
          <w:tcPr>
            <w:tcW w:w="709" w:type="dxa"/>
          </w:tcPr>
          <w:p w:rsidR="003315AA" w:rsidRDefault="00BE2AF7" w:rsidP="00BE2AF7">
            <w:pPr>
              <w:pStyle w:val="NoSpacing"/>
              <w:jc w:val="right"/>
            </w:pPr>
            <w:r>
              <w:t>9</w:t>
            </w:r>
          </w:p>
        </w:tc>
        <w:tc>
          <w:tcPr>
            <w:tcW w:w="709" w:type="dxa"/>
          </w:tcPr>
          <w:p w:rsidR="003315AA" w:rsidRDefault="00BE2AF7" w:rsidP="00BE2AF7">
            <w:pPr>
              <w:pStyle w:val="NoSpacing"/>
              <w:jc w:val="right"/>
            </w:pPr>
            <w:r>
              <w:t>10</w:t>
            </w:r>
          </w:p>
        </w:tc>
        <w:tc>
          <w:tcPr>
            <w:tcW w:w="708" w:type="dxa"/>
          </w:tcPr>
          <w:p w:rsidR="003315AA" w:rsidRDefault="00BE2AF7" w:rsidP="00BE2AF7">
            <w:pPr>
              <w:pStyle w:val="NoSpacing"/>
              <w:jc w:val="right"/>
            </w:pPr>
            <w:r>
              <w:t>10</w:t>
            </w:r>
          </w:p>
        </w:tc>
        <w:tc>
          <w:tcPr>
            <w:tcW w:w="709" w:type="dxa"/>
          </w:tcPr>
          <w:p w:rsidR="003315AA" w:rsidRDefault="00BE2AF7" w:rsidP="00BE2AF7">
            <w:pPr>
              <w:pStyle w:val="NoSpacing"/>
              <w:jc w:val="right"/>
            </w:pPr>
            <w:r>
              <w:t>9</w:t>
            </w:r>
          </w:p>
        </w:tc>
        <w:tc>
          <w:tcPr>
            <w:tcW w:w="709" w:type="dxa"/>
          </w:tcPr>
          <w:p w:rsidR="003315AA" w:rsidRDefault="00BE2AF7" w:rsidP="00BE2AF7">
            <w:pPr>
              <w:pStyle w:val="NoSpacing"/>
              <w:jc w:val="right"/>
            </w:pPr>
            <w:r>
              <w:t>9</w:t>
            </w:r>
          </w:p>
        </w:tc>
      </w:tr>
      <w:tr w:rsidR="003315AA" w:rsidTr="00BE2AF7">
        <w:tc>
          <w:tcPr>
            <w:tcW w:w="5671" w:type="dxa"/>
          </w:tcPr>
          <w:p w:rsidR="003315AA" w:rsidRDefault="00BE2AF7" w:rsidP="00BE2AF7">
            <w:pPr>
              <w:pStyle w:val="NoSpacing"/>
            </w:pPr>
            <w:r>
              <w:t xml:space="preserve">Cranbourne </w:t>
            </w:r>
          </w:p>
        </w:tc>
        <w:tc>
          <w:tcPr>
            <w:tcW w:w="708" w:type="dxa"/>
          </w:tcPr>
          <w:p w:rsidR="003315AA" w:rsidRDefault="00BE2AF7" w:rsidP="00BE2AF7">
            <w:pPr>
              <w:pStyle w:val="NoSpacing"/>
              <w:jc w:val="right"/>
            </w:pPr>
            <w:r>
              <w:t>5</w:t>
            </w:r>
          </w:p>
        </w:tc>
        <w:tc>
          <w:tcPr>
            <w:tcW w:w="709" w:type="dxa"/>
          </w:tcPr>
          <w:p w:rsidR="003315AA" w:rsidRDefault="00BE2AF7" w:rsidP="00BE2AF7">
            <w:pPr>
              <w:pStyle w:val="NoSpacing"/>
              <w:jc w:val="right"/>
            </w:pPr>
            <w:r>
              <w:t>5</w:t>
            </w:r>
          </w:p>
        </w:tc>
        <w:tc>
          <w:tcPr>
            <w:tcW w:w="709" w:type="dxa"/>
          </w:tcPr>
          <w:p w:rsidR="003315AA" w:rsidRDefault="00BE2AF7" w:rsidP="00BE2AF7">
            <w:pPr>
              <w:pStyle w:val="NoSpacing"/>
              <w:jc w:val="right"/>
            </w:pPr>
            <w:r>
              <w:t>5</w:t>
            </w:r>
          </w:p>
        </w:tc>
        <w:tc>
          <w:tcPr>
            <w:tcW w:w="709" w:type="dxa"/>
          </w:tcPr>
          <w:p w:rsidR="003315AA" w:rsidRDefault="00BE2AF7" w:rsidP="00BE2AF7">
            <w:pPr>
              <w:pStyle w:val="NoSpacing"/>
              <w:jc w:val="right"/>
            </w:pPr>
            <w:r>
              <w:t>5</w:t>
            </w:r>
          </w:p>
        </w:tc>
        <w:tc>
          <w:tcPr>
            <w:tcW w:w="708" w:type="dxa"/>
          </w:tcPr>
          <w:p w:rsidR="003315AA" w:rsidRDefault="00BE2AF7" w:rsidP="00BE2AF7">
            <w:pPr>
              <w:pStyle w:val="NoSpacing"/>
              <w:jc w:val="right"/>
            </w:pPr>
            <w:r>
              <w:t>5</w:t>
            </w:r>
          </w:p>
        </w:tc>
        <w:tc>
          <w:tcPr>
            <w:tcW w:w="709" w:type="dxa"/>
          </w:tcPr>
          <w:p w:rsidR="003315AA" w:rsidRDefault="00BE2AF7" w:rsidP="00BE2AF7">
            <w:pPr>
              <w:pStyle w:val="NoSpacing"/>
              <w:jc w:val="right"/>
            </w:pPr>
            <w:r>
              <w:t>5</w:t>
            </w:r>
          </w:p>
        </w:tc>
        <w:tc>
          <w:tcPr>
            <w:tcW w:w="709" w:type="dxa"/>
          </w:tcPr>
          <w:p w:rsidR="003315AA" w:rsidRDefault="00BE2AF7" w:rsidP="00BE2AF7">
            <w:pPr>
              <w:pStyle w:val="NoSpacing"/>
              <w:jc w:val="right"/>
            </w:pPr>
            <w:r>
              <w:t>5</w:t>
            </w:r>
          </w:p>
        </w:tc>
      </w:tr>
      <w:tr w:rsidR="003315AA" w:rsidTr="00BE2AF7">
        <w:tc>
          <w:tcPr>
            <w:tcW w:w="5671" w:type="dxa"/>
          </w:tcPr>
          <w:p w:rsidR="003315AA" w:rsidRDefault="00BE2AF7" w:rsidP="00BE2AF7">
            <w:pPr>
              <w:pStyle w:val="NoSpacing"/>
            </w:pPr>
            <w:r>
              <w:t xml:space="preserve">Bass Coast </w:t>
            </w:r>
          </w:p>
        </w:tc>
        <w:tc>
          <w:tcPr>
            <w:tcW w:w="708" w:type="dxa"/>
          </w:tcPr>
          <w:p w:rsidR="003315AA" w:rsidRDefault="00BE2AF7" w:rsidP="00BE2AF7">
            <w:pPr>
              <w:pStyle w:val="NoSpacing"/>
              <w:jc w:val="right"/>
            </w:pPr>
            <w:r>
              <w:t>5</w:t>
            </w:r>
          </w:p>
        </w:tc>
        <w:tc>
          <w:tcPr>
            <w:tcW w:w="709" w:type="dxa"/>
          </w:tcPr>
          <w:p w:rsidR="003315AA" w:rsidRDefault="00BE2AF7" w:rsidP="00BE2AF7">
            <w:pPr>
              <w:pStyle w:val="NoSpacing"/>
              <w:jc w:val="right"/>
            </w:pPr>
            <w:r>
              <w:t>5</w:t>
            </w:r>
          </w:p>
        </w:tc>
        <w:tc>
          <w:tcPr>
            <w:tcW w:w="709" w:type="dxa"/>
          </w:tcPr>
          <w:p w:rsidR="003315AA" w:rsidRDefault="00BE2AF7" w:rsidP="00BE2AF7">
            <w:pPr>
              <w:pStyle w:val="NoSpacing"/>
              <w:jc w:val="right"/>
            </w:pPr>
            <w:r>
              <w:t>5</w:t>
            </w:r>
          </w:p>
        </w:tc>
        <w:tc>
          <w:tcPr>
            <w:tcW w:w="709" w:type="dxa"/>
          </w:tcPr>
          <w:p w:rsidR="003315AA" w:rsidRDefault="00BE2AF7" w:rsidP="00BE2AF7">
            <w:pPr>
              <w:pStyle w:val="NoSpacing"/>
              <w:jc w:val="right"/>
            </w:pPr>
            <w:r>
              <w:t>5</w:t>
            </w:r>
          </w:p>
        </w:tc>
        <w:tc>
          <w:tcPr>
            <w:tcW w:w="708" w:type="dxa"/>
          </w:tcPr>
          <w:p w:rsidR="003315AA" w:rsidRDefault="00BE2AF7" w:rsidP="00BE2AF7">
            <w:pPr>
              <w:pStyle w:val="NoSpacing"/>
              <w:jc w:val="right"/>
            </w:pPr>
            <w:r>
              <w:t>5</w:t>
            </w:r>
          </w:p>
        </w:tc>
        <w:tc>
          <w:tcPr>
            <w:tcW w:w="709" w:type="dxa"/>
          </w:tcPr>
          <w:p w:rsidR="003315AA" w:rsidRDefault="00BE2AF7" w:rsidP="00BE2AF7">
            <w:pPr>
              <w:pStyle w:val="NoSpacing"/>
              <w:jc w:val="right"/>
            </w:pPr>
            <w:r>
              <w:t>4</w:t>
            </w:r>
          </w:p>
        </w:tc>
        <w:tc>
          <w:tcPr>
            <w:tcW w:w="709" w:type="dxa"/>
          </w:tcPr>
          <w:p w:rsidR="003315AA" w:rsidRDefault="00BE2AF7" w:rsidP="00BE2AF7">
            <w:pPr>
              <w:pStyle w:val="NoSpacing"/>
              <w:jc w:val="right"/>
            </w:pPr>
            <w:r>
              <w:t>4</w:t>
            </w:r>
          </w:p>
        </w:tc>
      </w:tr>
      <w:tr w:rsidR="003315AA" w:rsidTr="00BE2AF7">
        <w:tc>
          <w:tcPr>
            <w:tcW w:w="5671" w:type="dxa"/>
          </w:tcPr>
          <w:p w:rsidR="003315AA" w:rsidRDefault="00BE2AF7" w:rsidP="00BE2AF7">
            <w:pPr>
              <w:pStyle w:val="NoSpacing"/>
            </w:pPr>
            <w:r>
              <w:t>Mornington Peninsula</w:t>
            </w:r>
          </w:p>
        </w:tc>
        <w:tc>
          <w:tcPr>
            <w:tcW w:w="708" w:type="dxa"/>
          </w:tcPr>
          <w:p w:rsidR="003315AA" w:rsidRDefault="00BE2AF7" w:rsidP="00BE2AF7">
            <w:pPr>
              <w:pStyle w:val="NoSpacing"/>
              <w:jc w:val="right"/>
            </w:pPr>
            <w:r>
              <w:t>7</w:t>
            </w:r>
          </w:p>
        </w:tc>
        <w:tc>
          <w:tcPr>
            <w:tcW w:w="709" w:type="dxa"/>
          </w:tcPr>
          <w:p w:rsidR="003315AA" w:rsidRDefault="00BE2AF7" w:rsidP="00BE2AF7">
            <w:pPr>
              <w:pStyle w:val="NoSpacing"/>
              <w:jc w:val="right"/>
            </w:pPr>
            <w:r>
              <w:t>7</w:t>
            </w:r>
          </w:p>
        </w:tc>
        <w:tc>
          <w:tcPr>
            <w:tcW w:w="709" w:type="dxa"/>
          </w:tcPr>
          <w:p w:rsidR="003315AA" w:rsidRDefault="00BE2AF7" w:rsidP="00BE2AF7">
            <w:pPr>
              <w:pStyle w:val="NoSpacing"/>
              <w:jc w:val="right"/>
            </w:pPr>
            <w:r>
              <w:t>7</w:t>
            </w:r>
          </w:p>
        </w:tc>
        <w:tc>
          <w:tcPr>
            <w:tcW w:w="709" w:type="dxa"/>
          </w:tcPr>
          <w:p w:rsidR="003315AA" w:rsidRDefault="00BE2AF7" w:rsidP="00BE2AF7">
            <w:pPr>
              <w:pStyle w:val="NoSpacing"/>
              <w:jc w:val="right"/>
            </w:pPr>
            <w:r>
              <w:t>7</w:t>
            </w:r>
          </w:p>
        </w:tc>
        <w:tc>
          <w:tcPr>
            <w:tcW w:w="708" w:type="dxa"/>
          </w:tcPr>
          <w:p w:rsidR="003315AA" w:rsidRDefault="00BE2AF7" w:rsidP="00BE2AF7">
            <w:pPr>
              <w:pStyle w:val="NoSpacing"/>
              <w:jc w:val="right"/>
            </w:pPr>
            <w:r>
              <w:t>11</w:t>
            </w:r>
          </w:p>
        </w:tc>
        <w:tc>
          <w:tcPr>
            <w:tcW w:w="709" w:type="dxa"/>
          </w:tcPr>
          <w:p w:rsidR="003315AA" w:rsidRDefault="00BE2AF7" w:rsidP="00BE2AF7">
            <w:pPr>
              <w:pStyle w:val="NoSpacing"/>
              <w:jc w:val="right"/>
            </w:pPr>
            <w:r>
              <w:t>6</w:t>
            </w:r>
          </w:p>
        </w:tc>
        <w:tc>
          <w:tcPr>
            <w:tcW w:w="709" w:type="dxa"/>
          </w:tcPr>
          <w:p w:rsidR="003315AA" w:rsidRDefault="00BE2AF7" w:rsidP="00BE2AF7">
            <w:pPr>
              <w:pStyle w:val="NoSpacing"/>
              <w:jc w:val="right"/>
            </w:pPr>
            <w:r>
              <w:t>6</w:t>
            </w:r>
          </w:p>
        </w:tc>
      </w:tr>
      <w:tr w:rsidR="003315AA" w:rsidTr="00BE2AF7">
        <w:tc>
          <w:tcPr>
            <w:tcW w:w="5671" w:type="dxa"/>
          </w:tcPr>
          <w:p w:rsidR="003315AA" w:rsidRDefault="00BE2AF7" w:rsidP="00BE2AF7">
            <w:pPr>
              <w:pStyle w:val="NoSpacing"/>
            </w:pPr>
            <w:r>
              <w:t xml:space="preserve">Total </w:t>
            </w:r>
          </w:p>
        </w:tc>
        <w:tc>
          <w:tcPr>
            <w:tcW w:w="708" w:type="dxa"/>
          </w:tcPr>
          <w:p w:rsidR="003315AA" w:rsidRDefault="00BE2AF7" w:rsidP="00BE2AF7">
            <w:pPr>
              <w:pStyle w:val="NoSpacing"/>
              <w:jc w:val="right"/>
            </w:pPr>
            <w:r>
              <w:t>75</w:t>
            </w:r>
          </w:p>
        </w:tc>
        <w:tc>
          <w:tcPr>
            <w:tcW w:w="709" w:type="dxa"/>
          </w:tcPr>
          <w:p w:rsidR="003315AA" w:rsidRDefault="00BE2AF7" w:rsidP="00BE2AF7">
            <w:pPr>
              <w:pStyle w:val="NoSpacing"/>
              <w:jc w:val="right"/>
            </w:pPr>
            <w:r>
              <w:t>71</w:t>
            </w:r>
          </w:p>
        </w:tc>
        <w:tc>
          <w:tcPr>
            <w:tcW w:w="709" w:type="dxa"/>
          </w:tcPr>
          <w:p w:rsidR="003315AA" w:rsidRDefault="00BE2AF7" w:rsidP="00BE2AF7">
            <w:pPr>
              <w:pStyle w:val="NoSpacing"/>
              <w:jc w:val="right"/>
            </w:pPr>
            <w:r>
              <w:t>69</w:t>
            </w:r>
          </w:p>
        </w:tc>
        <w:tc>
          <w:tcPr>
            <w:tcW w:w="709" w:type="dxa"/>
          </w:tcPr>
          <w:p w:rsidR="003315AA" w:rsidRDefault="00BE2AF7" w:rsidP="00BE2AF7">
            <w:pPr>
              <w:pStyle w:val="NoSpacing"/>
              <w:jc w:val="right"/>
            </w:pPr>
            <w:r>
              <w:t>72</w:t>
            </w:r>
          </w:p>
        </w:tc>
        <w:tc>
          <w:tcPr>
            <w:tcW w:w="708" w:type="dxa"/>
          </w:tcPr>
          <w:p w:rsidR="003315AA" w:rsidRDefault="00BE2AF7" w:rsidP="00BE2AF7">
            <w:pPr>
              <w:pStyle w:val="NoSpacing"/>
              <w:jc w:val="right"/>
            </w:pPr>
            <w:r>
              <w:t>76</w:t>
            </w:r>
          </w:p>
        </w:tc>
        <w:tc>
          <w:tcPr>
            <w:tcW w:w="709" w:type="dxa"/>
          </w:tcPr>
          <w:p w:rsidR="003315AA" w:rsidRDefault="00BE2AF7" w:rsidP="00BE2AF7">
            <w:pPr>
              <w:pStyle w:val="NoSpacing"/>
              <w:jc w:val="right"/>
            </w:pPr>
            <w:r>
              <w:t>68</w:t>
            </w:r>
          </w:p>
        </w:tc>
        <w:tc>
          <w:tcPr>
            <w:tcW w:w="709" w:type="dxa"/>
          </w:tcPr>
          <w:p w:rsidR="003315AA" w:rsidRDefault="00BE2AF7" w:rsidP="00BE2AF7">
            <w:pPr>
              <w:pStyle w:val="NoSpacing"/>
              <w:jc w:val="right"/>
            </w:pPr>
            <w:r>
              <w:t>68</w:t>
            </w:r>
          </w:p>
        </w:tc>
      </w:tr>
    </w:tbl>
    <w:p w:rsidR="003315AA" w:rsidRDefault="003315AA" w:rsidP="00D349D1"/>
    <w:tbl>
      <w:tblPr>
        <w:tblStyle w:val="TableGrid"/>
        <w:tblW w:w="10632" w:type="dxa"/>
        <w:tblInd w:w="-714" w:type="dxa"/>
        <w:tblLook w:val="04A0" w:firstRow="1" w:lastRow="0" w:firstColumn="1" w:lastColumn="0" w:noHBand="0" w:noVBand="1"/>
      </w:tblPr>
      <w:tblGrid>
        <w:gridCol w:w="4867"/>
        <w:gridCol w:w="1233"/>
        <w:gridCol w:w="1233"/>
        <w:gridCol w:w="660"/>
        <w:gridCol w:w="660"/>
        <w:gridCol w:w="659"/>
        <w:gridCol w:w="660"/>
        <w:gridCol w:w="660"/>
      </w:tblGrid>
      <w:tr w:rsidR="00BE2AF7" w:rsidTr="00BE2AF7">
        <w:tc>
          <w:tcPr>
            <w:tcW w:w="5671" w:type="dxa"/>
          </w:tcPr>
          <w:p w:rsidR="003315AA" w:rsidRDefault="00BE2AF7" w:rsidP="00BE2AF7">
            <w:pPr>
              <w:pStyle w:val="NoSpacing"/>
            </w:pPr>
            <w:r>
              <w:t>Number of buildings conforming to the standards</w:t>
            </w:r>
          </w:p>
        </w:tc>
        <w:tc>
          <w:tcPr>
            <w:tcW w:w="708" w:type="dxa"/>
          </w:tcPr>
          <w:p w:rsidR="003315AA" w:rsidRDefault="00BE2AF7" w:rsidP="00BE2AF7">
            <w:pPr>
              <w:pStyle w:val="NoSpacing"/>
              <w:jc w:val="right"/>
            </w:pPr>
            <w:r>
              <w:t>73</w:t>
            </w:r>
          </w:p>
        </w:tc>
        <w:tc>
          <w:tcPr>
            <w:tcW w:w="709" w:type="dxa"/>
          </w:tcPr>
          <w:p w:rsidR="003315AA" w:rsidRDefault="00BE2AF7" w:rsidP="00BE2AF7">
            <w:pPr>
              <w:pStyle w:val="NoSpacing"/>
              <w:jc w:val="right"/>
            </w:pPr>
            <w:r>
              <w:t>71</w:t>
            </w:r>
          </w:p>
        </w:tc>
        <w:tc>
          <w:tcPr>
            <w:tcW w:w="709" w:type="dxa"/>
          </w:tcPr>
          <w:p w:rsidR="003315AA" w:rsidRDefault="00BE2AF7" w:rsidP="00BE2AF7">
            <w:pPr>
              <w:pStyle w:val="NoSpacing"/>
              <w:jc w:val="right"/>
            </w:pPr>
            <w:r>
              <w:t>69</w:t>
            </w:r>
          </w:p>
        </w:tc>
        <w:tc>
          <w:tcPr>
            <w:tcW w:w="709" w:type="dxa"/>
          </w:tcPr>
          <w:p w:rsidR="003315AA" w:rsidRDefault="00BE2AF7" w:rsidP="00BE2AF7">
            <w:pPr>
              <w:pStyle w:val="NoSpacing"/>
              <w:jc w:val="right"/>
            </w:pPr>
            <w:r>
              <w:t>72</w:t>
            </w:r>
          </w:p>
        </w:tc>
        <w:tc>
          <w:tcPr>
            <w:tcW w:w="708" w:type="dxa"/>
          </w:tcPr>
          <w:p w:rsidR="003315AA" w:rsidRDefault="00BE2AF7" w:rsidP="00BE2AF7">
            <w:pPr>
              <w:pStyle w:val="NoSpacing"/>
              <w:jc w:val="right"/>
            </w:pPr>
            <w:r>
              <w:t>76</w:t>
            </w:r>
          </w:p>
        </w:tc>
        <w:tc>
          <w:tcPr>
            <w:tcW w:w="709" w:type="dxa"/>
          </w:tcPr>
          <w:p w:rsidR="003315AA" w:rsidRDefault="00BE2AF7" w:rsidP="00BE2AF7">
            <w:pPr>
              <w:pStyle w:val="NoSpacing"/>
              <w:jc w:val="right"/>
            </w:pPr>
            <w:r>
              <w:t>68</w:t>
            </w:r>
          </w:p>
        </w:tc>
        <w:tc>
          <w:tcPr>
            <w:tcW w:w="709" w:type="dxa"/>
          </w:tcPr>
          <w:p w:rsidR="003315AA" w:rsidRDefault="00BE2AF7" w:rsidP="00BE2AF7">
            <w:pPr>
              <w:pStyle w:val="NoSpacing"/>
              <w:jc w:val="right"/>
            </w:pPr>
            <w:r>
              <w:t>68</w:t>
            </w:r>
          </w:p>
        </w:tc>
      </w:tr>
      <w:tr w:rsidR="00BE2AF7" w:rsidTr="00BE2AF7">
        <w:tc>
          <w:tcPr>
            <w:tcW w:w="5671" w:type="dxa"/>
          </w:tcPr>
          <w:p w:rsidR="003315AA" w:rsidRDefault="00BE2AF7" w:rsidP="00BE2AF7">
            <w:pPr>
              <w:pStyle w:val="NoSpacing"/>
            </w:pPr>
            <w:r>
              <w:t>Number of non-conforming buildings vacated</w:t>
            </w:r>
          </w:p>
        </w:tc>
        <w:tc>
          <w:tcPr>
            <w:tcW w:w="708" w:type="dxa"/>
          </w:tcPr>
          <w:p w:rsidR="003315AA" w:rsidRDefault="00BE2AF7" w:rsidP="00BE2AF7">
            <w:pPr>
              <w:pStyle w:val="NoSpacing"/>
              <w:jc w:val="right"/>
            </w:pPr>
            <w:r>
              <w:t>0</w:t>
            </w:r>
          </w:p>
        </w:tc>
        <w:tc>
          <w:tcPr>
            <w:tcW w:w="709" w:type="dxa"/>
          </w:tcPr>
          <w:p w:rsidR="003315AA" w:rsidRDefault="00BE2AF7" w:rsidP="00BE2AF7">
            <w:pPr>
              <w:pStyle w:val="NoSpacing"/>
              <w:jc w:val="right"/>
            </w:pPr>
            <w:r>
              <w:t>0</w:t>
            </w:r>
          </w:p>
        </w:tc>
        <w:tc>
          <w:tcPr>
            <w:tcW w:w="709" w:type="dxa"/>
          </w:tcPr>
          <w:p w:rsidR="003315AA" w:rsidRDefault="00BE2AF7" w:rsidP="00BE2AF7">
            <w:pPr>
              <w:pStyle w:val="NoSpacing"/>
              <w:jc w:val="right"/>
            </w:pPr>
            <w:r>
              <w:t>0</w:t>
            </w:r>
          </w:p>
        </w:tc>
        <w:tc>
          <w:tcPr>
            <w:tcW w:w="709" w:type="dxa"/>
          </w:tcPr>
          <w:p w:rsidR="003315AA" w:rsidRDefault="00BE2AF7" w:rsidP="00BE2AF7">
            <w:pPr>
              <w:pStyle w:val="NoSpacing"/>
              <w:jc w:val="right"/>
            </w:pPr>
            <w:r>
              <w:t>0</w:t>
            </w:r>
          </w:p>
        </w:tc>
        <w:tc>
          <w:tcPr>
            <w:tcW w:w="708" w:type="dxa"/>
          </w:tcPr>
          <w:p w:rsidR="003315AA" w:rsidRDefault="00BE2AF7" w:rsidP="00BE2AF7">
            <w:pPr>
              <w:pStyle w:val="NoSpacing"/>
              <w:jc w:val="right"/>
            </w:pPr>
            <w:r>
              <w:t>0</w:t>
            </w:r>
          </w:p>
        </w:tc>
        <w:tc>
          <w:tcPr>
            <w:tcW w:w="709" w:type="dxa"/>
          </w:tcPr>
          <w:p w:rsidR="003315AA" w:rsidRDefault="00BE2AF7" w:rsidP="00BE2AF7">
            <w:pPr>
              <w:pStyle w:val="NoSpacing"/>
              <w:jc w:val="right"/>
            </w:pPr>
            <w:r>
              <w:t>0</w:t>
            </w:r>
          </w:p>
        </w:tc>
        <w:tc>
          <w:tcPr>
            <w:tcW w:w="709" w:type="dxa"/>
          </w:tcPr>
          <w:p w:rsidR="003315AA" w:rsidRDefault="00BE2AF7" w:rsidP="00BE2AF7">
            <w:pPr>
              <w:pStyle w:val="NoSpacing"/>
              <w:jc w:val="right"/>
            </w:pPr>
            <w:r>
              <w:t>0</w:t>
            </w:r>
          </w:p>
        </w:tc>
      </w:tr>
      <w:tr w:rsidR="00BE2AF7" w:rsidTr="00BE2AF7">
        <w:tc>
          <w:tcPr>
            <w:tcW w:w="5671" w:type="dxa"/>
          </w:tcPr>
          <w:p w:rsidR="003315AA" w:rsidRDefault="00BE2AF7" w:rsidP="00BE2AF7">
            <w:pPr>
              <w:pStyle w:val="NoSpacing"/>
            </w:pPr>
            <w:r>
              <w:t>Number of buildings not conforming to standards</w:t>
            </w:r>
          </w:p>
        </w:tc>
        <w:tc>
          <w:tcPr>
            <w:tcW w:w="708" w:type="dxa"/>
          </w:tcPr>
          <w:p w:rsidR="003315AA" w:rsidRDefault="00BE2AF7" w:rsidP="00BE2AF7">
            <w:pPr>
              <w:pStyle w:val="NoSpacing"/>
              <w:jc w:val="right"/>
            </w:pPr>
            <w:r>
              <w:t xml:space="preserve">Refer to Subdivision Statement </w:t>
            </w:r>
          </w:p>
        </w:tc>
        <w:tc>
          <w:tcPr>
            <w:tcW w:w="709" w:type="dxa"/>
          </w:tcPr>
          <w:p w:rsidR="003315AA" w:rsidRDefault="00BE2AF7" w:rsidP="00BE2AF7">
            <w:pPr>
              <w:pStyle w:val="NoSpacing"/>
              <w:jc w:val="right"/>
            </w:pPr>
            <w:r>
              <w:t>Refer to Subdivision Statement</w:t>
            </w:r>
          </w:p>
        </w:tc>
        <w:tc>
          <w:tcPr>
            <w:tcW w:w="709" w:type="dxa"/>
          </w:tcPr>
          <w:p w:rsidR="003315AA" w:rsidRDefault="003315AA" w:rsidP="00BE2AF7">
            <w:pPr>
              <w:pStyle w:val="NoSpacing"/>
              <w:jc w:val="right"/>
            </w:pPr>
          </w:p>
        </w:tc>
        <w:tc>
          <w:tcPr>
            <w:tcW w:w="709" w:type="dxa"/>
          </w:tcPr>
          <w:p w:rsidR="003315AA" w:rsidRDefault="003315AA" w:rsidP="00BE2AF7">
            <w:pPr>
              <w:pStyle w:val="NoSpacing"/>
              <w:jc w:val="right"/>
            </w:pPr>
          </w:p>
        </w:tc>
        <w:tc>
          <w:tcPr>
            <w:tcW w:w="708" w:type="dxa"/>
          </w:tcPr>
          <w:p w:rsidR="003315AA" w:rsidRDefault="003315AA" w:rsidP="00BE2AF7">
            <w:pPr>
              <w:pStyle w:val="NoSpacing"/>
              <w:jc w:val="right"/>
            </w:pPr>
          </w:p>
        </w:tc>
        <w:tc>
          <w:tcPr>
            <w:tcW w:w="709" w:type="dxa"/>
          </w:tcPr>
          <w:p w:rsidR="003315AA" w:rsidRDefault="003315AA" w:rsidP="00BE2AF7">
            <w:pPr>
              <w:pStyle w:val="NoSpacing"/>
              <w:jc w:val="right"/>
            </w:pPr>
          </w:p>
        </w:tc>
        <w:tc>
          <w:tcPr>
            <w:tcW w:w="709" w:type="dxa"/>
          </w:tcPr>
          <w:p w:rsidR="003315AA" w:rsidRDefault="003315AA" w:rsidP="00BE2AF7">
            <w:pPr>
              <w:pStyle w:val="NoSpacing"/>
              <w:jc w:val="right"/>
            </w:pPr>
          </w:p>
        </w:tc>
      </w:tr>
    </w:tbl>
    <w:p w:rsidR="003315AA" w:rsidRDefault="003315AA" w:rsidP="00D349D1"/>
    <w:p w:rsidR="00BE2AF7" w:rsidRDefault="00BE2AF7" w:rsidP="00D349D1">
      <w:r>
        <w:lastRenderedPageBreak/>
        <w:t>&lt;page 104&gt;</w:t>
      </w:r>
    </w:p>
    <w:p w:rsidR="00D349D1" w:rsidRDefault="00D349D1" w:rsidP="00BE2AF7">
      <w:pPr>
        <w:pStyle w:val="NoSpacing"/>
      </w:pPr>
    </w:p>
    <w:p w:rsidR="00D349D1" w:rsidRDefault="00BE2AF7" w:rsidP="00BE2AF7">
      <w:pPr>
        <w:pStyle w:val="Heading3"/>
      </w:pPr>
      <w:r>
        <w:t>Berwick Campus</w:t>
      </w:r>
    </w:p>
    <w:p w:rsidR="004775B2" w:rsidRDefault="004775B2" w:rsidP="00BE2AF7">
      <w:pPr>
        <w:pStyle w:val="NoSpacing"/>
      </w:pPr>
    </w:p>
    <w:p w:rsidR="00BE2AF7" w:rsidRDefault="00BE2AF7" w:rsidP="00BE2AF7">
      <w:pPr>
        <w:pStyle w:val="NoSpacing"/>
      </w:pPr>
      <w:r>
        <w:t>The Berwick Centre for Health was completed and operational in February.</w:t>
      </w:r>
    </w:p>
    <w:p w:rsidR="00BE2AF7" w:rsidRDefault="00BE2AF7" w:rsidP="00BE2AF7">
      <w:pPr>
        <w:pStyle w:val="NoSpacing"/>
      </w:pPr>
    </w:p>
    <w:p w:rsidR="00BE2AF7" w:rsidRDefault="00BE2AF7" w:rsidP="00BE2AF7">
      <w:pPr>
        <w:pStyle w:val="Heading3"/>
      </w:pPr>
      <w:r>
        <w:t>Frankston campus</w:t>
      </w:r>
    </w:p>
    <w:p w:rsidR="004775B2" w:rsidRDefault="004775B2" w:rsidP="00BE2AF7">
      <w:pPr>
        <w:pStyle w:val="NoSpacing"/>
      </w:pPr>
    </w:p>
    <w:p w:rsidR="00BE2AF7" w:rsidRDefault="00BE2AF7" w:rsidP="00BE2AF7">
      <w:pPr>
        <w:pStyle w:val="NoSpacing"/>
      </w:pPr>
      <w:r>
        <w:t>The Frankston Redevelopment Project stage one was completed and opened by the Premier in 2019.</w:t>
      </w:r>
    </w:p>
    <w:p w:rsidR="00BE2AF7" w:rsidRDefault="00BE2AF7" w:rsidP="00BE2AF7">
      <w:pPr>
        <w:pStyle w:val="NoSpacing"/>
      </w:pPr>
    </w:p>
    <w:p w:rsidR="00BE2AF7" w:rsidRDefault="00BE2AF7" w:rsidP="00BE2AF7">
      <w:pPr>
        <w:pStyle w:val="Heading3"/>
      </w:pPr>
      <w:r>
        <w:t xml:space="preserve">Leased buildings </w:t>
      </w:r>
    </w:p>
    <w:p w:rsidR="00BE2AF7" w:rsidRDefault="00282E40" w:rsidP="00925530">
      <w:pPr>
        <w:pStyle w:val="NoSpacing"/>
        <w:numPr>
          <w:ilvl w:val="0"/>
          <w:numId w:val="76"/>
        </w:numPr>
      </w:pPr>
      <w:r>
        <w:t>399 Lonsdale Street, Melbourne lease to expire and not renewed July 2019</w:t>
      </w:r>
    </w:p>
    <w:p w:rsidR="00282E40" w:rsidRDefault="00282E40" w:rsidP="00925530">
      <w:pPr>
        <w:pStyle w:val="NoSpacing"/>
        <w:numPr>
          <w:ilvl w:val="0"/>
          <w:numId w:val="76"/>
        </w:numPr>
      </w:pPr>
      <w:r>
        <w:t>126 Springvale Road, Springvale, Adult Migrant English Program</w:t>
      </w:r>
    </w:p>
    <w:p w:rsidR="00282E40" w:rsidRDefault="00282E40" w:rsidP="00282E40">
      <w:pPr>
        <w:pStyle w:val="NoSpacing"/>
      </w:pPr>
    </w:p>
    <w:p w:rsidR="00282E40" w:rsidRDefault="00282E40" w:rsidP="00282E40">
      <w:pPr>
        <w:pStyle w:val="NoSpacing"/>
      </w:pPr>
      <w:r>
        <w:t>For number of buildings not conforming to standards, refer to Subdivision Statement below.</w:t>
      </w:r>
      <w:r w:rsidR="004650B7">
        <w:t xml:space="preserve"> Institute buildings J, K and L and buildings F, G and H at Frankston campus are counted as one building. Institute buildings R and S Dandenong campus are counted as one building.</w:t>
      </w:r>
    </w:p>
    <w:p w:rsidR="004650B7" w:rsidRDefault="004650B7" w:rsidP="00282E40">
      <w:pPr>
        <w:pStyle w:val="NoSpacing"/>
      </w:pPr>
    </w:p>
    <w:p w:rsidR="004650B7" w:rsidRDefault="004650B7" w:rsidP="00282E40">
      <w:pPr>
        <w:pStyle w:val="NoSpacing"/>
      </w:pPr>
      <w:r>
        <w:t>Subdivision 1 of the Building Regulations relates to all new buildings or section of existing buildings altered after 1 July 1994. There are approximately eight buildings out of the 67 that are considered to be Subdivision 1 type buildings. All buildings are issued with an annual Essential Safety Measures Report.</w:t>
      </w:r>
    </w:p>
    <w:p w:rsidR="004650B7" w:rsidRDefault="004650B7" w:rsidP="00282E40">
      <w:pPr>
        <w:pStyle w:val="NoSpacing"/>
      </w:pPr>
    </w:p>
    <w:p w:rsidR="004650B7" w:rsidRDefault="004650B7" w:rsidP="00282E40">
      <w:pPr>
        <w:pStyle w:val="NoSpacing"/>
      </w:pPr>
      <w:r>
        <w:t>Subdivision 2 relates to all buildings constructed or altered prior to 1 July 1994. All Subdivision 2 buildings have been provided with a maintenance determination in accordance with Part 1215 of the Building Regulations, which require all buildings to be provided with this document and subsequent Annual Essential Safety Measures Reports prior to 13 June 2009.</w:t>
      </w:r>
    </w:p>
    <w:p w:rsidR="004650B7" w:rsidRDefault="004650B7" w:rsidP="00282E40">
      <w:pPr>
        <w:pStyle w:val="NoSpacing"/>
      </w:pPr>
    </w:p>
    <w:p w:rsidR="00D7451D" w:rsidRDefault="004650B7" w:rsidP="00D7451D">
      <w:pPr>
        <w:pStyle w:val="Heading3"/>
      </w:pPr>
      <w:r>
        <w:t xml:space="preserve">Report on major commercial activity </w:t>
      </w:r>
    </w:p>
    <w:p w:rsidR="004775B2" w:rsidRDefault="004775B2" w:rsidP="00282E40">
      <w:pPr>
        <w:pStyle w:val="NoSpacing"/>
      </w:pPr>
    </w:p>
    <w:p w:rsidR="00D7451D" w:rsidRDefault="00D7451D" w:rsidP="00282E40">
      <w:pPr>
        <w:pStyle w:val="NoSpacing"/>
      </w:pPr>
      <w:r>
        <w:t>There was no Major Commercial Activity conducted by Chisholm in this reporting period.</w:t>
      </w:r>
    </w:p>
    <w:p w:rsidR="00D7451D" w:rsidRDefault="00D7451D" w:rsidP="00282E40">
      <w:pPr>
        <w:pStyle w:val="NoSpacing"/>
      </w:pPr>
    </w:p>
    <w:p w:rsidR="00D7451D" w:rsidRDefault="00D7451D" w:rsidP="00D7451D">
      <w:pPr>
        <w:pStyle w:val="Heading3"/>
      </w:pPr>
      <w:r>
        <w:t>Advertising 2019</w:t>
      </w:r>
    </w:p>
    <w:p w:rsidR="004775B2" w:rsidRDefault="004775B2" w:rsidP="00282E40">
      <w:pPr>
        <w:pStyle w:val="NoSpacing"/>
      </w:pPr>
    </w:p>
    <w:p w:rsidR="00D7451D" w:rsidRDefault="00D7451D" w:rsidP="00282E40">
      <w:pPr>
        <w:pStyle w:val="NoSpacing"/>
      </w:pPr>
      <w:r>
        <w:t>Details of government advertising expenditure (campaigns with a media spend of $100,000 or greater exclusive of GST).</w:t>
      </w:r>
    </w:p>
    <w:p w:rsidR="00D7451D" w:rsidRDefault="00D7451D" w:rsidP="00282E40">
      <w:pPr>
        <w:pStyle w:val="NoSpacing"/>
      </w:pPr>
    </w:p>
    <w:p w:rsidR="00BE2AF7" w:rsidRPr="00D349D1" w:rsidRDefault="00D7451D" w:rsidP="00D7451D">
      <w:pPr>
        <w:pStyle w:val="NoSpacing"/>
        <w:sectPr w:rsidR="00BE2AF7" w:rsidRPr="00D349D1">
          <w:pgSz w:w="11906" w:h="16838"/>
          <w:pgMar w:top="1440" w:right="1440" w:bottom="1440" w:left="1440" w:header="708" w:footer="708" w:gutter="0"/>
          <w:cols w:space="708"/>
          <w:docGrid w:linePitch="360"/>
        </w:sectPr>
      </w:pPr>
      <w:r>
        <w:t xml:space="preserve"> </w:t>
      </w:r>
    </w:p>
    <w:p w:rsidR="00267EF8" w:rsidRDefault="00267EF8" w:rsidP="005D0902">
      <w:pPr>
        <w:pStyle w:val="NoSpacing"/>
      </w:pPr>
    </w:p>
    <w:p w:rsidR="00267EF8" w:rsidRDefault="00267EF8" w:rsidP="005D0902">
      <w:pPr>
        <w:pStyle w:val="NoSpacing"/>
      </w:pPr>
    </w:p>
    <w:tbl>
      <w:tblPr>
        <w:tblStyle w:val="TableGrid"/>
        <w:tblW w:w="15735" w:type="dxa"/>
        <w:tblInd w:w="-856" w:type="dxa"/>
        <w:tblLook w:val="04A0" w:firstRow="1" w:lastRow="0" w:firstColumn="1" w:lastColumn="0" w:noHBand="0" w:noVBand="1"/>
      </w:tblPr>
      <w:tblGrid>
        <w:gridCol w:w="2599"/>
        <w:gridCol w:w="4206"/>
        <w:gridCol w:w="1701"/>
        <w:gridCol w:w="1559"/>
        <w:gridCol w:w="1559"/>
        <w:gridCol w:w="1418"/>
        <w:gridCol w:w="1384"/>
        <w:gridCol w:w="1309"/>
      </w:tblGrid>
      <w:tr w:rsidR="00267EF8" w:rsidTr="00267EF8">
        <w:tc>
          <w:tcPr>
            <w:tcW w:w="2599" w:type="dxa"/>
          </w:tcPr>
          <w:p w:rsidR="00267EF8" w:rsidRDefault="00267EF8" w:rsidP="005D0902">
            <w:pPr>
              <w:pStyle w:val="NoSpacing"/>
            </w:pPr>
            <w:r>
              <w:t>Name of campaign</w:t>
            </w:r>
          </w:p>
        </w:tc>
        <w:tc>
          <w:tcPr>
            <w:tcW w:w="4206" w:type="dxa"/>
          </w:tcPr>
          <w:p w:rsidR="00267EF8" w:rsidRDefault="00267EF8" w:rsidP="005D0902">
            <w:pPr>
              <w:pStyle w:val="NoSpacing"/>
            </w:pPr>
            <w:r>
              <w:t>Campaign summary</w:t>
            </w:r>
          </w:p>
        </w:tc>
        <w:tc>
          <w:tcPr>
            <w:tcW w:w="1701" w:type="dxa"/>
          </w:tcPr>
          <w:p w:rsidR="00267EF8" w:rsidRDefault="00267EF8" w:rsidP="005D0902">
            <w:pPr>
              <w:pStyle w:val="NoSpacing"/>
            </w:pPr>
            <w:r>
              <w:t>Start/end date</w:t>
            </w:r>
          </w:p>
        </w:tc>
        <w:tc>
          <w:tcPr>
            <w:tcW w:w="1559" w:type="dxa"/>
          </w:tcPr>
          <w:p w:rsidR="00267EF8" w:rsidRDefault="00267EF8" w:rsidP="00AB7E06">
            <w:pPr>
              <w:pStyle w:val="NoSpacing"/>
              <w:jc w:val="right"/>
            </w:pPr>
            <w:r>
              <w:t>Advertising (media) expenditure</w:t>
            </w:r>
          </w:p>
        </w:tc>
        <w:tc>
          <w:tcPr>
            <w:tcW w:w="1559" w:type="dxa"/>
          </w:tcPr>
          <w:p w:rsidR="00267EF8" w:rsidRDefault="00267EF8" w:rsidP="00AB7E06">
            <w:pPr>
              <w:pStyle w:val="NoSpacing"/>
              <w:jc w:val="right"/>
            </w:pPr>
            <w:r>
              <w:t>Creative campaign and development expenditure</w:t>
            </w:r>
          </w:p>
        </w:tc>
        <w:tc>
          <w:tcPr>
            <w:tcW w:w="1418" w:type="dxa"/>
          </w:tcPr>
          <w:p w:rsidR="00267EF8" w:rsidRDefault="00267EF8" w:rsidP="00AB7E06">
            <w:pPr>
              <w:pStyle w:val="NoSpacing"/>
              <w:jc w:val="right"/>
            </w:pPr>
            <w:r>
              <w:t>Research and evaluation expenditure</w:t>
            </w:r>
          </w:p>
        </w:tc>
        <w:tc>
          <w:tcPr>
            <w:tcW w:w="1384" w:type="dxa"/>
          </w:tcPr>
          <w:p w:rsidR="00267EF8" w:rsidRDefault="00267EF8" w:rsidP="00AB7E06">
            <w:pPr>
              <w:pStyle w:val="NoSpacing"/>
              <w:jc w:val="right"/>
            </w:pPr>
            <w:r>
              <w:t>Print and collateral expenditure</w:t>
            </w:r>
          </w:p>
        </w:tc>
        <w:tc>
          <w:tcPr>
            <w:tcW w:w="1309" w:type="dxa"/>
          </w:tcPr>
          <w:p w:rsidR="00267EF8" w:rsidRDefault="00267EF8" w:rsidP="00AB7E06">
            <w:pPr>
              <w:pStyle w:val="NoSpacing"/>
              <w:jc w:val="right"/>
            </w:pPr>
            <w:r>
              <w:t>Other campaign expenditure</w:t>
            </w:r>
          </w:p>
        </w:tc>
      </w:tr>
      <w:tr w:rsidR="00AB7E06" w:rsidTr="00267EF8">
        <w:tc>
          <w:tcPr>
            <w:tcW w:w="2599" w:type="dxa"/>
          </w:tcPr>
          <w:p w:rsidR="00AB7E06" w:rsidRDefault="00AB7E06" w:rsidP="00AB7E06">
            <w:pPr>
              <w:pStyle w:val="NoSpacing"/>
            </w:pPr>
            <w:r>
              <w:t>January 2019 acquisition campaign</w:t>
            </w:r>
          </w:p>
        </w:tc>
        <w:tc>
          <w:tcPr>
            <w:tcW w:w="4206" w:type="dxa"/>
          </w:tcPr>
          <w:p w:rsidR="00AB7E06" w:rsidRDefault="00AB7E06" w:rsidP="00AB7E06">
            <w:pPr>
              <w:pStyle w:val="NoSpacing"/>
            </w:pPr>
            <w:r>
              <w:t>Chase your Calling recruitment campaign executed across television , cinema, out of home, radio, print and digital channels</w:t>
            </w:r>
          </w:p>
        </w:tc>
        <w:tc>
          <w:tcPr>
            <w:tcW w:w="1701" w:type="dxa"/>
          </w:tcPr>
          <w:p w:rsidR="00AB7E06" w:rsidRDefault="00AB7E06" w:rsidP="00AB7E06">
            <w:pPr>
              <w:pStyle w:val="NoSpacing"/>
            </w:pPr>
            <w:r>
              <w:t>Jan 19 – Mar 19</w:t>
            </w:r>
          </w:p>
        </w:tc>
        <w:tc>
          <w:tcPr>
            <w:tcW w:w="1559" w:type="dxa"/>
          </w:tcPr>
          <w:p w:rsidR="00AB7E06" w:rsidRDefault="00AB7E06" w:rsidP="00AB7E06">
            <w:pPr>
              <w:pStyle w:val="NoSpacing"/>
              <w:jc w:val="right"/>
            </w:pPr>
            <w:r>
              <w:t>$916,647</w:t>
            </w:r>
          </w:p>
        </w:tc>
        <w:tc>
          <w:tcPr>
            <w:tcW w:w="1559" w:type="dxa"/>
          </w:tcPr>
          <w:p w:rsidR="00AB7E06" w:rsidRDefault="00AB7E06" w:rsidP="00AB7E06">
            <w:pPr>
              <w:pStyle w:val="NoSpacing"/>
              <w:jc w:val="right"/>
            </w:pPr>
            <w:r>
              <w:t>$137,919</w:t>
            </w:r>
          </w:p>
        </w:tc>
        <w:tc>
          <w:tcPr>
            <w:tcW w:w="1418" w:type="dxa"/>
          </w:tcPr>
          <w:p w:rsidR="00AB7E06" w:rsidRDefault="00AB7E06" w:rsidP="00AB7E06">
            <w:pPr>
              <w:pStyle w:val="NoSpacing"/>
              <w:jc w:val="right"/>
            </w:pPr>
            <w:r>
              <w:t>$15,295</w:t>
            </w:r>
          </w:p>
        </w:tc>
        <w:tc>
          <w:tcPr>
            <w:tcW w:w="1384" w:type="dxa"/>
          </w:tcPr>
          <w:p w:rsidR="00AB7E06" w:rsidRDefault="00AB7E06" w:rsidP="00AB7E06">
            <w:pPr>
              <w:pStyle w:val="NoSpacing"/>
              <w:jc w:val="right"/>
            </w:pPr>
            <w:r>
              <w:t>$0</w:t>
            </w:r>
          </w:p>
        </w:tc>
        <w:tc>
          <w:tcPr>
            <w:tcW w:w="1309" w:type="dxa"/>
          </w:tcPr>
          <w:p w:rsidR="00AB7E06" w:rsidRDefault="00AB7E06" w:rsidP="00AB7E06">
            <w:pPr>
              <w:jc w:val="right"/>
            </w:pPr>
            <w:r w:rsidRPr="00083883">
              <w:t>$0</w:t>
            </w:r>
          </w:p>
        </w:tc>
      </w:tr>
      <w:tr w:rsidR="00AB7E06" w:rsidTr="00267EF8">
        <w:tc>
          <w:tcPr>
            <w:tcW w:w="2599" w:type="dxa"/>
          </w:tcPr>
          <w:p w:rsidR="00AB7E06" w:rsidRDefault="00AB7E06" w:rsidP="00AB7E06">
            <w:pPr>
              <w:pStyle w:val="NoSpacing"/>
            </w:pPr>
            <w:r>
              <w:t>Mid-year acquisition campaign</w:t>
            </w:r>
          </w:p>
        </w:tc>
        <w:tc>
          <w:tcPr>
            <w:tcW w:w="4206" w:type="dxa"/>
          </w:tcPr>
          <w:p w:rsidR="00AB7E06" w:rsidRDefault="00AB7E06" w:rsidP="00AB7E06">
            <w:pPr>
              <w:pStyle w:val="NoSpacing"/>
            </w:pPr>
            <w:r>
              <w:t>Chase Your Calling recruitment campaign executed across out of home, radio and digital channels</w:t>
            </w:r>
          </w:p>
        </w:tc>
        <w:tc>
          <w:tcPr>
            <w:tcW w:w="1701" w:type="dxa"/>
          </w:tcPr>
          <w:p w:rsidR="00AB7E06" w:rsidRDefault="00AB7E06" w:rsidP="00AB7E06">
            <w:pPr>
              <w:pStyle w:val="NoSpacing"/>
            </w:pPr>
            <w:r>
              <w:t>Apr 19 – Jul 19</w:t>
            </w:r>
          </w:p>
        </w:tc>
        <w:tc>
          <w:tcPr>
            <w:tcW w:w="1559" w:type="dxa"/>
          </w:tcPr>
          <w:p w:rsidR="00AB7E06" w:rsidRDefault="00AB7E06" w:rsidP="00AB7E06">
            <w:pPr>
              <w:pStyle w:val="NoSpacing"/>
              <w:jc w:val="right"/>
            </w:pPr>
            <w:r>
              <w:t>$634,848</w:t>
            </w:r>
          </w:p>
        </w:tc>
        <w:tc>
          <w:tcPr>
            <w:tcW w:w="1559" w:type="dxa"/>
          </w:tcPr>
          <w:p w:rsidR="00AB7E06" w:rsidRDefault="00AB7E06" w:rsidP="00AB7E06">
            <w:pPr>
              <w:pStyle w:val="NoSpacing"/>
              <w:jc w:val="right"/>
            </w:pPr>
            <w:r>
              <w:t>$216,411</w:t>
            </w:r>
          </w:p>
        </w:tc>
        <w:tc>
          <w:tcPr>
            <w:tcW w:w="1418" w:type="dxa"/>
          </w:tcPr>
          <w:p w:rsidR="00AB7E06" w:rsidRDefault="00AB7E06" w:rsidP="00AB7E06">
            <w:pPr>
              <w:pStyle w:val="NoSpacing"/>
              <w:jc w:val="right"/>
            </w:pPr>
            <w:r>
              <w:t>$16,035</w:t>
            </w:r>
          </w:p>
        </w:tc>
        <w:tc>
          <w:tcPr>
            <w:tcW w:w="1384" w:type="dxa"/>
          </w:tcPr>
          <w:p w:rsidR="00AB7E06" w:rsidRDefault="00AB7E06" w:rsidP="00AB7E06">
            <w:pPr>
              <w:jc w:val="right"/>
            </w:pPr>
            <w:r w:rsidRPr="006F1501">
              <w:t>$0</w:t>
            </w:r>
          </w:p>
        </w:tc>
        <w:tc>
          <w:tcPr>
            <w:tcW w:w="1309" w:type="dxa"/>
          </w:tcPr>
          <w:p w:rsidR="00AB7E06" w:rsidRDefault="00AB7E06" w:rsidP="00AB7E06">
            <w:pPr>
              <w:jc w:val="right"/>
            </w:pPr>
            <w:r w:rsidRPr="00083883">
              <w:t>$0</w:t>
            </w:r>
          </w:p>
        </w:tc>
      </w:tr>
      <w:tr w:rsidR="00AB7E06" w:rsidTr="00267EF8">
        <w:tc>
          <w:tcPr>
            <w:tcW w:w="2599" w:type="dxa"/>
          </w:tcPr>
          <w:p w:rsidR="00AB7E06" w:rsidRDefault="00AB7E06" w:rsidP="00AB7E06">
            <w:pPr>
              <w:pStyle w:val="NoSpacing"/>
            </w:pPr>
            <w:r>
              <w:t>Q4 acquisition campaign</w:t>
            </w:r>
          </w:p>
        </w:tc>
        <w:tc>
          <w:tcPr>
            <w:tcW w:w="4206" w:type="dxa"/>
          </w:tcPr>
          <w:p w:rsidR="00AB7E06" w:rsidRDefault="00AB7E06" w:rsidP="00AB7E06">
            <w:pPr>
              <w:pStyle w:val="NoSpacing"/>
            </w:pPr>
            <w:r>
              <w:t>Chase Your Calling recruitment campaign executed across radio and digital channels</w:t>
            </w:r>
          </w:p>
        </w:tc>
        <w:tc>
          <w:tcPr>
            <w:tcW w:w="1701" w:type="dxa"/>
          </w:tcPr>
          <w:p w:rsidR="00AB7E06" w:rsidRDefault="00AB7E06" w:rsidP="00AB7E06">
            <w:pPr>
              <w:pStyle w:val="NoSpacing"/>
            </w:pPr>
            <w:r>
              <w:t>Aug 19 – Oct 19</w:t>
            </w:r>
          </w:p>
        </w:tc>
        <w:tc>
          <w:tcPr>
            <w:tcW w:w="1559" w:type="dxa"/>
          </w:tcPr>
          <w:p w:rsidR="00AB7E06" w:rsidRDefault="00AB7E06" w:rsidP="00AB7E06">
            <w:pPr>
              <w:pStyle w:val="NoSpacing"/>
              <w:jc w:val="right"/>
            </w:pPr>
            <w:r>
              <w:t>$555,279</w:t>
            </w:r>
          </w:p>
        </w:tc>
        <w:tc>
          <w:tcPr>
            <w:tcW w:w="1559" w:type="dxa"/>
          </w:tcPr>
          <w:p w:rsidR="00AB7E06" w:rsidRDefault="00AB7E06" w:rsidP="00AB7E06">
            <w:pPr>
              <w:pStyle w:val="NoSpacing"/>
              <w:jc w:val="right"/>
            </w:pPr>
            <w:r>
              <w:t>$264,390</w:t>
            </w:r>
          </w:p>
        </w:tc>
        <w:tc>
          <w:tcPr>
            <w:tcW w:w="1418" w:type="dxa"/>
          </w:tcPr>
          <w:p w:rsidR="00AB7E06" w:rsidRDefault="00AB7E06" w:rsidP="00AB7E06">
            <w:pPr>
              <w:pStyle w:val="NoSpacing"/>
              <w:jc w:val="right"/>
            </w:pPr>
            <w:r>
              <w:t>$9,650</w:t>
            </w:r>
          </w:p>
        </w:tc>
        <w:tc>
          <w:tcPr>
            <w:tcW w:w="1384" w:type="dxa"/>
          </w:tcPr>
          <w:p w:rsidR="00AB7E06" w:rsidRDefault="00AB7E06" w:rsidP="00AB7E06">
            <w:pPr>
              <w:jc w:val="right"/>
            </w:pPr>
            <w:r w:rsidRPr="006F1501">
              <w:t>$0</w:t>
            </w:r>
          </w:p>
        </w:tc>
        <w:tc>
          <w:tcPr>
            <w:tcW w:w="1309" w:type="dxa"/>
          </w:tcPr>
          <w:p w:rsidR="00AB7E06" w:rsidRDefault="00AB7E06" w:rsidP="00AB7E06">
            <w:pPr>
              <w:jc w:val="right"/>
            </w:pPr>
            <w:r w:rsidRPr="00083883">
              <w:t>$0</w:t>
            </w:r>
          </w:p>
        </w:tc>
      </w:tr>
      <w:tr w:rsidR="00AB7E06" w:rsidTr="00267EF8">
        <w:tc>
          <w:tcPr>
            <w:tcW w:w="2599" w:type="dxa"/>
          </w:tcPr>
          <w:p w:rsidR="00AB7E06" w:rsidRDefault="00AB7E06" w:rsidP="00AB7E06">
            <w:pPr>
              <w:pStyle w:val="NoSpacing"/>
            </w:pPr>
            <w:r>
              <w:t>January 2020 acquisition campaign</w:t>
            </w:r>
          </w:p>
        </w:tc>
        <w:tc>
          <w:tcPr>
            <w:tcW w:w="4206" w:type="dxa"/>
          </w:tcPr>
          <w:p w:rsidR="00AB7E06" w:rsidRDefault="00AB7E06" w:rsidP="00AB7E06">
            <w:pPr>
              <w:pStyle w:val="NoSpacing"/>
            </w:pPr>
            <w:r>
              <w:t>Chase Your Calling recruitment campaign executed across television, cinema, out of home, radio, print and digital channels</w:t>
            </w:r>
          </w:p>
        </w:tc>
        <w:tc>
          <w:tcPr>
            <w:tcW w:w="1701" w:type="dxa"/>
          </w:tcPr>
          <w:p w:rsidR="00AB7E06" w:rsidRDefault="00AB7E06" w:rsidP="00AB7E06">
            <w:pPr>
              <w:pStyle w:val="NoSpacing"/>
            </w:pPr>
            <w:r>
              <w:t>Nov 19 – Dec 19</w:t>
            </w:r>
          </w:p>
        </w:tc>
        <w:tc>
          <w:tcPr>
            <w:tcW w:w="1559" w:type="dxa"/>
          </w:tcPr>
          <w:p w:rsidR="00AB7E06" w:rsidRDefault="00AB7E06" w:rsidP="00AB7E06">
            <w:pPr>
              <w:pStyle w:val="NoSpacing"/>
              <w:jc w:val="right"/>
            </w:pPr>
            <w:r>
              <w:t>$423,249</w:t>
            </w:r>
          </w:p>
        </w:tc>
        <w:tc>
          <w:tcPr>
            <w:tcW w:w="1559" w:type="dxa"/>
          </w:tcPr>
          <w:p w:rsidR="00AB7E06" w:rsidRDefault="00AB7E06" w:rsidP="00AB7E06">
            <w:pPr>
              <w:pStyle w:val="NoSpacing"/>
              <w:jc w:val="right"/>
            </w:pPr>
            <w:r>
              <w:t>$70,695</w:t>
            </w:r>
          </w:p>
        </w:tc>
        <w:tc>
          <w:tcPr>
            <w:tcW w:w="1418" w:type="dxa"/>
          </w:tcPr>
          <w:p w:rsidR="00AB7E06" w:rsidRDefault="00AB7E06" w:rsidP="00AB7E06">
            <w:pPr>
              <w:pStyle w:val="NoSpacing"/>
              <w:jc w:val="right"/>
            </w:pPr>
            <w:r>
              <w:t>$0</w:t>
            </w:r>
          </w:p>
        </w:tc>
        <w:tc>
          <w:tcPr>
            <w:tcW w:w="1384" w:type="dxa"/>
          </w:tcPr>
          <w:p w:rsidR="00AB7E06" w:rsidRDefault="00AB7E06" w:rsidP="00AB7E06">
            <w:pPr>
              <w:jc w:val="right"/>
            </w:pPr>
            <w:r w:rsidRPr="006F1501">
              <w:t>$0</w:t>
            </w:r>
          </w:p>
        </w:tc>
        <w:tc>
          <w:tcPr>
            <w:tcW w:w="1309" w:type="dxa"/>
          </w:tcPr>
          <w:p w:rsidR="00AB7E06" w:rsidRDefault="00AB7E06" w:rsidP="00AB7E06">
            <w:pPr>
              <w:jc w:val="right"/>
            </w:pPr>
            <w:r w:rsidRPr="00083883">
              <w:t>$0</w:t>
            </w:r>
          </w:p>
        </w:tc>
      </w:tr>
    </w:tbl>
    <w:p w:rsidR="00D7451D" w:rsidRDefault="00D7451D" w:rsidP="005D0902">
      <w:pPr>
        <w:pStyle w:val="NoSpacing"/>
      </w:pPr>
    </w:p>
    <w:p w:rsidR="00D7451D" w:rsidRDefault="00D7451D" w:rsidP="00D7451D">
      <w:pPr>
        <w:pStyle w:val="NoSpacing"/>
      </w:pPr>
      <w:r>
        <w:t>&lt;page 105&gt;</w:t>
      </w:r>
      <w:r>
        <w:tab/>
      </w:r>
    </w:p>
    <w:p w:rsidR="00267EF8" w:rsidRDefault="00267EF8" w:rsidP="00D7451D">
      <w:pPr>
        <w:tabs>
          <w:tab w:val="left" w:pos="1421"/>
        </w:tabs>
      </w:pPr>
    </w:p>
    <w:p w:rsidR="00D7451D" w:rsidRPr="00D7451D" w:rsidRDefault="00D7451D" w:rsidP="00D7451D">
      <w:pPr>
        <w:tabs>
          <w:tab w:val="left" w:pos="1421"/>
        </w:tabs>
        <w:sectPr w:rsidR="00D7451D" w:rsidRPr="00D7451D" w:rsidSect="00267EF8">
          <w:pgSz w:w="16838" w:h="11906" w:orient="landscape"/>
          <w:pgMar w:top="1440" w:right="1440" w:bottom="1440" w:left="1440" w:header="709" w:footer="709" w:gutter="0"/>
          <w:cols w:space="708"/>
          <w:docGrid w:linePitch="360"/>
        </w:sectPr>
      </w:pPr>
    </w:p>
    <w:p w:rsidR="001A159C" w:rsidRDefault="001A159C" w:rsidP="00D7451D">
      <w:pPr>
        <w:pStyle w:val="Heading3"/>
      </w:pPr>
      <w:r>
        <w:lastRenderedPageBreak/>
        <w:t xml:space="preserve">ICT Expenditure </w:t>
      </w:r>
    </w:p>
    <w:p w:rsidR="004775B2" w:rsidRDefault="004775B2" w:rsidP="00D7451D">
      <w:pPr>
        <w:pStyle w:val="NoSpacing"/>
      </w:pPr>
    </w:p>
    <w:p w:rsidR="00D7451D" w:rsidRDefault="00D7451D" w:rsidP="00D7451D">
      <w:pPr>
        <w:pStyle w:val="NoSpacing"/>
      </w:pPr>
      <w:r>
        <w:t>The Information Technology Services key projects for 2019 include:</w:t>
      </w:r>
    </w:p>
    <w:p w:rsidR="00D7451D" w:rsidRDefault="00D7451D" w:rsidP="00776C2B">
      <w:pPr>
        <w:pStyle w:val="NoSpacing"/>
        <w:numPr>
          <w:ilvl w:val="0"/>
          <w:numId w:val="77"/>
        </w:numPr>
      </w:pPr>
      <w:r>
        <w:t>completion of the migration of major applications and server infrastructure to the cloud including decommissioning of 90 per cent of on premise server and storage infrastructure</w:t>
      </w:r>
    </w:p>
    <w:p w:rsidR="00D7451D" w:rsidRDefault="00D7451D" w:rsidP="00776C2B">
      <w:pPr>
        <w:pStyle w:val="NoSpacing"/>
        <w:numPr>
          <w:ilvl w:val="0"/>
          <w:numId w:val="77"/>
        </w:numPr>
      </w:pPr>
      <w:r>
        <w:t>completion of wired and wireless network infrastructure at all campuses including Berwick and Frankston redevelopment sites</w:t>
      </w:r>
    </w:p>
    <w:p w:rsidR="00D7451D" w:rsidRDefault="00D7451D" w:rsidP="00776C2B">
      <w:pPr>
        <w:pStyle w:val="NoSpacing"/>
        <w:numPr>
          <w:ilvl w:val="0"/>
          <w:numId w:val="77"/>
        </w:numPr>
      </w:pPr>
      <w:r>
        <w:t>delivery of automated enquiry to application features to CRM and associated process enhancements to improve customer experience and overall student enrolment numbers</w:t>
      </w:r>
    </w:p>
    <w:p w:rsidR="00D7451D" w:rsidRDefault="00D7451D" w:rsidP="00776C2B">
      <w:pPr>
        <w:pStyle w:val="NoSpacing"/>
        <w:numPr>
          <w:ilvl w:val="0"/>
          <w:numId w:val="77"/>
        </w:numPr>
      </w:pPr>
      <w:r>
        <w:t>continued systems integration and automation to improve operational efficiencies between Chisholm’s Student Management System and Learning Management System</w:t>
      </w:r>
    </w:p>
    <w:p w:rsidR="00D7451D" w:rsidRDefault="00D7451D" w:rsidP="00776C2B">
      <w:pPr>
        <w:pStyle w:val="NoSpacing"/>
        <w:numPr>
          <w:ilvl w:val="0"/>
          <w:numId w:val="77"/>
        </w:numPr>
      </w:pPr>
      <w:r>
        <w:t>improved operational efficiency program through adoption of the Information Technology Information Library (ITIL) frameworks, training and certification of ITIL to Information Technology Services team members</w:t>
      </w:r>
    </w:p>
    <w:p w:rsidR="001A159C" w:rsidRDefault="00D7451D" w:rsidP="00776C2B">
      <w:pPr>
        <w:pStyle w:val="NoSpacing"/>
        <w:numPr>
          <w:ilvl w:val="0"/>
          <w:numId w:val="77"/>
        </w:numPr>
      </w:pPr>
      <w:r>
        <w:t>Security Posture Improvement Strategy and implementation of the Victorian Protective Data Security Framework.</w:t>
      </w:r>
    </w:p>
    <w:p w:rsidR="00D7451D" w:rsidRDefault="00D7451D" w:rsidP="005D0902">
      <w:pPr>
        <w:pStyle w:val="NoSpacing"/>
      </w:pPr>
    </w:p>
    <w:tbl>
      <w:tblPr>
        <w:tblStyle w:val="TableGrid"/>
        <w:tblW w:w="10490" w:type="dxa"/>
        <w:tblInd w:w="-856" w:type="dxa"/>
        <w:tblLook w:val="04A0" w:firstRow="1" w:lastRow="0" w:firstColumn="1" w:lastColumn="0" w:noHBand="0" w:noVBand="1"/>
      </w:tblPr>
      <w:tblGrid>
        <w:gridCol w:w="9073"/>
        <w:gridCol w:w="1417"/>
      </w:tblGrid>
      <w:tr w:rsidR="00D7451D" w:rsidTr="00D7451D">
        <w:tc>
          <w:tcPr>
            <w:tcW w:w="9073" w:type="dxa"/>
          </w:tcPr>
          <w:p w:rsidR="00D7451D" w:rsidRDefault="00D7451D" w:rsidP="005D0902">
            <w:pPr>
              <w:pStyle w:val="NoSpacing"/>
            </w:pPr>
            <w:r>
              <w:t>Total entity ICT Business as Usual (BAU) expenditure for the full 12 month reporting period</w:t>
            </w:r>
          </w:p>
        </w:tc>
        <w:tc>
          <w:tcPr>
            <w:tcW w:w="1417" w:type="dxa"/>
          </w:tcPr>
          <w:p w:rsidR="00D7451D" w:rsidRDefault="00D7451D" w:rsidP="00D7451D">
            <w:pPr>
              <w:pStyle w:val="NoSpacing"/>
              <w:jc w:val="right"/>
            </w:pPr>
            <w:r>
              <w:t>$16.820.973</w:t>
            </w:r>
          </w:p>
        </w:tc>
      </w:tr>
      <w:tr w:rsidR="00D7451D" w:rsidTr="00D7451D">
        <w:tc>
          <w:tcPr>
            <w:tcW w:w="9073" w:type="dxa"/>
          </w:tcPr>
          <w:p w:rsidR="00D7451D" w:rsidRDefault="00D7451D" w:rsidP="005D0902">
            <w:pPr>
              <w:pStyle w:val="NoSpacing"/>
            </w:pPr>
            <w:r>
              <w:t>Total entity ICT Business as Usual (BAU) expenditure for the full 12 month reporting period – Operational expenditure</w:t>
            </w:r>
          </w:p>
        </w:tc>
        <w:tc>
          <w:tcPr>
            <w:tcW w:w="1417" w:type="dxa"/>
          </w:tcPr>
          <w:p w:rsidR="00D7451D" w:rsidRDefault="00D7451D" w:rsidP="00D7451D">
            <w:pPr>
              <w:pStyle w:val="NoSpacing"/>
              <w:jc w:val="right"/>
            </w:pPr>
            <w:r>
              <w:t>$3,220,985</w:t>
            </w:r>
          </w:p>
        </w:tc>
      </w:tr>
      <w:tr w:rsidR="00D7451D" w:rsidTr="00D7451D">
        <w:tc>
          <w:tcPr>
            <w:tcW w:w="9073" w:type="dxa"/>
          </w:tcPr>
          <w:p w:rsidR="00D7451D" w:rsidRDefault="00D7451D" w:rsidP="00D7451D">
            <w:pPr>
              <w:pStyle w:val="NoSpacing"/>
            </w:pPr>
            <w:r>
              <w:t>Total entity ICT Business as Usual (BAU) expenditure for the full 12 month reporting period – Capital expenditure</w:t>
            </w:r>
          </w:p>
        </w:tc>
        <w:tc>
          <w:tcPr>
            <w:tcW w:w="1417" w:type="dxa"/>
          </w:tcPr>
          <w:p w:rsidR="00D7451D" w:rsidRDefault="00D7451D" w:rsidP="00D7451D">
            <w:pPr>
              <w:pStyle w:val="NoSpacing"/>
              <w:jc w:val="right"/>
            </w:pPr>
            <w:r>
              <w:t>$8,902,407</w:t>
            </w:r>
          </w:p>
        </w:tc>
      </w:tr>
    </w:tbl>
    <w:p w:rsidR="00D7451D" w:rsidRDefault="00D7451D" w:rsidP="005D0902">
      <w:pPr>
        <w:pStyle w:val="NoSpacing"/>
      </w:pPr>
    </w:p>
    <w:p w:rsidR="00D7451D" w:rsidRDefault="00D7451D" w:rsidP="005D0902">
      <w:pPr>
        <w:pStyle w:val="NoSpacing"/>
      </w:pPr>
    </w:p>
    <w:p w:rsidR="001A159C" w:rsidRDefault="001A159C" w:rsidP="00D7451D">
      <w:pPr>
        <w:pStyle w:val="Heading3"/>
      </w:pPr>
      <w:r>
        <w:t>Application of the Freedom of Information Act 1982</w:t>
      </w:r>
    </w:p>
    <w:p w:rsidR="004775B2" w:rsidRDefault="004775B2" w:rsidP="00D7451D">
      <w:pPr>
        <w:pStyle w:val="NoSpacing"/>
      </w:pPr>
    </w:p>
    <w:p w:rsidR="00D7451D" w:rsidRDefault="00D7451D" w:rsidP="00D7451D">
      <w:pPr>
        <w:pStyle w:val="NoSpacing"/>
      </w:pPr>
      <w:r>
        <w:t>Chisholm falls under and complies with</w:t>
      </w:r>
      <w:r w:rsidR="00D26800">
        <w:t xml:space="preserve"> </w:t>
      </w:r>
      <w:r>
        <w:t>all reasonable requests made pursuant</w:t>
      </w:r>
      <w:r w:rsidR="00D26800">
        <w:t xml:space="preserve"> </w:t>
      </w:r>
      <w:r>
        <w:t>to the Freedom of Information Act 1982.</w:t>
      </w:r>
    </w:p>
    <w:p w:rsidR="00D26800" w:rsidRDefault="00D26800" w:rsidP="00D7451D">
      <w:pPr>
        <w:pStyle w:val="NoSpacing"/>
      </w:pPr>
    </w:p>
    <w:p w:rsidR="00D7451D" w:rsidRDefault="00D7451D" w:rsidP="00D7451D">
      <w:pPr>
        <w:pStyle w:val="NoSpacing"/>
      </w:pPr>
      <w:r>
        <w:t>Chisholm also has defined procedures</w:t>
      </w:r>
      <w:r w:rsidR="00D26800">
        <w:t xml:space="preserve"> </w:t>
      </w:r>
      <w:r>
        <w:t>which, subject to privacy and</w:t>
      </w:r>
      <w:r w:rsidR="00D26800">
        <w:t xml:space="preserve"> </w:t>
      </w:r>
      <w:r>
        <w:t>confidentiality provisions, facilitate all</w:t>
      </w:r>
      <w:r w:rsidR="00D26800">
        <w:t xml:space="preserve"> </w:t>
      </w:r>
      <w:r>
        <w:t>reasonable requests for information</w:t>
      </w:r>
      <w:r w:rsidR="00D26800">
        <w:t xml:space="preserve"> </w:t>
      </w:r>
      <w:r>
        <w:t>from students, staff and the general</w:t>
      </w:r>
      <w:r w:rsidR="00D26800">
        <w:t xml:space="preserve"> </w:t>
      </w:r>
      <w:r>
        <w:t>public without recourse to the Freedom</w:t>
      </w:r>
      <w:r w:rsidR="00D26800">
        <w:t xml:space="preserve"> </w:t>
      </w:r>
      <w:r>
        <w:t>of Information Act.</w:t>
      </w:r>
    </w:p>
    <w:p w:rsidR="00D7451D" w:rsidRDefault="00D7451D" w:rsidP="00D7451D">
      <w:pPr>
        <w:pStyle w:val="NoSpacing"/>
      </w:pPr>
    </w:p>
    <w:p w:rsidR="00D7451D" w:rsidRDefault="00D7451D" w:rsidP="00D7451D">
      <w:pPr>
        <w:pStyle w:val="NoSpacing"/>
      </w:pPr>
      <w:r>
        <w:t>General enquiries about Chisholm should be addressed to:</w:t>
      </w:r>
    </w:p>
    <w:p w:rsidR="00D7451D" w:rsidRDefault="00D7451D" w:rsidP="00D7451D">
      <w:pPr>
        <w:pStyle w:val="NoSpacing"/>
      </w:pPr>
      <w:r>
        <w:t>Chisholm Institute</w:t>
      </w:r>
    </w:p>
    <w:p w:rsidR="00D7451D" w:rsidRDefault="00D7451D" w:rsidP="00D7451D">
      <w:pPr>
        <w:pStyle w:val="NoSpacing"/>
      </w:pPr>
      <w:r>
        <w:t>PO Box 684, Dandenong Vic 3175</w:t>
      </w:r>
    </w:p>
    <w:p w:rsidR="00D7451D" w:rsidRDefault="00D7451D" w:rsidP="00D7451D">
      <w:pPr>
        <w:pStyle w:val="NoSpacing"/>
      </w:pPr>
      <w:r>
        <w:t>or chisholm.edu.au</w:t>
      </w:r>
    </w:p>
    <w:p w:rsidR="00D7451D" w:rsidRDefault="00D7451D" w:rsidP="00D7451D">
      <w:pPr>
        <w:pStyle w:val="NoSpacing"/>
      </w:pPr>
    </w:p>
    <w:p w:rsidR="00D7451D" w:rsidRDefault="00D7451D" w:rsidP="00D7451D">
      <w:pPr>
        <w:pStyle w:val="NoSpacing"/>
      </w:pPr>
      <w:r>
        <w:t>All Freedom of Information requests should be forwarded to:</w:t>
      </w:r>
    </w:p>
    <w:p w:rsidR="00D7451D" w:rsidRDefault="00D7451D" w:rsidP="00D7451D">
      <w:pPr>
        <w:pStyle w:val="NoSpacing"/>
      </w:pPr>
      <w:r>
        <w:t>Freedom of Information Officer Chisholm Institute</w:t>
      </w:r>
    </w:p>
    <w:p w:rsidR="00D7451D" w:rsidRDefault="00D7451D" w:rsidP="00D7451D">
      <w:pPr>
        <w:pStyle w:val="NoSpacing"/>
      </w:pPr>
      <w:r>
        <w:t>PO Box 684, Dandenong Vic 3175</w:t>
      </w:r>
    </w:p>
    <w:p w:rsidR="00D7451D" w:rsidRDefault="00D7451D" w:rsidP="00D7451D">
      <w:pPr>
        <w:pStyle w:val="NoSpacing"/>
      </w:pPr>
      <w:r>
        <w:t>FOI@Chisholm.edu.au</w:t>
      </w:r>
    </w:p>
    <w:p w:rsidR="00D7451D" w:rsidRDefault="00D7451D" w:rsidP="00D7451D">
      <w:pPr>
        <w:pStyle w:val="NoSpacing"/>
      </w:pPr>
    </w:p>
    <w:p w:rsidR="00D7451D" w:rsidRDefault="00D7451D" w:rsidP="00D7451D">
      <w:pPr>
        <w:pStyle w:val="NoSpacing"/>
      </w:pPr>
      <w:r>
        <w:t>Chisholm may levy a charge for information provided that is subject to a Freedom of Information request in accordance with the Freedom of Information (Access Charges) Regulations 2014.</w:t>
      </w:r>
    </w:p>
    <w:p w:rsidR="00D7451D" w:rsidRDefault="00D7451D" w:rsidP="00D7451D">
      <w:pPr>
        <w:pStyle w:val="NoSpacing"/>
      </w:pPr>
    </w:p>
    <w:p w:rsidR="001A159C" w:rsidRDefault="00D7451D" w:rsidP="00D7451D">
      <w:pPr>
        <w:pStyle w:val="NoSpacing"/>
      </w:pPr>
      <w:r>
        <w:t>During the year ended 31 December 2019, Chisholm received three Freedom of Information applications for access to documentary information under Section 17 of the Freedom of Information Act.</w:t>
      </w:r>
    </w:p>
    <w:p w:rsidR="00D7451D" w:rsidRDefault="00D7451D" w:rsidP="005D0902">
      <w:pPr>
        <w:pStyle w:val="NoSpacing"/>
      </w:pPr>
    </w:p>
    <w:p w:rsidR="00D26800" w:rsidRDefault="00D26800" w:rsidP="005D0902">
      <w:pPr>
        <w:pStyle w:val="NoSpacing"/>
      </w:pPr>
    </w:p>
    <w:p w:rsidR="001A159C" w:rsidRDefault="001A159C" w:rsidP="00D26800">
      <w:pPr>
        <w:pStyle w:val="Heading3"/>
      </w:pPr>
      <w:r>
        <w:lastRenderedPageBreak/>
        <w:t xml:space="preserve">Engagement of Consultants </w:t>
      </w:r>
    </w:p>
    <w:p w:rsidR="004775B2" w:rsidRDefault="004775B2" w:rsidP="00D26800">
      <w:pPr>
        <w:pStyle w:val="NoSpacing"/>
      </w:pPr>
    </w:p>
    <w:p w:rsidR="00D26800" w:rsidRPr="00D26800" w:rsidRDefault="00D26800" w:rsidP="00D26800">
      <w:pPr>
        <w:pStyle w:val="NoSpacing"/>
      </w:pPr>
      <w:r w:rsidRPr="00D26800">
        <w:t>For the year ended 31 December 2019</w:t>
      </w:r>
    </w:p>
    <w:p w:rsidR="00D26800" w:rsidRDefault="00D26800" w:rsidP="00D26800">
      <w:pPr>
        <w:pStyle w:val="NoSpacing"/>
      </w:pPr>
    </w:p>
    <w:p w:rsidR="00D26800" w:rsidRPr="00D26800" w:rsidRDefault="00D26800" w:rsidP="00D26800">
      <w:pPr>
        <w:pStyle w:val="NoSpacing"/>
      </w:pPr>
      <w:r w:rsidRPr="00D26800">
        <w:t>The Financial Reporting Directions and</w:t>
      </w:r>
      <w:r>
        <w:t xml:space="preserve"> </w:t>
      </w:r>
      <w:r w:rsidRPr="00D26800">
        <w:t>guidance FRD 22H define a consultant</w:t>
      </w:r>
      <w:r>
        <w:t xml:space="preserve"> </w:t>
      </w:r>
      <w:r w:rsidRPr="00D26800">
        <w:t>as a particular type of contractor that is</w:t>
      </w:r>
      <w:r>
        <w:t xml:space="preserve"> </w:t>
      </w:r>
      <w:r w:rsidRPr="00D26800">
        <w:t>engaged primarily to perform a discrete</w:t>
      </w:r>
      <w:r>
        <w:t xml:space="preserve"> </w:t>
      </w:r>
      <w:r w:rsidRPr="00D26800">
        <w:t>task for an entity that facilitates decision</w:t>
      </w:r>
      <w:r>
        <w:t xml:space="preserve"> </w:t>
      </w:r>
      <w:r w:rsidRPr="00D26800">
        <w:t>making through:</w:t>
      </w:r>
    </w:p>
    <w:p w:rsidR="00D26800" w:rsidRPr="00D26800" w:rsidRDefault="00D26800" w:rsidP="00776C2B">
      <w:pPr>
        <w:pStyle w:val="NoSpacing"/>
        <w:numPr>
          <w:ilvl w:val="0"/>
          <w:numId w:val="78"/>
        </w:numPr>
      </w:pPr>
      <w:r w:rsidRPr="00D26800">
        <w:t>provision of expert analysis and</w:t>
      </w:r>
      <w:r>
        <w:t xml:space="preserve"> </w:t>
      </w:r>
      <w:r w:rsidRPr="00D26800">
        <w:t>advice</w:t>
      </w:r>
    </w:p>
    <w:p w:rsidR="00D26800" w:rsidRPr="00D26800" w:rsidRDefault="00D26800" w:rsidP="00776C2B">
      <w:pPr>
        <w:pStyle w:val="NoSpacing"/>
        <w:numPr>
          <w:ilvl w:val="0"/>
          <w:numId w:val="78"/>
        </w:numPr>
      </w:pPr>
      <w:r w:rsidRPr="00D26800">
        <w:t>development of a written report or</w:t>
      </w:r>
      <w:r>
        <w:t xml:space="preserve"> </w:t>
      </w:r>
      <w:r w:rsidRPr="00D26800">
        <w:t>other intellectual output.</w:t>
      </w:r>
    </w:p>
    <w:p w:rsidR="00D26800" w:rsidRDefault="00D26800" w:rsidP="00D26800">
      <w:pPr>
        <w:pStyle w:val="NoSpacing"/>
      </w:pPr>
    </w:p>
    <w:p w:rsidR="00D26800" w:rsidRPr="00D26800" w:rsidRDefault="00D26800" w:rsidP="00D26800">
      <w:pPr>
        <w:pStyle w:val="Heading4"/>
      </w:pPr>
      <w:r w:rsidRPr="00D26800">
        <w:t>Consultancy expenditure</w:t>
      </w:r>
    </w:p>
    <w:p w:rsidR="00D26800" w:rsidRDefault="00D26800" w:rsidP="00D26800">
      <w:pPr>
        <w:pStyle w:val="NoSpacing"/>
      </w:pPr>
    </w:p>
    <w:p w:rsidR="00D26800" w:rsidRPr="00D26800" w:rsidRDefault="00D26800" w:rsidP="00D26800">
      <w:pPr>
        <w:pStyle w:val="NoSpacing"/>
      </w:pPr>
      <w:r w:rsidRPr="00D26800">
        <w:t>Details of consultancies (valued at</w:t>
      </w:r>
      <w:r>
        <w:t xml:space="preserve"> </w:t>
      </w:r>
      <w:r w:rsidRPr="00D26800">
        <w:t>$10,000 or greater)</w:t>
      </w:r>
    </w:p>
    <w:p w:rsidR="00D26800" w:rsidRDefault="00D26800" w:rsidP="00D26800">
      <w:pPr>
        <w:pStyle w:val="NoSpacing"/>
      </w:pPr>
    </w:p>
    <w:p w:rsidR="00D26800" w:rsidRPr="00D26800" w:rsidRDefault="00D26800" w:rsidP="00D26800">
      <w:pPr>
        <w:pStyle w:val="NoSpacing"/>
      </w:pPr>
      <w:r w:rsidRPr="00D26800">
        <w:t>In 2019, there were 25 consultancies</w:t>
      </w:r>
      <w:r>
        <w:t xml:space="preserve"> </w:t>
      </w:r>
      <w:r w:rsidRPr="00D26800">
        <w:t>where total fees payable to the</w:t>
      </w:r>
      <w:r>
        <w:t xml:space="preserve"> </w:t>
      </w:r>
      <w:r w:rsidRPr="00D26800">
        <w:t>consultants were $10,000 or greater.</w:t>
      </w:r>
    </w:p>
    <w:p w:rsidR="00D26800" w:rsidRPr="00D26800" w:rsidRDefault="00D26800" w:rsidP="00D26800">
      <w:pPr>
        <w:pStyle w:val="NoSpacing"/>
      </w:pPr>
      <w:r w:rsidRPr="00D26800">
        <w:t>The total expenditure incurred during</w:t>
      </w:r>
      <w:r>
        <w:t xml:space="preserve"> </w:t>
      </w:r>
      <w:r w:rsidRPr="00D26800">
        <w:t>2019 in relation to these consultancie</w:t>
      </w:r>
      <w:r>
        <w:t xml:space="preserve">s </w:t>
      </w:r>
      <w:r w:rsidRPr="00D26800">
        <w:t>is $1,234,622 (excluding GST). Details</w:t>
      </w:r>
      <w:r>
        <w:t xml:space="preserve"> </w:t>
      </w:r>
      <w:r w:rsidRPr="00D26800">
        <w:t>of individual consultancies can be</w:t>
      </w:r>
      <w:r>
        <w:t xml:space="preserve"> </w:t>
      </w:r>
      <w:r w:rsidRPr="00D26800">
        <w:t>viewed at chisholm.edu.au/about-us/publications.</w:t>
      </w:r>
    </w:p>
    <w:p w:rsidR="00D26800" w:rsidRDefault="00D26800" w:rsidP="00D26800">
      <w:pPr>
        <w:pStyle w:val="NoSpacing"/>
      </w:pPr>
    </w:p>
    <w:p w:rsidR="00D26800" w:rsidRPr="00D26800" w:rsidRDefault="00D26800" w:rsidP="00D26800">
      <w:pPr>
        <w:pStyle w:val="NoSpacing"/>
      </w:pPr>
      <w:r w:rsidRPr="00D26800">
        <w:t>Details of consultancies under</w:t>
      </w:r>
      <w:r>
        <w:t xml:space="preserve"> </w:t>
      </w:r>
      <w:r w:rsidRPr="00D26800">
        <w:t>$10,000</w:t>
      </w:r>
    </w:p>
    <w:p w:rsidR="00D26800" w:rsidRDefault="00D26800" w:rsidP="00D26800">
      <w:pPr>
        <w:pStyle w:val="NoSpacing"/>
      </w:pPr>
    </w:p>
    <w:p w:rsidR="001A159C" w:rsidRPr="00D26800" w:rsidRDefault="00D26800" w:rsidP="00D26800">
      <w:pPr>
        <w:pStyle w:val="NoSpacing"/>
      </w:pPr>
      <w:r w:rsidRPr="00D26800">
        <w:t>In 2019, there were 17 consultancies</w:t>
      </w:r>
      <w:r>
        <w:t xml:space="preserve"> </w:t>
      </w:r>
      <w:r w:rsidRPr="00D26800">
        <w:t>engaged during the year, where the</w:t>
      </w:r>
      <w:r>
        <w:t xml:space="preserve"> </w:t>
      </w:r>
      <w:r w:rsidRPr="00D26800">
        <w:t>total fees payable to the individual</w:t>
      </w:r>
      <w:r>
        <w:t xml:space="preserve"> </w:t>
      </w:r>
      <w:r w:rsidRPr="00D26800">
        <w:t>consultancies were less than $10,000.</w:t>
      </w:r>
      <w:r>
        <w:t xml:space="preserve"> </w:t>
      </w:r>
      <w:r w:rsidRPr="00D26800">
        <w:t>The total expenditure incurred during</w:t>
      </w:r>
      <w:r>
        <w:t xml:space="preserve"> </w:t>
      </w:r>
      <w:r w:rsidRPr="00D26800">
        <w:t>2019 in relation to these consultancies was $75,414 (excluding GST).</w:t>
      </w:r>
    </w:p>
    <w:p w:rsidR="00D26800" w:rsidRDefault="00D26800" w:rsidP="005D0902">
      <w:pPr>
        <w:pStyle w:val="NoSpacing"/>
      </w:pPr>
    </w:p>
    <w:p w:rsidR="00D26800" w:rsidRDefault="00D26800" w:rsidP="005D0902">
      <w:pPr>
        <w:pStyle w:val="NoSpacing"/>
      </w:pPr>
      <w:r>
        <w:t>&lt;page 106&gt;</w:t>
      </w:r>
    </w:p>
    <w:p w:rsidR="00D26800" w:rsidRDefault="00D26800" w:rsidP="005D0902">
      <w:pPr>
        <w:pStyle w:val="NoSpacing"/>
      </w:pPr>
    </w:p>
    <w:p w:rsidR="001A159C" w:rsidRDefault="001A159C" w:rsidP="00D26800">
      <w:pPr>
        <w:pStyle w:val="Heading3"/>
      </w:pPr>
      <w:r>
        <w:t>Compulsory Non-Academic Student Fee Income Statement</w:t>
      </w:r>
    </w:p>
    <w:p w:rsidR="00B1107A" w:rsidRDefault="00B1107A" w:rsidP="005D0902">
      <w:pPr>
        <w:pStyle w:val="NoSpacing"/>
      </w:pPr>
    </w:p>
    <w:p w:rsidR="001A159C" w:rsidRDefault="00D26800" w:rsidP="005D0902">
      <w:pPr>
        <w:pStyle w:val="NoSpacing"/>
      </w:pPr>
      <w:r>
        <w:t>For the year ended 31 December 2019</w:t>
      </w:r>
    </w:p>
    <w:p w:rsidR="00D26800" w:rsidRDefault="00D26800" w:rsidP="005D0902">
      <w:pPr>
        <w:pStyle w:val="NoSpacing"/>
      </w:pPr>
    </w:p>
    <w:p w:rsidR="00D26800" w:rsidRDefault="00D26800" w:rsidP="00D26800">
      <w:pPr>
        <w:pStyle w:val="NoSpacing"/>
      </w:pPr>
      <w:r>
        <w:t>For the year ended 31 December 2019</w:t>
      </w:r>
      <w:r w:rsidR="00B1107A">
        <w:t xml:space="preserve"> </w:t>
      </w:r>
      <w:r>
        <w:t>Chisholm has a range of fees and</w:t>
      </w:r>
      <w:r w:rsidR="00B1107A">
        <w:t xml:space="preserve"> </w:t>
      </w:r>
      <w:r>
        <w:t>charges for programs and services. For</w:t>
      </w:r>
      <w:r w:rsidR="00B1107A">
        <w:t xml:space="preserve"> </w:t>
      </w:r>
      <w:r>
        <w:t>2019, the fees and charges included:</w:t>
      </w:r>
    </w:p>
    <w:p w:rsidR="00B1107A" w:rsidRDefault="00B1107A" w:rsidP="00D26800">
      <w:pPr>
        <w:pStyle w:val="NoSpacing"/>
      </w:pPr>
    </w:p>
    <w:p w:rsidR="00D26800" w:rsidRDefault="00D26800" w:rsidP="00776C2B">
      <w:pPr>
        <w:pStyle w:val="NoSpacing"/>
        <w:numPr>
          <w:ilvl w:val="0"/>
          <w:numId w:val="79"/>
        </w:numPr>
      </w:pPr>
      <w:r>
        <w:t>Tuition fees for eligible Skills First</w:t>
      </w:r>
      <w:r w:rsidR="00B1107A">
        <w:t xml:space="preserve"> </w:t>
      </w:r>
      <w:r>
        <w:t>Program students. These ranged from</w:t>
      </w:r>
      <w:r w:rsidR="00B1107A">
        <w:t xml:space="preserve"> </w:t>
      </w:r>
      <w:r>
        <w:t>nil to $17.40 per hour, depending on</w:t>
      </w:r>
      <w:r w:rsidR="00B1107A">
        <w:t xml:space="preserve"> </w:t>
      </w:r>
      <w:r>
        <w:t>the course, cohort and competitive</w:t>
      </w:r>
      <w:r w:rsidR="00B1107A">
        <w:t xml:space="preserve"> </w:t>
      </w:r>
      <w:r>
        <w:t>forces. There was no minimum fee</w:t>
      </w:r>
      <w:r w:rsidR="00B1107A">
        <w:t xml:space="preserve"> </w:t>
      </w:r>
      <w:r>
        <w:t>and maximums did not apply (with</w:t>
      </w:r>
      <w:r w:rsidR="00B1107A">
        <w:t xml:space="preserve"> </w:t>
      </w:r>
      <w:r>
        <w:t>the exception of VCAL, which was</w:t>
      </w:r>
      <w:r w:rsidR="00B1107A">
        <w:t xml:space="preserve"> </w:t>
      </w:r>
      <w:r>
        <w:t>capped at $1,560). Students who were</w:t>
      </w:r>
      <w:r w:rsidR="00B1107A">
        <w:t xml:space="preserve"> </w:t>
      </w:r>
      <w:r>
        <w:t>ineligible for the Skills First Program</w:t>
      </w:r>
      <w:r w:rsidR="00B1107A">
        <w:t xml:space="preserve"> </w:t>
      </w:r>
      <w:r>
        <w:t>paid tuition fees of up to $18 per hour.</w:t>
      </w:r>
      <w:r w:rsidR="00B1107A">
        <w:t xml:space="preserve"> </w:t>
      </w:r>
      <w:r>
        <w:t>Students enrolled in Chisholm’s higher</w:t>
      </w:r>
      <w:r w:rsidR="00B1107A">
        <w:t xml:space="preserve"> </w:t>
      </w:r>
      <w:r>
        <w:t>education courses paid up to $1,890</w:t>
      </w:r>
      <w:r w:rsidR="00B1107A">
        <w:t xml:space="preserve"> </w:t>
      </w:r>
      <w:r>
        <w:t>per unit of study.</w:t>
      </w:r>
    </w:p>
    <w:p w:rsidR="00D26800" w:rsidRDefault="00D26800" w:rsidP="00776C2B">
      <w:pPr>
        <w:pStyle w:val="NoSpacing"/>
        <w:numPr>
          <w:ilvl w:val="0"/>
          <w:numId w:val="79"/>
        </w:numPr>
      </w:pPr>
      <w:r>
        <w:t>All students enrolling in courses</w:t>
      </w:r>
      <w:r w:rsidR="00B1107A">
        <w:t xml:space="preserve"> </w:t>
      </w:r>
      <w:r>
        <w:t>that were on Chisholm’s Funded</w:t>
      </w:r>
      <w:r w:rsidR="00B1107A">
        <w:t xml:space="preserve"> </w:t>
      </w:r>
      <w:r>
        <w:t>Courses List (including students</w:t>
      </w:r>
      <w:r w:rsidR="00B1107A">
        <w:t xml:space="preserve"> </w:t>
      </w:r>
      <w:r>
        <w:t>enrolling in Chisholm owned higher</w:t>
      </w:r>
      <w:r w:rsidR="00B1107A">
        <w:t xml:space="preserve"> </w:t>
      </w:r>
      <w:r>
        <w:t>education courses) are required</w:t>
      </w:r>
      <w:r w:rsidR="00B1107A">
        <w:t xml:space="preserve"> </w:t>
      </w:r>
      <w:r>
        <w:t>to pay a compulsory fee for their</w:t>
      </w:r>
      <w:r w:rsidR="00B1107A">
        <w:t xml:space="preserve"> </w:t>
      </w:r>
      <w:r>
        <w:t>enrolment year that contributes to</w:t>
      </w:r>
      <w:r w:rsidR="00B1107A">
        <w:t xml:space="preserve"> </w:t>
      </w:r>
      <w:r>
        <w:t>the cost of providing such services</w:t>
      </w:r>
      <w:r w:rsidR="00B1107A">
        <w:t xml:space="preserve"> </w:t>
      </w:r>
      <w:r>
        <w:t>as counselling, welfare services,</w:t>
      </w:r>
      <w:r w:rsidR="00B1107A">
        <w:t xml:space="preserve"> </w:t>
      </w:r>
      <w:r>
        <w:t>learning support, study support,</w:t>
      </w:r>
      <w:r w:rsidR="00B1107A">
        <w:t xml:space="preserve"> </w:t>
      </w:r>
      <w:r>
        <w:t>IT infrastructure and activities and</w:t>
      </w:r>
      <w:r w:rsidR="00B1107A">
        <w:t xml:space="preserve"> </w:t>
      </w:r>
      <w:r>
        <w:t>services provided by the Student</w:t>
      </w:r>
      <w:r w:rsidR="00B1107A">
        <w:t xml:space="preserve"> </w:t>
      </w:r>
      <w:r>
        <w:t>Support and Engagement Services</w:t>
      </w:r>
      <w:r w:rsidR="00B1107A">
        <w:t xml:space="preserve"> </w:t>
      </w:r>
      <w:r>
        <w:t>business area. The Student Services</w:t>
      </w:r>
      <w:r w:rsidR="00B1107A">
        <w:t xml:space="preserve"> </w:t>
      </w:r>
      <w:r>
        <w:t>Fee (SSF) for non-concession eligible</w:t>
      </w:r>
      <w:r w:rsidR="00B1107A">
        <w:t xml:space="preserve"> </w:t>
      </w:r>
      <w:r>
        <w:t>students is charged up to a maximum</w:t>
      </w:r>
      <w:r w:rsidR="00B1107A">
        <w:t xml:space="preserve"> </w:t>
      </w:r>
      <w:r>
        <w:t>of $240 per 12 months. The SSF</w:t>
      </w:r>
      <w:r w:rsidR="00B1107A">
        <w:t xml:space="preserve"> </w:t>
      </w:r>
      <w:r>
        <w:t>is charged at $0.70 per hour with</w:t>
      </w:r>
      <w:r w:rsidR="00B1107A">
        <w:t xml:space="preserve"> </w:t>
      </w:r>
      <w:r>
        <w:t>a minimum of $60 charged for a</w:t>
      </w:r>
      <w:r w:rsidR="00B1107A">
        <w:t xml:space="preserve"> student’s fi</w:t>
      </w:r>
      <w:r>
        <w:t>rst enrolment. If the student</w:t>
      </w:r>
      <w:r w:rsidR="00B1107A">
        <w:t xml:space="preserve"> </w:t>
      </w:r>
      <w:r>
        <w:t>has already paid the maximum for</w:t>
      </w:r>
      <w:r w:rsidR="00B1107A">
        <w:t xml:space="preserve"> </w:t>
      </w:r>
      <w:r>
        <w:t>which they are eligible they will</w:t>
      </w:r>
      <w:r w:rsidR="00B1107A">
        <w:t xml:space="preserve"> </w:t>
      </w:r>
      <w:r>
        <w:t>not be charged SSF for additional</w:t>
      </w:r>
      <w:r w:rsidR="00B1107A">
        <w:t xml:space="preserve"> </w:t>
      </w:r>
      <w:r>
        <w:t>enrolments in the same 12 month</w:t>
      </w:r>
      <w:r w:rsidR="00B1107A">
        <w:t xml:space="preserve"> </w:t>
      </w:r>
      <w:r>
        <w:t>period. SSF for concession-eligible</w:t>
      </w:r>
      <w:r w:rsidR="00B1107A">
        <w:t xml:space="preserve"> </w:t>
      </w:r>
      <w:r>
        <w:t xml:space="preserve">students is charged up to a </w:t>
      </w:r>
      <w:r>
        <w:lastRenderedPageBreak/>
        <w:t>maximum</w:t>
      </w:r>
      <w:r w:rsidR="00B1107A">
        <w:t xml:space="preserve"> </w:t>
      </w:r>
      <w:r>
        <w:t>of $120 per 12 months (for enrolments</w:t>
      </w:r>
      <w:r w:rsidR="00B1107A">
        <w:t xml:space="preserve"> in courses up to Certifi</w:t>
      </w:r>
      <w:r>
        <w:t>cate IV level</w:t>
      </w:r>
      <w:r w:rsidR="00B1107A">
        <w:t xml:space="preserve"> </w:t>
      </w:r>
      <w:r>
        <w:t>for non-Aboriginal and Torres Strait</w:t>
      </w:r>
      <w:r w:rsidR="00B1107A">
        <w:t xml:space="preserve"> </w:t>
      </w:r>
      <w:r>
        <w:t>Islander students). The SSF is charged</w:t>
      </w:r>
      <w:r w:rsidR="00B1107A">
        <w:t xml:space="preserve"> </w:t>
      </w:r>
      <w:r>
        <w:t>at $0.35 per hour with a minimum</w:t>
      </w:r>
      <w:r w:rsidR="00B1107A">
        <w:t xml:space="preserve"> </w:t>
      </w:r>
      <w:r>
        <w:t>of</w:t>
      </w:r>
      <w:r w:rsidR="00B1107A">
        <w:t xml:space="preserve"> $60 charged for a student’s fi</w:t>
      </w:r>
      <w:r>
        <w:t>rst</w:t>
      </w:r>
      <w:r w:rsidR="00B1107A">
        <w:t xml:space="preserve"> </w:t>
      </w:r>
      <w:r>
        <w:t>enrolment. If the student has already</w:t>
      </w:r>
      <w:r w:rsidR="00B1107A">
        <w:t xml:space="preserve"> </w:t>
      </w:r>
      <w:r>
        <w:t>paid the maximum for which they are</w:t>
      </w:r>
      <w:r w:rsidR="00B1107A">
        <w:t xml:space="preserve"> </w:t>
      </w:r>
      <w:r>
        <w:t>eligible they will not be charged SSF</w:t>
      </w:r>
      <w:r w:rsidR="00B1107A">
        <w:t xml:space="preserve"> </w:t>
      </w:r>
      <w:r>
        <w:t>for additional enrolments in the same</w:t>
      </w:r>
      <w:r w:rsidR="00B1107A">
        <w:t xml:space="preserve"> </w:t>
      </w:r>
      <w:r>
        <w:t>12 month period. SSF for students</w:t>
      </w:r>
      <w:r w:rsidR="00B1107A">
        <w:t xml:space="preserve"> </w:t>
      </w:r>
      <w:r>
        <w:t>studying higher education courses</w:t>
      </w:r>
      <w:r w:rsidR="00B1107A">
        <w:t xml:space="preserve"> </w:t>
      </w:r>
      <w:r>
        <w:t>are charged at a rate of $30 per unit</w:t>
      </w:r>
      <w:r w:rsidR="00B1107A">
        <w:t xml:space="preserve"> </w:t>
      </w:r>
      <w:r>
        <w:t>of study. Students who are based</w:t>
      </w:r>
      <w:r w:rsidR="00B1107A">
        <w:t xml:space="preserve"> </w:t>
      </w:r>
      <w:r>
        <w:t>solely in the workplace or studying</w:t>
      </w:r>
      <w:r w:rsidR="00B1107A">
        <w:t xml:space="preserve"> </w:t>
      </w:r>
      <w:r>
        <w:t>exclusively online are not required to</w:t>
      </w:r>
      <w:r w:rsidR="00B1107A">
        <w:t xml:space="preserve"> </w:t>
      </w:r>
      <w:r>
        <w:t>pay a student services fee.</w:t>
      </w:r>
    </w:p>
    <w:p w:rsidR="00D26800" w:rsidRDefault="00D26800" w:rsidP="00776C2B">
      <w:pPr>
        <w:pStyle w:val="NoSpacing"/>
        <w:numPr>
          <w:ilvl w:val="0"/>
          <w:numId w:val="79"/>
        </w:numPr>
      </w:pPr>
      <w:r>
        <w:t>A materials fee was charged to</w:t>
      </w:r>
      <w:r w:rsidR="00B1107A">
        <w:t xml:space="preserve"> </w:t>
      </w:r>
      <w:r>
        <w:t>cover the actual cost of providing</w:t>
      </w:r>
      <w:r w:rsidR="00B1107A">
        <w:t xml:space="preserve"> </w:t>
      </w:r>
      <w:r>
        <w:t>materials or services used or retained</w:t>
      </w:r>
      <w:r w:rsidR="00B1107A">
        <w:t xml:space="preserve"> </w:t>
      </w:r>
      <w:r>
        <w:t>by a student in a particular course of</w:t>
      </w:r>
      <w:r w:rsidR="00B1107A">
        <w:t xml:space="preserve"> </w:t>
      </w:r>
      <w:r>
        <w:t>study – if applicable to that course</w:t>
      </w:r>
      <w:r w:rsidR="00B1107A">
        <w:t xml:space="preserve"> </w:t>
      </w:r>
      <w:r>
        <w:t>of study. The fee varied by course</w:t>
      </w:r>
      <w:r w:rsidR="00B1107A">
        <w:t xml:space="preserve"> </w:t>
      </w:r>
      <w:r>
        <w:t>depending on requirements. Full</w:t>
      </w:r>
      <w:r w:rsidR="00B1107A">
        <w:t xml:space="preserve"> </w:t>
      </w:r>
      <w:r>
        <w:t>details were provided to each student</w:t>
      </w:r>
      <w:r w:rsidR="00B1107A">
        <w:t xml:space="preserve"> </w:t>
      </w:r>
      <w:r>
        <w:t>prior to enrolment.</w:t>
      </w:r>
    </w:p>
    <w:p w:rsidR="00D26800" w:rsidRDefault="00D26800" w:rsidP="00776C2B">
      <w:pPr>
        <w:pStyle w:val="NoSpacing"/>
        <w:numPr>
          <w:ilvl w:val="0"/>
          <w:numId w:val="79"/>
        </w:numPr>
      </w:pPr>
      <w:r>
        <w:t>Recognition of prior learning fees</w:t>
      </w:r>
      <w:r w:rsidR="00B1107A">
        <w:t xml:space="preserve"> </w:t>
      </w:r>
      <w:r>
        <w:t>were charged at 50 per cent of the</w:t>
      </w:r>
      <w:r w:rsidR="00B1107A">
        <w:t xml:space="preserve"> </w:t>
      </w:r>
      <w:r>
        <w:t>tuition fee that would be charged for</w:t>
      </w:r>
      <w:r w:rsidR="00B1107A">
        <w:t xml:space="preserve"> </w:t>
      </w:r>
      <w:r>
        <w:t>participation in training for the same</w:t>
      </w:r>
      <w:r w:rsidR="00B1107A">
        <w:t xml:space="preserve"> </w:t>
      </w:r>
      <w:r>
        <w:t>qualification.</w:t>
      </w:r>
    </w:p>
    <w:p w:rsidR="00D26800" w:rsidRDefault="00D26800" w:rsidP="00776C2B">
      <w:pPr>
        <w:pStyle w:val="NoSpacing"/>
        <w:numPr>
          <w:ilvl w:val="0"/>
          <w:numId w:val="79"/>
        </w:numPr>
      </w:pPr>
      <w:r>
        <w:t>All eligible Skills First program</w:t>
      </w:r>
      <w:r w:rsidR="00B1107A">
        <w:t xml:space="preserve"> </w:t>
      </w:r>
      <w:r>
        <w:t>students who held and presented</w:t>
      </w:r>
      <w:r w:rsidR="00B1107A">
        <w:t xml:space="preserve"> </w:t>
      </w:r>
      <w:r>
        <w:t>current and valid concession cards</w:t>
      </w:r>
      <w:r w:rsidR="00B1107A">
        <w:t xml:space="preserve"> </w:t>
      </w:r>
      <w:r>
        <w:t>(Commonwealth Health Care Card,</w:t>
      </w:r>
      <w:r w:rsidR="00B1107A">
        <w:t xml:space="preserve"> </w:t>
      </w:r>
      <w:r>
        <w:t>Pensioner Concession Card and</w:t>
      </w:r>
      <w:r w:rsidR="00B1107A">
        <w:t xml:space="preserve"> </w:t>
      </w:r>
      <w:r>
        <w:t>Gold Veteran Card) prior to course</w:t>
      </w:r>
      <w:r w:rsidR="00B1107A">
        <w:t xml:space="preserve"> </w:t>
      </w:r>
      <w:r>
        <w:t>commencement received an</w:t>
      </w:r>
      <w:r w:rsidR="00B1107A">
        <w:t xml:space="preserve"> </w:t>
      </w:r>
      <w:r>
        <w:t>80 per cent discount on tuition fees</w:t>
      </w:r>
      <w:r w:rsidR="00B1107A">
        <w:t xml:space="preserve"> at Certifi</w:t>
      </w:r>
      <w:r>
        <w:t>cate IV level and below.</w:t>
      </w:r>
      <w:r w:rsidR="00B1107A">
        <w:t xml:space="preserve"> </w:t>
      </w:r>
      <w:r>
        <w:t>Students identifying as Australian</w:t>
      </w:r>
      <w:r w:rsidR="00B1107A">
        <w:t xml:space="preserve"> </w:t>
      </w:r>
      <w:r>
        <w:t>Indigenous individuals received</w:t>
      </w:r>
      <w:r w:rsidR="00B1107A">
        <w:t xml:space="preserve"> </w:t>
      </w:r>
      <w:r>
        <w:t>the 80 per cent discount for all VET</w:t>
      </w:r>
      <w:r w:rsidR="00B1107A">
        <w:t xml:space="preserve"> </w:t>
      </w:r>
      <w:r>
        <w:t>course levels.</w:t>
      </w:r>
    </w:p>
    <w:p w:rsidR="00D26800" w:rsidRDefault="00D26800" w:rsidP="00776C2B">
      <w:pPr>
        <w:pStyle w:val="NoSpacing"/>
        <w:numPr>
          <w:ilvl w:val="0"/>
          <w:numId w:val="79"/>
        </w:numPr>
      </w:pPr>
      <w:r>
        <w:t>Programs and services provided</w:t>
      </w:r>
      <w:r w:rsidR="00B1107A">
        <w:t xml:space="preserve"> </w:t>
      </w:r>
      <w:r>
        <w:t>on a fee-for-service basis were</w:t>
      </w:r>
      <w:r w:rsidR="00B1107A">
        <w:t xml:space="preserve"> </w:t>
      </w:r>
      <w:r>
        <w:t>priced in accordance with National</w:t>
      </w:r>
      <w:r w:rsidR="00B1107A">
        <w:t xml:space="preserve"> </w:t>
      </w:r>
      <w:r>
        <w:t>Competition Policy principles.</w:t>
      </w:r>
    </w:p>
    <w:p w:rsidR="00D26800" w:rsidRDefault="00D26800" w:rsidP="00776C2B">
      <w:pPr>
        <w:pStyle w:val="NoSpacing"/>
        <w:numPr>
          <w:ilvl w:val="0"/>
          <w:numId w:val="79"/>
        </w:numPr>
      </w:pPr>
      <w:r>
        <w:t>Programs and services provided to</w:t>
      </w:r>
      <w:r w:rsidR="00B1107A">
        <w:t xml:space="preserve"> </w:t>
      </w:r>
      <w:r>
        <w:t>international students and industry based</w:t>
      </w:r>
      <w:r w:rsidR="00B1107A">
        <w:t xml:space="preserve"> </w:t>
      </w:r>
      <w:r>
        <w:t>customers were costed on a</w:t>
      </w:r>
      <w:r w:rsidR="00B1107A">
        <w:t xml:space="preserve"> </w:t>
      </w:r>
      <w:r>
        <w:t>commercial basis.</w:t>
      </w:r>
    </w:p>
    <w:p w:rsidR="00D26800" w:rsidRDefault="00D26800" w:rsidP="00776C2B">
      <w:pPr>
        <w:pStyle w:val="NoSpacing"/>
        <w:numPr>
          <w:ilvl w:val="0"/>
          <w:numId w:val="79"/>
        </w:numPr>
      </w:pPr>
      <w:r>
        <w:t>Other fees and charges were</w:t>
      </w:r>
      <w:r w:rsidR="00B1107A">
        <w:t xml:space="preserve"> </w:t>
      </w:r>
      <w:r>
        <w:t>on a cost-recovery basis, for</w:t>
      </w:r>
      <w:r w:rsidR="00B1107A">
        <w:t xml:space="preserve"> </w:t>
      </w:r>
      <w:r>
        <w:t>example, library and parking fines,</w:t>
      </w:r>
      <w:r w:rsidR="00B1107A">
        <w:t xml:space="preserve"> </w:t>
      </w:r>
      <w:r>
        <w:t>photocopying and printing charges.</w:t>
      </w:r>
    </w:p>
    <w:p w:rsidR="00D26800" w:rsidRDefault="00D26800" w:rsidP="005D0902">
      <w:pPr>
        <w:pStyle w:val="NoSpacing"/>
      </w:pPr>
    </w:p>
    <w:p w:rsidR="00D26800" w:rsidRDefault="00D26800" w:rsidP="005D0902">
      <w:pPr>
        <w:pStyle w:val="NoSpacing"/>
      </w:pPr>
      <w:r>
        <w:t>Stephen Varty</w:t>
      </w:r>
    </w:p>
    <w:p w:rsidR="00D26800" w:rsidRDefault="00D26800" w:rsidP="005D0902">
      <w:pPr>
        <w:pStyle w:val="NoSpacing"/>
      </w:pPr>
    </w:p>
    <w:p w:rsidR="00D26800" w:rsidRDefault="00D26800" w:rsidP="005D0902">
      <w:pPr>
        <w:pStyle w:val="NoSpacing"/>
      </w:pPr>
      <w:r>
        <w:t xml:space="preserve">Director and Chief Executive Officer </w:t>
      </w:r>
    </w:p>
    <w:p w:rsidR="00D26800" w:rsidRDefault="00D26800" w:rsidP="005D0902">
      <w:pPr>
        <w:pStyle w:val="NoSpacing"/>
      </w:pPr>
      <w:r>
        <w:t>26 February 2020</w:t>
      </w:r>
    </w:p>
    <w:p w:rsidR="00D26800" w:rsidRDefault="00D26800" w:rsidP="005D0902">
      <w:pPr>
        <w:pStyle w:val="NoSpacing"/>
      </w:pPr>
    </w:p>
    <w:p w:rsidR="001A159C" w:rsidRDefault="001A159C" w:rsidP="005D0902">
      <w:pPr>
        <w:pStyle w:val="NoSpacing"/>
      </w:pPr>
      <w:r>
        <w:t>&lt;page</w:t>
      </w:r>
      <w:r w:rsidR="00B1107A">
        <w:t xml:space="preserve"> 107</w:t>
      </w:r>
      <w:r>
        <w:t>&gt;</w:t>
      </w:r>
    </w:p>
    <w:p w:rsidR="001A159C" w:rsidRDefault="001A159C" w:rsidP="005D0902">
      <w:pPr>
        <w:pStyle w:val="NoSpacing"/>
      </w:pPr>
    </w:p>
    <w:p w:rsidR="001A159C" w:rsidRDefault="001A159C" w:rsidP="001A159C">
      <w:pPr>
        <w:pStyle w:val="Heading2"/>
      </w:pPr>
      <w:r>
        <w:t xml:space="preserve">Environmental Performance </w:t>
      </w:r>
    </w:p>
    <w:p w:rsidR="001A159C" w:rsidRDefault="001A159C" w:rsidP="005D0902">
      <w:pPr>
        <w:pStyle w:val="NoSpacing"/>
      </w:pPr>
    </w:p>
    <w:p w:rsidR="00B1107A" w:rsidRDefault="00B1107A" w:rsidP="004775B2">
      <w:pPr>
        <w:pStyle w:val="Heading3"/>
      </w:pPr>
      <w:r>
        <w:t>Environmental performance</w:t>
      </w:r>
    </w:p>
    <w:p w:rsidR="00542AC8" w:rsidRDefault="00542AC8" w:rsidP="00B1107A">
      <w:pPr>
        <w:pStyle w:val="NoSpacing"/>
      </w:pPr>
    </w:p>
    <w:p w:rsidR="00B1107A" w:rsidRPr="00B1107A" w:rsidRDefault="00B1107A" w:rsidP="00B1107A">
      <w:pPr>
        <w:pStyle w:val="NoSpacing"/>
      </w:pPr>
      <w:r w:rsidRPr="00B1107A">
        <w:t>The environmental performance is</w:t>
      </w:r>
      <w:r w:rsidR="00542AC8">
        <w:t xml:space="preserve"> </w:t>
      </w:r>
      <w:r w:rsidRPr="00B1107A">
        <w:t>a measure of the level of resource</w:t>
      </w:r>
      <w:r w:rsidR="00542AC8">
        <w:t xml:space="preserve"> </w:t>
      </w:r>
      <w:r w:rsidRPr="00B1107A">
        <w:t>consumption and emissions across</w:t>
      </w:r>
      <w:r w:rsidR="00542AC8">
        <w:t xml:space="preserve"> t</w:t>
      </w:r>
      <w:r w:rsidRPr="00B1107A">
        <w:t>he Institute’s various activities. This</w:t>
      </w:r>
      <w:r w:rsidR="00542AC8">
        <w:t xml:space="preserve"> </w:t>
      </w:r>
      <w:r w:rsidRPr="00B1107A">
        <w:t>includes all emissions, ranging from fleet</w:t>
      </w:r>
      <w:r w:rsidR="00542AC8">
        <w:t xml:space="preserve"> </w:t>
      </w:r>
      <w:r w:rsidRPr="00B1107A">
        <w:t>vehicles used for work activity, overseas</w:t>
      </w:r>
      <w:r w:rsidR="00542AC8">
        <w:t xml:space="preserve"> </w:t>
      </w:r>
      <w:r w:rsidRPr="00B1107A">
        <w:t>air travel and electricity consumption.</w:t>
      </w:r>
    </w:p>
    <w:p w:rsidR="00542AC8" w:rsidRDefault="00542AC8" w:rsidP="00B1107A">
      <w:pPr>
        <w:pStyle w:val="NoSpacing"/>
      </w:pPr>
    </w:p>
    <w:p w:rsidR="00B1107A" w:rsidRPr="00B1107A" w:rsidRDefault="00B1107A" w:rsidP="00B1107A">
      <w:pPr>
        <w:pStyle w:val="NoSpacing"/>
      </w:pPr>
      <w:r w:rsidRPr="00B1107A">
        <w:t>Chisholm continues to place</w:t>
      </w:r>
      <w:r w:rsidR="00542AC8">
        <w:t xml:space="preserve"> </w:t>
      </w:r>
      <w:r w:rsidRPr="00B1107A">
        <w:t>environmental considerations into all</w:t>
      </w:r>
      <w:r w:rsidR="00542AC8">
        <w:t xml:space="preserve"> </w:t>
      </w:r>
      <w:r w:rsidRPr="00B1107A">
        <w:t>its operational activities, seeking to</w:t>
      </w:r>
      <w:r w:rsidR="00542AC8">
        <w:t xml:space="preserve"> </w:t>
      </w:r>
      <w:r w:rsidRPr="00B1107A">
        <w:t>continuously improve its environmental</w:t>
      </w:r>
      <w:r w:rsidR="00542AC8">
        <w:t xml:space="preserve"> </w:t>
      </w:r>
      <w:r w:rsidRPr="00B1107A">
        <w:t>practices throughout its operations,</w:t>
      </w:r>
      <w:r w:rsidR="00542AC8">
        <w:t xml:space="preserve"> </w:t>
      </w:r>
      <w:r w:rsidRPr="00B1107A">
        <w:t>and developing and implementing</w:t>
      </w:r>
      <w:r w:rsidR="00542AC8">
        <w:t xml:space="preserve"> </w:t>
      </w:r>
      <w:r w:rsidRPr="00B1107A">
        <w:t>robust systems and processes</w:t>
      </w:r>
      <w:r w:rsidR="00542AC8">
        <w:t xml:space="preserve"> </w:t>
      </w:r>
      <w:r w:rsidRPr="00B1107A">
        <w:t>that protect the environment. The</w:t>
      </w:r>
      <w:r w:rsidR="00542AC8">
        <w:t xml:space="preserve"> </w:t>
      </w:r>
      <w:r w:rsidRPr="00B1107A">
        <w:t>Institute’s environmental performance</w:t>
      </w:r>
      <w:r w:rsidR="00542AC8">
        <w:t xml:space="preserve"> </w:t>
      </w:r>
      <w:r w:rsidRPr="00B1107A">
        <w:t>including energy, water, paper and fuel</w:t>
      </w:r>
      <w:r w:rsidR="00542AC8">
        <w:t xml:space="preserve"> </w:t>
      </w:r>
      <w:r w:rsidRPr="00B1107A">
        <w:t>consumption measured against a</w:t>
      </w:r>
      <w:r w:rsidR="00542AC8">
        <w:t xml:space="preserve"> </w:t>
      </w:r>
      <w:r w:rsidRPr="00B1107A">
        <w:t>2007 baseline, and its performance</w:t>
      </w:r>
      <w:r w:rsidR="00542AC8">
        <w:t xml:space="preserve"> </w:t>
      </w:r>
      <w:r w:rsidRPr="00B1107A">
        <w:t>against the baseline can be found in</w:t>
      </w:r>
      <w:r w:rsidR="00542AC8">
        <w:t xml:space="preserve"> </w:t>
      </w:r>
      <w:r w:rsidRPr="00B1107A">
        <w:t>the appendices.</w:t>
      </w:r>
    </w:p>
    <w:p w:rsidR="00542AC8" w:rsidRDefault="00542AC8" w:rsidP="00B1107A">
      <w:pPr>
        <w:pStyle w:val="NoSpacing"/>
      </w:pPr>
    </w:p>
    <w:p w:rsidR="00B1107A" w:rsidRPr="00B1107A" w:rsidRDefault="00B1107A" w:rsidP="00B1107A">
      <w:pPr>
        <w:pStyle w:val="NoSpacing"/>
      </w:pPr>
      <w:r w:rsidRPr="00B1107A">
        <w:t>Sustainable principles are also included</w:t>
      </w:r>
      <w:r w:rsidR="00542AC8">
        <w:t xml:space="preserve"> </w:t>
      </w:r>
      <w:r w:rsidRPr="00B1107A">
        <w:t>in the delivery of vocational education</w:t>
      </w:r>
      <w:r w:rsidR="00542AC8">
        <w:t xml:space="preserve"> </w:t>
      </w:r>
      <w:r w:rsidRPr="00B1107A">
        <w:t>and training, where various departments</w:t>
      </w:r>
      <w:r w:rsidR="00542AC8">
        <w:t xml:space="preserve"> </w:t>
      </w:r>
      <w:r w:rsidRPr="00B1107A">
        <w:t>have sustainability components</w:t>
      </w:r>
      <w:r w:rsidR="00542AC8">
        <w:t xml:space="preserve"> </w:t>
      </w:r>
      <w:r w:rsidRPr="00B1107A">
        <w:t>embedded into the curriculum. This is</w:t>
      </w:r>
      <w:r w:rsidR="00542AC8">
        <w:t xml:space="preserve"> </w:t>
      </w:r>
      <w:r w:rsidRPr="00B1107A">
        <w:t>the case particularly with workplace</w:t>
      </w:r>
      <w:r w:rsidR="00542AC8">
        <w:t xml:space="preserve"> </w:t>
      </w:r>
      <w:r w:rsidRPr="00B1107A">
        <w:t>practices, including the appropriate</w:t>
      </w:r>
      <w:r w:rsidR="00542AC8">
        <w:t xml:space="preserve"> </w:t>
      </w:r>
      <w:r w:rsidRPr="00B1107A">
        <w:t>disposal of waste, separation and</w:t>
      </w:r>
      <w:r w:rsidR="00542AC8">
        <w:t xml:space="preserve"> </w:t>
      </w:r>
      <w:r w:rsidRPr="00B1107A">
        <w:t>recycling of reusable materials, and</w:t>
      </w:r>
      <w:r w:rsidR="00542AC8">
        <w:t xml:space="preserve"> </w:t>
      </w:r>
      <w:r w:rsidRPr="00B1107A">
        <w:t>undertaking energy and waste audits.</w:t>
      </w:r>
    </w:p>
    <w:p w:rsidR="00B1107A" w:rsidRDefault="00B1107A" w:rsidP="005D0902">
      <w:pPr>
        <w:pStyle w:val="NoSpacing"/>
      </w:pPr>
    </w:p>
    <w:p w:rsidR="00B1107A" w:rsidRDefault="00B1107A" w:rsidP="004775B2">
      <w:pPr>
        <w:pStyle w:val="Heading3"/>
      </w:pPr>
      <w:r>
        <w:t xml:space="preserve">Capital works </w:t>
      </w:r>
    </w:p>
    <w:p w:rsidR="004775B2" w:rsidRDefault="004775B2" w:rsidP="00B1107A">
      <w:pPr>
        <w:pStyle w:val="NoSpacing"/>
      </w:pPr>
    </w:p>
    <w:p w:rsidR="00B1107A" w:rsidRDefault="00B1107A" w:rsidP="00B1107A">
      <w:pPr>
        <w:pStyle w:val="NoSpacing"/>
      </w:pPr>
      <w:r>
        <w:t>This year, the Institute took ownership</w:t>
      </w:r>
      <w:r w:rsidR="00542AC8">
        <w:t xml:space="preserve"> </w:t>
      </w:r>
      <w:r>
        <w:t>of three new facilities, which included a</w:t>
      </w:r>
      <w:r w:rsidR="00542AC8">
        <w:t xml:space="preserve"> </w:t>
      </w:r>
      <w:r>
        <w:t>number of sustainable elements such as</w:t>
      </w:r>
      <w:r w:rsidR="00542AC8">
        <w:t xml:space="preserve"> </w:t>
      </w:r>
      <w:r>
        <w:t>energy efficient chillers and packaged</w:t>
      </w:r>
      <w:r w:rsidR="00542AC8">
        <w:t xml:space="preserve"> </w:t>
      </w:r>
      <w:r>
        <w:t>units, LED lighting, full outside fresh</w:t>
      </w:r>
      <w:r w:rsidR="00542AC8">
        <w:t xml:space="preserve"> </w:t>
      </w:r>
      <w:r>
        <w:t>air mode within the building heating,</w:t>
      </w:r>
      <w:r w:rsidR="00542AC8">
        <w:t xml:space="preserve"> </w:t>
      </w:r>
      <w:r>
        <w:t>ventilation and air-conditioning</w:t>
      </w:r>
      <w:r w:rsidR="00542AC8">
        <w:t xml:space="preserve"> </w:t>
      </w:r>
      <w:r>
        <w:t>systems on temperate days, and fresh</w:t>
      </w:r>
      <w:r w:rsidR="00542AC8">
        <w:t xml:space="preserve"> </w:t>
      </w:r>
      <w:r>
        <w:t>air modulation using CO</w:t>
      </w:r>
      <w:r>
        <w:rPr>
          <w:sz w:val="12"/>
          <w:szCs w:val="12"/>
        </w:rPr>
        <w:t xml:space="preserve">2 </w:t>
      </w:r>
      <w:r>
        <w:t>sensors</w:t>
      </w:r>
      <w:r w:rsidR="00542AC8">
        <w:t xml:space="preserve"> </w:t>
      </w:r>
      <w:r>
        <w:t>on extreme days. Passive efficiency</w:t>
      </w:r>
      <w:r w:rsidR="00542AC8">
        <w:t xml:space="preserve"> </w:t>
      </w:r>
      <w:r>
        <w:t>measures included high performance</w:t>
      </w:r>
      <w:r w:rsidR="00542AC8">
        <w:t xml:space="preserve"> </w:t>
      </w:r>
      <w:r>
        <w:t>glass and extensive shading on the</w:t>
      </w:r>
      <w:r w:rsidR="00542AC8">
        <w:t xml:space="preserve"> </w:t>
      </w:r>
      <w:r>
        <w:t>building facades. There was also a</w:t>
      </w:r>
      <w:r w:rsidR="00542AC8">
        <w:t xml:space="preserve"> </w:t>
      </w:r>
      <w:r>
        <w:t>focus on building automation, including</w:t>
      </w:r>
      <w:r w:rsidR="00542AC8">
        <w:t xml:space="preserve"> </w:t>
      </w:r>
      <w:r>
        <w:t>creating a link between the operation of</w:t>
      </w:r>
      <w:r w:rsidR="00542AC8">
        <w:t xml:space="preserve"> </w:t>
      </w:r>
      <w:r>
        <w:t>the air-conditioning and occupancy at a</w:t>
      </w:r>
      <w:r w:rsidR="00542AC8">
        <w:t xml:space="preserve"> </w:t>
      </w:r>
      <w:r>
        <w:t>classroom level, through the integration</w:t>
      </w:r>
      <w:r w:rsidR="00542AC8">
        <w:t xml:space="preserve"> </w:t>
      </w:r>
      <w:r>
        <w:t>of the operations with class schedules.</w:t>
      </w:r>
    </w:p>
    <w:p w:rsidR="00542AC8" w:rsidRDefault="00542AC8" w:rsidP="00B1107A">
      <w:pPr>
        <w:pStyle w:val="NoSpacing"/>
      </w:pPr>
    </w:p>
    <w:p w:rsidR="00B1107A" w:rsidRDefault="00B1107A" w:rsidP="00B1107A">
      <w:pPr>
        <w:pStyle w:val="NoSpacing"/>
      </w:pPr>
      <w:r>
        <w:t>Further to the passive measures,</w:t>
      </w:r>
      <w:r w:rsidR="00542AC8">
        <w:t xml:space="preserve"> </w:t>
      </w:r>
      <w:r>
        <w:t>the carpet used in the Frankston</w:t>
      </w:r>
      <w:r w:rsidR="00542AC8">
        <w:t xml:space="preserve"> </w:t>
      </w:r>
      <w:r>
        <w:t>Redevelopment Project stage one is</w:t>
      </w:r>
      <w:r w:rsidR="00542AC8">
        <w:t xml:space="preserve"> </w:t>
      </w:r>
      <w:r>
        <w:t>constructed from recycled materials</w:t>
      </w:r>
      <w:r w:rsidR="00542AC8">
        <w:t xml:space="preserve"> </w:t>
      </w:r>
      <w:r>
        <w:t>and contains 400,000 recycled</w:t>
      </w:r>
      <w:r w:rsidR="00542AC8">
        <w:t xml:space="preserve"> </w:t>
      </w:r>
      <w:r>
        <w:t>plastic bottles.</w:t>
      </w:r>
    </w:p>
    <w:p w:rsidR="00542AC8" w:rsidRDefault="00542AC8" w:rsidP="00B1107A">
      <w:pPr>
        <w:pStyle w:val="NoSpacing"/>
      </w:pPr>
    </w:p>
    <w:p w:rsidR="00B1107A" w:rsidRDefault="00B1107A" w:rsidP="00B1107A">
      <w:pPr>
        <w:pStyle w:val="NoSpacing"/>
      </w:pPr>
      <w:r>
        <w:t>The increase in the Institute’s building</w:t>
      </w:r>
      <w:r w:rsidR="00542AC8">
        <w:t xml:space="preserve"> </w:t>
      </w:r>
      <w:r>
        <w:t>portfolio has impacted energy</w:t>
      </w:r>
      <w:r w:rsidR="00542AC8">
        <w:t xml:space="preserve"> </w:t>
      </w:r>
      <w:r>
        <w:t>consumption, driving consumption</w:t>
      </w:r>
      <w:r w:rsidR="00542AC8">
        <w:t xml:space="preserve"> </w:t>
      </w:r>
      <w:r>
        <w:t>higher than the previous two years. It</w:t>
      </w:r>
      <w:r w:rsidR="00542AC8">
        <w:t xml:space="preserve"> </w:t>
      </w:r>
      <w:r>
        <w:t>is expected that there will be a further</w:t>
      </w:r>
      <w:r w:rsidR="00542AC8">
        <w:t xml:space="preserve"> </w:t>
      </w:r>
      <w:r>
        <w:t>increase next year with consumption</w:t>
      </w:r>
      <w:r w:rsidR="00542AC8">
        <w:t xml:space="preserve"> </w:t>
      </w:r>
      <w:r>
        <w:t>being calculated over the course of a</w:t>
      </w:r>
      <w:r w:rsidR="00542AC8">
        <w:t xml:space="preserve"> </w:t>
      </w:r>
      <w:r>
        <w:t>full year.</w:t>
      </w:r>
    </w:p>
    <w:p w:rsidR="00542AC8" w:rsidRDefault="00542AC8" w:rsidP="00B1107A">
      <w:pPr>
        <w:pStyle w:val="NoSpacing"/>
      </w:pPr>
    </w:p>
    <w:p w:rsidR="00B1107A" w:rsidRDefault="00B1107A" w:rsidP="00B1107A">
      <w:pPr>
        <w:pStyle w:val="NoSpacing"/>
      </w:pPr>
      <w:r>
        <w:t>Although an increase is expected</w:t>
      </w:r>
      <w:r w:rsidR="00542AC8">
        <w:t xml:space="preserve"> </w:t>
      </w:r>
      <w:r>
        <w:t>further initiatives such as LED, solar</w:t>
      </w:r>
      <w:r w:rsidR="00542AC8">
        <w:t xml:space="preserve"> </w:t>
      </w:r>
      <w:r>
        <w:t>and energy efficient services will be</w:t>
      </w:r>
      <w:r w:rsidR="00542AC8">
        <w:t xml:space="preserve"> </w:t>
      </w:r>
      <w:r>
        <w:t>investigated to offset the increase.</w:t>
      </w:r>
      <w:r w:rsidR="00542AC8">
        <w:t xml:space="preserve"> </w:t>
      </w:r>
      <w:r>
        <w:t>With the support of the Victorian</w:t>
      </w:r>
      <w:r w:rsidR="00542AC8">
        <w:t xml:space="preserve"> </w:t>
      </w:r>
      <w:r>
        <w:t>government’s Stronger TAFE Fund</w:t>
      </w:r>
      <w:r w:rsidR="00542AC8">
        <w:t xml:space="preserve"> </w:t>
      </w:r>
      <w:r>
        <w:t>Asset Maintenance Program, Chisholm</w:t>
      </w:r>
      <w:r w:rsidR="00542AC8">
        <w:t xml:space="preserve"> </w:t>
      </w:r>
      <w:r>
        <w:t>implemented a program phasing out the</w:t>
      </w:r>
      <w:r w:rsidR="00542AC8">
        <w:t xml:space="preserve"> </w:t>
      </w:r>
      <w:r>
        <w:t>use of ozone depleting R22 refrigerants</w:t>
      </w:r>
      <w:r w:rsidR="00542AC8">
        <w:t xml:space="preserve"> </w:t>
      </w:r>
      <w:r>
        <w:t>on existing air conditioners across all</w:t>
      </w:r>
      <w:r w:rsidR="00542AC8">
        <w:t xml:space="preserve"> </w:t>
      </w:r>
      <w:r>
        <w:t>campuses, replacing old inefficient</w:t>
      </w:r>
      <w:r w:rsidR="00542AC8">
        <w:t xml:space="preserve"> </w:t>
      </w:r>
      <w:r>
        <w:t>air-conditioners in Dandenong, and</w:t>
      </w:r>
      <w:r w:rsidR="00542AC8">
        <w:t xml:space="preserve"> </w:t>
      </w:r>
      <w:r>
        <w:t>expanding the building automation</w:t>
      </w:r>
      <w:r w:rsidR="00542AC8">
        <w:t xml:space="preserve"> </w:t>
      </w:r>
      <w:r>
        <w:t>systems to</w:t>
      </w:r>
      <w:r w:rsidR="00542AC8">
        <w:t xml:space="preserve"> </w:t>
      </w:r>
      <w:r>
        <w:t>older buildings.</w:t>
      </w:r>
    </w:p>
    <w:p w:rsidR="00B1107A" w:rsidRDefault="00B1107A" w:rsidP="005D0902">
      <w:pPr>
        <w:pStyle w:val="NoSpacing"/>
      </w:pPr>
    </w:p>
    <w:p w:rsidR="00B1107A" w:rsidRDefault="00B1107A" w:rsidP="004775B2">
      <w:pPr>
        <w:pStyle w:val="Heading3"/>
      </w:pPr>
      <w:r>
        <w:t xml:space="preserve">Carbon impact </w:t>
      </w:r>
    </w:p>
    <w:p w:rsidR="004775B2" w:rsidRDefault="004775B2" w:rsidP="00B1107A">
      <w:pPr>
        <w:pStyle w:val="NoSpacing"/>
      </w:pPr>
    </w:p>
    <w:p w:rsidR="00B1107A" w:rsidRDefault="00B1107A" w:rsidP="00B1107A">
      <w:pPr>
        <w:pStyle w:val="NoSpacing"/>
      </w:pPr>
      <w:r>
        <w:t>With energy being the major component</w:t>
      </w:r>
      <w:r w:rsidR="00542AC8">
        <w:t xml:space="preserve"> </w:t>
      </w:r>
      <w:r>
        <w:t>of the Institute’s emissions, the impact</w:t>
      </w:r>
      <w:r w:rsidR="00542AC8">
        <w:t xml:space="preserve"> </w:t>
      </w:r>
      <w:r>
        <w:t>on CO</w:t>
      </w:r>
      <w:r>
        <w:rPr>
          <w:sz w:val="12"/>
          <w:szCs w:val="12"/>
        </w:rPr>
        <w:t xml:space="preserve">2 </w:t>
      </w:r>
      <w:r>
        <w:t>emissions rose to 2016 levels,</w:t>
      </w:r>
      <w:r w:rsidR="00542AC8">
        <w:t xml:space="preserve"> </w:t>
      </w:r>
      <w:r>
        <w:t>but still significantly less than the 2007</w:t>
      </w:r>
      <w:r w:rsidR="00542AC8">
        <w:t xml:space="preserve"> </w:t>
      </w:r>
      <w:r>
        <w:t>baseline.</w:t>
      </w:r>
    </w:p>
    <w:p w:rsidR="00B1107A" w:rsidRDefault="00B1107A" w:rsidP="005D0902">
      <w:pPr>
        <w:pStyle w:val="NoSpacing"/>
      </w:pPr>
    </w:p>
    <w:p w:rsidR="00B1107A" w:rsidRDefault="00B1107A" w:rsidP="004775B2">
      <w:pPr>
        <w:pStyle w:val="Heading3"/>
      </w:pPr>
      <w:r>
        <w:t>Energy consumption</w:t>
      </w:r>
    </w:p>
    <w:p w:rsidR="004775B2" w:rsidRDefault="004775B2" w:rsidP="00B1107A">
      <w:pPr>
        <w:pStyle w:val="NoSpacing"/>
      </w:pPr>
    </w:p>
    <w:p w:rsidR="00B1107A" w:rsidRDefault="00B1107A" w:rsidP="00B1107A">
      <w:pPr>
        <w:pStyle w:val="NoSpacing"/>
      </w:pPr>
      <w:r>
        <w:t>Chisholm continues to focus on</w:t>
      </w:r>
      <w:r w:rsidR="00542AC8">
        <w:t xml:space="preserve"> </w:t>
      </w:r>
      <w:r>
        <w:t>energy efficiency through investing in</w:t>
      </w:r>
      <w:r w:rsidR="00542AC8">
        <w:t xml:space="preserve"> </w:t>
      </w:r>
      <w:r>
        <w:t>the energy monitoring and reporting</w:t>
      </w:r>
      <w:r w:rsidR="00542AC8">
        <w:t xml:space="preserve"> </w:t>
      </w:r>
      <w:r>
        <w:t>infrastructure to identify potential waste,</w:t>
      </w:r>
      <w:r w:rsidR="00542AC8">
        <w:t xml:space="preserve"> </w:t>
      </w:r>
      <w:r>
        <w:t>and to quantitatively measure and track</w:t>
      </w:r>
      <w:r w:rsidR="00542AC8">
        <w:t xml:space="preserve"> </w:t>
      </w:r>
      <w:r>
        <w:t>improvements.</w:t>
      </w:r>
    </w:p>
    <w:p w:rsidR="00542AC8" w:rsidRDefault="00542AC8" w:rsidP="00B1107A">
      <w:pPr>
        <w:pStyle w:val="NoSpacing"/>
      </w:pPr>
    </w:p>
    <w:p w:rsidR="00B1107A" w:rsidRDefault="00B1107A" w:rsidP="00B1107A">
      <w:pPr>
        <w:pStyle w:val="NoSpacing"/>
      </w:pPr>
      <w:r>
        <w:t>Works underway sourced tools to</w:t>
      </w:r>
      <w:r w:rsidR="00542AC8">
        <w:t xml:space="preserve"> </w:t>
      </w:r>
      <w:r>
        <w:t>enable the operations team to gain a</w:t>
      </w:r>
      <w:r w:rsidR="00542AC8">
        <w:t xml:space="preserve"> </w:t>
      </w:r>
      <w:r>
        <w:t>comprehensive understanding of how,</w:t>
      </w:r>
      <w:r w:rsidR="00542AC8">
        <w:t xml:space="preserve"> </w:t>
      </w:r>
      <w:r>
        <w:t>when and where energy use occurs,</w:t>
      </w:r>
      <w:r w:rsidR="00542AC8">
        <w:t xml:space="preserve"> </w:t>
      </w:r>
      <w:r>
        <w:t>which includes rolling out energy</w:t>
      </w:r>
      <w:r w:rsidR="00542AC8">
        <w:t xml:space="preserve"> </w:t>
      </w:r>
      <w:r>
        <w:t>sub-metering infrastructure. These</w:t>
      </w:r>
      <w:r w:rsidR="00542AC8">
        <w:t xml:space="preserve"> </w:t>
      </w:r>
      <w:r>
        <w:t>improvements are expected to help</w:t>
      </w:r>
      <w:r w:rsidR="00542AC8">
        <w:t xml:space="preserve"> </w:t>
      </w:r>
      <w:r>
        <w:t>build on the energy reduction achieved</w:t>
      </w:r>
      <w:r w:rsidR="00542AC8">
        <w:t xml:space="preserve"> </w:t>
      </w:r>
      <w:r>
        <w:t>to date.</w:t>
      </w:r>
    </w:p>
    <w:p w:rsidR="00B1107A" w:rsidRDefault="00B1107A" w:rsidP="005D0902">
      <w:pPr>
        <w:pStyle w:val="NoSpacing"/>
      </w:pPr>
    </w:p>
    <w:p w:rsidR="001A159C" w:rsidRDefault="001A159C" w:rsidP="005D0902">
      <w:pPr>
        <w:pStyle w:val="NoSpacing"/>
      </w:pPr>
      <w:r>
        <w:t>&lt;page</w:t>
      </w:r>
      <w:r w:rsidR="00B1107A">
        <w:t xml:space="preserve"> 108</w:t>
      </w:r>
      <w:r>
        <w:t>&gt;</w:t>
      </w:r>
    </w:p>
    <w:p w:rsidR="008B6297" w:rsidRDefault="008B6297" w:rsidP="005D0902">
      <w:pPr>
        <w:pStyle w:val="NoSpacing"/>
      </w:pPr>
    </w:p>
    <w:p w:rsidR="00542AC8" w:rsidRDefault="00AA048F" w:rsidP="009908F4">
      <w:pPr>
        <w:pStyle w:val="Heading3"/>
      </w:pPr>
      <w:r>
        <w:t>Chisholm environmental sustainability index 2007-2019</w:t>
      </w:r>
    </w:p>
    <w:p w:rsidR="00AA048F" w:rsidRDefault="00AA048F" w:rsidP="005D0902">
      <w:pPr>
        <w:pStyle w:val="NoSpacing"/>
      </w:pPr>
    </w:p>
    <w:tbl>
      <w:tblPr>
        <w:tblStyle w:val="TableGrid"/>
        <w:tblW w:w="10916" w:type="dxa"/>
        <w:tblInd w:w="-998" w:type="dxa"/>
        <w:tblLook w:val="04A0" w:firstRow="1" w:lastRow="0" w:firstColumn="1" w:lastColumn="0" w:noHBand="0" w:noVBand="1"/>
      </w:tblPr>
      <w:tblGrid>
        <w:gridCol w:w="1702"/>
        <w:gridCol w:w="2268"/>
        <w:gridCol w:w="2268"/>
        <w:gridCol w:w="2410"/>
        <w:gridCol w:w="2268"/>
      </w:tblGrid>
      <w:tr w:rsidR="00AA048F" w:rsidTr="00AA048F">
        <w:tc>
          <w:tcPr>
            <w:tcW w:w="1702" w:type="dxa"/>
          </w:tcPr>
          <w:p w:rsidR="00AA048F" w:rsidRDefault="00AA048F" w:rsidP="005D0902">
            <w:pPr>
              <w:pStyle w:val="NoSpacing"/>
            </w:pPr>
            <w:r>
              <w:t xml:space="preserve">Year </w:t>
            </w:r>
          </w:p>
        </w:tc>
        <w:tc>
          <w:tcPr>
            <w:tcW w:w="2268" w:type="dxa"/>
          </w:tcPr>
          <w:p w:rsidR="00AA048F" w:rsidRDefault="00AA048F" w:rsidP="00AA048F">
            <w:pPr>
              <w:pStyle w:val="NoSpacing"/>
              <w:jc w:val="right"/>
            </w:pPr>
            <w:r>
              <w:t>Target Sustainability Index</w:t>
            </w:r>
          </w:p>
        </w:tc>
        <w:tc>
          <w:tcPr>
            <w:tcW w:w="2268" w:type="dxa"/>
          </w:tcPr>
          <w:p w:rsidR="00AA048F" w:rsidRDefault="00AA048F" w:rsidP="00AA048F">
            <w:pPr>
              <w:pStyle w:val="NoSpacing"/>
              <w:jc w:val="right"/>
            </w:pPr>
            <w:r>
              <w:t>Target reduction %</w:t>
            </w:r>
          </w:p>
        </w:tc>
        <w:tc>
          <w:tcPr>
            <w:tcW w:w="2410" w:type="dxa"/>
          </w:tcPr>
          <w:p w:rsidR="00AA048F" w:rsidRDefault="00AA048F" w:rsidP="00AA048F">
            <w:pPr>
              <w:pStyle w:val="NoSpacing"/>
              <w:jc w:val="right"/>
            </w:pPr>
            <w:r>
              <w:t>Actual Sustainability Index</w:t>
            </w:r>
          </w:p>
        </w:tc>
        <w:tc>
          <w:tcPr>
            <w:tcW w:w="2268" w:type="dxa"/>
          </w:tcPr>
          <w:p w:rsidR="00AA048F" w:rsidRDefault="00AA048F" w:rsidP="00AA048F">
            <w:pPr>
              <w:pStyle w:val="NoSpacing"/>
              <w:jc w:val="right"/>
            </w:pPr>
            <w:r>
              <w:t>Actual performance %</w:t>
            </w:r>
          </w:p>
        </w:tc>
      </w:tr>
      <w:tr w:rsidR="00AA048F" w:rsidTr="00AA048F">
        <w:tc>
          <w:tcPr>
            <w:tcW w:w="1702" w:type="dxa"/>
          </w:tcPr>
          <w:p w:rsidR="00AA048F" w:rsidRDefault="00AA048F" w:rsidP="005D0902">
            <w:pPr>
              <w:pStyle w:val="NoSpacing"/>
            </w:pPr>
            <w:r>
              <w:t>2007 (baseline)</w:t>
            </w:r>
          </w:p>
        </w:tc>
        <w:tc>
          <w:tcPr>
            <w:tcW w:w="2268" w:type="dxa"/>
          </w:tcPr>
          <w:p w:rsidR="00AA048F" w:rsidRDefault="00AA048F" w:rsidP="00AA048F">
            <w:pPr>
              <w:pStyle w:val="NoSpacing"/>
              <w:jc w:val="right"/>
            </w:pPr>
            <w:r>
              <w:t>1.63</w:t>
            </w:r>
          </w:p>
        </w:tc>
        <w:tc>
          <w:tcPr>
            <w:tcW w:w="2268" w:type="dxa"/>
          </w:tcPr>
          <w:p w:rsidR="00AA048F" w:rsidRDefault="00AA048F" w:rsidP="00AA048F">
            <w:pPr>
              <w:pStyle w:val="NoSpacing"/>
              <w:jc w:val="right"/>
            </w:pPr>
            <w:r>
              <w:t>0%</w:t>
            </w:r>
          </w:p>
        </w:tc>
        <w:tc>
          <w:tcPr>
            <w:tcW w:w="2410" w:type="dxa"/>
          </w:tcPr>
          <w:p w:rsidR="00AA048F" w:rsidRDefault="00AA048F" w:rsidP="00AA048F">
            <w:pPr>
              <w:pStyle w:val="NoSpacing"/>
              <w:jc w:val="right"/>
            </w:pPr>
            <w:r>
              <w:t>1.63</w:t>
            </w:r>
          </w:p>
        </w:tc>
        <w:tc>
          <w:tcPr>
            <w:tcW w:w="2268" w:type="dxa"/>
          </w:tcPr>
          <w:p w:rsidR="00AA048F" w:rsidRDefault="00AA048F" w:rsidP="00AA048F">
            <w:pPr>
              <w:pStyle w:val="NoSpacing"/>
              <w:jc w:val="right"/>
            </w:pPr>
            <w:r>
              <w:t>0%</w:t>
            </w:r>
          </w:p>
        </w:tc>
      </w:tr>
      <w:tr w:rsidR="00AA048F" w:rsidTr="00AA048F">
        <w:tc>
          <w:tcPr>
            <w:tcW w:w="1702" w:type="dxa"/>
          </w:tcPr>
          <w:p w:rsidR="00AA048F" w:rsidRDefault="00AA048F" w:rsidP="005D0902">
            <w:pPr>
              <w:pStyle w:val="NoSpacing"/>
            </w:pPr>
            <w:r>
              <w:t>2008</w:t>
            </w:r>
          </w:p>
        </w:tc>
        <w:tc>
          <w:tcPr>
            <w:tcW w:w="2268" w:type="dxa"/>
          </w:tcPr>
          <w:p w:rsidR="00AA048F" w:rsidRDefault="00AA048F" w:rsidP="00AA048F">
            <w:pPr>
              <w:pStyle w:val="NoSpacing"/>
              <w:jc w:val="right"/>
            </w:pPr>
            <w:r>
              <w:t>1.59</w:t>
            </w:r>
          </w:p>
        </w:tc>
        <w:tc>
          <w:tcPr>
            <w:tcW w:w="2268" w:type="dxa"/>
          </w:tcPr>
          <w:p w:rsidR="00AA048F" w:rsidRDefault="00AA048F" w:rsidP="00AA048F">
            <w:pPr>
              <w:pStyle w:val="NoSpacing"/>
              <w:jc w:val="right"/>
            </w:pPr>
            <w:r>
              <w:t>-2%</w:t>
            </w:r>
          </w:p>
        </w:tc>
        <w:tc>
          <w:tcPr>
            <w:tcW w:w="2410" w:type="dxa"/>
          </w:tcPr>
          <w:p w:rsidR="00AA048F" w:rsidRDefault="00AA048F" w:rsidP="00AA048F">
            <w:pPr>
              <w:pStyle w:val="NoSpacing"/>
              <w:jc w:val="right"/>
            </w:pPr>
            <w:r>
              <w:t>1.64</w:t>
            </w:r>
          </w:p>
        </w:tc>
        <w:tc>
          <w:tcPr>
            <w:tcW w:w="2268" w:type="dxa"/>
          </w:tcPr>
          <w:p w:rsidR="00AA048F" w:rsidRDefault="00AA048F" w:rsidP="00AA048F">
            <w:pPr>
              <w:pStyle w:val="NoSpacing"/>
              <w:jc w:val="right"/>
            </w:pPr>
            <w:r>
              <w:t>1%</w:t>
            </w:r>
          </w:p>
        </w:tc>
      </w:tr>
      <w:tr w:rsidR="00AA048F" w:rsidTr="00AA048F">
        <w:tc>
          <w:tcPr>
            <w:tcW w:w="1702" w:type="dxa"/>
          </w:tcPr>
          <w:p w:rsidR="00AA048F" w:rsidRDefault="00AA048F" w:rsidP="005D0902">
            <w:pPr>
              <w:pStyle w:val="NoSpacing"/>
            </w:pPr>
            <w:r>
              <w:t>2009</w:t>
            </w:r>
          </w:p>
        </w:tc>
        <w:tc>
          <w:tcPr>
            <w:tcW w:w="2268" w:type="dxa"/>
          </w:tcPr>
          <w:p w:rsidR="00AA048F" w:rsidRDefault="00AA048F" w:rsidP="00AA048F">
            <w:pPr>
              <w:pStyle w:val="NoSpacing"/>
              <w:jc w:val="right"/>
            </w:pPr>
            <w:r>
              <w:t>1.55</w:t>
            </w:r>
          </w:p>
        </w:tc>
        <w:tc>
          <w:tcPr>
            <w:tcW w:w="2268" w:type="dxa"/>
          </w:tcPr>
          <w:p w:rsidR="00AA048F" w:rsidRDefault="00AA048F" w:rsidP="00AA048F">
            <w:pPr>
              <w:pStyle w:val="NoSpacing"/>
              <w:jc w:val="right"/>
            </w:pPr>
            <w:r>
              <w:t>-5%</w:t>
            </w:r>
          </w:p>
        </w:tc>
        <w:tc>
          <w:tcPr>
            <w:tcW w:w="2410" w:type="dxa"/>
          </w:tcPr>
          <w:p w:rsidR="00AA048F" w:rsidRDefault="00AA048F" w:rsidP="00AA048F">
            <w:pPr>
              <w:pStyle w:val="NoSpacing"/>
              <w:jc w:val="right"/>
            </w:pPr>
            <w:r>
              <w:t>1.41</w:t>
            </w:r>
          </w:p>
        </w:tc>
        <w:tc>
          <w:tcPr>
            <w:tcW w:w="2268" w:type="dxa"/>
          </w:tcPr>
          <w:p w:rsidR="00AA048F" w:rsidRDefault="00AA048F" w:rsidP="00AA048F">
            <w:pPr>
              <w:pStyle w:val="NoSpacing"/>
              <w:jc w:val="right"/>
            </w:pPr>
            <w:r>
              <w:t>-13%</w:t>
            </w:r>
          </w:p>
        </w:tc>
      </w:tr>
      <w:tr w:rsidR="00AA048F" w:rsidTr="00AA048F">
        <w:tc>
          <w:tcPr>
            <w:tcW w:w="1702" w:type="dxa"/>
          </w:tcPr>
          <w:p w:rsidR="00AA048F" w:rsidRDefault="00AA048F" w:rsidP="005D0902">
            <w:pPr>
              <w:pStyle w:val="NoSpacing"/>
            </w:pPr>
            <w:r>
              <w:lastRenderedPageBreak/>
              <w:t>2010</w:t>
            </w:r>
          </w:p>
        </w:tc>
        <w:tc>
          <w:tcPr>
            <w:tcW w:w="2268" w:type="dxa"/>
          </w:tcPr>
          <w:p w:rsidR="00AA048F" w:rsidRDefault="00AA048F" w:rsidP="00AA048F">
            <w:pPr>
              <w:pStyle w:val="NoSpacing"/>
              <w:jc w:val="right"/>
            </w:pPr>
            <w:r>
              <w:t>1.46</w:t>
            </w:r>
          </w:p>
        </w:tc>
        <w:tc>
          <w:tcPr>
            <w:tcW w:w="2268" w:type="dxa"/>
          </w:tcPr>
          <w:p w:rsidR="00AA048F" w:rsidRDefault="00AA048F" w:rsidP="00AA048F">
            <w:pPr>
              <w:pStyle w:val="NoSpacing"/>
              <w:jc w:val="right"/>
            </w:pPr>
            <w:r>
              <w:t>-10%</w:t>
            </w:r>
          </w:p>
        </w:tc>
        <w:tc>
          <w:tcPr>
            <w:tcW w:w="2410" w:type="dxa"/>
          </w:tcPr>
          <w:p w:rsidR="00AA048F" w:rsidRDefault="00AA048F" w:rsidP="00AA048F">
            <w:pPr>
              <w:pStyle w:val="NoSpacing"/>
              <w:jc w:val="right"/>
            </w:pPr>
            <w:r>
              <w:t>1.39</w:t>
            </w:r>
          </w:p>
        </w:tc>
        <w:tc>
          <w:tcPr>
            <w:tcW w:w="2268" w:type="dxa"/>
          </w:tcPr>
          <w:p w:rsidR="00AA048F" w:rsidRDefault="00AA048F" w:rsidP="00AA048F">
            <w:pPr>
              <w:pStyle w:val="NoSpacing"/>
              <w:jc w:val="right"/>
            </w:pPr>
            <w:r>
              <w:t>-14%</w:t>
            </w:r>
          </w:p>
        </w:tc>
      </w:tr>
      <w:tr w:rsidR="00AA048F" w:rsidTr="00AA048F">
        <w:tc>
          <w:tcPr>
            <w:tcW w:w="1702" w:type="dxa"/>
          </w:tcPr>
          <w:p w:rsidR="00AA048F" w:rsidRDefault="00AA048F" w:rsidP="005D0902">
            <w:pPr>
              <w:pStyle w:val="NoSpacing"/>
            </w:pPr>
            <w:r>
              <w:t>2011</w:t>
            </w:r>
          </w:p>
        </w:tc>
        <w:tc>
          <w:tcPr>
            <w:tcW w:w="2268" w:type="dxa"/>
          </w:tcPr>
          <w:p w:rsidR="00AA048F" w:rsidRDefault="00AA048F" w:rsidP="00AA048F">
            <w:pPr>
              <w:pStyle w:val="NoSpacing"/>
              <w:jc w:val="right"/>
            </w:pPr>
            <w:r>
              <w:t>1.38</w:t>
            </w:r>
          </w:p>
        </w:tc>
        <w:tc>
          <w:tcPr>
            <w:tcW w:w="2268" w:type="dxa"/>
          </w:tcPr>
          <w:p w:rsidR="00AA048F" w:rsidRDefault="00AA048F" w:rsidP="00AA048F">
            <w:pPr>
              <w:pStyle w:val="NoSpacing"/>
              <w:jc w:val="right"/>
            </w:pPr>
            <w:r>
              <w:t>-15%</w:t>
            </w:r>
          </w:p>
        </w:tc>
        <w:tc>
          <w:tcPr>
            <w:tcW w:w="2410" w:type="dxa"/>
          </w:tcPr>
          <w:p w:rsidR="00AA048F" w:rsidRDefault="00AA048F" w:rsidP="00AA048F">
            <w:pPr>
              <w:pStyle w:val="NoSpacing"/>
              <w:jc w:val="right"/>
            </w:pPr>
            <w:r>
              <w:t>1.41</w:t>
            </w:r>
          </w:p>
        </w:tc>
        <w:tc>
          <w:tcPr>
            <w:tcW w:w="2268" w:type="dxa"/>
          </w:tcPr>
          <w:p w:rsidR="00AA048F" w:rsidRDefault="00AA048F" w:rsidP="00AA048F">
            <w:pPr>
              <w:pStyle w:val="NoSpacing"/>
              <w:jc w:val="right"/>
            </w:pPr>
            <w:r>
              <w:t>-13%</w:t>
            </w:r>
          </w:p>
        </w:tc>
      </w:tr>
      <w:tr w:rsidR="00AA048F" w:rsidTr="00AA048F">
        <w:tc>
          <w:tcPr>
            <w:tcW w:w="1702" w:type="dxa"/>
          </w:tcPr>
          <w:p w:rsidR="00AA048F" w:rsidRDefault="00AA048F" w:rsidP="005D0902">
            <w:pPr>
              <w:pStyle w:val="NoSpacing"/>
            </w:pPr>
            <w:r>
              <w:t>2012</w:t>
            </w:r>
          </w:p>
        </w:tc>
        <w:tc>
          <w:tcPr>
            <w:tcW w:w="2268" w:type="dxa"/>
          </w:tcPr>
          <w:p w:rsidR="00AA048F" w:rsidRDefault="00AA048F" w:rsidP="00AA048F">
            <w:pPr>
              <w:pStyle w:val="NoSpacing"/>
              <w:jc w:val="right"/>
            </w:pPr>
            <w:r>
              <w:t>1.29</w:t>
            </w:r>
          </w:p>
        </w:tc>
        <w:tc>
          <w:tcPr>
            <w:tcW w:w="2268" w:type="dxa"/>
          </w:tcPr>
          <w:p w:rsidR="00AA048F" w:rsidRDefault="00AA048F" w:rsidP="00AA048F">
            <w:pPr>
              <w:pStyle w:val="NoSpacing"/>
              <w:jc w:val="right"/>
            </w:pPr>
            <w:r>
              <w:t>-20%</w:t>
            </w:r>
          </w:p>
        </w:tc>
        <w:tc>
          <w:tcPr>
            <w:tcW w:w="2410" w:type="dxa"/>
          </w:tcPr>
          <w:p w:rsidR="00AA048F" w:rsidRDefault="00AA048F" w:rsidP="00AA048F">
            <w:pPr>
              <w:pStyle w:val="NoSpacing"/>
              <w:jc w:val="right"/>
            </w:pPr>
            <w:r>
              <w:t>1.44</w:t>
            </w:r>
          </w:p>
        </w:tc>
        <w:tc>
          <w:tcPr>
            <w:tcW w:w="2268" w:type="dxa"/>
          </w:tcPr>
          <w:p w:rsidR="00AA048F" w:rsidRDefault="00AA048F" w:rsidP="00AA048F">
            <w:pPr>
              <w:pStyle w:val="NoSpacing"/>
              <w:jc w:val="right"/>
            </w:pPr>
            <w:r>
              <w:t>-11%</w:t>
            </w:r>
          </w:p>
        </w:tc>
      </w:tr>
      <w:tr w:rsidR="00AA048F" w:rsidTr="00AA048F">
        <w:tc>
          <w:tcPr>
            <w:tcW w:w="1702" w:type="dxa"/>
          </w:tcPr>
          <w:p w:rsidR="00AA048F" w:rsidRDefault="00AA048F" w:rsidP="005D0902">
            <w:pPr>
              <w:pStyle w:val="NoSpacing"/>
            </w:pPr>
            <w:r>
              <w:t>2013</w:t>
            </w:r>
          </w:p>
        </w:tc>
        <w:tc>
          <w:tcPr>
            <w:tcW w:w="2268" w:type="dxa"/>
          </w:tcPr>
          <w:p w:rsidR="00AA048F" w:rsidRDefault="00AA048F" w:rsidP="00AA048F">
            <w:pPr>
              <w:pStyle w:val="NoSpacing"/>
              <w:jc w:val="right"/>
            </w:pPr>
            <w:r>
              <w:t>1.21</w:t>
            </w:r>
          </w:p>
        </w:tc>
        <w:tc>
          <w:tcPr>
            <w:tcW w:w="2268" w:type="dxa"/>
          </w:tcPr>
          <w:p w:rsidR="00AA048F" w:rsidRDefault="00AA048F" w:rsidP="00AA048F">
            <w:pPr>
              <w:pStyle w:val="NoSpacing"/>
              <w:jc w:val="right"/>
            </w:pPr>
            <w:r>
              <w:t>-26%</w:t>
            </w:r>
          </w:p>
        </w:tc>
        <w:tc>
          <w:tcPr>
            <w:tcW w:w="2410" w:type="dxa"/>
          </w:tcPr>
          <w:p w:rsidR="00AA048F" w:rsidRDefault="00AA048F" w:rsidP="00AA048F">
            <w:pPr>
              <w:pStyle w:val="NoSpacing"/>
              <w:jc w:val="right"/>
            </w:pPr>
            <w:r>
              <w:t>1.27</w:t>
            </w:r>
          </w:p>
        </w:tc>
        <w:tc>
          <w:tcPr>
            <w:tcW w:w="2268" w:type="dxa"/>
          </w:tcPr>
          <w:p w:rsidR="00AA048F" w:rsidRDefault="00AA048F" w:rsidP="00AA048F">
            <w:pPr>
              <w:pStyle w:val="NoSpacing"/>
              <w:jc w:val="right"/>
            </w:pPr>
            <w:r>
              <w:t>-22%</w:t>
            </w:r>
          </w:p>
        </w:tc>
      </w:tr>
      <w:tr w:rsidR="00AA048F" w:rsidTr="00AA048F">
        <w:tc>
          <w:tcPr>
            <w:tcW w:w="1702" w:type="dxa"/>
          </w:tcPr>
          <w:p w:rsidR="00AA048F" w:rsidRDefault="00AA048F" w:rsidP="005D0902">
            <w:pPr>
              <w:pStyle w:val="NoSpacing"/>
            </w:pPr>
            <w:r>
              <w:t>2014</w:t>
            </w:r>
          </w:p>
        </w:tc>
        <w:tc>
          <w:tcPr>
            <w:tcW w:w="2268" w:type="dxa"/>
          </w:tcPr>
          <w:p w:rsidR="00AA048F" w:rsidRDefault="00AA048F" w:rsidP="00AA048F">
            <w:pPr>
              <w:pStyle w:val="NoSpacing"/>
              <w:jc w:val="right"/>
            </w:pPr>
            <w:r>
              <w:t>1.11</w:t>
            </w:r>
          </w:p>
        </w:tc>
        <w:tc>
          <w:tcPr>
            <w:tcW w:w="2268" w:type="dxa"/>
          </w:tcPr>
          <w:p w:rsidR="00AA048F" w:rsidRDefault="00AA048F" w:rsidP="00AA048F">
            <w:pPr>
              <w:pStyle w:val="NoSpacing"/>
              <w:jc w:val="right"/>
            </w:pPr>
            <w:r>
              <w:t>-32%</w:t>
            </w:r>
          </w:p>
        </w:tc>
        <w:tc>
          <w:tcPr>
            <w:tcW w:w="2410" w:type="dxa"/>
          </w:tcPr>
          <w:p w:rsidR="00AA048F" w:rsidRDefault="00AA048F" w:rsidP="00AA048F">
            <w:pPr>
              <w:pStyle w:val="NoSpacing"/>
              <w:jc w:val="right"/>
            </w:pPr>
            <w:r>
              <w:t>1.23</w:t>
            </w:r>
          </w:p>
        </w:tc>
        <w:tc>
          <w:tcPr>
            <w:tcW w:w="2268" w:type="dxa"/>
          </w:tcPr>
          <w:p w:rsidR="00AA048F" w:rsidRDefault="00AA048F" w:rsidP="00AA048F">
            <w:pPr>
              <w:pStyle w:val="NoSpacing"/>
              <w:jc w:val="right"/>
            </w:pPr>
            <w:r>
              <w:t>-24%</w:t>
            </w:r>
          </w:p>
        </w:tc>
      </w:tr>
      <w:tr w:rsidR="00AA048F" w:rsidTr="00AA048F">
        <w:tc>
          <w:tcPr>
            <w:tcW w:w="1702" w:type="dxa"/>
          </w:tcPr>
          <w:p w:rsidR="00AA048F" w:rsidRDefault="00AA048F" w:rsidP="005D0902">
            <w:pPr>
              <w:pStyle w:val="NoSpacing"/>
            </w:pPr>
            <w:r>
              <w:t>2015</w:t>
            </w:r>
          </w:p>
        </w:tc>
        <w:tc>
          <w:tcPr>
            <w:tcW w:w="2268" w:type="dxa"/>
          </w:tcPr>
          <w:p w:rsidR="00AA048F" w:rsidRDefault="00AA048F" w:rsidP="00AA048F">
            <w:pPr>
              <w:pStyle w:val="NoSpacing"/>
              <w:jc w:val="right"/>
            </w:pPr>
            <w:r>
              <w:t>1.03</w:t>
            </w:r>
          </w:p>
        </w:tc>
        <w:tc>
          <w:tcPr>
            <w:tcW w:w="2268" w:type="dxa"/>
          </w:tcPr>
          <w:p w:rsidR="00AA048F" w:rsidRDefault="00AA048F" w:rsidP="00AA048F">
            <w:pPr>
              <w:pStyle w:val="NoSpacing"/>
              <w:jc w:val="right"/>
            </w:pPr>
            <w:r>
              <w:t>-37%</w:t>
            </w:r>
          </w:p>
        </w:tc>
        <w:tc>
          <w:tcPr>
            <w:tcW w:w="2410" w:type="dxa"/>
          </w:tcPr>
          <w:p w:rsidR="00AA048F" w:rsidRDefault="00AA048F" w:rsidP="00AA048F">
            <w:pPr>
              <w:pStyle w:val="NoSpacing"/>
              <w:jc w:val="right"/>
            </w:pPr>
            <w:r>
              <w:t>1.30</w:t>
            </w:r>
          </w:p>
        </w:tc>
        <w:tc>
          <w:tcPr>
            <w:tcW w:w="2268" w:type="dxa"/>
          </w:tcPr>
          <w:p w:rsidR="00AA048F" w:rsidRDefault="00AA048F" w:rsidP="00AA048F">
            <w:pPr>
              <w:pStyle w:val="NoSpacing"/>
              <w:jc w:val="right"/>
            </w:pPr>
            <w:r>
              <w:t>-20%</w:t>
            </w:r>
          </w:p>
        </w:tc>
      </w:tr>
      <w:tr w:rsidR="00AA048F" w:rsidTr="00AA048F">
        <w:tc>
          <w:tcPr>
            <w:tcW w:w="1702" w:type="dxa"/>
          </w:tcPr>
          <w:p w:rsidR="00AA048F" w:rsidRDefault="00AA048F" w:rsidP="005D0902">
            <w:pPr>
              <w:pStyle w:val="NoSpacing"/>
            </w:pPr>
            <w:r>
              <w:t>2016</w:t>
            </w:r>
          </w:p>
        </w:tc>
        <w:tc>
          <w:tcPr>
            <w:tcW w:w="2268" w:type="dxa"/>
          </w:tcPr>
          <w:p w:rsidR="00AA048F" w:rsidRDefault="00AA048F" w:rsidP="00AA048F">
            <w:pPr>
              <w:pStyle w:val="NoSpacing"/>
              <w:jc w:val="right"/>
            </w:pPr>
            <w:r>
              <w:t>0.95</w:t>
            </w:r>
          </w:p>
        </w:tc>
        <w:tc>
          <w:tcPr>
            <w:tcW w:w="2268" w:type="dxa"/>
          </w:tcPr>
          <w:p w:rsidR="00AA048F" w:rsidRDefault="00AA048F" w:rsidP="00AA048F">
            <w:pPr>
              <w:pStyle w:val="NoSpacing"/>
              <w:jc w:val="right"/>
            </w:pPr>
            <w:r>
              <w:t>-42%</w:t>
            </w:r>
          </w:p>
        </w:tc>
        <w:tc>
          <w:tcPr>
            <w:tcW w:w="2410" w:type="dxa"/>
          </w:tcPr>
          <w:p w:rsidR="00AA048F" w:rsidRDefault="00AA048F" w:rsidP="00AA048F">
            <w:pPr>
              <w:pStyle w:val="NoSpacing"/>
              <w:jc w:val="right"/>
            </w:pPr>
            <w:r>
              <w:t>1.22</w:t>
            </w:r>
          </w:p>
        </w:tc>
        <w:tc>
          <w:tcPr>
            <w:tcW w:w="2268" w:type="dxa"/>
          </w:tcPr>
          <w:p w:rsidR="00AA048F" w:rsidRDefault="00AA048F" w:rsidP="00AA048F">
            <w:pPr>
              <w:pStyle w:val="NoSpacing"/>
              <w:jc w:val="right"/>
            </w:pPr>
            <w:r>
              <w:t>-24%</w:t>
            </w:r>
          </w:p>
        </w:tc>
      </w:tr>
      <w:tr w:rsidR="00AA048F" w:rsidTr="00AA048F">
        <w:tc>
          <w:tcPr>
            <w:tcW w:w="1702" w:type="dxa"/>
          </w:tcPr>
          <w:p w:rsidR="00AA048F" w:rsidRDefault="00AA048F" w:rsidP="005D0902">
            <w:pPr>
              <w:pStyle w:val="NoSpacing"/>
            </w:pPr>
            <w:r>
              <w:t>2017</w:t>
            </w:r>
          </w:p>
        </w:tc>
        <w:tc>
          <w:tcPr>
            <w:tcW w:w="2268" w:type="dxa"/>
          </w:tcPr>
          <w:p w:rsidR="00AA048F" w:rsidRDefault="00AA048F" w:rsidP="00AA048F">
            <w:pPr>
              <w:pStyle w:val="NoSpacing"/>
              <w:jc w:val="right"/>
            </w:pPr>
            <w:r>
              <w:t>0.90</w:t>
            </w:r>
          </w:p>
        </w:tc>
        <w:tc>
          <w:tcPr>
            <w:tcW w:w="2268" w:type="dxa"/>
          </w:tcPr>
          <w:p w:rsidR="00AA048F" w:rsidRDefault="00AA048F" w:rsidP="00AA048F">
            <w:pPr>
              <w:pStyle w:val="NoSpacing"/>
              <w:jc w:val="right"/>
            </w:pPr>
            <w:r>
              <w:t>-45%</w:t>
            </w:r>
          </w:p>
        </w:tc>
        <w:tc>
          <w:tcPr>
            <w:tcW w:w="2410" w:type="dxa"/>
          </w:tcPr>
          <w:p w:rsidR="00AA048F" w:rsidRDefault="00AA048F" w:rsidP="00AA048F">
            <w:pPr>
              <w:pStyle w:val="NoSpacing"/>
              <w:jc w:val="right"/>
            </w:pPr>
            <w:r>
              <w:t>1.10</w:t>
            </w:r>
          </w:p>
        </w:tc>
        <w:tc>
          <w:tcPr>
            <w:tcW w:w="2268" w:type="dxa"/>
          </w:tcPr>
          <w:p w:rsidR="00AA048F" w:rsidRDefault="00AA048F" w:rsidP="00AA048F">
            <w:pPr>
              <w:pStyle w:val="NoSpacing"/>
              <w:jc w:val="right"/>
            </w:pPr>
            <w:r>
              <w:t>-32%</w:t>
            </w:r>
          </w:p>
        </w:tc>
      </w:tr>
      <w:tr w:rsidR="00AA048F" w:rsidTr="00AA048F">
        <w:tc>
          <w:tcPr>
            <w:tcW w:w="1702" w:type="dxa"/>
          </w:tcPr>
          <w:p w:rsidR="00AA048F" w:rsidRDefault="00AA048F" w:rsidP="005D0902">
            <w:pPr>
              <w:pStyle w:val="NoSpacing"/>
            </w:pPr>
            <w:r>
              <w:t>2018</w:t>
            </w:r>
          </w:p>
        </w:tc>
        <w:tc>
          <w:tcPr>
            <w:tcW w:w="2268" w:type="dxa"/>
          </w:tcPr>
          <w:p w:rsidR="00AA048F" w:rsidRDefault="00AA048F" w:rsidP="00AA048F">
            <w:pPr>
              <w:pStyle w:val="NoSpacing"/>
              <w:jc w:val="right"/>
            </w:pPr>
            <w:r>
              <w:t>0.86</w:t>
            </w:r>
          </w:p>
        </w:tc>
        <w:tc>
          <w:tcPr>
            <w:tcW w:w="2268" w:type="dxa"/>
          </w:tcPr>
          <w:p w:rsidR="00AA048F" w:rsidRDefault="00AA048F" w:rsidP="00AA048F">
            <w:pPr>
              <w:pStyle w:val="NoSpacing"/>
              <w:jc w:val="right"/>
            </w:pPr>
            <w:r>
              <w:t>-47%</w:t>
            </w:r>
          </w:p>
        </w:tc>
        <w:tc>
          <w:tcPr>
            <w:tcW w:w="2410" w:type="dxa"/>
          </w:tcPr>
          <w:p w:rsidR="00AA048F" w:rsidRDefault="00AA048F" w:rsidP="00AA048F">
            <w:pPr>
              <w:pStyle w:val="NoSpacing"/>
              <w:jc w:val="right"/>
            </w:pPr>
            <w:r>
              <w:t>1.08</w:t>
            </w:r>
          </w:p>
        </w:tc>
        <w:tc>
          <w:tcPr>
            <w:tcW w:w="2268" w:type="dxa"/>
          </w:tcPr>
          <w:p w:rsidR="00AA048F" w:rsidRDefault="00AA048F" w:rsidP="00AA048F">
            <w:pPr>
              <w:pStyle w:val="NoSpacing"/>
              <w:jc w:val="right"/>
            </w:pPr>
            <w:r>
              <w:t>-34%</w:t>
            </w:r>
          </w:p>
        </w:tc>
      </w:tr>
      <w:tr w:rsidR="00AA048F" w:rsidTr="00AA048F">
        <w:tc>
          <w:tcPr>
            <w:tcW w:w="1702" w:type="dxa"/>
          </w:tcPr>
          <w:p w:rsidR="00AA048F" w:rsidRDefault="00AA048F" w:rsidP="005D0902">
            <w:pPr>
              <w:pStyle w:val="NoSpacing"/>
            </w:pPr>
            <w:r>
              <w:t>2019</w:t>
            </w:r>
          </w:p>
        </w:tc>
        <w:tc>
          <w:tcPr>
            <w:tcW w:w="2268" w:type="dxa"/>
          </w:tcPr>
          <w:p w:rsidR="00AA048F" w:rsidRDefault="00AA048F" w:rsidP="00AA048F">
            <w:pPr>
              <w:pStyle w:val="NoSpacing"/>
              <w:jc w:val="right"/>
            </w:pPr>
            <w:r>
              <w:t>0.81</w:t>
            </w:r>
          </w:p>
        </w:tc>
        <w:tc>
          <w:tcPr>
            <w:tcW w:w="2268" w:type="dxa"/>
          </w:tcPr>
          <w:p w:rsidR="00AA048F" w:rsidRDefault="00AA048F" w:rsidP="00AA048F">
            <w:pPr>
              <w:pStyle w:val="NoSpacing"/>
              <w:jc w:val="right"/>
            </w:pPr>
            <w:r>
              <w:t>-50%</w:t>
            </w:r>
          </w:p>
        </w:tc>
        <w:tc>
          <w:tcPr>
            <w:tcW w:w="2410" w:type="dxa"/>
          </w:tcPr>
          <w:p w:rsidR="00AA048F" w:rsidRDefault="00AA048F" w:rsidP="00AA048F">
            <w:pPr>
              <w:pStyle w:val="NoSpacing"/>
              <w:jc w:val="right"/>
            </w:pPr>
            <w:r>
              <w:t>1.18</w:t>
            </w:r>
          </w:p>
        </w:tc>
        <w:tc>
          <w:tcPr>
            <w:tcW w:w="2268" w:type="dxa"/>
          </w:tcPr>
          <w:p w:rsidR="00AA048F" w:rsidRDefault="00AA048F" w:rsidP="00AA048F">
            <w:pPr>
              <w:pStyle w:val="NoSpacing"/>
              <w:jc w:val="right"/>
            </w:pPr>
            <w:r>
              <w:t>-27%</w:t>
            </w:r>
          </w:p>
        </w:tc>
      </w:tr>
    </w:tbl>
    <w:p w:rsidR="00AA048F" w:rsidRDefault="00AA048F" w:rsidP="005D0902">
      <w:pPr>
        <w:pStyle w:val="NoSpacing"/>
      </w:pPr>
    </w:p>
    <w:p w:rsidR="00AA048F" w:rsidRDefault="009908F4" w:rsidP="009908F4">
      <w:pPr>
        <w:pStyle w:val="Heading3"/>
      </w:pPr>
      <w:r>
        <w:t xml:space="preserve">Sustainability performance </w:t>
      </w:r>
    </w:p>
    <w:p w:rsidR="009908F4" w:rsidRDefault="009908F4" w:rsidP="005D0902">
      <w:pPr>
        <w:pStyle w:val="NoSpacing"/>
      </w:pPr>
    </w:p>
    <w:p w:rsidR="009908F4" w:rsidRDefault="009908F4" w:rsidP="005D0902">
      <w:pPr>
        <w:pStyle w:val="NoSpacing"/>
      </w:pPr>
      <w:r>
        <w:t>Chisholm monitors its sustainability performance against ResourceSmart baseline targets from 2007, given below.</w:t>
      </w:r>
    </w:p>
    <w:p w:rsidR="00AA048F" w:rsidRDefault="00AA048F" w:rsidP="005D0902">
      <w:pPr>
        <w:pStyle w:val="NoSpacing"/>
      </w:pPr>
    </w:p>
    <w:tbl>
      <w:tblPr>
        <w:tblStyle w:val="TableGrid"/>
        <w:tblW w:w="10916" w:type="dxa"/>
        <w:tblInd w:w="-998" w:type="dxa"/>
        <w:tblLook w:val="04A0" w:firstRow="1" w:lastRow="0" w:firstColumn="1" w:lastColumn="0" w:noHBand="0" w:noVBand="1"/>
      </w:tblPr>
      <w:tblGrid>
        <w:gridCol w:w="3261"/>
        <w:gridCol w:w="2268"/>
        <w:gridCol w:w="1843"/>
        <w:gridCol w:w="1701"/>
        <w:gridCol w:w="1843"/>
      </w:tblGrid>
      <w:tr w:rsidR="009908F4" w:rsidTr="00776C2B">
        <w:tc>
          <w:tcPr>
            <w:tcW w:w="3261" w:type="dxa"/>
          </w:tcPr>
          <w:p w:rsidR="009908F4" w:rsidRDefault="009908F4" w:rsidP="005D0902">
            <w:pPr>
              <w:pStyle w:val="NoSpacing"/>
            </w:pPr>
            <w:r>
              <w:t>Impacts/indicators</w:t>
            </w:r>
          </w:p>
        </w:tc>
        <w:tc>
          <w:tcPr>
            <w:tcW w:w="2268" w:type="dxa"/>
          </w:tcPr>
          <w:p w:rsidR="009908F4" w:rsidRDefault="009908F4" w:rsidP="005D0902">
            <w:pPr>
              <w:pStyle w:val="NoSpacing"/>
            </w:pPr>
            <w:r>
              <w:t>Measure</w:t>
            </w:r>
          </w:p>
        </w:tc>
        <w:tc>
          <w:tcPr>
            <w:tcW w:w="1843" w:type="dxa"/>
          </w:tcPr>
          <w:p w:rsidR="009908F4" w:rsidRDefault="009908F4" w:rsidP="005D0902">
            <w:pPr>
              <w:pStyle w:val="NoSpacing"/>
            </w:pPr>
            <w:r>
              <w:t>Baseline 2007</w:t>
            </w:r>
          </w:p>
        </w:tc>
        <w:tc>
          <w:tcPr>
            <w:tcW w:w="1701" w:type="dxa"/>
          </w:tcPr>
          <w:p w:rsidR="009908F4" w:rsidRDefault="009908F4" w:rsidP="005D0902">
            <w:pPr>
              <w:pStyle w:val="NoSpacing"/>
            </w:pPr>
            <w:r>
              <w:t>Actual 2019</w:t>
            </w:r>
          </w:p>
        </w:tc>
        <w:tc>
          <w:tcPr>
            <w:tcW w:w="1843" w:type="dxa"/>
          </w:tcPr>
          <w:p w:rsidR="009908F4" w:rsidRDefault="009908F4" w:rsidP="005D0902">
            <w:pPr>
              <w:pStyle w:val="NoSpacing"/>
            </w:pPr>
            <w:r>
              <w:t>% difference from the Baseline</w:t>
            </w:r>
          </w:p>
        </w:tc>
      </w:tr>
      <w:tr w:rsidR="009908F4" w:rsidTr="00776C2B">
        <w:tc>
          <w:tcPr>
            <w:tcW w:w="3261" w:type="dxa"/>
          </w:tcPr>
          <w:p w:rsidR="009908F4" w:rsidRDefault="009908F4" w:rsidP="005D0902">
            <w:pPr>
              <w:pStyle w:val="NoSpacing"/>
            </w:pPr>
            <w:r>
              <w:t>Square metres (mth avg)</w:t>
            </w:r>
          </w:p>
        </w:tc>
        <w:tc>
          <w:tcPr>
            <w:tcW w:w="2268" w:type="dxa"/>
          </w:tcPr>
          <w:p w:rsidR="009908F4" w:rsidRDefault="009908F4" w:rsidP="009908F4">
            <w:pPr>
              <w:pStyle w:val="NoSpacing"/>
              <w:jc w:val="right"/>
            </w:pPr>
            <w:r>
              <w:t>M2</w:t>
            </w:r>
          </w:p>
        </w:tc>
        <w:tc>
          <w:tcPr>
            <w:tcW w:w="1843" w:type="dxa"/>
          </w:tcPr>
          <w:p w:rsidR="009908F4" w:rsidRDefault="00776C2B" w:rsidP="009908F4">
            <w:pPr>
              <w:pStyle w:val="NoSpacing"/>
              <w:jc w:val="right"/>
            </w:pPr>
            <w:r>
              <w:t>98,784</w:t>
            </w:r>
          </w:p>
        </w:tc>
        <w:tc>
          <w:tcPr>
            <w:tcW w:w="1701" w:type="dxa"/>
          </w:tcPr>
          <w:p w:rsidR="009908F4" w:rsidRDefault="00776C2B" w:rsidP="009908F4">
            <w:pPr>
              <w:pStyle w:val="NoSpacing"/>
              <w:jc w:val="right"/>
            </w:pPr>
            <w:r>
              <w:t>144,197</w:t>
            </w:r>
          </w:p>
        </w:tc>
        <w:tc>
          <w:tcPr>
            <w:tcW w:w="1843" w:type="dxa"/>
          </w:tcPr>
          <w:p w:rsidR="009908F4" w:rsidRDefault="00776C2B" w:rsidP="009908F4">
            <w:pPr>
              <w:pStyle w:val="NoSpacing"/>
              <w:jc w:val="right"/>
            </w:pPr>
            <w:r>
              <w:t>46%</w:t>
            </w:r>
          </w:p>
        </w:tc>
      </w:tr>
      <w:tr w:rsidR="009908F4" w:rsidTr="00776C2B">
        <w:tc>
          <w:tcPr>
            <w:tcW w:w="3261" w:type="dxa"/>
          </w:tcPr>
          <w:p w:rsidR="009908F4" w:rsidRDefault="009908F4" w:rsidP="005D0902">
            <w:pPr>
              <w:pStyle w:val="NoSpacing"/>
            </w:pPr>
            <w:r>
              <w:t>Student contact hours (enrolled)</w:t>
            </w:r>
          </w:p>
        </w:tc>
        <w:tc>
          <w:tcPr>
            <w:tcW w:w="2268" w:type="dxa"/>
          </w:tcPr>
          <w:p w:rsidR="009908F4" w:rsidRDefault="009908F4" w:rsidP="009908F4">
            <w:pPr>
              <w:pStyle w:val="NoSpacing"/>
              <w:jc w:val="right"/>
            </w:pPr>
            <w:r>
              <w:t>SCH</w:t>
            </w:r>
          </w:p>
        </w:tc>
        <w:tc>
          <w:tcPr>
            <w:tcW w:w="1843" w:type="dxa"/>
          </w:tcPr>
          <w:p w:rsidR="009908F4" w:rsidRDefault="00776C2B" w:rsidP="009908F4">
            <w:pPr>
              <w:pStyle w:val="NoSpacing"/>
              <w:jc w:val="right"/>
            </w:pPr>
            <w:r>
              <w:t>9,250,627</w:t>
            </w:r>
          </w:p>
        </w:tc>
        <w:tc>
          <w:tcPr>
            <w:tcW w:w="1701" w:type="dxa"/>
          </w:tcPr>
          <w:p w:rsidR="009908F4" w:rsidRDefault="00776C2B" w:rsidP="009908F4">
            <w:pPr>
              <w:pStyle w:val="NoSpacing"/>
              <w:jc w:val="right"/>
            </w:pPr>
            <w:r>
              <w:t>13,490,486</w:t>
            </w:r>
          </w:p>
        </w:tc>
        <w:tc>
          <w:tcPr>
            <w:tcW w:w="1843" w:type="dxa"/>
          </w:tcPr>
          <w:p w:rsidR="009908F4" w:rsidRDefault="00776C2B" w:rsidP="009908F4">
            <w:pPr>
              <w:pStyle w:val="NoSpacing"/>
              <w:jc w:val="right"/>
            </w:pPr>
            <w:r>
              <w:t>46%</w:t>
            </w:r>
          </w:p>
        </w:tc>
      </w:tr>
      <w:tr w:rsidR="009908F4" w:rsidTr="00776C2B">
        <w:tc>
          <w:tcPr>
            <w:tcW w:w="3261" w:type="dxa"/>
          </w:tcPr>
          <w:p w:rsidR="009908F4" w:rsidRDefault="009908F4" w:rsidP="005D0902">
            <w:pPr>
              <w:pStyle w:val="NoSpacing"/>
            </w:pPr>
            <w:r>
              <w:t xml:space="preserve">Student enrolments </w:t>
            </w:r>
          </w:p>
        </w:tc>
        <w:tc>
          <w:tcPr>
            <w:tcW w:w="2268" w:type="dxa"/>
          </w:tcPr>
          <w:p w:rsidR="009908F4" w:rsidRDefault="009908F4" w:rsidP="009908F4">
            <w:pPr>
              <w:pStyle w:val="NoSpacing"/>
              <w:jc w:val="right"/>
            </w:pPr>
            <w:r>
              <w:t>#</w:t>
            </w:r>
          </w:p>
        </w:tc>
        <w:tc>
          <w:tcPr>
            <w:tcW w:w="1843" w:type="dxa"/>
          </w:tcPr>
          <w:p w:rsidR="009908F4" w:rsidRDefault="00776C2B" w:rsidP="009908F4">
            <w:pPr>
              <w:pStyle w:val="NoSpacing"/>
              <w:jc w:val="right"/>
            </w:pPr>
            <w:r>
              <w:t>40,329</w:t>
            </w:r>
          </w:p>
        </w:tc>
        <w:tc>
          <w:tcPr>
            <w:tcW w:w="1701" w:type="dxa"/>
          </w:tcPr>
          <w:p w:rsidR="009908F4" w:rsidRDefault="00776C2B" w:rsidP="009908F4">
            <w:pPr>
              <w:pStyle w:val="NoSpacing"/>
              <w:jc w:val="right"/>
            </w:pPr>
            <w:r>
              <w:t>42,221</w:t>
            </w:r>
          </w:p>
        </w:tc>
        <w:tc>
          <w:tcPr>
            <w:tcW w:w="1843" w:type="dxa"/>
          </w:tcPr>
          <w:p w:rsidR="009908F4" w:rsidRDefault="00776C2B" w:rsidP="009908F4">
            <w:pPr>
              <w:pStyle w:val="NoSpacing"/>
              <w:jc w:val="right"/>
            </w:pPr>
            <w:r>
              <w:t>5%</w:t>
            </w:r>
          </w:p>
        </w:tc>
      </w:tr>
      <w:tr w:rsidR="009908F4" w:rsidTr="00776C2B">
        <w:tc>
          <w:tcPr>
            <w:tcW w:w="3261" w:type="dxa"/>
          </w:tcPr>
          <w:p w:rsidR="009908F4" w:rsidRDefault="009908F4" w:rsidP="005D0902">
            <w:pPr>
              <w:pStyle w:val="NoSpacing"/>
            </w:pPr>
            <w:r>
              <w:t>Staff FTE (avg)</w:t>
            </w:r>
          </w:p>
        </w:tc>
        <w:tc>
          <w:tcPr>
            <w:tcW w:w="2268" w:type="dxa"/>
          </w:tcPr>
          <w:p w:rsidR="009908F4" w:rsidRDefault="009908F4" w:rsidP="009908F4">
            <w:pPr>
              <w:pStyle w:val="NoSpacing"/>
              <w:jc w:val="right"/>
            </w:pPr>
            <w:r>
              <w:t>FTE</w:t>
            </w:r>
          </w:p>
        </w:tc>
        <w:tc>
          <w:tcPr>
            <w:tcW w:w="1843" w:type="dxa"/>
          </w:tcPr>
          <w:p w:rsidR="009908F4" w:rsidRDefault="00776C2B" w:rsidP="009908F4">
            <w:pPr>
              <w:pStyle w:val="NoSpacing"/>
              <w:jc w:val="right"/>
            </w:pPr>
            <w:r>
              <w:t>956</w:t>
            </w:r>
          </w:p>
        </w:tc>
        <w:tc>
          <w:tcPr>
            <w:tcW w:w="1701" w:type="dxa"/>
          </w:tcPr>
          <w:p w:rsidR="009908F4" w:rsidRDefault="00776C2B" w:rsidP="009908F4">
            <w:pPr>
              <w:pStyle w:val="NoSpacing"/>
              <w:jc w:val="right"/>
            </w:pPr>
            <w:r>
              <w:t>960</w:t>
            </w:r>
          </w:p>
        </w:tc>
        <w:tc>
          <w:tcPr>
            <w:tcW w:w="1843" w:type="dxa"/>
          </w:tcPr>
          <w:p w:rsidR="009908F4" w:rsidRDefault="00776C2B" w:rsidP="009908F4">
            <w:pPr>
              <w:pStyle w:val="NoSpacing"/>
              <w:jc w:val="right"/>
            </w:pPr>
            <w:r>
              <w:t>0%</w:t>
            </w:r>
          </w:p>
        </w:tc>
      </w:tr>
      <w:tr w:rsidR="009908F4" w:rsidTr="00776C2B">
        <w:tc>
          <w:tcPr>
            <w:tcW w:w="3261" w:type="dxa"/>
          </w:tcPr>
          <w:p w:rsidR="009908F4" w:rsidRDefault="009908F4" w:rsidP="005D0902">
            <w:pPr>
              <w:pStyle w:val="NoSpacing"/>
            </w:pPr>
            <w:r>
              <w:t>Student (FTESL)</w:t>
            </w:r>
          </w:p>
        </w:tc>
        <w:tc>
          <w:tcPr>
            <w:tcW w:w="2268" w:type="dxa"/>
          </w:tcPr>
          <w:p w:rsidR="009908F4" w:rsidRDefault="009908F4" w:rsidP="009908F4">
            <w:pPr>
              <w:pStyle w:val="NoSpacing"/>
              <w:jc w:val="right"/>
            </w:pPr>
            <w:r>
              <w:t>FTESL</w:t>
            </w:r>
          </w:p>
        </w:tc>
        <w:tc>
          <w:tcPr>
            <w:tcW w:w="1843" w:type="dxa"/>
          </w:tcPr>
          <w:p w:rsidR="009908F4" w:rsidRDefault="00776C2B" w:rsidP="009908F4">
            <w:pPr>
              <w:pStyle w:val="NoSpacing"/>
              <w:jc w:val="right"/>
            </w:pPr>
            <w:r>
              <w:t>12,848</w:t>
            </w:r>
          </w:p>
        </w:tc>
        <w:tc>
          <w:tcPr>
            <w:tcW w:w="1701" w:type="dxa"/>
          </w:tcPr>
          <w:p w:rsidR="009908F4" w:rsidRDefault="00776C2B" w:rsidP="009908F4">
            <w:pPr>
              <w:pStyle w:val="NoSpacing"/>
              <w:jc w:val="right"/>
            </w:pPr>
            <w:r>
              <w:t>18,736</w:t>
            </w:r>
          </w:p>
        </w:tc>
        <w:tc>
          <w:tcPr>
            <w:tcW w:w="1843" w:type="dxa"/>
          </w:tcPr>
          <w:p w:rsidR="009908F4" w:rsidRDefault="00776C2B" w:rsidP="009908F4">
            <w:pPr>
              <w:pStyle w:val="NoSpacing"/>
              <w:jc w:val="right"/>
            </w:pPr>
            <w:r>
              <w:t>46%</w:t>
            </w:r>
          </w:p>
        </w:tc>
      </w:tr>
      <w:tr w:rsidR="009908F4" w:rsidTr="00776C2B">
        <w:tc>
          <w:tcPr>
            <w:tcW w:w="3261" w:type="dxa"/>
          </w:tcPr>
          <w:p w:rsidR="009908F4" w:rsidRDefault="009908F4" w:rsidP="005D0902">
            <w:pPr>
              <w:pStyle w:val="NoSpacing"/>
            </w:pPr>
            <w:r>
              <w:t>Student (FTESL) + staff (FTE)</w:t>
            </w:r>
          </w:p>
        </w:tc>
        <w:tc>
          <w:tcPr>
            <w:tcW w:w="2268" w:type="dxa"/>
          </w:tcPr>
          <w:p w:rsidR="009908F4" w:rsidRDefault="009908F4" w:rsidP="009908F4">
            <w:pPr>
              <w:pStyle w:val="NoSpacing"/>
              <w:jc w:val="right"/>
            </w:pPr>
            <w:r>
              <w:t>FTESL + FTE</w:t>
            </w:r>
          </w:p>
        </w:tc>
        <w:tc>
          <w:tcPr>
            <w:tcW w:w="1843" w:type="dxa"/>
          </w:tcPr>
          <w:p w:rsidR="009908F4" w:rsidRDefault="00776C2B" w:rsidP="009908F4">
            <w:pPr>
              <w:pStyle w:val="NoSpacing"/>
              <w:jc w:val="right"/>
            </w:pPr>
            <w:r>
              <w:t>13,805</w:t>
            </w:r>
          </w:p>
        </w:tc>
        <w:tc>
          <w:tcPr>
            <w:tcW w:w="1701" w:type="dxa"/>
          </w:tcPr>
          <w:p w:rsidR="009908F4" w:rsidRDefault="00776C2B" w:rsidP="009908F4">
            <w:pPr>
              <w:pStyle w:val="NoSpacing"/>
              <w:jc w:val="right"/>
            </w:pPr>
            <w:r>
              <w:t>19,696</w:t>
            </w:r>
          </w:p>
        </w:tc>
        <w:tc>
          <w:tcPr>
            <w:tcW w:w="1843" w:type="dxa"/>
          </w:tcPr>
          <w:p w:rsidR="009908F4" w:rsidRDefault="00776C2B" w:rsidP="009908F4">
            <w:pPr>
              <w:pStyle w:val="NoSpacing"/>
              <w:jc w:val="right"/>
            </w:pPr>
            <w:r>
              <w:t>43%</w:t>
            </w:r>
          </w:p>
        </w:tc>
      </w:tr>
      <w:tr w:rsidR="00776C2B" w:rsidTr="00776C2B">
        <w:tc>
          <w:tcPr>
            <w:tcW w:w="3261" w:type="dxa"/>
            <w:vMerge w:val="restart"/>
          </w:tcPr>
          <w:p w:rsidR="00776C2B" w:rsidRDefault="00776C2B" w:rsidP="005D0902">
            <w:pPr>
              <w:pStyle w:val="NoSpacing"/>
            </w:pPr>
            <w:r>
              <w:t>T1 – Emissions reduction (-48%)</w:t>
            </w:r>
          </w:p>
        </w:tc>
        <w:tc>
          <w:tcPr>
            <w:tcW w:w="2268" w:type="dxa"/>
          </w:tcPr>
          <w:p w:rsidR="00776C2B" w:rsidRDefault="00776C2B" w:rsidP="009908F4">
            <w:pPr>
              <w:pStyle w:val="NoSpacing"/>
              <w:jc w:val="right"/>
            </w:pPr>
            <w:r>
              <w:t>t Co2e</w:t>
            </w:r>
          </w:p>
        </w:tc>
        <w:tc>
          <w:tcPr>
            <w:tcW w:w="1843" w:type="dxa"/>
          </w:tcPr>
          <w:p w:rsidR="00776C2B" w:rsidRDefault="00776C2B" w:rsidP="009908F4">
            <w:pPr>
              <w:pStyle w:val="NoSpacing"/>
              <w:jc w:val="right"/>
            </w:pPr>
            <w:r>
              <w:t>14,257</w:t>
            </w:r>
          </w:p>
        </w:tc>
        <w:tc>
          <w:tcPr>
            <w:tcW w:w="1701" w:type="dxa"/>
          </w:tcPr>
          <w:p w:rsidR="00776C2B" w:rsidRDefault="00776C2B" w:rsidP="009908F4">
            <w:pPr>
              <w:pStyle w:val="NoSpacing"/>
              <w:jc w:val="right"/>
            </w:pPr>
            <w:r>
              <w:t>15,501</w:t>
            </w:r>
          </w:p>
        </w:tc>
        <w:tc>
          <w:tcPr>
            <w:tcW w:w="1843" w:type="dxa"/>
            <w:vMerge w:val="restart"/>
          </w:tcPr>
          <w:p w:rsidR="00776C2B" w:rsidRDefault="00776C2B" w:rsidP="009908F4">
            <w:pPr>
              <w:pStyle w:val="NoSpacing"/>
              <w:jc w:val="right"/>
            </w:pPr>
            <w:r>
              <w:t>-24%</w:t>
            </w:r>
          </w:p>
        </w:tc>
      </w:tr>
      <w:tr w:rsidR="00776C2B" w:rsidTr="00776C2B">
        <w:tc>
          <w:tcPr>
            <w:tcW w:w="3261" w:type="dxa"/>
            <w:vMerge/>
          </w:tcPr>
          <w:p w:rsidR="00776C2B" w:rsidRDefault="00776C2B" w:rsidP="005D0902">
            <w:pPr>
              <w:pStyle w:val="NoSpacing"/>
            </w:pPr>
          </w:p>
        </w:tc>
        <w:tc>
          <w:tcPr>
            <w:tcW w:w="2268" w:type="dxa"/>
          </w:tcPr>
          <w:p w:rsidR="00776C2B" w:rsidRDefault="00776C2B" w:rsidP="009908F4">
            <w:pPr>
              <w:pStyle w:val="NoSpacing"/>
              <w:jc w:val="right"/>
            </w:pPr>
            <w:r>
              <w:t>t Co2e/FTESL+FTE</w:t>
            </w:r>
          </w:p>
        </w:tc>
        <w:tc>
          <w:tcPr>
            <w:tcW w:w="1843" w:type="dxa"/>
          </w:tcPr>
          <w:p w:rsidR="00776C2B" w:rsidRDefault="00776C2B" w:rsidP="009908F4">
            <w:pPr>
              <w:pStyle w:val="NoSpacing"/>
              <w:jc w:val="right"/>
            </w:pPr>
            <w:r>
              <w:t>1.03</w:t>
            </w:r>
          </w:p>
        </w:tc>
        <w:tc>
          <w:tcPr>
            <w:tcW w:w="1701" w:type="dxa"/>
          </w:tcPr>
          <w:p w:rsidR="00776C2B" w:rsidRDefault="00776C2B" w:rsidP="009908F4">
            <w:pPr>
              <w:pStyle w:val="NoSpacing"/>
              <w:jc w:val="right"/>
            </w:pPr>
            <w:r>
              <w:t>0.79</w:t>
            </w:r>
          </w:p>
        </w:tc>
        <w:tc>
          <w:tcPr>
            <w:tcW w:w="1843" w:type="dxa"/>
            <w:vMerge/>
          </w:tcPr>
          <w:p w:rsidR="00776C2B" w:rsidRDefault="00776C2B" w:rsidP="009908F4">
            <w:pPr>
              <w:pStyle w:val="NoSpacing"/>
              <w:jc w:val="right"/>
            </w:pPr>
          </w:p>
        </w:tc>
      </w:tr>
      <w:tr w:rsidR="00776C2B" w:rsidTr="00776C2B">
        <w:tc>
          <w:tcPr>
            <w:tcW w:w="3261" w:type="dxa"/>
            <w:vMerge w:val="restart"/>
          </w:tcPr>
          <w:p w:rsidR="00776C2B" w:rsidRDefault="00776C2B" w:rsidP="005D0902">
            <w:pPr>
              <w:pStyle w:val="NoSpacing"/>
            </w:pPr>
            <w:r>
              <w:t>T2 – Energy reduction (-48%)</w:t>
            </w:r>
          </w:p>
        </w:tc>
        <w:tc>
          <w:tcPr>
            <w:tcW w:w="2268" w:type="dxa"/>
          </w:tcPr>
          <w:p w:rsidR="00776C2B" w:rsidRDefault="00776C2B" w:rsidP="009908F4">
            <w:pPr>
              <w:pStyle w:val="NoSpacing"/>
              <w:jc w:val="right"/>
            </w:pPr>
            <w:r>
              <w:t>MJ</w:t>
            </w:r>
          </w:p>
        </w:tc>
        <w:tc>
          <w:tcPr>
            <w:tcW w:w="1843" w:type="dxa"/>
          </w:tcPr>
          <w:p w:rsidR="00776C2B" w:rsidRDefault="00776C2B" w:rsidP="009908F4">
            <w:pPr>
              <w:pStyle w:val="NoSpacing"/>
              <w:jc w:val="right"/>
            </w:pPr>
            <w:r>
              <w:t>61,636,903</w:t>
            </w:r>
          </w:p>
        </w:tc>
        <w:tc>
          <w:tcPr>
            <w:tcW w:w="1701" w:type="dxa"/>
          </w:tcPr>
          <w:p w:rsidR="00776C2B" w:rsidRDefault="00776C2B" w:rsidP="009908F4">
            <w:pPr>
              <w:pStyle w:val="NoSpacing"/>
              <w:jc w:val="right"/>
            </w:pPr>
            <w:r>
              <w:t>58,333,951</w:t>
            </w:r>
          </w:p>
        </w:tc>
        <w:tc>
          <w:tcPr>
            <w:tcW w:w="1843" w:type="dxa"/>
            <w:vMerge w:val="restart"/>
          </w:tcPr>
          <w:p w:rsidR="00776C2B" w:rsidRDefault="00776C2B" w:rsidP="009908F4">
            <w:pPr>
              <w:pStyle w:val="NoSpacing"/>
              <w:jc w:val="right"/>
            </w:pPr>
            <w:r>
              <w:t>-34%</w:t>
            </w:r>
          </w:p>
        </w:tc>
      </w:tr>
      <w:tr w:rsidR="00776C2B" w:rsidTr="00776C2B">
        <w:tc>
          <w:tcPr>
            <w:tcW w:w="3261" w:type="dxa"/>
            <w:vMerge/>
          </w:tcPr>
          <w:p w:rsidR="00776C2B" w:rsidRDefault="00776C2B" w:rsidP="005D0902">
            <w:pPr>
              <w:pStyle w:val="NoSpacing"/>
            </w:pPr>
          </w:p>
        </w:tc>
        <w:tc>
          <w:tcPr>
            <w:tcW w:w="2268" w:type="dxa"/>
          </w:tcPr>
          <w:p w:rsidR="00776C2B" w:rsidRDefault="00776C2B" w:rsidP="009908F4">
            <w:pPr>
              <w:pStyle w:val="NoSpacing"/>
              <w:jc w:val="right"/>
            </w:pPr>
            <w:r>
              <w:t>Total MJ/FTESL+FTE</w:t>
            </w:r>
          </w:p>
        </w:tc>
        <w:tc>
          <w:tcPr>
            <w:tcW w:w="1843" w:type="dxa"/>
          </w:tcPr>
          <w:p w:rsidR="00776C2B" w:rsidRDefault="00776C2B" w:rsidP="009908F4">
            <w:pPr>
              <w:pStyle w:val="NoSpacing"/>
              <w:jc w:val="right"/>
            </w:pPr>
            <w:r>
              <w:t>4,465</w:t>
            </w:r>
          </w:p>
        </w:tc>
        <w:tc>
          <w:tcPr>
            <w:tcW w:w="1701" w:type="dxa"/>
          </w:tcPr>
          <w:p w:rsidR="00776C2B" w:rsidRDefault="00776C2B" w:rsidP="009908F4">
            <w:pPr>
              <w:pStyle w:val="NoSpacing"/>
              <w:jc w:val="right"/>
            </w:pPr>
            <w:r>
              <w:t>2,962</w:t>
            </w:r>
          </w:p>
        </w:tc>
        <w:tc>
          <w:tcPr>
            <w:tcW w:w="1843" w:type="dxa"/>
            <w:vMerge/>
          </w:tcPr>
          <w:p w:rsidR="00776C2B" w:rsidRDefault="00776C2B" w:rsidP="009908F4">
            <w:pPr>
              <w:pStyle w:val="NoSpacing"/>
              <w:jc w:val="right"/>
            </w:pPr>
          </w:p>
        </w:tc>
      </w:tr>
      <w:tr w:rsidR="00776C2B" w:rsidTr="00776C2B">
        <w:tc>
          <w:tcPr>
            <w:tcW w:w="3261" w:type="dxa"/>
            <w:vMerge w:val="restart"/>
          </w:tcPr>
          <w:p w:rsidR="00776C2B" w:rsidRDefault="00776C2B" w:rsidP="005D0902">
            <w:pPr>
              <w:pStyle w:val="NoSpacing"/>
            </w:pPr>
            <w:r>
              <w:t>T3 – GreenPower purchase (55%)</w:t>
            </w:r>
          </w:p>
        </w:tc>
        <w:tc>
          <w:tcPr>
            <w:tcW w:w="2268" w:type="dxa"/>
          </w:tcPr>
          <w:p w:rsidR="00776C2B" w:rsidRDefault="00776C2B" w:rsidP="009908F4">
            <w:pPr>
              <w:pStyle w:val="NoSpacing"/>
              <w:jc w:val="right"/>
            </w:pPr>
            <w:r>
              <w:t>MJ</w:t>
            </w:r>
          </w:p>
        </w:tc>
        <w:tc>
          <w:tcPr>
            <w:tcW w:w="1843" w:type="dxa"/>
          </w:tcPr>
          <w:p w:rsidR="00776C2B" w:rsidRDefault="00776C2B" w:rsidP="009908F4">
            <w:pPr>
              <w:pStyle w:val="NoSpacing"/>
              <w:jc w:val="right"/>
            </w:pPr>
            <w:r>
              <w:t>3,187,044</w:t>
            </w:r>
          </w:p>
        </w:tc>
        <w:tc>
          <w:tcPr>
            <w:tcW w:w="1701" w:type="dxa"/>
          </w:tcPr>
          <w:p w:rsidR="00776C2B" w:rsidRDefault="00776C2B" w:rsidP="009908F4">
            <w:pPr>
              <w:pStyle w:val="NoSpacing"/>
              <w:jc w:val="right"/>
            </w:pPr>
            <w:r>
              <w:t>0</w:t>
            </w:r>
          </w:p>
        </w:tc>
        <w:tc>
          <w:tcPr>
            <w:tcW w:w="1843" w:type="dxa"/>
            <w:vMerge w:val="restart"/>
          </w:tcPr>
          <w:p w:rsidR="00776C2B" w:rsidRDefault="00776C2B" w:rsidP="009908F4">
            <w:pPr>
              <w:pStyle w:val="NoSpacing"/>
              <w:jc w:val="right"/>
            </w:pPr>
            <w:r>
              <w:t>N/A</w:t>
            </w:r>
          </w:p>
        </w:tc>
      </w:tr>
      <w:tr w:rsidR="00776C2B" w:rsidTr="00776C2B">
        <w:tc>
          <w:tcPr>
            <w:tcW w:w="3261" w:type="dxa"/>
            <w:vMerge/>
          </w:tcPr>
          <w:p w:rsidR="00776C2B" w:rsidRDefault="00776C2B" w:rsidP="005D0902">
            <w:pPr>
              <w:pStyle w:val="NoSpacing"/>
            </w:pPr>
          </w:p>
        </w:tc>
        <w:tc>
          <w:tcPr>
            <w:tcW w:w="2268" w:type="dxa"/>
          </w:tcPr>
          <w:p w:rsidR="00776C2B" w:rsidRDefault="00776C2B" w:rsidP="009908F4">
            <w:pPr>
              <w:pStyle w:val="NoSpacing"/>
              <w:jc w:val="right"/>
            </w:pPr>
            <w:r>
              <w:t>%</w:t>
            </w:r>
          </w:p>
        </w:tc>
        <w:tc>
          <w:tcPr>
            <w:tcW w:w="1843" w:type="dxa"/>
          </w:tcPr>
          <w:p w:rsidR="00776C2B" w:rsidRDefault="00776C2B" w:rsidP="009908F4">
            <w:pPr>
              <w:pStyle w:val="NoSpacing"/>
              <w:jc w:val="right"/>
            </w:pPr>
            <w:r>
              <w:t>9.8%</w:t>
            </w:r>
          </w:p>
        </w:tc>
        <w:tc>
          <w:tcPr>
            <w:tcW w:w="1701" w:type="dxa"/>
          </w:tcPr>
          <w:p w:rsidR="00776C2B" w:rsidRDefault="00776C2B" w:rsidP="009908F4">
            <w:pPr>
              <w:pStyle w:val="NoSpacing"/>
              <w:jc w:val="right"/>
            </w:pPr>
            <w:r>
              <w:t>0%</w:t>
            </w:r>
          </w:p>
        </w:tc>
        <w:tc>
          <w:tcPr>
            <w:tcW w:w="1843" w:type="dxa"/>
            <w:vMerge/>
          </w:tcPr>
          <w:p w:rsidR="00776C2B" w:rsidRDefault="00776C2B" w:rsidP="009908F4">
            <w:pPr>
              <w:pStyle w:val="NoSpacing"/>
              <w:jc w:val="right"/>
            </w:pPr>
          </w:p>
        </w:tc>
      </w:tr>
      <w:tr w:rsidR="00776C2B" w:rsidTr="00776C2B">
        <w:tc>
          <w:tcPr>
            <w:tcW w:w="3261" w:type="dxa"/>
            <w:vMerge w:val="restart"/>
          </w:tcPr>
          <w:p w:rsidR="00776C2B" w:rsidRDefault="00776C2B" w:rsidP="00776C2B">
            <w:pPr>
              <w:pStyle w:val="NoSpacing"/>
            </w:pPr>
            <w:r>
              <w:t>T4 - % Renewable energy of the total Energy Use (28%)</w:t>
            </w:r>
          </w:p>
        </w:tc>
        <w:tc>
          <w:tcPr>
            <w:tcW w:w="2268" w:type="dxa"/>
          </w:tcPr>
          <w:p w:rsidR="00776C2B" w:rsidRDefault="00776C2B" w:rsidP="00776C2B">
            <w:pPr>
              <w:pStyle w:val="NoSpacing"/>
              <w:jc w:val="right"/>
            </w:pPr>
            <w:r>
              <w:t>MJ</w:t>
            </w:r>
          </w:p>
        </w:tc>
        <w:tc>
          <w:tcPr>
            <w:tcW w:w="1843" w:type="dxa"/>
          </w:tcPr>
          <w:p w:rsidR="00776C2B" w:rsidRDefault="00776C2B" w:rsidP="00776C2B">
            <w:pPr>
              <w:pStyle w:val="NoSpacing"/>
              <w:jc w:val="right"/>
            </w:pPr>
            <w:r>
              <w:t>3,135</w:t>
            </w:r>
          </w:p>
        </w:tc>
        <w:tc>
          <w:tcPr>
            <w:tcW w:w="1701" w:type="dxa"/>
          </w:tcPr>
          <w:p w:rsidR="00776C2B" w:rsidRDefault="00776C2B" w:rsidP="00776C2B">
            <w:pPr>
              <w:pStyle w:val="NoSpacing"/>
              <w:jc w:val="right"/>
            </w:pPr>
            <w:r>
              <w:t>111,182</w:t>
            </w:r>
          </w:p>
        </w:tc>
        <w:tc>
          <w:tcPr>
            <w:tcW w:w="1843" w:type="dxa"/>
            <w:vMerge w:val="restart"/>
          </w:tcPr>
          <w:p w:rsidR="00776C2B" w:rsidRDefault="00776C2B" w:rsidP="00776C2B">
            <w:pPr>
              <w:pStyle w:val="NoSpacing"/>
              <w:jc w:val="right"/>
            </w:pPr>
            <w:r>
              <w:t>0.2%</w:t>
            </w:r>
          </w:p>
        </w:tc>
      </w:tr>
      <w:tr w:rsidR="00776C2B" w:rsidTr="00776C2B">
        <w:tc>
          <w:tcPr>
            <w:tcW w:w="3261" w:type="dxa"/>
            <w:vMerge/>
          </w:tcPr>
          <w:p w:rsidR="00776C2B" w:rsidRDefault="00776C2B" w:rsidP="00776C2B">
            <w:pPr>
              <w:pStyle w:val="NoSpacing"/>
            </w:pPr>
          </w:p>
        </w:tc>
        <w:tc>
          <w:tcPr>
            <w:tcW w:w="2268" w:type="dxa"/>
          </w:tcPr>
          <w:p w:rsidR="00776C2B" w:rsidRDefault="00776C2B" w:rsidP="00776C2B">
            <w:pPr>
              <w:pStyle w:val="NoSpacing"/>
              <w:jc w:val="right"/>
            </w:pPr>
            <w:r>
              <w:t>%</w:t>
            </w:r>
          </w:p>
        </w:tc>
        <w:tc>
          <w:tcPr>
            <w:tcW w:w="1843" w:type="dxa"/>
          </w:tcPr>
          <w:p w:rsidR="00776C2B" w:rsidRDefault="00776C2B" w:rsidP="00776C2B">
            <w:pPr>
              <w:pStyle w:val="NoSpacing"/>
              <w:jc w:val="right"/>
            </w:pPr>
            <w:r>
              <w:t>0.01%</w:t>
            </w:r>
          </w:p>
        </w:tc>
        <w:tc>
          <w:tcPr>
            <w:tcW w:w="1701" w:type="dxa"/>
          </w:tcPr>
          <w:p w:rsidR="00776C2B" w:rsidRDefault="00776C2B" w:rsidP="00776C2B">
            <w:pPr>
              <w:pStyle w:val="NoSpacing"/>
              <w:jc w:val="right"/>
            </w:pPr>
            <w:r>
              <w:t>0.20%</w:t>
            </w:r>
          </w:p>
        </w:tc>
        <w:tc>
          <w:tcPr>
            <w:tcW w:w="1843" w:type="dxa"/>
            <w:vMerge/>
          </w:tcPr>
          <w:p w:rsidR="00776C2B" w:rsidRDefault="00776C2B" w:rsidP="00776C2B">
            <w:pPr>
              <w:pStyle w:val="NoSpacing"/>
              <w:jc w:val="right"/>
            </w:pPr>
          </w:p>
        </w:tc>
      </w:tr>
      <w:tr w:rsidR="00776C2B" w:rsidTr="00776C2B">
        <w:tc>
          <w:tcPr>
            <w:tcW w:w="3261" w:type="dxa"/>
            <w:vMerge w:val="restart"/>
          </w:tcPr>
          <w:p w:rsidR="00776C2B" w:rsidRDefault="00776C2B" w:rsidP="00776C2B">
            <w:pPr>
              <w:pStyle w:val="NoSpacing"/>
            </w:pPr>
            <w:r>
              <w:t>T5 – Water reduction (-85%)</w:t>
            </w:r>
          </w:p>
        </w:tc>
        <w:tc>
          <w:tcPr>
            <w:tcW w:w="2268" w:type="dxa"/>
          </w:tcPr>
          <w:p w:rsidR="00776C2B" w:rsidRDefault="00776C2B" w:rsidP="00776C2B">
            <w:pPr>
              <w:pStyle w:val="NoSpacing"/>
              <w:jc w:val="right"/>
            </w:pPr>
            <w:r>
              <w:t>kL</w:t>
            </w:r>
          </w:p>
        </w:tc>
        <w:tc>
          <w:tcPr>
            <w:tcW w:w="1843" w:type="dxa"/>
          </w:tcPr>
          <w:p w:rsidR="00776C2B" w:rsidRDefault="00776C2B" w:rsidP="00776C2B">
            <w:pPr>
              <w:pStyle w:val="NoSpacing"/>
              <w:jc w:val="right"/>
            </w:pPr>
            <w:r>
              <w:t>36,744</w:t>
            </w:r>
          </w:p>
        </w:tc>
        <w:tc>
          <w:tcPr>
            <w:tcW w:w="1701" w:type="dxa"/>
          </w:tcPr>
          <w:p w:rsidR="00776C2B" w:rsidRDefault="00776C2B" w:rsidP="00776C2B">
            <w:pPr>
              <w:pStyle w:val="NoSpacing"/>
              <w:jc w:val="right"/>
            </w:pPr>
            <w:r>
              <w:t>42,875</w:t>
            </w:r>
          </w:p>
        </w:tc>
        <w:tc>
          <w:tcPr>
            <w:tcW w:w="1843" w:type="dxa"/>
            <w:vMerge w:val="restart"/>
          </w:tcPr>
          <w:p w:rsidR="00776C2B" w:rsidRDefault="00776C2B" w:rsidP="00776C2B">
            <w:pPr>
              <w:pStyle w:val="NoSpacing"/>
              <w:jc w:val="right"/>
            </w:pPr>
            <w:r>
              <w:t>-18%</w:t>
            </w:r>
          </w:p>
        </w:tc>
      </w:tr>
      <w:tr w:rsidR="00776C2B" w:rsidTr="00776C2B">
        <w:tc>
          <w:tcPr>
            <w:tcW w:w="3261" w:type="dxa"/>
            <w:vMerge/>
          </w:tcPr>
          <w:p w:rsidR="00776C2B" w:rsidRDefault="00776C2B" w:rsidP="00776C2B">
            <w:pPr>
              <w:pStyle w:val="NoSpacing"/>
            </w:pPr>
          </w:p>
        </w:tc>
        <w:tc>
          <w:tcPr>
            <w:tcW w:w="2268" w:type="dxa"/>
          </w:tcPr>
          <w:p w:rsidR="00776C2B" w:rsidRDefault="00776C2B" w:rsidP="00776C2B">
            <w:pPr>
              <w:pStyle w:val="NoSpacing"/>
              <w:jc w:val="right"/>
            </w:pPr>
            <w:r>
              <w:t>kL/FTESL+FTE</w:t>
            </w:r>
          </w:p>
        </w:tc>
        <w:tc>
          <w:tcPr>
            <w:tcW w:w="1843" w:type="dxa"/>
          </w:tcPr>
          <w:p w:rsidR="00776C2B" w:rsidRDefault="00776C2B" w:rsidP="00776C2B">
            <w:pPr>
              <w:pStyle w:val="NoSpacing"/>
              <w:jc w:val="right"/>
            </w:pPr>
            <w:r>
              <w:t>2.66</w:t>
            </w:r>
          </w:p>
        </w:tc>
        <w:tc>
          <w:tcPr>
            <w:tcW w:w="1701" w:type="dxa"/>
          </w:tcPr>
          <w:p w:rsidR="00776C2B" w:rsidRDefault="00776C2B" w:rsidP="00776C2B">
            <w:pPr>
              <w:pStyle w:val="NoSpacing"/>
              <w:jc w:val="right"/>
            </w:pPr>
            <w:r>
              <w:t>2.2</w:t>
            </w:r>
          </w:p>
        </w:tc>
        <w:tc>
          <w:tcPr>
            <w:tcW w:w="1843" w:type="dxa"/>
            <w:vMerge/>
          </w:tcPr>
          <w:p w:rsidR="00776C2B" w:rsidRDefault="00776C2B" w:rsidP="00776C2B">
            <w:pPr>
              <w:pStyle w:val="NoSpacing"/>
              <w:jc w:val="right"/>
            </w:pPr>
          </w:p>
        </w:tc>
      </w:tr>
      <w:tr w:rsidR="00776C2B" w:rsidTr="00776C2B">
        <w:tc>
          <w:tcPr>
            <w:tcW w:w="3261" w:type="dxa"/>
            <w:vMerge w:val="restart"/>
          </w:tcPr>
          <w:p w:rsidR="00776C2B" w:rsidRDefault="00776C2B" w:rsidP="00776C2B">
            <w:pPr>
              <w:pStyle w:val="NoSpacing"/>
            </w:pPr>
            <w:r>
              <w:t xml:space="preserve">T6 – Waste to landfill reduction </w:t>
            </w:r>
            <w:r w:rsidR="007062D7">
              <w:t xml:space="preserve">  </w:t>
            </w:r>
            <w:r>
              <w:t>(-75%)</w:t>
            </w:r>
          </w:p>
        </w:tc>
        <w:tc>
          <w:tcPr>
            <w:tcW w:w="2268" w:type="dxa"/>
          </w:tcPr>
          <w:p w:rsidR="00776C2B" w:rsidRDefault="00776C2B" w:rsidP="00776C2B">
            <w:pPr>
              <w:pStyle w:val="NoSpacing"/>
              <w:jc w:val="right"/>
            </w:pPr>
            <w:r>
              <w:t>t</w:t>
            </w:r>
          </w:p>
        </w:tc>
        <w:tc>
          <w:tcPr>
            <w:tcW w:w="1843" w:type="dxa"/>
          </w:tcPr>
          <w:p w:rsidR="00776C2B" w:rsidRDefault="00776C2B" w:rsidP="00776C2B">
            <w:pPr>
              <w:pStyle w:val="NoSpacing"/>
              <w:jc w:val="right"/>
            </w:pPr>
            <w:r>
              <w:t>847</w:t>
            </w:r>
          </w:p>
        </w:tc>
        <w:tc>
          <w:tcPr>
            <w:tcW w:w="1701" w:type="dxa"/>
          </w:tcPr>
          <w:p w:rsidR="00776C2B" w:rsidRDefault="00776C2B" w:rsidP="00776C2B">
            <w:pPr>
              <w:pStyle w:val="NoSpacing"/>
              <w:jc w:val="right"/>
            </w:pPr>
            <w:r>
              <w:t>1,583</w:t>
            </w:r>
          </w:p>
        </w:tc>
        <w:tc>
          <w:tcPr>
            <w:tcW w:w="1843" w:type="dxa"/>
            <w:vMerge w:val="restart"/>
          </w:tcPr>
          <w:p w:rsidR="00776C2B" w:rsidRDefault="00776C2B" w:rsidP="00776C2B">
            <w:pPr>
              <w:pStyle w:val="NoSpacing"/>
              <w:jc w:val="right"/>
            </w:pPr>
            <w:r>
              <w:t>-7%</w:t>
            </w:r>
          </w:p>
        </w:tc>
      </w:tr>
      <w:tr w:rsidR="00776C2B" w:rsidTr="00776C2B">
        <w:tc>
          <w:tcPr>
            <w:tcW w:w="3261" w:type="dxa"/>
            <w:vMerge/>
          </w:tcPr>
          <w:p w:rsidR="00776C2B" w:rsidRDefault="00776C2B" w:rsidP="00776C2B">
            <w:pPr>
              <w:pStyle w:val="NoSpacing"/>
            </w:pPr>
          </w:p>
        </w:tc>
        <w:tc>
          <w:tcPr>
            <w:tcW w:w="2268" w:type="dxa"/>
          </w:tcPr>
          <w:p w:rsidR="00776C2B" w:rsidRDefault="007062D7" w:rsidP="00776C2B">
            <w:pPr>
              <w:pStyle w:val="NoSpacing"/>
              <w:jc w:val="right"/>
            </w:pPr>
            <w:r>
              <w:t>t/FTESL+FTE</w:t>
            </w:r>
          </w:p>
        </w:tc>
        <w:tc>
          <w:tcPr>
            <w:tcW w:w="1843" w:type="dxa"/>
          </w:tcPr>
          <w:p w:rsidR="00776C2B" w:rsidRDefault="00776C2B" w:rsidP="00776C2B">
            <w:pPr>
              <w:pStyle w:val="NoSpacing"/>
              <w:jc w:val="right"/>
            </w:pPr>
            <w:r>
              <w:t>0.061</w:t>
            </w:r>
          </w:p>
        </w:tc>
        <w:tc>
          <w:tcPr>
            <w:tcW w:w="1701" w:type="dxa"/>
          </w:tcPr>
          <w:p w:rsidR="00776C2B" w:rsidRDefault="00776C2B" w:rsidP="00776C2B">
            <w:pPr>
              <w:pStyle w:val="NoSpacing"/>
              <w:jc w:val="right"/>
            </w:pPr>
            <w:r>
              <w:t>0.08</w:t>
            </w:r>
          </w:p>
        </w:tc>
        <w:tc>
          <w:tcPr>
            <w:tcW w:w="1843" w:type="dxa"/>
            <w:vMerge/>
          </w:tcPr>
          <w:p w:rsidR="00776C2B" w:rsidRDefault="00776C2B" w:rsidP="00776C2B">
            <w:pPr>
              <w:pStyle w:val="NoSpacing"/>
              <w:jc w:val="right"/>
            </w:pPr>
          </w:p>
        </w:tc>
      </w:tr>
      <w:tr w:rsidR="00776C2B" w:rsidTr="00776C2B">
        <w:tc>
          <w:tcPr>
            <w:tcW w:w="3261" w:type="dxa"/>
            <w:vMerge/>
          </w:tcPr>
          <w:p w:rsidR="00776C2B" w:rsidRDefault="00776C2B" w:rsidP="00776C2B">
            <w:pPr>
              <w:pStyle w:val="NoSpacing"/>
            </w:pPr>
          </w:p>
        </w:tc>
        <w:tc>
          <w:tcPr>
            <w:tcW w:w="2268" w:type="dxa"/>
          </w:tcPr>
          <w:p w:rsidR="00776C2B" w:rsidRDefault="007062D7" w:rsidP="00776C2B">
            <w:pPr>
              <w:pStyle w:val="NoSpacing"/>
              <w:jc w:val="right"/>
            </w:pPr>
            <w:r>
              <w:t>% recycled</w:t>
            </w:r>
          </w:p>
        </w:tc>
        <w:tc>
          <w:tcPr>
            <w:tcW w:w="1843" w:type="dxa"/>
          </w:tcPr>
          <w:p w:rsidR="00776C2B" w:rsidRDefault="00776C2B" w:rsidP="00776C2B">
            <w:pPr>
              <w:pStyle w:val="NoSpacing"/>
              <w:jc w:val="right"/>
            </w:pPr>
            <w:r>
              <w:t>13.3%</w:t>
            </w:r>
          </w:p>
        </w:tc>
        <w:tc>
          <w:tcPr>
            <w:tcW w:w="1701" w:type="dxa"/>
          </w:tcPr>
          <w:p w:rsidR="00776C2B" w:rsidRDefault="00776C2B" w:rsidP="00776C2B">
            <w:pPr>
              <w:pStyle w:val="NoSpacing"/>
              <w:jc w:val="right"/>
            </w:pPr>
            <w:r>
              <w:t>20.1%</w:t>
            </w:r>
          </w:p>
        </w:tc>
        <w:tc>
          <w:tcPr>
            <w:tcW w:w="1843" w:type="dxa"/>
            <w:vMerge/>
          </w:tcPr>
          <w:p w:rsidR="00776C2B" w:rsidRDefault="00776C2B" w:rsidP="00776C2B">
            <w:pPr>
              <w:pStyle w:val="NoSpacing"/>
              <w:jc w:val="right"/>
            </w:pPr>
          </w:p>
        </w:tc>
      </w:tr>
    </w:tbl>
    <w:p w:rsidR="009908F4" w:rsidRDefault="009908F4" w:rsidP="005D0902">
      <w:pPr>
        <w:pStyle w:val="NoSpacing"/>
      </w:pPr>
    </w:p>
    <w:p w:rsidR="00AA048F" w:rsidRDefault="00C95188" w:rsidP="005D0902">
      <w:pPr>
        <w:pStyle w:val="NoSpacing"/>
      </w:pPr>
      <w:r>
        <w:t>&lt;page 109&gt;</w:t>
      </w:r>
    </w:p>
    <w:p w:rsidR="00AA048F" w:rsidRDefault="00AA048F" w:rsidP="005D0902">
      <w:pPr>
        <w:pStyle w:val="NoSpacing"/>
      </w:pPr>
    </w:p>
    <w:p w:rsidR="00C95188" w:rsidRDefault="00C95188" w:rsidP="00C95188">
      <w:pPr>
        <w:pStyle w:val="Heading3"/>
      </w:pPr>
      <w:r>
        <w:t>2019 Environmental data</w:t>
      </w:r>
    </w:p>
    <w:p w:rsidR="00C95188" w:rsidRDefault="00C95188" w:rsidP="005D0902">
      <w:pPr>
        <w:pStyle w:val="NoSpacing"/>
      </w:pPr>
    </w:p>
    <w:p w:rsidR="00C95188" w:rsidRDefault="00C95188" w:rsidP="00E62A43">
      <w:pPr>
        <w:pStyle w:val="Heading4"/>
      </w:pPr>
      <w:r>
        <w:t xml:space="preserve">Energy use </w:t>
      </w:r>
    </w:p>
    <w:tbl>
      <w:tblPr>
        <w:tblStyle w:val="TableGrid"/>
        <w:tblW w:w="10916" w:type="dxa"/>
        <w:tblInd w:w="-998" w:type="dxa"/>
        <w:tblLook w:val="04A0" w:firstRow="1" w:lastRow="0" w:firstColumn="1" w:lastColumn="0" w:noHBand="0" w:noVBand="1"/>
      </w:tblPr>
      <w:tblGrid>
        <w:gridCol w:w="7372"/>
        <w:gridCol w:w="1701"/>
        <w:gridCol w:w="1843"/>
      </w:tblGrid>
      <w:tr w:rsidR="00C95188" w:rsidTr="0029223B">
        <w:tc>
          <w:tcPr>
            <w:tcW w:w="7372" w:type="dxa"/>
            <w:vMerge w:val="restart"/>
          </w:tcPr>
          <w:p w:rsidR="00C95188" w:rsidRDefault="00C95188" w:rsidP="005D0902">
            <w:pPr>
              <w:pStyle w:val="NoSpacing"/>
            </w:pPr>
            <w:r>
              <w:t>Total energy usage segmented by primary source (megajoules)</w:t>
            </w:r>
          </w:p>
        </w:tc>
        <w:tc>
          <w:tcPr>
            <w:tcW w:w="1701" w:type="dxa"/>
          </w:tcPr>
          <w:p w:rsidR="00C95188" w:rsidRDefault="00C95188" w:rsidP="00C95188">
            <w:pPr>
              <w:pStyle w:val="NoSpacing"/>
              <w:jc w:val="right"/>
            </w:pPr>
            <w:r>
              <w:t>Electricity</w:t>
            </w:r>
          </w:p>
        </w:tc>
        <w:tc>
          <w:tcPr>
            <w:tcW w:w="1843" w:type="dxa"/>
          </w:tcPr>
          <w:p w:rsidR="00C95188" w:rsidRDefault="00C95188" w:rsidP="00C95188">
            <w:pPr>
              <w:pStyle w:val="NoSpacing"/>
              <w:jc w:val="right"/>
            </w:pPr>
            <w:r>
              <w:t>36,065,581</w:t>
            </w:r>
          </w:p>
        </w:tc>
      </w:tr>
      <w:tr w:rsidR="00C95188" w:rsidTr="0029223B">
        <w:tc>
          <w:tcPr>
            <w:tcW w:w="7372" w:type="dxa"/>
            <w:vMerge/>
          </w:tcPr>
          <w:p w:rsidR="00C95188" w:rsidRDefault="00C95188" w:rsidP="005D0902">
            <w:pPr>
              <w:pStyle w:val="NoSpacing"/>
            </w:pPr>
          </w:p>
        </w:tc>
        <w:tc>
          <w:tcPr>
            <w:tcW w:w="1701" w:type="dxa"/>
          </w:tcPr>
          <w:p w:rsidR="00C95188" w:rsidRDefault="00C95188" w:rsidP="00C95188">
            <w:pPr>
              <w:pStyle w:val="NoSpacing"/>
              <w:jc w:val="right"/>
            </w:pPr>
            <w:r>
              <w:t>Natural gas</w:t>
            </w:r>
          </w:p>
        </w:tc>
        <w:tc>
          <w:tcPr>
            <w:tcW w:w="1843" w:type="dxa"/>
          </w:tcPr>
          <w:p w:rsidR="00C95188" w:rsidRDefault="00C95188" w:rsidP="00C95188">
            <w:pPr>
              <w:pStyle w:val="NoSpacing"/>
              <w:jc w:val="right"/>
            </w:pPr>
            <w:r>
              <w:t>22,268,370</w:t>
            </w:r>
          </w:p>
        </w:tc>
      </w:tr>
      <w:tr w:rsidR="00C95188" w:rsidTr="0029223B">
        <w:tc>
          <w:tcPr>
            <w:tcW w:w="7372" w:type="dxa"/>
            <w:vMerge/>
          </w:tcPr>
          <w:p w:rsidR="00C95188" w:rsidRDefault="00C95188" w:rsidP="005D0902">
            <w:pPr>
              <w:pStyle w:val="NoSpacing"/>
            </w:pPr>
          </w:p>
        </w:tc>
        <w:tc>
          <w:tcPr>
            <w:tcW w:w="1701" w:type="dxa"/>
          </w:tcPr>
          <w:p w:rsidR="00C95188" w:rsidRDefault="00C95188" w:rsidP="00C95188">
            <w:pPr>
              <w:pStyle w:val="NoSpacing"/>
              <w:jc w:val="right"/>
            </w:pPr>
            <w:r>
              <w:t>GreenPower</w:t>
            </w:r>
          </w:p>
        </w:tc>
        <w:tc>
          <w:tcPr>
            <w:tcW w:w="1843" w:type="dxa"/>
          </w:tcPr>
          <w:p w:rsidR="00C95188" w:rsidRDefault="00C95188" w:rsidP="00C95188">
            <w:pPr>
              <w:pStyle w:val="NoSpacing"/>
              <w:jc w:val="right"/>
            </w:pPr>
            <w:r>
              <w:t>0</w:t>
            </w:r>
          </w:p>
        </w:tc>
      </w:tr>
      <w:tr w:rsidR="00C95188" w:rsidTr="0029223B">
        <w:tc>
          <w:tcPr>
            <w:tcW w:w="7372" w:type="dxa"/>
            <w:vMerge/>
          </w:tcPr>
          <w:p w:rsidR="00C95188" w:rsidRDefault="00C95188" w:rsidP="005D0902">
            <w:pPr>
              <w:pStyle w:val="NoSpacing"/>
            </w:pPr>
          </w:p>
        </w:tc>
        <w:tc>
          <w:tcPr>
            <w:tcW w:w="1701" w:type="dxa"/>
          </w:tcPr>
          <w:p w:rsidR="00C95188" w:rsidRDefault="00C95188" w:rsidP="00C95188">
            <w:pPr>
              <w:pStyle w:val="NoSpacing"/>
              <w:jc w:val="right"/>
            </w:pPr>
            <w:r>
              <w:t>Total</w:t>
            </w:r>
          </w:p>
        </w:tc>
        <w:tc>
          <w:tcPr>
            <w:tcW w:w="1843" w:type="dxa"/>
          </w:tcPr>
          <w:p w:rsidR="00C95188" w:rsidRDefault="00C95188" w:rsidP="00C95188">
            <w:pPr>
              <w:pStyle w:val="NoSpacing"/>
              <w:jc w:val="right"/>
            </w:pPr>
            <w:r>
              <w:t>58,333,951</w:t>
            </w:r>
          </w:p>
        </w:tc>
      </w:tr>
      <w:tr w:rsidR="00C95188" w:rsidTr="0029223B">
        <w:tc>
          <w:tcPr>
            <w:tcW w:w="7372" w:type="dxa"/>
            <w:vMerge w:val="restart"/>
          </w:tcPr>
          <w:p w:rsidR="00C95188" w:rsidRDefault="00C95188" w:rsidP="005D0902">
            <w:pPr>
              <w:pStyle w:val="NoSpacing"/>
            </w:pPr>
            <w:r>
              <w:t>Greenhouse gas emissions associated with energy use, segmented by primary source and offsets (tonnes CO2e)</w:t>
            </w:r>
          </w:p>
        </w:tc>
        <w:tc>
          <w:tcPr>
            <w:tcW w:w="1701" w:type="dxa"/>
          </w:tcPr>
          <w:p w:rsidR="00C95188" w:rsidRDefault="00C95188" w:rsidP="00C95188">
            <w:pPr>
              <w:pStyle w:val="NoSpacing"/>
              <w:jc w:val="right"/>
            </w:pPr>
            <w:r>
              <w:t>Electricity (S2)</w:t>
            </w:r>
          </w:p>
        </w:tc>
        <w:tc>
          <w:tcPr>
            <w:tcW w:w="1843" w:type="dxa"/>
          </w:tcPr>
          <w:p w:rsidR="00C95188" w:rsidRDefault="00C95188" w:rsidP="00C95188">
            <w:pPr>
              <w:pStyle w:val="NoSpacing"/>
              <w:jc w:val="right"/>
            </w:pPr>
            <w:r>
              <w:t>10,719</w:t>
            </w:r>
          </w:p>
        </w:tc>
      </w:tr>
      <w:tr w:rsidR="00C95188" w:rsidTr="0029223B">
        <w:tc>
          <w:tcPr>
            <w:tcW w:w="7372" w:type="dxa"/>
            <w:vMerge/>
          </w:tcPr>
          <w:p w:rsidR="00C95188" w:rsidRDefault="00C95188" w:rsidP="005D0902">
            <w:pPr>
              <w:pStyle w:val="NoSpacing"/>
            </w:pPr>
          </w:p>
        </w:tc>
        <w:tc>
          <w:tcPr>
            <w:tcW w:w="1701" w:type="dxa"/>
          </w:tcPr>
          <w:p w:rsidR="00C95188" w:rsidRDefault="00C95188" w:rsidP="00C95188">
            <w:pPr>
              <w:pStyle w:val="NoSpacing"/>
              <w:jc w:val="right"/>
            </w:pPr>
            <w:r>
              <w:t>Electricity (S3)</w:t>
            </w:r>
          </w:p>
        </w:tc>
        <w:tc>
          <w:tcPr>
            <w:tcW w:w="1843" w:type="dxa"/>
          </w:tcPr>
          <w:p w:rsidR="00C95188" w:rsidRDefault="00C95188" w:rsidP="00C95188">
            <w:pPr>
              <w:pStyle w:val="NoSpacing"/>
              <w:jc w:val="right"/>
            </w:pPr>
            <w:r>
              <w:t>1,002</w:t>
            </w:r>
          </w:p>
        </w:tc>
      </w:tr>
      <w:tr w:rsidR="00C95188" w:rsidTr="0029223B">
        <w:tc>
          <w:tcPr>
            <w:tcW w:w="7372" w:type="dxa"/>
            <w:vMerge/>
          </w:tcPr>
          <w:p w:rsidR="00C95188" w:rsidRDefault="00C95188" w:rsidP="005D0902">
            <w:pPr>
              <w:pStyle w:val="NoSpacing"/>
            </w:pPr>
          </w:p>
        </w:tc>
        <w:tc>
          <w:tcPr>
            <w:tcW w:w="1701" w:type="dxa"/>
          </w:tcPr>
          <w:p w:rsidR="00C95188" w:rsidRDefault="00C95188" w:rsidP="00C95188">
            <w:pPr>
              <w:pStyle w:val="NoSpacing"/>
              <w:jc w:val="right"/>
            </w:pPr>
            <w:r>
              <w:t>Natural gas (S1)</w:t>
            </w:r>
          </w:p>
        </w:tc>
        <w:tc>
          <w:tcPr>
            <w:tcW w:w="1843" w:type="dxa"/>
          </w:tcPr>
          <w:p w:rsidR="00C95188" w:rsidRDefault="00C95188" w:rsidP="00C95188">
            <w:pPr>
              <w:pStyle w:val="NoSpacing"/>
              <w:jc w:val="right"/>
            </w:pPr>
            <w:r>
              <w:t>1,145</w:t>
            </w:r>
          </w:p>
        </w:tc>
      </w:tr>
      <w:tr w:rsidR="00C95188" w:rsidTr="0029223B">
        <w:tc>
          <w:tcPr>
            <w:tcW w:w="7372" w:type="dxa"/>
            <w:vMerge/>
          </w:tcPr>
          <w:p w:rsidR="00C95188" w:rsidRDefault="00C95188" w:rsidP="005D0902">
            <w:pPr>
              <w:pStyle w:val="NoSpacing"/>
            </w:pPr>
          </w:p>
        </w:tc>
        <w:tc>
          <w:tcPr>
            <w:tcW w:w="1701" w:type="dxa"/>
          </w:tcPr>
          <w:p w:rsidR="00C95188" w:rsidRDefault="00C95188" w:rsidP="00C95188">
            <w:pPr>
              <w:pStyle w:val="NoSpacing"/>
              <w:jc w:val="right"/>
            </w:pPr>
            <w:r>
              <w:t>Natural gas (S3)</w:t>
            </w:r>
          </w:p>
        </w:tc>
        <w:tc>
          <w:tcPr>
            <w:tcW w:w="1843" w:type="dxa"/>
          </w:tcPr>
          <w:p w:rsidR="00C95188" w:rsidRDefault="00C95188" w:rsidP="00C95188">
            <w:pPr>
              <w:pStyle w:val="NoSpacing"/>
              <w:jc w:val="right"/>
            </w:pPr>
            <w:r>
              <w:t>87</w:t>
            </w:r>
          </w:p>
        </w:tc>
      </w:tr>
      <w:tr w:rsidR="00C95188" w:rsidTr="0029223B">
        <w:tc>
          <w:tcPr>
            <w:tcW w:w="7372" w:type="dxa"/>
            <w:vMerge/>
          </w:tcPr>
          <w:p w:rsidR="00C95188" w:rsidRDefault="00C95188" w:rsidP="005D0902">
            <w:pPr>
              <w:pStyle w:val="NoSpacing"/>
            </w:pPr>
          </w:p>
        </w:tc>
        <w:tc>
          <w:tcPr>
            <w:tcW w:w="1701" w:type="dxa"/>
          </w:tcPr>
          <w:p w:rsidR="00C95188" w:rsidRDefault="00C95188" w:rsidP="00C95188">
            <w:pPr>
              <w:pStyle w:val="NoSpacing"/>
              <w:jc w:val="right"/>
            </w:pPr>
            <w:r>
              <w:t>GreenPower</w:t>
            </w:r>
          </w:p>
        </w:tc>
        <w:tc>
          <w:tcPr>
            <w:tcW w:w="1843" w:type="dxa"/>
          </w:tcPr>
          <w:p w:rsidR="00C95188" w:rsidRDefault="00C95188" w:rsidP="00C95188">
            <w:pPr>
              <w:pStyle w:val="NoSpacing"/>
              <w:jc w:val="right"/>
            </w:pPr>
            <w:r>
              <w:t>0</w:t>
            </w:r>
          </w:p>
        </w:tc>
      </w:tr>
      <w:tr w:rsidR="00C95188" w:rsidTr="0029223B">
        <w:tc>
          <w:tcPr>
            <w:tcW w:w="7372" w:type="dxa"/>
            <w:vMerge/>
          </w:tcPr>
          <w:p w:rsidR="00C95188" w:rsidRDefault="00C95188" w:rsidP="005D0902">
            <w:pPr>
              <w:pStyle w:val="NoSpacing"/>
            </w:pPr>
          </w:p>
        </w:tc>
        <w:tc>
          <w:tcPr>
            <w:tcW w:w="1701" w:type="dxa"/>
          </w:tcPr>
          <w:p w:rsidR="00C95188" w:rsidRDefault="00C95188" w:rsidP="00C95188">
            <w:pPr>
              <w:pStyle w:val="NoSpacing"/>
              <w:jc w:val="right"/>
            </w:pPr>
            <w:r>
              <w:t>Total</w:t>
            </w:r>
          </w:p>
        </w:tc>
        <w:tc>
          <w:tcPr>
            <w:tcW w:w="1843" w:type="dxa"/>
          </w:tcPr>
          <w:p w:rsidR="00C95188" w:rsidRDefault="00C95188" w:rsidP="00C95188">
            <w:pPr>
              <w:pStyle w:val="NoSpacing"/>
              <w:jc w:val="right"/>
            </w:pPr>
            <w:r>
              <w:t>12,953</w:t>
            </w:r>
          </w:p>
        </w:tc>
      </w:tr>
      <w:tr w:rsidR="00C95188" w:rsidTr="0029223B">
        <w:tc>
          <w:tcPr>
            <w:tcW w:w="7372" w:type="dxa"/>
          </w:tcPr>
          <w:p w:rsidR="00C95188" w:rsidRDefault="00C95188" w:rsidP="005D0902">
            <w:pPr>
              <w:pStyle w:val="NoSpacing"/>
            </w:pPr>
            <w:r>
              <w:t>Percentage of electricity purchased as GreenPower (%)</w:t>
            </w:r>
          </w:p>
        </w:tc>
        <w:tc>
          <w:tcPr>
            <w:tcW w:w="1701" w:type="dxa"/>
          </w:tcPr>
          <w:p w:rsidR="00C95188" w:rsidRDefault="00C95188" w:rsidP="00C95188">
            <w:pPr>
              <w:pStyle w:val="NoSpacing"/>
              <w:jc w:val="right"/>
            </w:pPr>
          </w:p>
        </w:tc>
        <w:tc>
          <w:tcPr>
            <w:tcW w:w="1843" w:type="dxa"/>
          </w:tcPr>
          <w:p w:rsidR="00C95188" w:rsidRDefault="00C95188" w:rsidP="00C95188">
            <w:pPr>
              <w:pStyle w:val="NoSpacing"/>
              <w:jc w:val="right"/>
            </w:pPr>
            <w:r>
              <w:t>0</w:t>
            </w:r>
          </w:p>
        </w:tc>
      </w:tr>
      <w:tr w:rsidR="00C95188" w:rsidTr="0029223B">
        <w:tc>
          <w:tcPr>
            <w:tcW w:w="7372" w:type="dxa"/>
          </w:tcPr>
          <w:p w:rsidR="00C95188" w:rsidRDefault="00C95188" w:rsidP="005D0902">
            <w:pPr>
              <w:pStyle w:val="NoSpacing"/>
            </w:pPr>
            <w:r>
              <w:t>Units of energy used per full time employee – FTE value used (megajoules per FTE)</w:t>
            </w:r>
          </w:p>
        </w:tc>
        <w:tc>
          <w:tcPr>
            <w:tcW w:w="1701" w:type="dxa"/>
          </w:tcPr>
          <w:p w:rsidR="00C95188" w:rsidRDefault="00C95188" w:rsidP="00C95188">
            <w:pPr>
              <w:pStyle w:val="NoSpacing"/>
              <w:jc w:val="right"/>
            </w:pPr>
          </w:p>
        </w:tc>
        <w:tc>
          <w:tcPr>
            <w:tcW w:w="1843" w:type="dxa"/>
          </w:tcPr>
          <w:p w:rsidR="00C95188" w:rsidRDefault="00C95188" w:rsidP="00C95188">
            <w:pPr>
              <w:pStyle w:val="NoSpacing"/>
              <w:jc w:val="right"/>
            </w:pPr>
            <w:r>
              <w:t>60,794</w:t>
            </w:r>
          </w:p>
        </w:tc>
      </w:tr>
      <w:tr w:rsidR="00C95188" w:rsidTr="0029223B">
        <w:tc>
          <w:tcPr>
            <w:tcW w:w="7372" w:type="dxa"/>
          </w:tcPr>
          <w:p w:rsidR="00C95188" w:rsidRDefault="00C95188" w:rsidP="005D0902">
            <w:pPr>
              <w:pStyle w:val="NoSpacing"/>
            </w:pPr>
            <w:r>
              <w:t>Units of energy use</w:t>
            </w:r>
            <w:r w:rsidR="00E62A43">
              <w:t>d per unit of office area (megaj</w:t>
            </w:r>
            <w:r>
              <w:t>oules per m</w:t>
            </w:r>
            <w:r w:rsidR="00E62A43">
              <w:rPr>
                <w:sz w:val="12"/>
                <w:szCs w:val="12"/>
              </w:rPr>
              <w:t>2</w:t>
            </w:r>
            <w:r w:rsidR="00E62A43">
              <w:t>)</w:t>
            </w:r>
          </w:p>
        </w:tc>
        <w:tc>
          <w:tcPr>
            <w:tcW w:w="1701" w:type="dxa"/>
          </w:tcPr>
          <w:p w:rsidR="00C95188" w:rsidRDefault="00C95188" w:rsidP="00C95188">
            <w:pPr>
              <w:pStyle w:val="NoSpacing"/>
              <w:jc w:val="right"/>
            </w:pPr>
          </w:p>
        </w:tc>
        <w:tc>
          <w:tcPr>
            <w:tcW w:w="1843" w:type="dxa"/>
          </w:tcPr>
          <w:p w:rsidR="00C95188" w:rsidRDefault="00C95188" w:rsidP="00C95188">
            <w:pPr>
              <w:pStyle w:val="NoSpacing"/>
              <w:jc w:val="right"/>
            </w:pPr>
            <w:r>
              <w:t>405</w:t>
            </w:r>
          </w:p>
        </w:tc>
      </w:tr>
    </w:tbl>
    <w:p w:rsidR="00C95188" w:rsidRDefault="00C95188" w:rsidP="005D0902">
      <w:pPr>
        <w:pStyle w:val="NoSpacing"/>
      </w:pPr>
    </w:p>
    <w:p w:rsidR="00E62A43" w:rsidRDefault="00E62A43" w:rsidP="00E62A43">
      <w:pPr>
        <w:pStyle w:val="Heading4"/>
      </w:pPr>
      <w:r>
        <w:t xml:space="preserve">Waste Production </w:t>
      </w:r>
    </w:p>
    <w:tbl>
      <w:tblPr>
        <w:tblStyle w:val="TableGrid"/>
        <w:tblW w:w="10916" w:type="dxa"/>
        <w:tblInd w:w="-998" w:type="dxa"/>
        <w:tblLook w:val="04A0" w:firstRow="1" w:lastRow="0" w:firstColumn="1" w:lastColumn="0" w:noHBand="0" w:noVBand="1"/>
      </w:tblPr>
      <w:tblGrid>
        <w:gridCol w:w="7372"/>
        <w:gridCol w:w="1701"/>
        <w:gridCol w:w="1843"/>
      </w:tblGrid>
      <w:tr w:rsidR="00E62A43" w:rsidTr="0029223B">
        <w:tc>
          <w:tcPr>
            <w:tcW w:w="7372" w:type="dxa"/>
            <w:vMerge w:val="restart"/>
          </w:tcPr>
          <w:p w:rsidR="00E62A43" w:rsidRDefault="00E62A43" w:rsidP="005D0902">
            <w:pPr>
              <w:pStyle w:val="NoSpacing"/>
            </w:pPr>
            <w:r>
              <w:t>Total units of office waste disposed of by destination (kg per year)</w:t>
            </w:r>
          </w:p>
        </w:tc>
        <w:tc>
          <w:tcPr>
            <w:tcW w:w="1701" w:type="dxa"/>
          </w:tcPr>
          <w:p w:rsidR="00E62A43" w:rsidRDefault="00E62A43" w:rsidP="00E62A43">
            <w:pPr>
              <w:pStyle w:val="NoSpacing"/>
              <w:jc w:val="right"/>
            </w:pPr>
            <w:r>
              <w:t>Landfill</w:t>
            </w:r>
          </w:p>
        </w:tc>
        <w:tc>
          <w:tcPr>
            <w:tcW w:w="1843" w:type="dxa"/>
          </w:tcPr>
          <w:p w:rsidR="00E62A43" w:rsidRDefault="0029223B" w:rsidP="00E62A43">
            <w:pPr>
              <w:pStyle w:val="NoSpacing"/>
              <w:jc w:val="right"/>
            </w:pPr>
            <w:r>
              <w:t>1,250,718</w:t>
            </w:r>
          </w:p>
        </w:tc>
      </w:tr>
      <w:tr w:rsidR="00E62A43" w:rsidTr="0029223B">
        <w:tc>
          <w:tcPr>
            <w:tcW w:w="7372" w:type="dxa"/>
            <w:vMerge/>
          </w:tcPr>
          <w:p w:rsidR="00E62A43" w:rsidRDefault="00E62A43" w:rsidP="005D0902">
            <w:pPr>
              <w:pStyle w:val="NoSpacing"/>
            </w:pPr>
          </w:p>
        </w:tc>
        <w:tc>
          <w:tcPr>
            <w:tcW w:w="1701" w:type="dxa"/>
          </w:tcPr>
          <w:p w:rsidR="00E62A43" w:rsidRDefault="00E62A43" w:rsidP="00E62A43">
            <w:pPr>
              <w:pStyle w:val="NoSpacing"/>
              <w:jc w:val="right"/>
            </w:pPr>
            <w:r>
              <w:t>Recycled</w:t>
            </w:r>
          </w:p>
        </w:tc>
        <w:tc>
          <w:tcPr>
            <w:tcW w:w="1843" w:type="dxa"/>
          </w:tcPr>
          <w:p w:rsidR="00E62A43" w:rsidRDefault="0029223B" w:rsidP="00E62A43">
            <w:pPr>
              <w:pStyle w:val="NoSpacing"/>
              <w:jc w:val="right"/>
            </w:pPr>
            <w:r>
              <w:t>332,405</w:t>
            </w:r>
          </w:p>
        </w:tc>
      </w:tr>
      <w:tr w:rsidR="00E62A43" w:rsidTr="0029223B">
        <w:tc>
          <w:tcPr>
            <w:tcW w:w="7372" w:type="dxa"/>
            <w:vMerge/>
          </w:tcPr>
          <w:p w:rsidR="00E62A43" w:rsidRDefault="00E62A43" w:rsidP="005D0902">
            <w:pPr>
              <w:pStyle w:val="NoSpacing"/>
            </w:pPr>
          </w:p>
        </w:tc>
        <w:tc>
          <w:tcPr>
            <w:tcW w:w="1701" w:type="dxa"/>
          </w:tcPr>
          <w:p w:rsidR="00E62A43" w:rsidRDefault="00E62A43" w:rsidP="00E62A43">
            <w:pPr>
              <w:pStyle w:val="NoSpacing"/>
              <w:jc w:val="right"/>
            </w:pPr>
            <w:r>
              <w:t>Total</w:t>
            </w:r>
          </w:p>
        </w:tc>
        <w:tc>
          <w:tcPr>
            <w:tcW w:w="1843" w:type="dxa"/>
          </w:tcPr>
          <w:p w:rsidR="00E62A43" w:rsidRDefault="0029223B" w:rsidP="00E62A43">
            <w:pPr>
              <w:pStyle w:val="NoSpacing"/>
              <w:jc w:val="right"/>
            </w:pPr>
            <w:r>
              <w:t>1,583,123</w:t>
            </w:r>
          </w:p>
        </w:tc>
      </w:tr>
      <w:tr w:rsidR="00E62A43" w:rsidTr="0029223B">
        <w:tc>
          <w:tcPr>
            <w:tcW w:w="7372" w:type="dxa"/>
          </w:tcPr>
          <w:p w:rsidR="00E62A43" w:rsidRDefault="0029223B" w:rsidP="005D0902">
            <w:pPr>
              <w:pStyle w:val="NoSpacing"/>
            </w:pPr>
            <w:r>
              <w:t>Units of waste disposed of per full time employee – FTE by destination (kg per FTE)</w:t>
            </w:r>
          </w:p>
        </w:tc>
        <w:tc>
          <w:tcPr>
            <w:tcW w:w="1701" w:type="dxa"/>
          </w:tcPr>
          <w:p w:rsidR="00E62A43" w:rsidRDefault="00E62A43" w:rsidP="00E62A43">
            <w:pPr>
              <w:pStyle w:val="NoSpacing"/>
              <w:jc w:val="right"/>
            </w:pPr>
          </w:p>
        </w:tc>
        <w:tc>
          <w:tcPr>
            <w:tcW w:w="1843" w:type="dxa"/>
          </w:tcPr>
          <w:p w:rsidR="00E62A43" w:rsidRDefault="0029223B" w:rsidP="00E62A43">
            <w:pPr>
              <w:pStyle w:val="NoSpacing"/>
              <w:jc w:val="right"/>
            </w:pPr>
            <w:r>
              <w:t>1,650</w:t>
            </w:r>
          </w:p>
        </w:tc>
      </w:tr>
      <w:tr w:rsidR="00E62A43" w:rsidTr="0029223B">
        <w:tc>
          <w:tcPr>
            <w:tcW w:w="7372" w:type="dxa"/>
          </w:tcPr>
          <w:p w:rsidR="00E62A43" w:rsidRDefault="0029223B" w:rsidP="005D0902">
            <w:pPr>
              <w:pStyle w:val="NoSpacing"/>
            </w:pPr>
            <w:r>
              <w:t>Recycling rate (% of total waste by weight)</w:t>
            </w:r>
          </w:p>
        </w:tc>
        <w:tc>
          <w:tcPr>
            <w:tcW w:w="1701" w:type="dxa"/>
          </w:tcPr>
          <w:p w:rsidR="00E62A43" w:rsidRDefault="00E62A43" w:rsidP="00E62A43">
            <w:pPr>
              <w:pStyle w:val="NoSpacing"/>
              <w:jc w:val="right"/>
            </w:pPr>
          </w:p>
        </w:tc>
        <w:tc>
          <w:tcPr>
            <w:tcW w:w="1843" w:type="dxa"/>
          </w:tcPr>
          <w:p w:rsidR="00E62A43" w:rsidRDefault="0029223B" w:rsidP="00E62A43">
            <w:pPr>
              <w:pStyle w:val="NoSpacing"/>
              <w:jc w:val="right"/>
            </w:pPr>
            <w:r>
              <w:t>21%</w:t>
            </w:r>
          </w:p>
        </w:tc>
      </w:tr>
      <w:tr w:rsidR="00E62A43" w:rsidTr="0029223B">
        <w:tc>
          <w:tcPr>
            <w:tcW w:w="7372" w:type="dxa"/>
          </w:tcPr>
          <w:p w:rsidR="00E62A43" w:rsidRDefault="0029223B" w:rsidP="005D0902">
            <w:pPr>
              <w:pStyle w:val="NoSpacing"/>
            </w:pPr>
            <w:r>
              <w:t>Greenhouse gas emissions associated with waste disposal (tonnes CO2e)</w:t>
            </w:r>
          </w:p>
        </w:tc>
        <w:tc>
          <w:tcPr>
            <w:tcW w:w="1701" w:type="dxa"/>
          </w:tcPr>
          <w:p w:rsidR="00E62A43" w:rsidRDefault="00E62A43" w:rsidP="00E62A43">
            <w:pPr>
              <w:pStyle w:val="NoSpacing"/>
              <w:jc w:val="right"/>
            </w:pPr>
          </w:p>
        </w:tc>
        <w:tc>
          <w:tcPr>
            <w:tcW w:w="1843" w:type="dxa"/>
          </w:tcPr>
          <w:p w:rsidR="00E62A43" w:rsidRDefault="0029223B" w:rsidP="00E62A43">
            <w:pPr>
              <w:pStyle w:val="NoSpacing"/>
              <w:jc w:val="right"/>
            </w:pPr>
            <w:r>
              <w:t>1,250</w:t>
            </w:r>
          </w:p>
        </w:tc>
      </w:tr>
    </w:tbl>
    <w:p w:rsidR="00E62A43" w:rsidRDefault="00E62A43" w:rsidP="005D0902">
      <w:pPr>
        <w:pStyle w:val="NoSpacing"/>
      </w:pPr>
    </w:p>
    <w:p w:rsidR="00C95188" w:rsidRDefault="0029223B" w:rsidP="0029223B">
      <w:pPr>
        <w:pStyle w:val="Heading4"/>
      </w:pPr>
      <w:r>
        <w:t xml:space="preserve">Paper use </w:t>
      </w:r>
    </w:p>
    <w:tbl>
      <w:tblPr>
        <w:tblStyle w:val="TableGrid"/>
        <w:tblW w:w="10916" w:type="dxa"/>
        <w:tblInd w:w="-998" w:type="dxa"/>
        <w:tblLook w:val="04A0" w:firstRow="1" w:lastRow="0" w:firstColumn="1" w:lastColumn="0" w:noHBand="0" w:noVBand="1"/>
      </w:tblPr>
      <w:tblGrid>
        <w:gridCol w:w="7372"/>
        <w:gridCol w:w="1701"/>
        <w:gridCol w:w="1843"/>
      </w:tblGrid>
      <w:tr w:rsidR="0029223B" w:rsidTr="0029223B">
        <w:tc>
          <w:tcPr>
            <w:tcW w:w="7372" w:type="dxa"/>
            <w:vMerge w:val="restart"/>
          </w:tcPr>
          <w:p w:rsidR="0029223B" w:rsidRDefault="0029223B" w:rsidP="005D0902">
            <w:pPr>
              <w:pStyle w:val="NoSpacing"/>
            </w:pPr>
            <w:r>
              <w:t>Total units of A4 equivalent copy paper used (reams) (1 ream = 500 pages/sheets). *Figure is based on the assumption that the total impressions/clicks are all calculated as printing double sided only to work out the total page/paper count.</w:t>
            </w:r>
          </w:p>
        </w:tc>
        <w:tc>
          <w:tcPr>
            <w:tcW w:w="1701" w:type="dxa"/>
          </w:tcPr>
          <w:p w:rsidR="0029223B" w:rsidRDefault="0029223B" w:rsidP="0029223B">
            <w:pPr>
              <w:pStyle w:val="NoSpacing"/>
              <w:jc w:val="right"/>
            </w:pPr>
            <w:r>
              <w:t>Corridor printers*</w:t>
            </w:r>
          </w:p>
        </w:tc>
        <w:tc>
          <w:tcPr>
            <w:tcW w:w="1843" w:type="dxa"/>
          </w:tcPr>
          <w:p w:rsidR="0029223B" w:rsidRDefault="0029223B" w:rsidP="0029223B">
            <w:pPr>
              <w:pStyle w:val="NoSpacing"/>
              <w:jc w:val="right"/>
            </w:pPr>
            <w:r>
              <w:t>11,353</w:t>
            </w:r>
          </w:p>
        </w:tc>
      </w:tr>
      <w:tr w:rsidR="0029223B" w:rsidTr="0029223B">
        <w:tc>
          <w:tcPr>
            <w:tcW w:w="7372" w:type="dxa"/>
            <w:vMerge/>
          </w:tcPr>
          <w:p w:rsidR="0029223B" w:rsidRDefault="0029223B" w:rsidP="005D0902">
            <w:pPr>
              <w:pStyle w:val="NoSpacing"/>
            </w:pPr>
          </w:p>
        </w:tc>
        <w:tc>
          <w:tcPr>
            <w:tcW w:w="1701" w:type="dxa"/>
          </w:tcPr>
          <w:p w:rsidR="0029223B" w:rsidRDefault="0029223B" w:rsidP="0029223B">
            <w:pPr>
              <w:pStyle w:val="NoSpacing"/>
              <w:jc w:val="right"/>
            </w:pPr>
            <w:r>
              <w:t>Print room</w:t>
            </w:r>
          </w:p>
        </w:tc>
        <w:tc>
          <w:tcPr>
            <w:tcW w:w="1843" w:type="dxa"/>
          </w:tcPr>
          <w:p w:rsidR="0029223B" w:rsidRDefault="0029223B" w:rsidP="0029223B">
            <w:pPr>
              <w:pStyle w:val="NoSpacing"/>
              <w:jc w:val="right"/>
            </w:pPr>
            <w:r>
              <w:t>8,717</w:t>
            </w:r>
          </w:p>
        </w:tc>
      </w:tr>
      <w:tr w:rsidR="0029223B" w:rsidTr="0029223B">
        <w:tc>
          <w:tcPr>
            <w:tcW w:w="7372" w:type="dxa"/>
            <w:vMerge/>
          </w:tcPr>
          <w:p w:rsidR="0029223B" w:rsidRDefault="0029223B" w:rsidP="005D0902">
            <w:pPr>
              <w:pStyle w:val="NoSpacing"/>
            </w:pPr>
          </w:p>
        </w:tc>
        <w:tc>
          <w:tcPr>
            <w:tcW w:w="1701" w:type="dxa"/>
          </w:tcPr>
          <w:p w:rsidR="0029223B" w:rsidRDefault="0029223B" w:rsidP="0029223B">
            <w:pPr>
              <w:pStyle w:val="NoSpacing"/>
              <w:jc w:val="right"/>
            </w:pPr>
            <w:r>
              <w:t>Total</w:t>
            </w:r>
          </w:p>
        </w:tc>
        <w:tc>
          <w:tcPr>
            <w:tcW w:w="1843" w:type="dxa"/>
          </w:tcPr>
          <w:p w:rsidR="0029223B" w:rsidRDefault="0029223B" w:rsidP="0029223B">
            <w:pPr>
              <w:pStyle w:val="NoSpacing"/>
              <w:jc w:val="right"/>
            </w:pPr>
            <w:r>
              <w:t>20,070</w:t>
            </w:r>
          </w:p>
        </w:tc>
      </w:tr>
      <w:tr w:rsidR="0029223B" w:rsidTr="0029223B">
        <w:tc>
          <w:tcPr>
            <w:tcW w:w="7372" w:type="dxa"/>
          </w:tcPr>
          <w:p w:rsidR="0029223B" w:rsidRDefault="0029223B" w:rsidP="005D0902">
            <w:pPr>
              <w:pStyle w:val="NoSpacing"/>
            </w:pPr>
            <w:r>
              <w:t>Units of A4 equivalent copy paper (reams) used per full time employee – FTE (reams per FTE)</w:t>
            </w:r>
          </w:p>
        </w:tc>
        <w:tc>
          <w:tcPr>
            <w:tcW w:w="1701" w:type="dxa"/>
          </w:tcPr>
          <w:p w:rsidR="0029223B" w:rsidRDefault="0029223B" w:rsidP="0029223B">
            <w:pPr>
              <w:pStyle w:val="NoSpacing"/>
              <w:jc w:val="right"/>
            </w:pPr>
          </w:p>
        </w:tc>
        <w:tc>
          <w:tcPr>
            <w:tcW w:w="1843" w:type="dxa"/>
          </w:tcPr>
          <w:p w:rsidR="0029223B" w:rsidRDefault="0029223B" w:rsidP="0029223B">
            <w:pPr>
              <w:pStyle w:val="NoSpacing"/>
              <w:jc w:val="right"/>
            </w:pPr>
            <w:r>
              <w:t>20.9</w:t>
            </w:r>
          </w:p>
        </w:tc>
      </w:tr>
      <w:tr w:rsidR="0029223B" w:rsidTr="0029223B">
        <w:tc>
          <w:tcPr>
            <w:tcW w:w="7372" w:type="dxa"/>
            <w:vMerge w:val="restart"/>
          </w:tcPr>
          <w:p w:rsidR="0029223B" w:rsidRDefault="0029223B" w:rsidP="005D0902">
            <w:pPr>
              <w:pStyle w:val="NoSpacing"/>
            </w:pPr>
            <w:r>
              <w:t>Percentage of recycled content in copy paper purchased (%)</w:t>
            </w:r>
          </w:p>
        </w:tc>
        <w:tc>
          <w:tcPr>
            <w:tcW w:w="1701" w:type="dxa"/>
          </w:tcPr>
          <w:p w:rsidR="0029223B" w:rsidRDefault="0029223B" w:rsidP="0029223B">
            <w:pPr>
              <w:pStyle w:val="NoSpacing"/>
              <w:jc w:val="right"/>
            </w:pPr>
            <w:r>
              <w:t>Recycled content</w:t>
            </w:r>
          </w:p>
        </w:tc>
        <w:tc>
          <w:tcPr>
            <w:tcW w:w="1843" w:type="dxa"/>
          </w:tcPr>
          <w:p w:rsidR="0029223B" w:rsidRDefault="0029223B" w:rsidP="0029223B">
            <w:pPr>
              <w:pStyle w:val="NoSpacing"/>
              <w:jc w:val="right"/>
            </w:pPr>
            <w:r>
              <w:t>-</w:t>
            </w:r>
          </w:p>
        </w:tc>
      </w:tr>
      <w:tr w:rsidR="0029223B" w:rsidTr="0029223B">
        <w:tc>
          <w:tcPr>
            <w:tcW w:w="7372" w:type="dxa"/>
            <w:vMerge/>
          </w:tcPr>
          <w:p w:rsidR="0029223B" w:rsidRDefault="0029223B" w:rsidP="005D0902">
            <w:pPr>
              <w:pStyle w:val="NoSpacing"/>
            </w:pPr>
          </w:p>
        </w:tc>
        <w:tc>
          <w:tcPr>
            <w:tcW w:w="1701" w:type="dxa"/>
          </w:tcPr>
          <w:p w:rsidR="0029223B" w:rsidRDefault="0029223B" w:rsidP="0029223B">
            <w:pPr>
              <w:pStyle w:val="NoSpacing"/>
              <w:jc w:val="right"/>
            </w:pPr>
            <w:r>
              <w:t>Carbon neutral</w:t>
            </w:r>
          </w:p>
        </w:tc>
        <w:tc>
          <w:tcPr>
            <w:tcW w:w="1843" w:type="dxa"/>
          </w:tcPr>
          <w:p w:rsidR="0029223B" w:rsidRDefault="0029223B" w:rsidP="0029223B">
            <w:pPr>
              <w:pStyle w:val="NoSpacing"/>
              <w:jc w:val="right"/>
            </w:pPr>
            <w:r>
              <w:t>-</w:t>
            </w:r>
          </w:p>
        </w:tc>
      </w:tr>
      <w:tr w:rsidR="0029223B" w:rsidTr="0029223B">
        <w:tc>
          <w:tcPr>
            <w:tcW w:w="7372" w:type="dxa"/>
            <w:vMerge/>
          </w:tcPr>
          <w:p w:rsidR="0029223B" w:rsidRDefault="0029223B" w:rsidP="005D0902">
            <w:pPr>
              <w:pStyle w:val="NoSpacing"/>
            </w:pPr>
          </w:p>
        </w:tc>
        <w:tc>
          <w:tcPr>
            <w:tcW w:w="1701" w:type="dxa"/>
          </w:tcPr>
          <w:p w:rsidR="0029223B" w:rsidRDefault="0029223B" w:rsidP="0029223B">
            <w:pPr>
              <w:pStyle w:val="NoSpacing"/>
              <w:jc w:val="right"/>
            </w:pPr>
            <w:r>
              <w:t>FSC/PEFC accredited</w:t>
            </w:r>
          </w:p>
        </w:tc>
        <w:tc>
          <w:tcPr>
            <w:tcW w:w="1843" w:type="dxa"/>
          </w:tcPr>
          <w:p w:rsidR="0029223B" w:rsidRDefault="0029223B" w:rsidP="0029223B">
            <w:pPr>
              <w:pStyle w:val="NoSpacing"/>
              <w:jc w:val="right"/>
            </w:pPr>
            <w:r>
              <w:t>49%</w:t>
            </w:r>
          </w:p>
        </w:tc>
      </w:tr>
    </w:tbl>
    <w:p w:rsidR="0029223B" w:rsidRDefault="0029223B" w:rsidP="005D0902">
      <w:pPr>
        <w:pStyle w:val="NoSpacing"/>
      </w:pPr>
    </w:p>
    <w:p w:rsidR="0029223B" w:rsidRDefault="0029223B" w:rsidP="0029223B">
      <w:pPr>
        <w:pStyle w:val="Heading4"/>
      </w:pPr>
      <w:r>
        <w:t xml:space="preserve">Water consumption </w:t>
      </w:r>
    </w:p>
    <w:tbl>
      <w:tblPr>
        <w:tblStyle w:val="TableGrid"/>
        <w:tblW w:w="10916" w:type="dxa"/>
        <w:tblInd w:w="-998" w:type="dxa"/>
        <w:tblLook w:val="04A0" w:firstRow="1" w:lastRow="0" w:firstColumn="1" w:lastColumn="0" w:noHBand="0" w:noVBand="1"/>
      </w:tblPr>
      <w:tblGrid>
        <w:gridCol w:w="7372"/>
        <w:gridCol w:w="3544"/>
      </w:tblGrid>
      <w:tr w:rsidR="0029223B" w:rsidTr="0029223B">
        <w:tc>
          <w:tcPr>
            <w:tcW w:w="7372" w:type="dxa"/>
          </w:tcPr>
          <w:p w:rsidR="0029223B" w:rsidRDefault="0029223B" w:rsidP="005D0902">
            <w:pPr>
              <w:pStyle w:val="NoSpacing"/>
            </w:pPr>
            <w:r>
              <w:t>Total units of metered water consumed by water source (kilolitres)</w:t>
            </w:r>
          </w:p>
        </w:tc>
        <w:tc>
          <w:tcPr>
            <w:tcW w:w="3544" w:type="dxa"/>
          </w:tcPr>
          <w:p w:rsidR="0029223B" w:rsidRDefault="00E01E2F" w:rsidP="0029223B">
            <w:pPr>
              <w:pStyle w:val="NoSpacing"/>
              <w:jc w:val="right"/>
            </w:pPr>
            <w:r>
              <w:t>47,875</w:t>
            </w:r>
          </w:p>
        </w:tc>
      </w:tr>
      <w:tr w:rsidR="0029223B" w:rsidTr="0029223B">
        <w:tc>
          <w:tcPr>
            <w:tcW w:w="7372" w:type="dxa"/>
          </w:tcPr>
          <w:p w:rsidR="0029223B" w:rsidRDefault="0029223B" w:rsidP="005D0902">
            <w:pPr>
              <w:pStyle w:val="NoSpacing"/>
            </w:pPr>
            <w:r>
              <w:t>Units of metered water consumed in offices per FTE (kilolitres per full time employee – FTE)</w:t>
            </w:r>
          </w:p>
        </w:tc>
        <w:tc>
          <w:tcPr>
            <w:tcW w:w="3544" w:type="dxa"/>
          </w:tcPr>
          <w:p w:rsidR="0029223B" w:rsidRDefault="00E01E2F" w:rsidP="0029223B">
            <w:pPr>
              <w:pStyle w:val="NoSpacing"/>
              <w:jc w:val="right"/>
            </w:pPr>
            <w:r>
              <w:t>49.9</w:t>
            </w:r>
          </w:p>
        </w:tc>
      </w:tr>
      <w:tr w:rsidR="0029223B" w:rsidTr="0029223B">
        <w:tc>
          <w:tcPr>
            <w:tcW w:w="7372" w:type="dxa"/>
          </w:tcPr>
          <w:p w:rsidR="0029223B" w:rsidRDefault="0029223B" w:rsidP="005D0902">
            <w:pPr>
              <w:pStyle w:val="NoSpacing"/>
            </w:pPr>
            <w:r>
              <w:t>Units of metered water consumed in offices per unit of office area (kilolitres per m</w:t>
            </w:r>
            <w:r w:rsidRPr="0029223B">
              <w:rPr>
                <w:sz w:val="12"/>
                <w:szCs w:val="12"/>
              </w:rPr>
              <w:t>2</w:t>
            </w:r>
            <w:r>
              <w:t>)</w:t>
            </w:r>
          </w:p>
        </w:tc>
        <w:tc>
          <w:tcPr>
            <w:tcW w:w="3544" w:type="dxa"/>
          </w:tcPr>
          <w:p w:rsidR="0029223B" w:rsidRDefault="00E01E2F" w:rsidP="0029223B">
            <w:pPr>
              <w:pStyle w:val="NoSpacing"/>
              <w:jc w:val="right"/>
            </w:pPr>
            <w:r>
              <w:t>0.33</w:t>
            </w:r>
          </w:p>
        </w:tc>
      </w:tr>
    </w:tbl>
    <w:p w:rsidR="0029223B" w:rsidRDefault="0029223B" w:rsidP="005D0902">
      <w:pPr>
        <w:pStyle w:val="NoSpacing"/>
      </w:pPr>
    </w:p>
    <w:p w:rsidR="00E01E2F" w:rsidRDefault="00E01E2F" w:rsidP="005D0902">
      <w:pPr>
        <w:pStyle w:val="NoSpacing"/>
      </w:pPr>
      <w:r>
        <w:t>&lt;page 110&gt;</w:t>
      </w:r>
    </w:p>
    <w:p w:rsidR="00E01E2F" w:rsidRDefault="00E01E2F" w:rsidP="005D0902">
      <w:pPr>
        <w:pStyle w:val="NoSpacing"/>
      </w:pPr>
    </w:p>
    <w:p w:rsidR="00E01E2F" w:rsidRDefault="00E01E2F" w:rsidP="00E01E2F">
      <w:pPr>
        <w:pStyle w:val="Heading4"/>
      </w:pPr>
      <w:r>
        <w:t>Transportation</w:t>
      </w:r>
    </w:p>
    <w:tbl>
      <w:tblPr>
        <w:tblStyle w:val="TableGrid"/>
        <w:tblW w:w="10916" w:type="dxa"/>
        <w:tblInd w:w="-998" w:type="dxa"/>
        <w:tblLook w:val="04A0" w:firstRow="1" w:lastRow="0" w:firstColumn="1" w:lastColumn="0" w:noHBand="0" w:noVBand="1"/>
      </w:tblPr>
      <w:tblGrid>
        <w:gridCol w:w="7372"/>
        <w:gridCol w:w="1701"/>
        <w:gridCol w:w="1843"/>
      </w:tblGrid>
      <w:tr w:rsidR="00E01E2F" w:rsidTr="00E01E2F">
        <w:tc>
          <w:tcPr>
            <w:tcW w:w="7372" w:type="dxa"/>
            <w:vMerge w:val="restart"/>
          </w:tcPr>
          <w:p w:rsidR="00E01E2F" w:rsidRDefault="00E01E2F" w:rsidP="005D0902">
            <w:pPr>
              <w:pStyle w:val="NoSpacing"/>
            </w:pPr>
            <w:r>
              <w:t>Total energy consumption by vehicle fleet segmented by vehicle type (MJ)</w:t>
            </w:r>
          </w:p>
        </w:tc>
        <w:tc>
          <w:tcPr>
            <w:tcW w:w="1701" w:type="dxa"/>
          </w:tcPr>
          <w:p w:rsidR="00E01E2F" w:rsidRDefault="00E01E2F" w:rsidP="00E01E2F">
            <w:pPr>
              <w:pStyle w:val="NoSpacing"/>
              <w:jc w:val="right"/>
            </w:pPr>
            <w:r>
              <w:t>Diesel</w:t>
            </w:r>
          </w:p>
        </w:tc>
        <w:tc>
          <w:tcPr>
            <w:tcW w:w="1843" w:type="dxa"/>
          </w:tcPr>
          <w:p w:rsidR="00E01E2F" w:rsidRDefault="00E01E2F" w:rsidP="00E01E2F">
            <w:pPr>
              <w:pStyle w:val="NoSpacing"/>
              <w:jc w:val="right"/>
            </w:pPr>
            <w:r>
              <w:t>251,133</w:t>
            </w:r>
          </w:p>
        </w:tc>
      </w:tr>
      <w:tr w:rsidR="00E01E2F" w:rsidTr="00E01E2F">
        <w:tc>
          <w:tcPr>
            <w:tcW w:w="7372" w:type="dxa"/>
            <w:vMerge/>
          </w:tcPr>
          <w:p w:rsidR="00E01E2F" w:rsidRDefault="00E01E2F" w:rsidP="005D0902">
            <w:pPr>
              <w:pStyle w:val="NoSpacing"/>
            </w:pPr>
          </w:p>
        </w:tc>
        <w:tc>
          <w:tcPr>
            <w:tcW w:w="1701" w:type="dxa"/>
          </w:tcPr>
          <w:p w:rsidR="00E01E2F" w:rsidRDefault="00E01E2F" w:rsidP="00E01E2F">
            <w:pPr>
              <w:pStyle w:val="NoSpacing"/>
              <w:jc w:val="right"/>
            </w:pPr>
            <w:r>
              <w:t>LPG</w:t>
            </w:r>
          </w:p>
        </w:tc>
        <w:tc>
          <w:tcPr>
            <w:tcW w:w="1843" w:type="dxa"/>
          </w:tcPr>
          <w:p w:rsidR="00E01E2F" w:rsidRDefault="00E01E2F" w:rsidP="00E01E2F">
            <w:pPr>
              <w:pStyle w:val="NoSpacing"/>
              <w:jc w:val="right"/>
            </w:pPr>
            <w:r>
              <w:t>0</w:t>
            </w:r>
          </w:p>
        </w:tc>
      </w:tr>
      <w:tr w:rsidR="00E01E2F" w:rsidTr="00E01E2F">
        <w:tc>
          <w:tcPr>
            <w:tcW w:w="7372" w:type="dxa"/>
            <w:vMerge/>
          </w:tcPr>
          <w:p w:rsidR="00E01E2F" w:rsidRDefault="00E01E2F" w:rsidP="005D0902">
            <w:pPr>
              <w:pStyle w:val="NoSpacing"/>
            </w:pPr>
          </w:p>
        </w:tc>
        <w:tc>
          <w:tcPr>
            <w:tcW w:w="1701" w:type="dxa"/>
          </w:tcPr>
          <w:p w:rsidR="00E01E2F" w:rsidRDefault="00E01E2F" w:rsidP="00E01E2F">
            <w:pPr>
              <w:pStyle w:val="NoSpacing"/>
              <w:jc w:val="right"/>
            </w:pPr>
            <w:r>
              <w:t>Petrol</w:t>
            </w:r>
          </w:p>
        </w:tc>
        <w:tc>
          <w:tcPr>
            <w:tcW w:w="1843" w:type="dxa"/>
          </w:tcPr>
          <w:p w:rsidR="00E01E2F" w:rsidRDefault="00E01E2F" w:rsidP="00E01E2F">
            <w:pPr>
              <w:pStyle w:val="NoSpacing"/>
              <w:jc w:val="right"/>
            </w:pPr>
            <w:r>
              <w:t>3,320,682</w:t>
            </w:r>
          </w:p>
        </w:tc>
      </w:tr>
      <w:tr w:rsidR="00E01E2F" w:rsidTr="00E01E2F">
        <w:tc>
          <w:tcPr>
            <w:tcW w:w="7372" w:type="dxa"/>
            <w:vMerge/>
          </w:tcPr>
          <w:p w:rsidR="00E01E2F" w:rsidRDefault="00E01E2F" w:rsidP="005D0902">
            <w:pPr>
              <w:pStyle w:val="NoSpacing"/>
            </w:pPr>
          </w:p>
        </w:tc>
        <w:tc>
          <w:tcPr>
            <w:tcW w:w="1701" w:type="dxa"/>
          </w:tcPr>
          <w:p w:rsidR="00E01E2F" w:rsidRDefault="00E01E2F" w:rsidP="00E01E2F">
            <w:pPr>
              <w:pStyle w:val="NoSpacing"/>
              <w:jc w:val="right"/>
            </w:pPr>
            <w:r>
              <w:t>Total</w:t>
            </w:r>
          </w:p>
        </w:tc>
        <w:tc>
          <w:tcPr>
            <w:tcW w:w="1843" w:type="dxa"/>
          </w:tcPr>
          <w:p w:rsidR="00E01E2F" w:rsidRDefault="00E01E2F" w:rsidP="00E01E2F">
            <w:pPr>
              <w:pStyle w:val="NoSpacing"/>
              <w:jc w:val="right"/>
            </w:pPr>
            <w:r>
              <w:t>3,571,815</w:t>
            </w:r>
          </w:p>
        </w:tc>
      </w:tr>
      <w:tr w:rsidR="00E01E2F" w:rsidTr="006B2929">
        <w:tc>
          <w:tcPr>
            <w:tcW w:w="9073" w:type="dxa"/>
            <w:gridSpan w:val="2"/>
          </w:tcPr>
          <w:p w:rsidR="00E01E2F" w:rsidRDefault="00E01E2F" w:rsidP="00E01E2F">
            <w:pPr>
              <w:pStyle w:val="NoSpacing"/>
            </w:pPr>
            <w:r>
              <w:t>Total vehicle travel associated with entity operations (km)</w:t>
            </w:r>
          </w:p>
        </w:tc>
        <w:tc>
          <w:tcPr>
            <w:tcW w:w="1843" w:type="dxa"/>
          </w:tcPr>
          <w:p w:rsidR="00E01E2F" w:rsidRDefault="00E01E2F" w:rsidP="00E01E2F">
            <w:pPr>
              <w:pStyle w:val="NoSpacing"/>
              <w:jc w:val="right"/>
            </w:pPr>
            <w:r>
              <w:t>1,282,858</w:t>
            </w:r>
          </w:p>
        </w:tc>
      </w:tr>
      <w:tr w:rsidR="00A07399" w:rsidTr="00E01E2F">
        <w:tc>
          <w:tcPr>
            <w:tcW w:w="7372" w:type="dxa"/>
            <w:vMerge w:val="restart"/>
          </w:tcPr>
          <w:p w:rsidR="00A07399" w:rsidRDefault="00A07399" w:rsidP="005D0902">
            <w:pPr>
              <w:pStyle w:val="NoSpacing"/>
            </w:pPr>
            <w:r>
              <w:t>Greenhouse gas emissions from vehicle fleet (tonnes CO2e) segmented by vehicle type</w:t>
            </w:r>
          </w:p>
        </w:tc>
        <w:tc>
          <w:tcPr>
            <w:tcW w:w="1701" w:type="dxa"/>
          </w:tcPr>
          <w:p w:rsidR="00A07399" w:rsidRDefault="00A07399" w:rsidP="00E01E2F">
            <w:pPr>
              <w:pStyle w:val="NoSpacing"/>
              <w:jc w:val="right"/>
            </w:pPr>
            <w:r>
              <w:t>Diesel (S1+3)</w:t>
            </w:r>
          </w:p>
        </w:tc>
        <w:tc>
          <w:tcPr>
            <w:tcW w:w="1843" w:type="dxa"/>
          </w:tcPr>
          <w:p w:rsidR="00A07399" w:rsidRDefault="007830A8" w:rsidP="00E01E2F">
            <w:pPr>
              <w:pStyle w:val="NoSpacing"/>
              <w:jc w:val="right"/>
            </w:pPr>
            <w:r>
              <w:t>19</w:t>
            </w:r>
          </w:p>
        </w:tc>
      </w:tr>
      <w:tr w:rsidR="00A07399" w:rsidTr="00E01E2F">
        <w:tc>
          <w:tcPr>
            <w:tcW w:w="7372" w:type="dxa"/>
            <w:vMerge/>
          </w:tcPr>
          <w:p w:rsidR="00A07399" w:rsidRDefault="00A07399" w:rsidP="005D0902">
            <w:pPr>
              <w:pStyle w:val="NoSpacing"/>
            </w:pPr>
          </w:p>
        </w:tc>
        <w:tc>
          <w:tcPr>
            <w:tcW w:w="1701" w:type="dxa"/>
          </w:tcPr>
          <w:p w:rsidR="00A07399" w:rsidRDefault="00A07399" w:rsidP="00E01E2F">
            <w:pPr>
              <w:pStyle w:val="NoSpacing"/>
              <w:jc w:val="right"/>
            </w:pPr>
            <w:r>
              <w:t>LPG (S1+3)</w:t>
            </w:r>
          </w:p>
        </w:tc>
        <w:tc>
          <w:tcPr>
            <w:tcW w:w="1843" w:type="dxa"/>
          </w:tcPr>
          <w:p w:rsidR="00A07399" w:rsidRDefault="007830A8" w:rsidP="00E01E2F">
            <w:pPr>
              <w:pStyle w:val="NoSpacing"/>
              <w:jc w:val="right"/>
            </w:pPr>
            <w:r>
              <w:t>0</w:t>
            </w:r>
          </w:p>
        </w:tc>
      </w:tr>
      <w:tr w:rsidR="00A07399" w:rsidTr="00E01E2F">
        <w:tc>
          <w:tcPr>
            <w:tcW w:w="7372" w:type="dxa"/>
            <w:vMerge/>
          </w:tcPr>
          <w:p w:rsidR="00A07399" w:rsidRDefault="00A07399" w:rsidP="005D0902">
            <w:pPr>
              <w:pStyle w:val="NoSpacing"/>
            </w:pPr>
          </w:p>
        </w:tc>
        <w:tc>
          <w:tcPr>
            <w:tcW w:w="1701" w:type="dxa"/>
          </w:tcPr>
          <w:p w:rsidR="00A07399" w:rsidRDefault="00A07399" w:rsidP="00E01E2F">
            <w:pPr>
              <w:pStyle w:val="NoSpacing"/>
              <w:jc w:val="right"/>
            </w:pPr>
            <w:r>
              <w:t>Petrol (S1+3)</w:t>
            </w:r>
          </w:p>
        </w:tc>
        <w:tc>
          <w:tcPr>
            <w:tcW w:w="1843" w:type="dxa"/>
          </w:tcPr>
          <w:p w:rsidR="00A07399" w:rsidRDefault="007830A8" w:rsidP="00E01E2F">
            <w:pPr>
              <w:pStyle w:val="NoSpacing"/>
              <w:jc w:val="right"/>
            </w:pPr>
            <w:r>
              <w:t>235</w:t>
            </w:r>
          </w:p>
        </w:tc>
      </w:tr>
      <w:tr w:rsidR="00A07399" w:rsidTr="00E01E2F">
        <w:tc>
          <w:tcPr>
            <w:tcW w:w="7372" w:type="dxa"/>
            <w:vMerge/>
          </w:tcPr>
          <w:p w:rsidR="00A07399" w:rsidRDefault="00A07399" w:rsidP="005D0902">
            <w:pPr>
              <w:pStyle w:val="NoSpacing"/>
            </w:pPr>
          </w:p>
        </w:tc>
        <w:tc>
          <w:tcPr>
            <w:tcW w:w="1701" w:type="dxa"/>
          </w:tcPr>
          <w:p w:rsidR="00A07399" w:rsidRDefault="00A07399" w:rsidP="00E01E2F">
            <w:pPr>
              <w:pStyle w:val="NoSpacing"/>
              <w:jc w:val="right"/>
            </w:pPr>
            <w:r>
              <w:t xml:space="preserve">Total </w:t>
            </w:r>
          </w:p>
        </w:tc>
        <w:tc>
          <w:tcPr>
            <w:tcW w:w="1843" w:type="dxa"/>
          </w:tcPr>
          <w:p w:rsidR="00A07399" w:rsidRDefault="007830A8" w:rsidP="00E01E2F">
            <w:pPr>
              <w:pStyle w:val="NoSpacing"/>
              <w:jc w:val="right"/>
            </w:pPr>
            <w:r>
              <w:t>254</w:t>
            </w:r>
          </w:p>
        </w:tc>
      </w:tr>
      <w:tr w:rsidR="007830A8" w:rsidTr="006B2929">
        <w:tc>
          <w:tcPr>
            <w:tcW w:w="9073" w:type="dxa"/>
            <w:gridSpan w:val="2"/>
          </w:tcPr>
          <w:p w:rsidR="007830A8" w:rsidRDefault="007830A8" w:rsidP="007830A8">
            <w:pPr>
              <w:pStyle w:val="NoSpacing"/>
            </w:pPr>
            <w:r>
              <w:t>Greenhouse gas emissions from vehicle fleet (tonnes CO2e) per 1000km</w:t>
            </w:r>
          </w:p>
        </w:tc>
        <w:tc>
          <w:tcPr>
            <w:tcW w:w="1843" w:type="dxa"/>
          </w:tcPr>
          <w:p w:rsidR="007830A8" w:rsidRDefault="007830A8" w:rsidP="00E01E2F">
            <w:pPr>
              <w:pStyle w:val="NoSpacing"/>
              <w:jc w:val="right"/>
            </w:pPr>
            <w:r>
              <w:t>0.27</w:t>
            </w:r>
          </w:p>
        </w:tc>
      </w:tr>
      <w:tr w:rsidR="007830A8" w:rsidTr="006B2929">
        <w:tc>
          <w:tcPr>
            <w:tcW w:w="9073" w:type="dxa"/>
            <w:gridSpan w:val="2"/>
          </w:tcPr>
          <w:p w:rsidR="007830A8" w:rsidRDefault="007830A8" w:rsidP="007830A8">
            <w:pPr>
              <w:pStyle w:val="NoSpacing"/>
            </w:pPr>
            <w:r>
              <w:t>Total distance travelled by air (km)</w:t>
            </w:r>
          </w:p>
        </w:tc>
        <w:tc>
          <w:tcPr>
            <w:tcW w:w="1843" w:type="dxa"/>
          </w:tcPr>
          <w:p w:rsidR="007830A8" w:rsidRDefault="007830A8" w:rsidP="00E01E2F">
            <w:pPr>
              <w:pStyle w:val="NoSpacing"/>
              <w:jc w:val="right"/>
            </w:pPr>
            <w:r>
              <w:t>1,091,902</w:t>
            </w:r>
          </w:p>
        </w:tc>
      </w:tr>
      <w:tr w:rsidR="007830A8" w:rsidTr="006B2929">
        <w:tc>
          <w:tcPr>
            <w:tcW w:w="9073" w:type="dxa"/>
            <w:gridSpan w:val="2"/>
          </w:tcPr>
          <w:p w:rsidR="007830A8" w:rsidRDefault="007830A8" w:rsidP="007830A8">
            <w:pPr>
              <w:pStyle w:val="NoSpacing"/>
            </w:pPr>
            <w:r>
              <w:t>Percentage of employees regularly using public transport, cycling, walking etc. Sample size – 27 employees - 2015</w:t>
            </w:r>
          </w:p>
        </w:tc>
        <w:tc>
          <w:tcPr>
            <w:tcW w:w="1843" w:type="dxa"/>
          </w:tcPr>
          <w:p w:rsidR="007830A8" w:rsidRDefault="007830A8" w:rsidP="00E01E2F">
            <w:pPr>
              <w:pStyle w:val="NoSpacing"/>
              <w:jc w:val="right"/>
            </w:pPr>
            <w:r>
              <w:t>4%</w:t>
            </w:r>
          </w:p>
        </w:tc>
      </w:tr>
    </w:tbl>
    <w:p w:rsidR="00E01E2F" w:rsidRDefault="00E01E2F" w:rsidP="005D0902">
      <w:pPr>
        <w:pStyle w:val="NoSpacing"/>
      </w:pPr>
    </w:p>
    <w:p w:rsidR="00E01E2F" w:rsidRDefault="00E01E2F" w:rsidP="005D0902">
      <w:pPr>
        <w:pStyle w:val="NoSpacing"/>
      </w:pPr>
    </w:p>
    <w:p w:rsidR="007830A8" w:rsidRDefault="007830A8" w:rsidP="005D0902">
      <w:pPr>
        <w:pStyle w:val="NoSpacing"/>
      </w:pPr>
      <w:r>
        <w:t xml:space="preserve">Greenhouse gas emissions </w:t>
      </w:r>
    </w:p>
    <w:tbl>
      <w:tblPr>
        <w:tblStyle w:val="TableGrid"/>
        <w:tblW w:w="10916" w:type="dxa"/>
        <w:tblInd w:w="-998" w:type="dxa"/>
        <w:tblLook w:val="04A0" w:firstRow="1" w:lastRow="0" w:firstColumn="1" w:lastColumn="0" w:noHBand="0" w:noVBand="1"/>
      </w:tblPr>
      <w:tblGrid>
        <w:gridCol w:w="9073"/>
        <w:gridCol w:w="1843"/>
      </w:tblGrid>
      <w:tr w:rsidR="007830A8" w:rsidTr="007830A8">
        <w:tc>
          <w:tcPr>
            <w:tcW w:w="9073" w:type="dxa"/>
          </w:tcPr>
          <w:p w:rsidR="007830A8" w:rsidRDefault="007830A8" w:rsidP="005D0902">
            <w:pPr>
              <w:pStyle w:val="NoSpacing"/>
            </w:pPr>
            <w:r>
              <w:t>Total greenhouse gas emissions associated with energy use (tonnes CO2e)</w:t>
            </w:r>
          </w:p>
        </w:tc>
        <w:tc>
          <w:tcPr>
            <w:tcW w:w="1843" w:type="dxa"/>
          </w:tcPr>
          <w:p w:rsidR="007830A8" w:rsidRDefault="007830A8" w:rsidP="007830A8">
            <w:pPr>
              <w:pStyle w:val="NoSpacing"/>
              <w:jc w:val="right"/>
            </w:pPr>
            <w:r>
              <w:t>12,953</w:t>
            </w:r>
          </w:p>
        </w:tc>
      </w:tr>
      <w:tr w:rsidR="007830A8" w:rsidTr="007830A8">
        <w:tc>
          <w:tcPr>
            <w:tcW w:w="9073" w:type="dxa"/>
          </w:tcPr>
          <w:p w:rsidR="007830A8" w:rsidRDefault="007830A8" w:rsidP="005D0902">
            <w:pPr>
              <w:pStyle w:val="NoSpacing"/>
            </w:pPr>
            <w:r>
              <w:t>Total greenhouse gas emissions associated with vehicle fleet (tonnes CO2e)</w:t>
            </w:r>
          </w:p>
        </w:tc>
        <w:tc>
          <w:tcPr>
            <w:tcW w:w="1843" w:type="dxa"/>
          </w:tcPr>
          <w:p w:rsidR="007830A8" w:rsidRDefault="007830A8" w:rsidP="007830A8">
            <w:pPr>
              <w:pStyle w:val="NoSpacing"/>
              <w:jc w:val="right"/>
            </w:pPr>
            <w:r>
              <w:t>292</w:t>
            </w:r>
          </w:p>
        </w:tc>
      </w:tr>
      <w:tr w:rsidR="007830A8" w:rsidTr="007830A8">
        <w:tc>
          <w:tcPr>
            <w:tcW w:w="9073" w:type="dxa"/>
          </w:tcPr>
          <w:p w:rsidR="007830A8" w:rsidRDefault="007830A8" w:rsidP="005D0902">
            <w:pPr>
              <w:pStyle w:val="NoSpacing"/>
            </w:pPr>
            <w:r>
              <w:t>Total greenhouse gas emissions associated with air travel (tonnes CO2e)</w:t>
            </w:r>
          </w:p>
        </w:tc>
        <w:tc>
          <w:tcPr>
            <w:tcW w:w="1843" w:type="dxa"/>
          </w:tcPr>
          <w:p w:rsidR="007830A8" w:rsidRDefault="007830A8" w:rsidP="007830A8">
            <w:pPr>
              <w:pStyle w:val="NoSpacing"/>
              <w:jc w:val="right"/>
            </w:pPr>
            <w:r>
              <w:t>880</w:t>
            </w:r>
          </w:p>
        </w:tc>
      </w:tr>
      <w:tr w:rsidR="007830A8" w:rsidTr="007830A8">
        <w:tc>
          <w:tcPr>
            <w:tcW w:w="9073" w:type="dxa"/>
          </w:tcPr>
          <w:p w:rsidR="007830A8" w:rsidRDefault="007830A8" w:rsidP="005D0902">
            <w:pPr>
              <w:pStyle w:val="NoSpacing"/>
            </w:pPr>
            <w:r>
              <w:t>Total greenhouse gas emissions associated with waste disposal (tonnes CO2e)</w:t>
            </w:r>
          </w:p>
        </w:tc>
        <w:tc>
          <w:tcPr>
            <w:tcW w:w="1843" w:type="dxa"/>
          </w:tcPr>
          <w:p w:rsidR="007830A8" w:rsidRDefault="007830A8" w:rsidP="007830A8">
            <w:pPr>
              <w:pStyle w:val="NoSpacing"/>
              <w:jc w:val="right"/>
            </w:pPr>
            <w:r>
              <w:t>1,376</w:t>
            </w:r>
          </w:p>
        </w:tc>
      </w:tr>
      <w:tr w:rsidR="007830A8" w:rsidTr="007830A8">
        <w:tc>
          <w:tcPr>
            <w:tcW w:w="9073" w:type="dxa"/>
          </w:tcPr>
          <w:p w:rsidR="007830A8" w:rsidRDefault="007830A8" w:rsidP="005D0902">
            <w:pPr>
              <w:pStyle w:val="NoSpacing"/>
            </w:pPr>
            <w:r>
              <w:t>Greenhouse gas emission offsets purchased (CO2-e)</w:t>
            </w:r>
          </w:p>
        </w:tc>
        <w:tc>
          <w:tcPr>
            <w:tcW w:w="1843" w:type="dxa"/>
          </w:tcPr>
          <w:p w:rsidR="007830A8" w:rsidRDefault="007830A8" w:rsidP="007830A8">
            <w:pPr>
              <w:pStyle w:val="NoSpacing"/>
              <w:jc w:val="right"/>
            </w:pPr>
            <w:r>
              <w:t>0</w:t>
            </w:r>
          </w:p>
        </w:tc>
      </w:tr>
      <w:tr w:rsidR="007830A8" w:rsidTr="007830A8">
        <w:tc>
          <w:tcPr>
            <w:tcW w:w="9073" w:type="dxa"/>
          </w:tcPr>
          <w:p w:rsidR="007830A8" w:rsidRDefault="007830A8" w:rsidP="005D0902">
            <w:pPr>
              <w:pStyle w:val="NoSpacing"/>
            </w:pPr>
            <w:r>
              <w:t>Total emissions from all sources</w:t>
            </w:r>
          </w:p>
        </w:tc>
        <w:tc>
          <w:tcPr>
            <w:tcW w:w="1843" w:type="dxa"/>
          </w:tcPr>
          <w:p w:rsidR="007830A8" w:rsidRDefault="007830A8" w:rsidP="007830A8">
            <w:pPr>
              <w:pStyle w:val="NoSpacing"/>
              <w:jc w:val="right"/>
            </w:pPr>
            <w:r>
              <w:t>15,501</w:t>
            </w:r>
          </w:p>
        </w:tc>
      </w:tr>
    </w:tbl>
    <w:p w:rsidR="007830A8" w:rsidRDefault="007830A8" w:rsidP="005D0902">
      <w:pPr>
        <w:pStyle w:val="NoSpacing"/>
      </w:pPr>
    </w:p>
    <w:p w:rsidR="007830A8" w:rsidRDefault="007830A8" w:rsidP="005D0902">
      <w:pPr>
        <w:pStyle w:val="NoSpacing"/>
      </w:pPr>
      <w:r>
        <w:t>&lt;page 111&gt;</w:t>
      </w:r>
    </w:p>
    <w:p w:rsidR="007830A8" w:rsidRDefault="007830A8" w:rsidP="005D0902">
      <w:pPr>
        <w:pStyle w:val="NoSpacing"/>
      </w:pPr>
    </w:p>
    <w:p w:rsidR="00C87518" w:rsidRDefault="00C87518" w:rsidP="001A159C">
      <w:pPr>
        <w:pStyle w:val="Heading2"/>
        <w:rPr>
          <w:rFonts w:asciiTheme="minorHAnsi" w:eastAsiaTheme="minorHAnsi" w:hAnsiTheme="minorHAnsi" w:cstheme="minorBidi"/>
          <w:color w:val="auto"/>
          <w:sz w:val="22"/>
          <w:szCs w:val="22"/>
        </w:rPr>
      </w:pPr>
    </w:p>
    <w:p w:rsidR="001A159C" w:rsidRDefault="001A159C" w:rsidP="001A159C">
      <w:pPr>
        <w:pStyle w:val="Heading2"/>
      </w:pPr>
      <w:r>
        <w:t>Acrony</w:t>
      </w:r>
      <w:bookmarkStart w:id="0" w:name="_GoBack"/>
      <w:bookmarkEnd w:id="0"/>
      <w:r>
        <w:t>ms</w:t>
      </w:r>
    </w:p>
    <w:p w:rsidR="001A159C" w:rsidRDefault="001A159C" w:rsidP="005D0902">
      <w:pPr>
        <w:pStyle w:val="NoSpacing"/>
      </w:pPr>
    </w:p>
    <w:p w:rsidR="001A159C" w:rsidRDefault="001A159C" w:rsidP="005D0902">
      <w:pPr>
        <w:pStyle w:val="NoSpacing"/>
      </w:pPr>
      <w:r>
        <w:t>This listing is prepared to assist in the understanding of the Annual Report and related materials.</w:t>
      </w:r>
    </w:p>
    <w:p w:rsidR="001A159C" w:rsidRPr="00C87518" w:rsidRDefault="001A159C" w:rsidP="00C87518">
      <w:pPr>
        <w:pStyle w:val="NoSpacing"/>
      </w:pPr>
    </w:p>
    <w:p w:rsidR="00C87518" w:rsidRPr="00C87518" w:rsidRDefault="00C87518" w:rsidP="00C87518">
      <w:pPr>
        <w:pStyle w:val="NoSpacing"/>
      </w:pPr>
      <w:r w:rsidRPr="00C87518">
        <w:t>AAS Australian Accounting Standard</w:t>
      </w:r>
    </w:p>
    <w:p w:rsidR="00C87518" w:rsidRPr="00C87518" w:rsidRDefault="00C87518" w:rsidP="00C87518">
      <w:pPr>
        <w:pStyle w:val="NoSpacing"/>
      </w:pPr>
      <w:r w:rsidRPr="00C87518">
        <w:t>AASB Australian Accounting Standards Board</w:t>
      </w:r>
    </w:p>
    <w:p w:rsidR="00C87518" w:rsidRPr="00C87518" w:rsidRDefault="00C87518" w:rsidP="00C87518">
      <w:pPr>
        <w:pStyle w:val="NoSpacing"/>
      </w:pPr>
      <w:r w:rsidRPr="00C87518">
        <w:t>ACFE Adult, Community and Further Education</w:t>
      </w:r>
    </w:p>
    <w:p w:rsidR="00C87518" w:rsidRPr="00C87518" w:rsidRDefault="00C87518" w:rsidP="00C87518">
      <w:pPr>
        <w:pStyle w:val="NoSpacing"/>
      </w:pPr>
      <w:r w:rsidRPr="00C87518">
        <w:t>AMEP Adult Migrant English Program</w:t>
      </w:r>
    </w:p>
    <w:p w:rsidR="00C87518" w:rsidRPr="00C87518" w:rsidRDefault="00C87518" w:rsidP="00C87518">
      <w:pPr>
        <w:pStyle w:val="NoSpacing"/>
      </w:pPr>
      <w:r w:rsidRPr="00C87518">
        <w:t>BAU Business as Usual</w:t>
      </w:r>
    </w:p>
    <w:p w:rsidR="00C87518" w:rsidRPr="00C87518" w:rsidRDefault="00C87518" w:rsidP="00C87518">
      <w:pPr>
        <w:pStyle w:val="NoSpacing"/>
      </w:pPr>
      <w:r w:rsidRPr="00C87518">
        <w:t>CALD Culturally and Linguistically Diverse</w:t>
      </w:r>
    </w:p>
    <w:p w:rsidR="00C87518" w:rsidRPr="00C87518" w:rsidRDefault="00C87518" w:rsidP="00C87518">
      <w:pPr>
        <w:pStyle w:val="NoSpacing"/>
      </w:pPr>
      <w:r w:rsidRPr="00C87518">
        <w:t xml:space="preserve">CEO </w:t>
      </w:r>
      <w:r>
        <w:t>Chief Executive Offi</w:t>
      </w:r>
      <w:r w:rsidRPr="00C87518">
        <w:t>cer</w:t>
      </w:r>
    </w:p>
    <w:p w:rsidR="00C87518" w:rsidRPr="00C87518" w:rsidRDefault="00C87518" w:rsidP="00C87518">
      <w:pPr>
        <w:pStyle w:val="NoSpacing"/>
      </w:pPr>
      <w:r w:rsidRPr="00C87518">
        <w:t>CSJC Chisholm Skills and Jobs Centre</w:t>
      </w:r>
    </w:p>
    <w:p w:rsidR="00C87518" w:rsidRPr="00C87518" w:rsidRDefault="00C87518" w:rsidP="00C87518">
      <w:pPr>
        <w:pStyle w:val="NoSpacing"/>
      </w:pPr>
      <w:r w:rsidRPr="00C87518">
        <w:t>EAL English as an alternative language</w:t>
      </w:r>
    </w:p>
    <w:p w:rsidR="00C87518" w:rsidRPr="00C87518" w:rsidRDefault="00C87518" w:rsidP="00C87518">
      <w:pPr>
        <w:pStyle w:val="NoSpacing"/>
      </w:pPr>
      <w:r w:rsidRPr="00C87518">
        <w:t>ESL English as a Second Language</w:t>
      </w:r>
    </w:p>
    <w:p w:rsidR="00C87518" w:rsidRPr="00C87518" w:rsidRDefault="00C87518" w:rsidP="00C87518">
      <w:pPr>
        <w:pStyle w:val="NoSpacing"/>
      </w:pPr>
      <w:r w:rsidRPr="00C87518">
        <w:t>ETRA Education and Training Reform Act 2006</w:t>
      </w:r>
    </w:p>
    <w:p w:rsidR="00C87518" w:rsidRPr="00C87518" w:rsidRDefault="00C87518" w:rsidP="00C87518">
      <w:pPr>
        <w:pStyle w:val="NoSpacing"/>
      </w:pPr>
      <w:r w:rsidRPr="00C87518">
        <w:t>FMA Financial Management Act 1994</w:t>
      </w:r>
    </w:p>
    <w:p w:rsidR="00C87518" w:rsidRPr="00C87518" w:rsidRDefault="00C87518" w:rsidP="00C87518">
      <w:pPr>
        <w:pStyle w:val="NoSpacing"/>
      </w:pPr>
      <w:r w:rsidRPr="00C87518">
        <w:t>FRD Financial Reporting Directions</w:t>
      </w:r>
    </w:p>
    <w:p w:rsidR="00C87518" w:rsidRPr="00C87518" w:rsidRDefault="00C87518" w:rsidP="00C87518">
      <w:pPr>
        <w:pStyle w:val="NoSpacing"/>
      </w:pPr>
      <w:r w:rsidRPr="00C87518">
        <w:t>FTE Full time employee</w:t>
      </w:r>
    </w:p>
    <w:p w:rsidR="00C87518" w:rsidRPr="00C87518" w:rsidRDefault="00C87518" w:rsidP="00C87518">
      <w:pPr>
        <w:pStyle w:val="NoSpacing"/>
      </w:pPr>
      <w:r w:rsidRPr="00C87518">
        <w:t>GST Goods and services tax</w:t>
      </w:r>
    </w:p>
    <w:p w:rsidR="00C87518" w:rsidRPr="00C87518" w:rsidRDefault="00C87518" w:rsidP="00C87518">
      <w:pPr>
        <w:pStyle w:val="NoSpacing"/>
      </w:pPr>
      <w:r w:rsidRPr="00C87518">
        <w:t>HALT Hope Assistance Local Tradies</w:t>
      </w:r>
    </w:p>
    <w:p w:rsidR="00C87518" w:rsidRPr="00C87518" w:rsidRDefault="00C87518" w:rsidP="00C87518">
      <w:pPr>
        <w:pStyle w:val="NoSpacing"/>
      </w:pPr>
      <w:r w:rsidRPr="00C87518">
        <w:t>HBIA Hair and Beauty Industry Association</w:t>
      </w:r>
    </w:p>
    <w:p w:rsidR="00C87518" w:rsidRPr="00C87518" w:rsidRDefault="00C87518" w:rsidP="00C87518">
      <w:pPr>
        <w:pStyle w:val="NoSpacing"/>
      </w:pPr>
      <w:r w:rsidRPr="00C87518">
        <w:t>HSW Health, safety and wellbeing</w:t>
      </w:r>
    </w:p>
    <w:p w:rsidR="00C87518" w:rsidRPr="00C87518" w:rsidRDefault="00C87518" w:rsidP="00C87518">
      <w:pPr>
        <w:pStyle w:val="NoSpacing"/>
      </w:pPr>
      <w:r w:rsidRPr="00C87518">
        <w:t>ITIL Information Technology Information Library</w:t>
      </w:r>
    </w:p>
    <w:p w:rsidR="00C87518" w:rsidRPr="00C87518" w:rsidRDefault="00C87518" w:rsidP="00C87518">
      <w:pPr>
        <w:pStyle w:val="NoSpacing"/>
      </w:pPr>
      <w:r w:rsidRPr="00C87518">
        <w:t>KIT Kiribati Institute of Technology</w:t>
      </w:r>
    </w:p>
    <w:p w:rsidR="00C87518" w:rsidRPr="00C87518" w:rsidRDefault="00C87518" w:rsidP="00C87518">
      <w:pPr>
        <w:pStyle w:val="NoSpacing"/>
      </w:pPr>
      <w:r w:rsidRPr="00C87518">
        <w:t>LLN Language, literacy and numeracy</w:t>
      </w:r>
    </w:p>
    <w:p w:rsidR="00C87518" w:rsidRPr="00C87518" w:rsidRDefault="00C87518" w:rsidP="00C87518">
      <w:pPr>
        <w:pStyle w:val="NoSpacing"/>
      </w:pPr>
      <w:r w:rsidRPr="00C87518">
        <w:t>MP Member of Parliament</w:t>
      </w:r>
    </w:p>
    <w:p w:rsidR="00C87518" w:rsidRPr="00C87518" w:rsidRDefault="00C87518" w:rsidP="00C87518">
      <w:pPr>
        <w:pStyle w:val="NoSpacing"/>
      </w:pPr>
      <w:r w:rsidRPr="00C87518">
        <w:t>NDS National Disability Service</w:t>
      </w:r>
    </w:p>
    <w:p w:rsidR="00C87518" w:rsidRPr="00C87518" w:rsidRDefault="00C87518" w:rsidP="00C87518">
      <w:pPr>
        <w:pStyle w:val="NoSpacing"/>
      </w:pPr>
      <w:r w:rsidRPr="00C87518">
        <w:t>PACCT Professional admi</w:t>
      </w:r>
      <w:r>
        <w:t xml:space="preserve">nistrative, clerical, computing </w:t>
      </w:r>
      <w:r w:rsidRPr="00C87518">
        <w:t>and technical</w:t>
      </w:r>
    </w:p>
    <w:p w:rsidR="00C87518" w:rsidRPr="00C87518" w:rsidRDefault="00C87518" w:rsidP="00C87518">
      <w:pPr>
        <w:pStyle w:val="NoSpacing"/>
      </w:pPr>
      <w:r w:rsidRPr="00C87518">
        <w:t>PAEC Public Accounts and Estimates Committee</w:t>
      </w:r>
    </w:p>
    <w:p w:rsidR="00C87518" w:rsidRPr="00C87518" w:rsidRDefault="00C87518" w:rsidP="00C87518">
      <w:pPr>
        <w:pStyle w:val="NoSpacing"/>
      </w:pPr>
      <w:r w:rsidRPr="00C87518">
        <w:t>RPL Recognition of prior learning</w:t>
      </w:r>
    </w:p>
    <w:p w:rsidR="00C87518" w:rsidRPr="00C87518" w:rsidRDefault="00C87518" w:rsidP="00C87518">
      <w:pPr>
        <w:pStyle w:val="NoSpacing"/>
      </w:pPr>
      <w:r w:rsidRPr="00C87518">
        <w:t>SCH Student contact hours</w:t>
      </w:r>
    </w:p>
    <w:p w:rsidR="00C87518" w:rsidRPr="00C87518" w:rsidRDefault="00C87518" w:rsidP="00C87518">
      <w:pPr>
        <w:pStyle w:val="NoSpacing"/>
      </w:pPr>
      <w:r w:rsidRPr="00C87518">
        <w:t>SD Standing Directions</w:t>
      </w:r>
    </w:p>
    <w:p w:rsidR="00C87518" w:rsidRPr="00C87518" w:rsidRDefault="00C87518" w:rsidP="00C87518">
      <w:pPr>
        <w:pStyle w:val="NoSpacing"/>
      </w:pPr>
      <w:r w:rsidRPr="00C87518">
        <w:lastRenderedPageBreak/>
        <w:t>SSF Student Services Fee</w:t>
      </w:r>
    </w:p>
    <w:p w:rsidR="00C87518" w:rsidRPr="00C87518" w:rsidRDefault="00C87518" w:rsidP="00C87518">
      <w:pPr>
        <w:pStyle w:val="NoSpacing"/>
      </w:pPr>
      <w:r w:rsidRPr="00C87518">
        <w:t>STEAM Science, te</w:t>
      </w:r>
      <w:r>
        <w:t xml:space="preserve">chnology, engineering, arts and </w:t>
      </w:r>
      <w:r w:rsidRPr="00C87518">
        <w:t>mathematics</w:t>
      </w:r>
    </w:p>
    <w:p w:rsidR="00C87518" w:rsidRPr="00C87518" w:rsidRDefault="00C87518" w:rsidP="00C87518">
      <w:pPr>
        <w:pStyle w:val="NoSpacing"/>
      </w:pPr>
      <w:r w:rsidRPr="00C87518">
        <w:t>TAFE Technical and further education</w:t>
      </w:r>
    </w:p>
    <w:p w:rsidR="00C87518" w:rsidRPr="00C87518" w:rsidRDefault="00C87518" w:rsidP="00C87518">
      <w:pPr>
        <w:pStyle w:val="NoSpacing"/>
      </w:pPr>
      <w:r w:rsidRPr="00C87518">
        <w:t>THMA Toyota Material Handling Australia</w:t>
      </w:r>
    </w:p>
    <w:p w:rsidR="00C87518" w:rsidRPr="00C87518" w:rsidRDefault="00C87518" w:rsidP="00C87518">
      <w:pPr>
        <w:pStyle w:val="NoSpacing"/>
      </w:pPr>
      <w:r w:rsidRPr="00C87518">
        <w:t>TVET Technical and vocational education and training</w:t>
      </w:r>
    </w:p>
    <w:p w:rsidR="00C87518" w:rsidRPr="00C87518" w:rsidRDefault="00C87518" w:rsidP="00C87518">
      <w:pPr>
        <w:pStyle w:val="NoSpacing"/>
      </w:pPr>
      <w:r w:rsidRPr="00C87518">
        <w:t>VACC Victorian Automobile Chamber of Commerce</w:t>
      </w:r>
    </w:p>
    <w:p w:rsidR="00C87518" w:rsidRPr="00C87518" w:rsidRDefault="00C87518" w:rsidP="00C87518">
      <w:pPr>
        <w:pStyle w:val="NoSpacing"/>
      </w:pPr>
      <w:r w:rsidRPr="00C87518">
        <w:t>VAGO Victorian Auditor-Ge</w:t>
      </w:r>
      <w:r>
        <w:t>neral’s Offi</w:t>
      </w:r>
      <w:r w:rsidRPr="00C87518">
        <w:t>ce</w:t>
      </w:r>
    </w:p>
    <w:p w:rsidR="00C87518" w:rsidRPr="00C87518" w:rsidRDefault="00C87518" w:rsidP="00C87518">
      <w:pPr>
        <w:pStyle w:val="NoSpacing"/>
      </w:pPr>
      <w:r w:rsidRPr="00C87518">
        <w:t xml:space="preserve">VCAL </w:t>
      </w:r>
      <w:r>
        <w:t>Victorian Certifi</w:t>
      </w:r>
      <w:r w:rsidRPr="00C87518">
        <w:t>cate of Applied Learning</w:t>
      </w:r>
    </w:p>
    <w:p w:rsidR="00C87518" w:rsidRPr="00C87518" w:rsidRDefault="00C87518" w:rsidP="00C87518">
      <w:pPr>
        <w:pStyle w:val="NoSpacing"/>
      </w:pPr>
      <w:r w:rsidRPr="00C87518">
        <w:t>VIPP Victorian Industry Participation Policy</w:t>
      </w:r>
    </w:p>
    <w:p w:rsidR="00C87518" w:rsidRDefault="00C87518" w:rsidP="005D0902">
      <w:pPr>
        <w:pStyle w:val="NoSpacing"/>
      </w:pPr>
    </w:p>
    <w:p w:rsidR="001A159C" w:rsidRDefault="001A159C" w:rsidP="005D0902">
      <w:pPr>
        <w:pStyle w:val="NoSpacing"/>
      </w:pPr>
      <w:r>
        <w:t>&lt;page</w:t>
      </w:r>
      <w:r w:rsidR="00C87518">
        <w:t xml:space="preserve"> 112</w:t>
      </w:r>
      <w:r>
        <w:t>&gt;</w:t>
      </w:r>
    </w:p>
    <w:p w:rsidR="008B6297" w:rsidRDefault="008B6297" w:rsidP="005D0902">
      <w:pPr>
        <w:pStyle w:val="NoSpacing"/>
      </w:pPr>
    </w:p>
    <w:p w:rsidR="00C87518" w:rsidRDefault="00C87518" w:rsidP="005D0902">
      <w:pPr>
        <w:pStyle w:val="NoSpacing"/>
      </w:pPr>
      <w:r>
        <w:t xml:space="preserve">Chisholm </w:t>
      </w:r>
    </w:p>
    <w:p w:rsidR="00C87518" w:rsidRDefault="00C87518" w:rsidP="005D0902">
      <w:pPr>
        <w:pStyle w:val="NoSpacing"/>
      </w:pPr>
    </w:p>
    <w:p w:rsidR="00C87518" w:rsidRDefault="00C87518" w:rsidP="005D0902">
      <w:pPr>
        <w:pStyle w:val="NoSpacing"/>
      </w:pPr>
      <w:r>
        <w:t>2371_1019  CRICOS No 00881F  RTO No 0260</w:t>
      </w:r>
    </w:p>
    <w:p w:rsidR="00C87518" w:rsidRDefault="00C87518" w:rsidP="005D0902">
      <w:pPr>
        <w:pStyle w:val="NoSpacing"/>
      </w:pPr>
    </w:p>
    <w:p w:rsidR="001A159C" w:rsidRPr="005942B8" w:rsidRDefault="001A159C" w:rsidP="005D0902">
      <w:pPr>
        <w:pStyle w:val="NoSpacing"/>
      </w:pPr>
      <w:r>
        <w:t>&lt;back cover&gt;</w:t>
      </w:r>
    </w:p>
    <w:sectPr w:rsidR="001A159C" w:rsidRPr="005942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4ED" w:rsidRDefault="009754ED" w:rsidP="00B431A8">
      <w:pPr>
        <w:spacing w:after="0" w:line="240" w:lineRule="auto"/>
      </w:pPr>
      <w:r>
        <w:separator/>
      </w:r>
    </w:p>
  </w:endnote>
  <w:endnote w:type="continuationSeparator" w:id="0">
    <w:p w:rsidR="009754ED" w:rsidRDefault="009754ED" w:rsidP="00B43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roximaNovaA-Light">
    <w:panose1 w:val="00000000000000000000"/>
    <w:charset w:val="00"/>
    <w:family w:val="swiss"/>
    <w:notTrueType/>
    <w:pitch w:val="default"/>
    <w:sig w:usb0="00000003" w:usb1="00000000" w:usb2="00000000" w:usb3="00000000" w:csb0="00000001" w:csb1="00000000"/>
  </w:font>
  <w:font w:name="ProximaNovaA-Bold">
    <w:panose1 w:val="00000000000000000000"/>
    <w:charset w:val="00"/>
    <w:family w:val="swiss"/>
    <w:notTrueType/>
    <w:pitch w:val="default"/>
    <w:sig w:usb0="00000003" w:usb1="00000000" w:usb2="00000000" w:usb3="00000000" w:csb0="00000001" w:csb1="00000000"/>
  </w:font>
  <w:font w:name="ProximaNovaA-Semi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4ED" w:rsidRDefault="009754ED" w:rsidP="00B431A8">
      <w:pPr>
        <w:spacing w:after="0" w:line="240" w:lineRule="auto"/>
      </w:pPr>
      <w:r>
        <w:separator/>
      </w:r>
    </w:p>
  </w:footnote>
  <w:footnote w:type="continuationSeparator" w:id="0">
    <w:p w:rsidR="009754ED" w:rsidRDefault="009754ED" w:rsidP="00B431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362"/>
    <w:multiLevelType w:val="hybridMultilevel"/>
    <w:tmpl w:val="E8522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6C4607"/>
    <w:multiLevelType w:val="hybridMultilevel"/>
    <w:tmpl w:val="A0BCE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AE3E99"/>
    <w:multiLevelType w:val="hybridMultilevel"/>
    <w:tmpl w:val="7506E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E2709D"/>
    <w:multiLevelType w:val="hybridMultilevel"/>
    <w:tmpl w:val="7D2C9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253CD1"/>
    <w:multiLevelType w:val="hybridMultilevel"/>
    <w:tmpl w:val="87A65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8341A2"/>
    <w:multiLevelType w:val="hybridMultilevel"/>
    <w:tmpl w:val="619E5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A64335"/>
    <w:multiLevelType w:val="hybridMultilevel"/>
    <w:tmpl w:val="F9D4D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827AB1"/>
    <w:multiLevelType w:val="hybridMultilevel"/>
    <w:tmpl w:val="35100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BC70BA"/>
    <w:multiLevelType w:val="hybridMultilevel"/>
    <w:tmpl w:val="CEF04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E32896"/>
    <w:multiLevelType w:val="hybridMultilevel"/>
    <w:tmpl w:val="73B42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4219F9"/>
    <w:multiLevelType w:val="hybridMultilevel"/>
    <w:tmpl w:val="4E7EB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ED4B37"/>
    <w:multiLevelType w:val="hybridMultilevel"/>
    <w:tmpl w:val="A8AA2BB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D311B0"/>
    <w:multiLevelType w:val="hybridMultilevel"/>
    <w:tmpl w:val="501A6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F53575"/>
    <w:multiLevelType w:val="hybridMultilevel"/>
    <w:tmpl w:val="DE760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153851"/>
    <w:multiLevelType w:val="hybridMultilevel"/>
    <w:tmpl w:val="307A1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9A09A3"/>
    <w:multiLevelType w:val="hybridMultilevel"/>
    <w:tmpl w:val="DFDCB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F90970"/>
    <w:multiLevelType w:val="hybridMultilevel"/>
    <w:tmpl w:val="7C925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E07D7D"/>
    <w:multiLevelType w:val="hybridMultilevel"/>
    <w:tmpl w:val="E5B60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3918D5"/>
    <w:multiLevelType w:val="hybridMultilevel"/>
    <w:tmpl w:val="823CD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571594"/>
    <w:multiLevelType w:val="hybridMultilevel"/>
    <w:tmpl w:val="0D14F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4C60C2"/>
    <w:multiLevelType w:val="hybridMultilevel"/>
    <w:tmpl w:val="5A7E1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0965D5A"/>
    <w:multiLevelType w:val="hybridMultilevel"/>
    <w:tmpl w:val="38F8D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10502FE"/>
    <w:multiLevelType w:val="hybridMultilevel"/>
    <w:tmpl w:val="DA6CF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49C3F2D"/>
    <w:multiLevelType w:val="hybridMultilevel"/>
    <w:tmpl w:val="FCFAB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B9B1C5D"/>
    <w:multiLevelType w:val="hybridMultilevel"/>
    <w:tmpl w:val="78A6D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BBE408B"/>
    <w:multiLevelType w:val="hybridMultilevel"/>
    <w:tmpl w:val="A7247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DF95B35"/>
    <w:multiLevelType w:val="hybridMultilevel"/>
    <w:tmpl w:val="AFBC4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FDA6F77"/>
    <w:multiLevelType w:val="hybridMultilevel"/>
    <w:tmpl w:val="F1F02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12B7764"/>
    <w:multiLevelType w:val="hybridMultilevel"/>
    <w:tmpl w:val="0FF8F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16D7209"/>
    <w:multiLevelType w:val="hybridMultilevel"/>
    <w:tmpl w:val="D8D06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3DD6B49"/>
    <w:multiLevelType w:val="hybridMultilevel"/>
    <w:tmpl w:val="748C8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4794AE5"/>
    <w:multiLevelType w:val="hybridMultilevel"/>
    <w:tmpl w:val="E15AE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4B7113F"/>
    <w:multiLevelType w:val="hybridMultilevel"/>
    <w:tmpl w:val="94143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57873F6"/>
    <w:multiLevelType w:val="hybridMultilevel"/>
    <w:tmpl w:val="1B447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96F08E5"/>
    <w:multiLevelType w:val="hybridMultilevel"/>
    <w:tmpl w:val="4DF4118E"/>
    <w:lvl w:ilvl="0" w:tplc="0C090001">
      <w:start w:val="1"/>
      <w:numFmt w:val="bullet"/>
      <w:lvlText w:val=""/>
      <w:lvlJc w:val="left"/>
      <w:pPr>
        <w:ind w:left="720" w:hanging="360"/>
      </w:pPr>
      <w:rPr>
        <w:rFonts w:ascii="Symbol" w:hAnsi="Symbol" w:hint="default"/>
      </w:rPr>
    </w:lvl>
    <w:lvl w:ilvl="1" w:tplc="B3F8DCA6">
      <w:numFmt w:val="bullet"/>
      <w:lvlText w:val=""/>
      <w:lvlJc w:val="left"/>
      <w:pPr>
        <w:ind w:left="1440" w:hanging="360"/>
      </w:pPr>
      <w:rPr>
        <w:rFonts w:ascii="Wingdings" w:eastAsiaTheme="minorHAnsi" w:hAnsi="Wingdings" w:cstheme="minorHAns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C7C2086"/>
    <w:multiLevelType w:val="hybridMultilevel"/>
    <w:tmpl w:val="EA4A9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DA2201D"/>
    <w:multiLevelType w:val="hybridMultilevel"/>
    <w:tmpl w:val="7B422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12A3BD8"/>
    <w:multiLevelType w:val="hybridMultilevel"/>
    <w:tmpl w:val="668EB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25864F8"/>
    <w:multiLevelType w:val="hybridMultilevel"/>
    <w:tmpl w:val="B1B03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6A91732"/>
    <w:multiLevelType w:val="hybridMultilevel"/>
    <w:tmpl w:val="771A8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7706194"/>
    <w:multiLevelType w:val="hybridMultilevel"/>
    <w:tmpl w:val="845C2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876220F"/>
    <w:multiLevelType w:val="hybridMultilevel"/>
    <w:tmpl w:val="8B828084"/>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42" w15:restartNumberingAfterBreak="0">
    <w:nsid w:val="494344E7"/>
    <w:multiLevelType w:val="hybridMultilevel"/>
    <w:tmpl w:val="0BF2B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AFF5987"/>
    <w:multiLevelType w:val="hybridMultilevel"/>
    <w:tmpl w:val="BB263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BA0013B"/>
    <w:multiLevelType w:val="hybridMultilevel"/>
    <w:tmpl w:val="57FA8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C174EBC"/>
    <w:multiLevelType w:val="hybridMultilevel"/>
    <w:tmpl w:val="4BA8C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CB17419"/>
    <w:multiLevelType w:val="hybridMultilevel"/>
    <w:tmpl w:val="86F26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12409EA"/>
    <w:multiLevelType w:val="hybridMultilevel"/>
    <w:tmpl w:val="3948F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1B850FC"/>
    <w:multiLevelType w:val="hybridMultilevel"/>
    <w:tmpl w:val="53EA9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3D6766A"/>
    <w:multiLevelType w:val="hybridMultilevel"/>
    <w:tmpl w:val="17B26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5DF0DB6"/>
    <w:multiLevelType w:val="hybridMultilevel"/>
    <w:tmpl w:val="618EF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5F55223"/>
    <w:multiLevelType w:val="hybridMultilevel"/>
    <w:tmpl w:val="829AC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6A534C7"/>
    <w:multiLevelType w:val="hybridMultilevel"/>
    <w:tmpl w:val="E1FE4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7E007EF"/>
    <w:multiLevelType w:val="hybridMultilevel"/>
    <w:tmpl w:val="79202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7FA5EB0"/>
    <w:multiLevelType w:val="hybridMultilevel"/>
    <w:tmpl w:val="99724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89811B3"/>
    <w:multiLevelType w:val="hybridMultilevel"/>
    <w:tmpl w:val="5066B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AC90B19"/>
    <w:multiLevelType w:val="hybridMultilevel"/>
    <w:tmpl w:val="053C3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BCA2AEB"/>
    <w:multiLevelType w:val="hybridMultilevel"/>
    <w:tmpl w:val="75408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F034956"/>
    <w:multiLevelType w:val="hybridMultilevel"/>
    <w:tmpl w:val="4CA4A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10B31AC"/>
    <w:multiLevelType w:val="hybridMultilevel"/>
    <w:tmpl w:val="C4F0A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1F07636"/>
    <w:multiLevelType w:val="hybridMultilevel"/>
    <w:tmpl w:val="EDCEA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2540CD1"/>
    <w:multiLevelType w:val="hybridMultilevel"/>
    <w:tmpl w:val="6AD83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69E145A"/>
    <w:multiLevelType w:val="hybridMultilevel"/>
    <w:tmpl w:val="78164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6AE6CCE"/>
    <w:multiLevelType w:val="hybridMultilevel"/>
    <w:tmpl w:val="DDA0C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7156B64"/>
    <w:multiLevelType w:val="hybridMultilevel"/>
    <w:tmpl w:val="CD060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92F0BD5"/>
    <w:multiLevelType w:val="hybridMultilevel"/>
    <w:tmpl w:val="616CD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9E25364"/>
    <w:multiLevelType w:val="hybridMultilevel"/>
    <w:tmpl w:val="607A9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AC37C98"/>
    <w:multiLevelType w:val="hybridMultilevel"/>
    <w:tmpl w:val="E9645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D9D6C99"/>
    <w:multiLevelType w:val="hybridMultilevel"/>
    <w:tmpl w:val="F4A05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EB2646C"/>
    <w:multiLevelType w:val="hybridMultilevel"/>
    <w:tmpl w:val="949CC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33746CD"/>
    <w:multiLevelType w:val="hybridMultilevel"/>
    <w:tmpl w:val="9014F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6FB3BEB"/>
    <w:multiLevelType w:val="hybridMultilevel"/>
    <w:tmpl w:val="06D0C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71B2824"/>
    <w:multiLevelType w:val="hybridMultilevel"/>
    <w:tmpl w:val="D182D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73464D5"/>
    <w:multiLevelType w:val="hybridMultilevel"/>
    <w:tmpl w:val="0DF0E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A607540"/>
    <w:multiLevelType w:val="hybridMultilevel"/>
    <w:tmpl w:val="E0966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C2D249A"/>
    <w:multiLevelType w:val="hybridMultilevel"/>
    <w:tmpl w:val="C1D49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CF2283A"/>
    <w:multiLevelType w:val="hybridMultilevel"/>
    <w:tmpl w:val="8FD42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D3B2377"/>
    <w:multiLevelType w:val="hybridMultilevel"/>
    <w:tmpl w:val="993AC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DC24A20"/>
    <w:multiLevelType w:val="hybridMultilevel"/>
    <w:tmpl w:val="0A223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46"/>
  </w:num>
  <w:num w:numId="3">
    <w:abstractNumId w:val="51"/>
  </w:num>
  <w:num w:numId="4">
    <w:abstractNumId w:val="69"/>
  </w:num>
  <w:num w:numId="5">
    <w:abstractNumId w:val="41"/>
  </w:num>
  <w:num w:numId="6">
    <w:abstractNumId w:val="57"/>
  </w:num>
  <w:num w:numId="7">
    <w:abstractNumId w:val="43"/>
  </w:num>
  <w:num w:numId="8">
    <w:abstractNumId w:val="26"/>
  </w:num>
  <w:num w:numId="9">
    <w:abstractNumId w:val="0"/>
  </w:num>
  <w:num w:numId="10">
    <w:abstractNumId w:val="21"/>
  </w:num>
  <w:num w:numId="11">
    <w:abstractNumId w:val="11"/>
  </w:num>
  <w:num w:numId="12">
    <w:abstractNumId w:val="6"/>
  </w:num>
  <w:num w:numId="13">
    <w:abstractNumId w:val="38"/>
  </w:num>
  <w:num w:numId="14">
    <w:abstractNumId w:val="34"/>
  </w:num>
  <w:num w:numId="15">
    <w:abstractNumId w:val="32"/>
  </w:num>
  <w:num w:numId="16">
    <w:abstractNumId w:val="25"/>
  </w:num>
  <w:num w:numId="17">
    <w:abstractNumId w:val="18"/>
  </w:num>
  <w:num w:numId="18">
    <w:abstractNumId w:val="2"/>
  </w:num>
  <w:num w:numId="19">
    <w:abstractNumId w:val="14"/>
  </w:num>
  <w:num w:numId="20">
    <w:abstractNumId w:val="53"/>
  </w:num>
  <w:num w:numId="21">
    <w:abstractNumId w:val="64"/>
  </w:num>
  <w:num w:numId="22">
    <w:abstractNumId w:val="72"/>
  </w:num>
  <w:num w:numId="23">
    <w:abstractNumId w:val="45"/>
  </w:num>
  <w:num w:numId="24">
    <w:abstractNumId w:val="44"/>
  </w:num>
  <w:num w:numId="25">
    <w:abstractNumId w:val="66"/>
  </w:num>
  <w:num w:numId="26">
    <w:abstractNumId w:val="37"/>
  </w:num>
  <w:num w:numId="27">
    <w:abstractNumId w:val="29"/>
  </w:num>
  <w:num w:numId="28">
    <w:abstractNumId w:val="67"/>
  </w:num>
  <w:num w:numId="29">
    <w:abstractNumId w:val="3"/>
  </w:num>
  <w:num w:numId="30">
    <w:abstractNumId w:val="23"/>
  </w:num>
  <w:num w:numId="31">
    <w:abstractNumId w:val="49"/>
  </w:num>
  <w:num w:numId="32">
    <w:abstractNumId w:val="50"/>
  </w:num>
  <w:num w:numId="33">
    <w:abstractNumId w:val="7"/>
  </w:num>
  <w:num w:numId="34">
    <w:abstractNumId w:val="5"/>
  </w:num>
  <w:num w:numId="35">
    <w:abstractNumId w:val="48"/>
  </w:num>
  <w:num w:numId="36">
    <w:abstractNumId w:val="16"/>
  </w:num>
  <w:num w:numId="37">
    <w:abstractNumId w:val="42"/>
  </w:num>
  <w:num w:numId="38">
    <w:abstractNumId w:val="27"/>
  </w:num>
  <w:num w:numId="39">
    <w:abstractNumId w:val="39"/>
  </w:num>
  <w:num w:numId="40">
    <w:abstractNumId w:val="13"/>
  </w:num>
  <w:num w:numId="41">
    <w:abstractNumId w:val="70"/>
  </w:num>
  <w:num w:numId="42">
    <w:abstractNumId w:val="52"/>
  </w:num>
  <w:num w:numId="43">
    <w:abstractNumId w:val="73"/>
  </w:num>
  <w:num w:numId="44">
    <w:abstractNumId w:val="71"/>
  </w:num>
  <w:num w:numId="45">
    <w:abstractNumId w:val="60"/>
  </w:num>
  <w:num w:numId="46">
    <w:abstractNumId w:val="61"/>
  </w:num>
  <w:num w:numId="47">
    <w:abstractNumId w:val="30"/>
  </w:num>
  <w:num w:numId="48">
    <w:abstractNumId w:val="65"/>
  </w:num>
  <w:num w:numId="49">
    <w:abstractNumId w:val="58"/>
  </w:num>
  <w:num w:numId="50">
    <w:abstractNumId w:val="33"/>
  </w:num>
  <w:num w:numId="51">
    <w:abstractNumId w:val="36"/>
  </w:num>
  <w:num w:numId="52">
    <w:abstractNumId w:val="31"/>
  </w:num>
  <w:num w:numId="53">
    <w:abstractNumId w:val="8"/>
  </w:num>
  <w:num w:numId="54">
    <w:abstractNumId w:val="22"/>
  </w:num>
  <w:num w:numId="55">
    <w:abstractNumId w:val="68"/>
  </w:num>
  <w:num w:numId="56">
    <w:abstractNumId w:val="35"/>
  </w:num>
  <w:num w:numId="57">
    <w:abstractNumId w:val="54"/>
  </w:num>
  <w:num w:numId="58">
    <w:abstractNumId w:val="62"/>
  </w:num>
  <w:num w:numId="59">
    <w:abstractNumId w:val="77"/>
  </w:num>
  <w:num w:numId="60">
    <w:abstractNumId w:val="59"/>
  </w:num>
  <w:num w:numId="61">
    <w:abstractNumId w:val="55"/>
  </w:num>
  <w:num w:numId="62">
    <w:abstractNumId w:val="19"/>
  </w:num>
  <w:num w:numId="63">
    <w:abstractNumId w:val="78"/>
  </w:num>
  <w:num w:numId="64">
    <w:abstractNumId w:val="1"/>
  </w:num>
  <w:num w:numId="65">
    <w:abstractNumId w:val="12"/>
  </w:num>
  <w:num w:numId="66">
    <w:abstractNumId w:val="20"/>
  </w:num>
  <w:num w:numId="67">
    <w:abstractNumId w:val="28"/>
  </w:num>
  <w:num w:numId="68">
    <w:abstractNumId w:val="63"/>
  </w:num>
  <w:num w:numId="69">
    <w:abstractNumId w:val="40"/>
  </w:num>
  <w:num w:numId="70">
    <w:abstractNumId w:val="17"/>
  </w:num>
  <w:num w:numId="71">
    <w:abstractNumId w:val="15"/>
  </w:num>
  <w:num w:numId="72">
    <w:abstractNumId w:val="47"/>
  </w:num>
  <w:num w:numId="73">
    <w:abstractNumId w:val="24"/>
  </w:num>
  <w:num w:numId="74">
    <w:abstractNumId w:val="76"/>
  </w:num>
  <w:num w:numId="75">
    <w:abstractNumId w:val="9"/>
  </w:num>
  <w:num w:numId="76">
    <w:abstractNumId w:val="75"/>
  </w:num>
  <w:num w:numId="77">
    <w:abstractNumId w:val="74"/>
  </w:num>
  <w:num w:numId="78">
    <w:abstractNumId w:val="4"/>
  </w:num>
  <w:num w:numId="79">
    <w:abstractNumId w:val="5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2B8"/>
    <w:rsid w:val="00001069"/>
    <w:rsid w:val="00006319"/>
    <w:rsid w:val="00013590"/>
    <w:rsid w:val="00036585"/>
    <w:rsid w:val="000437BB"/>
    <w:rsid w:val="0004561D"/>
    <w:rsid w:val="00052F70"/>
    <w:rsid w:val="0006627D"/>
    <w:rsid w:val="000A32BD"/>
    <w:rsid w:val="000A5F9E"/>
    <w:rsid w:val="000A74EB"/>
    <w:rsid w:val="000B17FD"/>
    <w:rsid w:val="000B4661"/>
    <w:rsid w:val="000B7FA6"/>
    <w:rsid w:val="000C2726"/>
    <w:rsid w:val="000D118B"/>
    <w:rsid w:val="000D2237"/>
    <w:rsid w:val="000D51FD"/>
    <w:rsid w:val="000F302B"/>
    <w:rsid w:val="00113175"/>
    <w:rsid w:val="00122306"/>
    <w:rsid w:val="0012340F"/>
    <w:rsid w:val="00130A29"/>
    <w:rsid w:val="001368BC"/>
    <w:rsid w:val="0014140B"/>
    <w:rsid w:val="0015441F"/>
    <w:rsid w:val="00155D5D"/>
    <w:rsid w:val="00157A91"/>
    <w:rsid w:val="00170680"/>
    <w:rsid w:val="00196238"/>
    <w:rsid w:val="001A159C"/>
    <w:rsid w:val="001B06EE"/>
    <w:rsid w:val="001B0F6D"/>
    <w:rsid w:val="001D7B58"/>
    <w:rsid w:val="001E1035"/>
    <w:rsid w:val="001F2765"/>
    <w:rsid w:val="001F62F7"/>
    <w:rsid w:val="00203015"/>
    <w:rsid w:val="00210E0C"/>
    <w:rsid w:val="002110F5"/>
    <w:rsid w:val="0021277B"/>
    <w:rsid w:val="002321BF"/>
    <w:rsid w:val="0023338B"/>
    <w:rsid w:val="0023631C"/>
    <w:rsid w:val="0024487D"/>
    <w:rsid w:val="00254964"/>
    <w:rsid w:val="00257D81"/>
    <w:rsid w:val="00266866"/>
    <w:rsid w:val="00267EF8"/>
    <w:rsid w:val="00280ED8"/>
    <w:rsid w:val="00282E40"/>
    <w:rsid w:val="0028573F"/>
    <w:rsid w:val="0029223B"/>
    <w:rsid w:val="00292DBB"/>
    <w:rsid w:val="002A3AE0"/>
    <w:rsid w:val="002B0D48"/>
    <w:rsid w:val="002B5415"/>
    <w:rsid w:val="002E7D8E"/>
    <w:rsid w:val="003061E1"/>
    <w:rsid w:val="003152A4"/>
    <w:rsid w:val="00326438"/>
    <w:rsid w:val="003315AA"/>
    <w:rsid w:val="00336804"/>
    <w:rsid w:val="00337C8E"/>
    <w:rsid w:val="00343D43"/>
    <w:rsid w:val="0035564B"/>
    <w:rsid w:val="00360BC8"/>
    <w:rsid w:val="003611BD"/>
    <w:rsid w:val="00371CB9"/>
    <w:rsid w:val="00373F63"/>
    <w:rsid w:val="00374975"/>
    <w:rsid w:val="0038251B"/>
    <w:rsid w:val="00395219"/>
    <w:rsid w:val="003A164D"/>
    <w:rsid w:val="003B6CF1"/>
    <w:rsid w:val="003C5D04"/>
    <w:rsid w:val="003D73DB"/>
    <w:rsid w:val="003F537C"/>
    <w:rsid w:val="00402ED8"/>
    <w:rsid w:val="00406A46"/>
    <w:rsid w:val="00430EB7"/>
    <w:rsid w:val="00434FCF"/>
    <w:rsid w:val="00437CE0"/>
    <w:rsid w:val="004427B2"/>
    <w:rsid w:val="004650B7"/>
    <w:rsid w:val="00465646"/>
    <w:rsid w:val="00470D8E"/>
    <w:rsid w:val="00476690"/>
    <w:rsid w:val="0047723F"/>
    <w:rsid w:val="004775B2"/>
    <w:rsid w:val="00480A74"/>
    <w:rsid w:val="00487097"/>
    <w:rsid w:val="004A75EA"/>
    <w:rsid w:val="004B3B10"/>
    <w:rsid w:val="004C5628"/>
    <w:rsid w:val="004D6699"/>
    <w:rsid w:val="004E0844"/>
    <w:rsid w:val="004E3B4A"/>
    <w:rsid w:val="005166DA"/>
    <w:rsid w:val="00516DB3"/>
    <w:rsid w:val="0052231D"/>
    <w:rsid w:val="00524E02"/>
    <w:rsid w:val="00533549"/>
    <w:rsid w:val="00542AC8"/>
    <w:rsid w:val="005511DB"/>
    <w:rsid w:val="00560929"/>
    <w:rsid w:val="0056181B"/>
    <w:rsid w:val="0056370A"/>
    <w:rsid w:val="00570620"/>
    <w:rsid w:val="00575B0B"/>
    <w:rsid w:val="005942B8"/>
    <w:rsid w:val="005B5C07"/>
    <w:rsid w:val="005C172B"/>
    <w:rsid w:val="005C2782"/>
    <w:rsid w:val="005C2E0F"/>
    <w:rsid w:val="005D0902"/>
    <w:rsid w:val="005F6CE9"/>
    <w:rsid w:val="00601AE0"/>
    <w:rsid w:val="0062605C"/>
    <w:rsid w:val="0062667A"/>
    <w:rsid w:val="00636FC8"/>
    <w:rsid w:val="00646BEC"/>
    <w:rsid w:val="00650B59"/>
    <w:rsid w:val="00653121"/>
    <w:rsid w:val="006557A2"/>
    <w:rsid w:val="00655812"/>
    <w:rsid w:val="00656410"/>
    <w:rsid w:val="00662703"/>
    <w:rsid w:val="00672358"/>
    <w:rsid w:val="006751AD"/>
    <w:rsid w:val="0068005B"/>
    <w:rsid w:val="00681D4D"/>
    <w:rsid w:val="00691125"/>
    <w:rsid w:val="006959A3"/>
    <w:rsid w:val="006B2929"/>
    <w:rsid w:val="006B48BF"/>
    <w:rsid w:val="006C3889"/>
    <w:rsid w:val="007062D7"/>
    <w:rsid w:val="00710F91"/>
    <w:rsid w:val="00730D00"/>
    <w:rsid w:val="0073529D"/>
    <w:rsid w:val="00737AEA"/>
    <w:rsid w:val="00741BC2"/>
    <w:rsid w:val="00745332"/>
    <w:rsid w:val="00747175"/>
    <w:rsid w:val="00761BDF"/>
    <w:rsid w:val="00775242"/>
    <w:rsid w:val="00776C2B"/>
    <w:rsid w:val="00780F87"/>
    <w:rsid w:val="007830A8"/>
    <w:rsid w:val="00786BD7"/>
    <w:rsid w:val="00786C5E"/>
    <w:rsid w:val="00794AEB"/>
    <w:rsid w:val="007A775A"/>
    <w:rsid w:val="007B03C2"/>
    <w:rsid w:val="007C321B"/>
    <w:rsid w:val="007C5E1A"/>
    <w:rsid w:val="007C6012"/>
    <w:rsid w:val="007D1DE4"/>
    <w:rsid w:val="007D5B55"/>
    <w:rsid w:val="007D67F2"/>
    <w:rsid w:val="007E442C"/>
    <w:rsid w:val="00801F39"/>
    <w:rsid w:val="0082635E"/>
    <w:rsid w:val="008274A4"/>
    <w:rsid w:val="00830192"/>
    <w:rsid w:val="00831DE5"/>
    <w:rsid w:val="008336E4"/>
    <w:rsid w:val="00835996"/>
    <w:rsid w:val="008378F1"/>
    <w:rsid w:val="00847A96"/>
    <w:rsid w:val="008605BD"/>
    <w:rsid w:val="00875CBF"/>
    <w:rsid w:val="00883470"/>
    <w:rsid w:val="008B148F"/>
    <w:rsid w:val="008B2C89"/>
    <w:rsid w:val="008B3C35"/>
    <w:rsid w:val="008B6297"/>
    <w:rsid w:val="008C4A7E"/>
    <w:rsid w:val="008D1E1F"/>
    <w:rsid w:val="008E1466"/>
    <w:rsid w:val="009009E5"/>
    <w:rsid w:val="009017B8"/>
    <w:rsid w:val="00905A72"/>
    <w:rsid w:val="00912B55"/>
    <w:rsid w:val="00913E4D"/>
    <w:rsid w:val="009252B4"/>
    <w:rsid w:val="00925530"/>
    <w:rsid w:val="00933493"/>
    <w:rsid w:val="00944E2C"/>
    <w:rsid w:val="009536FA"/>
    <w:rsid w:val="0096170A"/>
    <w:rsid w:val="0096171F"/>
    <w:rsid w:val="009629D0"/>
    <w:rsid w:val="00971D46"/>
    <w:rsid w:val="00973738"/>
    <w:rsid w:val="009754ED"/>
    <w:rsid w:val="009908F4"/>
    <w:rsid w:val="0099389C"/>
    <w:rsid w:val="009A181C"/>
    <w:rsid w:val="009A6A2F"/>
    <w:rsid w:val="009B55DF"/>
    <w:rsid w:val="009C199A"/>
    <w:rsid w:val="009C330E"/>
    <w:rsid w:val="009E3DEF"/>
    <w:rsid w:val="009F0A99"/>
    <w:rsid w:val="009F4529"/>
    <w:rsid w:val="00A07399"/>
    <w:rsid w:val="00A11ADE"/>
    <w:rsid w:val="00A14127"/>
    <w:rsid w:val="00A27FF0"/>
    <w:rsid w:val="00A305FB"/>
    <w:rsid w:val="00A43539"/>
    <w:rsid w:val="00A54866"/>
    <w:rsid w:val="00A8377B"/>
    <w:rsid w:val="00A84F19"/>
    <w:rsid w:val="00A86233"/>
    <w:rsid w:val="00AA048F"/>
    <w:rsid w:val="00AA492C"/>
    <w:rsid w:val="00AB244A"/>
    <w:rsid w:val="00AB7E06"/>
    <w:rsid w:val="00AC3493"/>
    <w:rsid w:val="00AE4697"/>
    <w:rsid w:val="00AF36D8"/>
    <w:rsid w:val="00B10955"/>
    <w:rsid w:val="00B1107A"/>
    <w:rsid w:val="00B15233"/>
    <w:rsid w:val="00B16402"/>
    <w:rsid w:val="00B20512"/>
    <w:rsid w:val="00B431A8"/>
    <w:rsid w:val="00B47726"/>
    <w:rsid w:val="00B50F44"/>
    <w:rsid w:val="00B52A56"/>
    <w:rsid w:val="00B547B4"/>
    <w:rsid w:val="00B6221C"/>
    <w:rsid w:val="00BA4187"/>
    <w:rsid w:val="00BA6CA5"/>
    <w:rsid w:val="00BB3C82"/>
    <w:rsid w:val="00BB6466"/>
    <w:rsid w:val="00BE2AF7"/>
    <w:rsid w:val="00BE54A0"/>
    <w:rsid w:val="00BE6FF3"/>
    <w:rsid w:val="00BF2354"/>
    <w:rsid w:val="00BF2B41"/>
    <w:rsid w:val="00C133B2"/>
    <w:rsid w:val="00C14B4B"/>
    <w:rsid w:val="00C151D1"/>
    <w:rsid w:val="00C157B6"/>
    <w:rsid w:val="00C23BB8"/>
    <w:rsid w:val="00C303FB"/>
    <w:rsid w:val="00C32EB2"/>
    <w:rsid w:val="00C44573"/>
    <w:rsid w:val="00C470DB"/>
    <w:rsid w:val="00C47CA2"/>
    <w:rsid w:val="00C52D0A"/>
    <w:rsid w:val="00C559AD"/>
    <w:rsid w:val="00C62316"/>
    <w:rsid w:val="00C760CE"/>
    <w:rsid w:val="00C87518"/>
    <w:rsid w:val="00C95188"/>
    <w:rsid w:val="00C95D9C"/>
    <w:rsid w:val="00CA03F1"/>
    <w:rsid w:val="00CA175F"/>
    <w:rsid w:val="00CA42D3"/>
    <w:rsid w:val="00CB06E3"/>
    <w:rsid w:val="00CB20D4"/>
    <w:rsid w:val="00CB6D14"/>
    <w:rsid w:val="00CC1AAA"/>
    <w:rsid w:val="00CC6151"/>
    <w:rsid w:val="00CC690B"/>
    <w:rsid w:val="00CD71F1"/>
    <w:rsid w:val="00CE065E"/>
    <w:rsid w:val="00CE1C97"/>
    <w:rsid w:val="00CE1D4E"/>
    <w:rsid w:val="00CF7DB1"/>
    <w:rsid w:val="00D032A4"/>
    <w:rsid w:val="00D075F7"/>
    <w:rsid w:val="00D14CDC"/>
    <w:rsid w:val="00D169C9"/>
    <w:rsid w:val="00D16A06"/>
    <w:rsid w:val="00D23981"/>
    <w:rsid w:val="00D26800"/>
    <w:rsid w:val="00D27727"/>
    <w:rsid w:val="00D30890"/>
    <w:rsid w:val="00D349D1"/>
    <w:rsid w:val="00D4088B"/>
    <w:rsid w:val="00D5042D"/>
    <w:rsid w:val="00D6397A"/>
    <w:rsid w:val="00D72D7D"/>
    <w:rsid w:val="00D734DB"/>
    <w:rsid w:val="00D7451D"/>
    <w:rsid w:val="00D93A82"/>
    <w:rsid w:val="00D94D29"/>
    <w:rsid w:val="00DA3CC8"/>
    <w:rsid w:val="00DC779D"/>
    <w:rsid w:val="00DD437F"/>
    <w:rsid w:val="00DE2875"/>
    <w:rsid w:val="00DE33BC"/>
    <w:rsid w:val="00E007BC"/>
    <w:rsid w:val="00E01E2F"/>
    <w:rsid w:val="00E2253D"/>
    <w:rsid w:val="00E22F40"/>
    <w:rsid w:val="00E2777E"/>
    <w:rsid w:val="00E32EFE"/>
    <w:rsid w:val="00E34DBE"/>
    <w:rsid w:val="00E37F96"/>
    <w:rsid w:val="00E43D8B"/>
    <w:rsid w:val="00E45340"/>
    <w:rsid w:val="00E62A43"/>
    <w:rsid w:val="00E825A8"/>
    <w:rsid w:val="00E82928"/>
    <w:rsid w:val="00EA424C"/>
    <w:rsid w:val="00EB4B2E"/>
    <w:rsid w:val="00EC50E6"/>
    <w:rsid w:val="00EE1955"/>
    <w:rsid w:val="00EF7075"/>
    <w:rsid w:val="00F00509"/>
    <w:rsid w:val="00F02D69"/>
    <w:rsid w:val="00F05D16"/>
    <w:rsid w:val="00F117CA"/>
    <w:rsid w:val="00F353E8"/>
    <w:rsid w:val="00F42F0B"/>
    <w:rsid w:val="00F436C0"/>
    <w:rsid w:val="00F51DD2"/>
    <w:rsid w:val="00F76FE1"/>
    <w:rsid w:val="00F825B4"/>
    <w:rsid w:val="00F95F70"/>
    <w:rsid w:val="00FC1ABF"/>
    <w:rsid w:val="00FC4D32"/>
    <w:rsid w:val="00FD3A76"/>
    <w:rsid w:val="00FE76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80E49"/>
  <w15:chartTrackingRefBased/>
  <w15:docId w15:val="{051F6325-1209-4FD2-8DE1-56FC5140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42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942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471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C4A7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7068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CB6D1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2B8"/>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5942B8"/>
    <w:pPr>
      <w:spacing w:after="0" w:line="240" w:lineRule="auto"/>
    </w:pPr>
  </w:style>
  <w:style w:type="character" w:customStyle="1" w:styleId="Heading2Char">
    <w:name w:val="Heading 2 Char"/>
    <w:basedOn w:val="DefaultParagraphFont"/>
    <w:link w:val="Heading2"/>
    <w:uiPriority w:val="9"/>
    <w:rsid w:val="005942B8"/>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32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HBBodyText">
    <w:name w:val="BHB Body Text"/>
    <w:rsid w:val="00E32EFE"/>
    <w:pPr>
      <w:pBdr>
        <w:top w:val="nil"/>
        <w:left w:val="nil"/>
        <w:bottom w:val="nil"/>
        <w:right w:val="nil"/>
        <w:between w:val="nil"/>
        <w:bar w:val="nil"/>
      </w:pBdr>
      <w:spacing w:after="120" w:line="240" w:lineRule="auto"/>
      <w:jc w:val="both"/>
    </w:pPr>
    <w:rPr>
      <w:rFonts w:ascii="Verdana" w:eastAsia="Verdana" w:hAnsi="Verdana" w:cs="Verdana"/>
      <w:color w:val="000000"/>
      <w:sz w:val="20"/>
      <w:szCs w:val="20"/>
      <w:u w:color="000000"/>
      <w:bdr w:val="nil"/>
      <w:lang w:val="en-US" w:eastAsia="en-AU"/>
    </w:rPr>
  </w:style>
  <w:style w:type="paragraph" w:customStyle="1" w:styleId="Body">
    <w:name w:val="Body"/>
    <w:uiPriority w:val="99"/>
    <w:rsid w:val="00E32EFE"/>
    <w:pPr>
      <w:pBdr>
        <w:top w:val="nil"/>
        <w:left w:val="nil"/>
        <w:bottom w:val="nil"/>
        <w:right w:val="nil"/>
        <w:between w:val="nil"/>
        <w:bar w:val="nil"/>
      </w:pBdr>
    </w:pPr>
    <w:rPr>
      <w:rFonts w:ascii="Calibri" w:eastAsia="Calibri" w:hAnsi="Calibri" w:cs="Calibri"/>
      <w:color w:val="000000"/>
      <w:u w:color="000000"/>
      <w:bdr w:val="nil"/>
      <w:lang w:eastAsia="en-AU"/>
    </w:rPr>
  </w:style>
  <w:style w:type="character" w:customStyle="1" w:styleId="Heading3Char">
    <w:name w:val="Heading 3 Char"/>
    <w:basedOn w:val="DefaultParagraphFont"/>
    <w:link w:val="Heading3"/>
    <w:uiPriority w:val="9"/>
    <w:rsid w:val="00747175"/>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747175"/>
    <w:pPr>
      <w:ind w:left="720"/>
      <w:contextualSpacing/>
    </w:pPr>
  </w:style>
  <w:style w:type="character" w:customStyle="1" w:styleId="Heading4Char">
    <w:name w:val="Heading 4 Char"/>
    <w:basedOn w:val="DefaultParagraphFont"/>
    <w:link w:val="Heading4"/>
    <w:uiPriority w:val="9"/>
    <w:rsid w:val="008C4A7E"/>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B431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1A8"/>
  </w:style>
  <w:style w:type="paragraph" w:styleId="Footer">
    <w:name w:val="footer"/>
    <w:basedOn w:val="Normal"/>
    <w:link w:val="FooterChar"/>
    <w:uiPriority w:val="99"/>
    <w:unhideWhenUsed/>
    <w:rsid w:val="00B431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1A8"/>
  </w:style>
  <w:style w:type="character" w:styleId="Hyperlink">
    <w:name w:val="Hyperlink"/>
    <w:basedOn w:val="DefaultParagraphFont"/>
    <w:uiPriority w:val="99"/>
    <w:unhideWhenUsed/>
    <w:rsid w:val="00B547B4"/>
    <w:rPr>
      <w:color w:val="0563C1" w:themeColor="hyperlink"/>
      <w:u w:val="single"/>
    </w:rPr>
  </w:style>
  <w:style w:type="character" w:customStyle="1" w:styleId="Heading5Char">
    <w:name w:val="Heading 5 Char"/>
    <w:basedOn w:val="DefaultParagraphFont"/>
    <w:link w:val="Heading5"/>
    <w:uiPriority w:val="9"/>
    <w:rsid w:val="0017068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CB6D14"/>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porateCommunications@chisholm.edu.au" TargetMode="External"/><Relationship Id="rId13" Type="http://schemas.openxmlformats.org/officeDocument/2006/relationships/hyperlink" Target="mailto:CorporateCommunications@chisholm.edu.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bac.vic.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ia.mciver@chisholm.edu.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dit.vic.gov.au" TargetMode="External"/><Relationship Id="rId4" Type="http://schemas.openxmlformats.org/officeDocument/2006/relationships/settings" Target="settings.xml"/><Relationship Id="rId9" Type="http://schemas.openxmlformats.org/officeDocument/2006/relationships/hyperlink" Target="mailto:enquiries@audit.vic.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17606-1CA7-49C8-95DF-444A2F241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7305</TotalTime>
  <Pages>125</Pages>
  <Words>40225</Words>
  <Characters>229286</Characters>
  <Application>Microsoft Office Word</Application>
  <DocSecurity>0</DocSecurity>
  <Lines>1910</Lines>
  <Paragraphs>537</Paragraphs>
  <ScaleCrop>false</ScaleCrop>
  <HeadingPairs>
    <vt:vector size="2" baseType="variant">
      <vt:variant>
        <vt:lpstr>Title</vt:lpstr>
      </vt:variant>
      <vt:variant>
        <vt:i4>1</vt:i4>
      </vt:variant>
    </vt:vector>
  </HeadingPairs>
  <TitlesOfParts>
    <vt:vector size="1" baseType="lpstr">
      <vt:lpstr/>
    </vt:vector>
  </TitlesOfParts>
  <Company>Chisholm Institute</Company>
  <LinksUpToDate>false</LinksUpToDate>
  <CharactersWithSpaces>268974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Lee</dc:creator>
  <cp:keywords/>
  <dc:description/>
  <cp:lastModifiedBy>Trish Lee</cp:lastModifiedBy>
  <cp:revision>112</cp:revision>
  <dcterms:created xsi:type="dcterms:W3CDTF">2020-01-09T00:12:00Z</dcterms:created>
  <dcterms:modified xsi:type="dcterms:W3CDTF">2020-05-14T04:36:00Z</dcterms:modified>
</cp:coreProperties>
</file>